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A806BB" w14:textId="4310C418" w:rsidR="000A05A7" w:rsidRPr="000A05A7" w:rsidRDefault="00627A3D" w:rsidP="00415F39">
      <w:pPr>
        <w:pStyle w:val="Heading1"/>
        <w:spacing w:before="0"/>
        <w:rPr>
          <w:color w:val="FFFFFF" w:themeColor="background1"/>
          <w:sz w:val="16"/>
          <w:szCs w:val="16"/>
        </w:rPr>
      </w:pPr>
      <w:bookmarkStart w:id="0" w:name="ChapterNumber"/>
      <w:r>
        <w:rPr>
          <w:noProof/>
        </w:rPr>
        <w:drawing>
          <wp:anchor distT="0" distB="0" distL="114300" distR="114300" simplePos="0" relativeHeight="251658240" behindDoc="0" locked="0" layoutInCell="1" allowOverlap="1" wp14:anchorId="656D02CE" wp14:editId="0F769679">
            <wp:simplePos x="1152525" y="-5353050"/>
            <wp:positionH relativeFrom="page">
              <wp:align>center</wp:align>
            </wp:positionH>
            <wp:positionV relativeFrom="page">
              <wp:align>center</wp:align>
            </wp:positionV>
            <wp:extent cx="7581900" cy="10725150"/>
            <wp:effectExtent l="0" t="0" r="0" b="0"/>
            <wp:wrapNone/>
            <wp:docPr id="2" name="Picture 2" descr="Cover for: Barriers to Service Exports, Productivity Commission Issues Paper, April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rvices-exports-issues-paper-cover.png"/>
                    <pic:cNvPicPr/>
                  </pic:nvPicPr>
                  <pic:blipFill>
                    <a:blip r:embed="rId15">
                      <a:extLst>
                        <a:ext uri="{28A0092B-C50C-407E-A947-70E740481C1C}">
                          <a14:useLocalDpi xmlns:a14="http://schemas.microsoft.com/office/drawing/2010/main" val="0"/>
                        </a:ext>
                      </a:extLst>
                    </a:blip>
                    <a:stretch>
                      <a:fillRect/>
                    </a:stretch>
                  </pic:blipFill>
                  <pic:spPr>
                    <a:xfrm>
                      <a:off x="0" y="0"/>
                      <a:ext cx="7582493" cy="10725558"/>
                    </a:xfrm>
                    <a:prstGeom prst="rect">
                      <a:avLst/>
                    </a:prstGeom>
                  </pic:spPr>
                </pic:pic>
              </a:graphicData>
            </a:graphic>
            <wp14:sizeRelH relativeFrom="margin">
              <wp14:pctWidth>0</wp14:pctWidth>
            </wp14:sizeRelH>
            <wp14:sizeRelV relativeFrom="margin">
              <wp14:pctHeight>0</wp14:pctHeight>
            </wp14:sizeRelV>
          </wp:anchor>
        </w:drawing>
      </w:r>
      <w:r w:rsidR="007C1A03">
        <w:rPr>
          <w:color w:val="FFFFFF" w:themeColor="background1"/>
          <w:sz w:val="16"/>
          <w:szCs w:val="16"/>
        </w:rPr>
        <w:t xml:space="preserve">Barriers to </w:t>
      </w:r>
      <w:r w:rsidR="000A05A7" w:rsidRPr="000A05A7">
        <w:rPr>
          <w:color w:val="FFFFFF" w:themeColor="background1"/>
          <w:sz w:val="16"/>
          <w:szCs w:val="16"/>
        </w:rPr>
        <w:t>Services Exports, Productivity Commission Issues Paper, April 2015</w:t>
      </w:r>
      <w:bookmarkStart w:id="1" w:name="_GoBack"/>
      <w:bookmarkEnd w:id="1"/>
    </w:p>
    <w:p w14:paraId="0C8D95CD" w14:textId="266FA6E7" w:rsidR="00415F39" w:rsidRDefault="00415F39" w:rsidP="00FD55EC">
      <w:pPr>
        <w:pStyle w:val="BodyText"/>
      </w:pPr>
      <w:r>
        <w:br w:type="page"/>
      </w:r>
    </w:p>
    <w:p w14:paraId="2EB89125" w14:textId="77777777" w:rsidR="00415F39" w:rsidRDefault="00415F39" w:rsidP="00415F39">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415F39" w14:paraId="4C7EC88B" w14:textId="77777777" w:rsidTr="007D27F7">
        <w:tc>
          <w:tcPr>
            <w:tcW w:w="8771" w:type="dxa"/>
            <w:tcBorders>
              <w:top w:val="single" w:sz="6" w:space="0" w:color="78A22F"/>
              <w:left w:val="nil"/>
              <w:bottom w:val="nil"/>
              <w:right w:val="nil"/>
            </w:tcBorders>
            <w:shd w:val="clear" w:color="auto" w:fill="F2F2F2" w:themeFill="background1" w:themeFillShade="F2"/>
          </w:tcPr>
          <w:p w14:paraId="79A510B4" w14:textId="77777777" w:rsidR="00415F39" w:rsidRPr="008A3857" w:rsidRDefault="00415F39" w:rsidP="00415F39">
            <w:pPr>
              <w:pStyle w:val="BoxTitle"/>
              <w:rPr>
                <w:sz w:val="22"/>
                <w:szCs w:val="22"/>
              </w:rPr>
            </w:pPr>
            <w:r w:rsidRPr="008A3857">
              <w:rPr>
                <w:sz w:val="22"/>
                <w:szCs w:val="22"/>
              </w:rPr>
              <w:t xml:space="preserve">The </w:t>
            </w:r>
            <w:r>
              <w:rPr>
                <w:sz w:val="22"/>
                <w:szCs w:val="22"/>
              </w:rPr>
              <w:t>Issues Paper</w:t>
            </w:r>
          </w:p>
        </w:tc>
      </w:tr>
      <w:tr w:rsidR="00415F39" w14:paraId="47806A0F" w14:textId="77777777" w:rsidTr="007D27F7">
        <w:trPr>
          <w:cantSplit/>
        </w:trPr>
        <w:tc>
          <w:tcPr>
            <w:tcW w:w="8771" w:type="dxa"/>
            <w:tcBorders>
              <w:top w:val="nil"/>
              <w:left w:val="nil"/>
              <w:bottom w:val="nil"/>
              <w:right w:val="nil"/>
            </w:tcBorders>
            <w:shd w:val="clear" w:color="auto" w:fill="F2F2F2" w:themeFill="background1" w:themeFillShade="F2"/>
          </w:tcPr>
          <w:p w14:paraId="36E05FC7" w14:textId="77777777" w:rsidR="00415F39" w:rsidRDefault="00415F39" w:rsidP="00415F39">
            <w:pPr>
              <w:pStyle w:val="Box"/>
            </w:pPr>
            <w:r>
              <w:t xml:space="preserve">The Commission has released this issues paper to assist individuals and organisations to prepare submissions to the </w:t>
            </w:r>
            <w:r w:rsidR="000D0B63">
              <w:t>study</w:t>
            </w:r>
            <w:r>
              <w:t>. It contains and outlines:</w:t>
            </w:r>
          </w:p>
          <w:p w14:paraId="58C7229E" w14:textId="77777777" w:rsidR="00415F39" w:rsidRDefault="00415F39" w:rsidP="00415F39">
            <w:pPr>
              <w:pStyle w:val="BoxListBullet"/>
            </w:pPr>
            <w:r>
              <w:t xml:space="preserve">the scope of the </w:t>
            </w:r>
            <w:r w:rsidR="000D0B63">
              <w:t>study</w:t>
            </w:r>
          </w:p>
          <w:p w14:paraId="6A87F29E" w14:textId="77777777" w:rsidR="00415F39" w:rsidRDefault="00415F39" w:rsidP="00415F39">
            <w:pPr>
              <w:pStyle w:val="BoxListBullet"/>
            </w:pPr>
            <w:r>
              <w:t>the Commission’s procedures</w:t>
            </w:r>
          </w:p>
          <w:p w14:paraId="7C7394D3" w14:textId="77777777" w:rsidR="00415F39" w:rsidRDefault="00415F39" w:rsidP="00415F39">
            <w:pPr>
              <w:pStyle w:val="BoxListBullet"/>
            </w:pPr>
            <w:r>
              <w:t>matters about which the Commission is seeking comment and information</w:t>
            </w:r>
          </w:p>
          <w:p w14:paraId="79216566" w14:textId="77777777" w:rsidR="00415F39" w:rsidRDefault="00415F39" w:rsidP="00415F39">
            <w:pPr>
              <w:pStyle w:val="BoxListBullet"/>
            </w:pPr>
            <w:proofErr w:type="gramStart"/>
            <w:r>
              <w:t>how</w:t>
            </w:r>
            <w:proofErr w:type="gramEnd"/>
            <w:r>
              <w:t xml:space="preserve"> to make a submission.</w:t>
            </w:r>
          </w:p>
          <w:p w14:paraId="113BF8E9" w14:textId="77777777" w:rsidR="00415F39" w:rsidRDefault="00415F39" w:rsidP="00415F39">
            <w:pPr>
              <w:pStyle w:val="Box"/>
            </w:pPr>
            <w:r>
              <w:t xml:space="preserve">Participants should not feel that they are restricted to comment only on matters raised in the issues paper. The Commission wishes to receive information and comment on issues which participants consider relevant to the </w:t>
            </w:r>
            <w:r w:rsidR="000D0B63">
              <w:t>study’s</w:t>
            </w:r>
            <w:r>
              <w:t xml:space="preserve"> terms of reference.</w:t>
            </w:r>
          </w:p>
          <w:p w14:paraId="44C8CA0D" w14:textId="77777777" w:rsidR="00415F39" w:rsidRDefault="00415F39" w:rsidP="009F3E26">
            <w:pPr>
              <w:pStyle w:val="BoxHeading1"/>
            </w:pPr>
            <w:r>
              <w:t>Key dates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22"/>
              <w:gridCol w:w="4950"/>
            </w:tblGrid>
            <w:tr w:rsidR="009F3E26" w14:paraId="79395823" w14:textId="77777777" w:rsidTr="00EC0A05">
              <w:tc>
                <w:tcPr>
                  <w:tcW w:w="3522" w:type="dxa"/>
                  <w:tcMar>
                    <w:left w:w="0" w:type="dxa"/>
                  </w:tcMar>
                </w:tcPr>
                <w:p w14:paraId="65FC3288" w14:textId="77777777" w:rsidR="009F3E26" w:rsidRDefault="009F3E26" w:rsidP="00415F39">
                  <w:pPr>
                    <w:pStyle w:val="Box"/>
                  </w:pPr>
                  <w:r>
                    <w:t>Receipt of terms of reference</w:t>
                  </w:r>
                </w:p>
              </w:tc>
              <w:tc>
                <w:tcPr>
                  <w:tcW w:w="4950" w:type="dxa"/>
                </w:tcPr>
                <w:p w14:paraId="172B7522" w14:textId="77777777" w:rsidR="009F3E26" w:rsidRDefault="000D0B63" w:rsidP="00415F39">
                  <w:pPr>
                    <w:pStyle w:val="Box"/>
                  </w:pPr>
                  <w:r>
                    <w:t>4 March 2015</w:t>
                  </w:r>
                </w:p>
              </w:tc>
            </w:tr>
            <w:tr w:rsidR="009F3E26" w14:paraId="2D138A3B" w14:textId="77777777" w:rsidTr="00EC0A05">
              <w:tc>
                <w:tcPr>
                  <w:tcW w:w="3522" w:type="dxa"/>
                  <w:tcMar>
                    <w:left w:w="0" w:type="dxa"/>
                  </w:tcMar>
                </w:tcPr>
                <w:p w14:paraId="27F73F29" w14:textId="77777777" w:rsidR="009F3E26" w:rsidRDefault="009F3E26" w:rsidP="00DB2AE0">
                  <w:pPr>
                    <w:pStyle w:val="Box"/>
                    <w:spacing w:before="60"/>
                  </w:pPr>
                  <w:r>
                    <w:t>Due date for submissions</w:t>
                  </w:r>
                </w:p>
              </w:tc>
              <w:tc>
                <w:tcPr>
                  <w:tcW w:w="4950" w:type="dxa"/>
                </w:tcPr>
                <w:p w14:paraId="533ED8E4" w14:textId="054CA016" w:rsidR="009F3E26" w:rsidRDefault="00657F05" w:rsidP="00DB2AE0">
                  <w:pPr>
                    <w:pStyle w:val="Box"/>
                    <w:spacing w:before="60"/>
                  </w:pPr>
                  <w:r>
                    <w:t>15</w:t>
                  </w:r>
                  <w:r w:rsidR="000D0B63">
                    <w:t xml:space="preserve"> May 2015</w:t>
                  </w:r>
                </w:p>
              </w:tc>
            </w:tr>
            <w:tr w:rsidR="009F3E26" w14:paraId="0AD9F7A5" w14:textId="77777777" w:rsidTr="00EC0A05">
              <w:tc>
                <w:tcPr>
                  <w:tcW w:w="3522" w:type="dxa"/>
                  <w:tcMar>
                    <w:left w:w="0" w:type="dxa"/>
                  </w:tcMar>
                </w:tcPr>
                <w:p w14:paraId="61AAC662" w14:textId="77777777" w:rsidR="009F3E26" w:rsidRDefault="009F3E26" w:rsidP="00DB2AE0">
                  <w:pPr>
                    <w:pStyle w:val="Box"/>
                    <w:spacing w:before="60"/>
                  </w:pPr>
                  <w:r>
                    <w:t>Release of draft report</w:t>
                  </w:r>
                </w:p>
              </w:tc>
              <w:tc>
                <w:tcPr>
                  <w:tcW w:w="4950" w:type="dxa"/>
                </w:tcPr>
                <w:p w14:paraId="6F898C58" w14:textId="77777777" w:rsidR="009F3E26" w:rsidRDefault="000D0B63" w:rsidP="00DB2AE0">
                  <w:pPr>
                    <w:pStyle w:val="Box"/>
                    <w:spacing w:before="60"/>
                  </w:pPr>
                  <w:r>
                    <w:t>Early August</w:t>
                  </w:r>
                </w:p>
              </w:tc>
            </w:tr>
            <w:tr w:rsidR="009F3E26" w14:paraId="64CE6ACA" w14:textId="77777777" w:rsidTr="00EC0A05">
              <w:tc>
                <w:tcPr>
                  <w:tcW w:w="3522" w:type="dxa"/>
                  <w:tcMar>
                    <w:left w:w="0" w:type="dxa"/>
                  </w:tcMar>
                </w:tcPr>
                <w:p w14:paraId="66FE292A" w14:textId="77777777" w:rsidR="009F3E26" w:rsidRDefault="009F3E26" w:rsidP="000D0B63">
                  <w:pPr>
                    <w:pStyle w:val="Box"/>
                    <w:spacing w:before="60"/>
                  </w:pPr>
                  <w:r>
                    <w:t xml:space="preserve">Final report </w:t>
                  </w:r>
                  <w:r w:rsidR="000D0B63">
                    <w:t>released</w:t>
                  </w:r>
                </w:p>
              </w:tc>
              <w:tc>
                <w:tcPr>
                  <w:tcW w:w="4950" w:type="dxa"/>
                </w:tcPr>
                <w:p w14:paraId="3F7E2140" w14:textId="77777777" w:rsidR="009F3E26" w:rsidRDefault="000D0B63" w:rsidP="00DB2AE0">
                  <w:pPr>
                    <w:pStyle w:val="Box"/>
                    <w:spacing w:before="60"/>
                  </w:pPr>
                  <w:r>
                    <w:t>4 December 2015</w:t>
                  </w:r>
                </w:p>
              </w:tc>
            </w:tr>
          </w:tbl>
          <w:p w14:paraId="5DE3BFB7" w14:textId="77777777" w:rsidR="00415F39" w:rsidRDefault="00415F39" w:rsidP="009F3E26">
            <w:pPr>
              <w:pStyle w:val="BoxHeading1"/>
            </w:pPr>
            <w:r>
              <w:t>S</w:t>
            </w:r>
            <w:r w:rsidR="009F3E26">
              <w:t>ubmissions can be made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22"/>
              <w:gridCol w:w="4950"/>
            </w:tblGrid>
            <w:tr w:rsidR="009F3E26" w14:paraId="4DE26C3D" w14:textId="77777777" w:rsidTr="00EC0A05">
              <w:tc>
                <w:tcPr>
                  <w:tcW w:w="3522" w:type="dxa"/>
                  <w:tcMar>
                    <w:left w:w="0" w:type="dxa"/>
                  </w:tcMar>
                </w:tcPr>
                <w:p w14:paraId="053EC4BF" w14:textId="77777777" w:rsidR="009F3E26" w:rsidRDefault="009F3E26" w:rsidP="00415F39">
                  <w:pPr>
                    <w:pStyle w:val="Box"/>
                  </w:pPr>
                  <w:r>
                    <w:t>By email:</w:t>
                  </w:r>
                </w:p>
              </w:tc>
              <w:tc>
                <w:tcPr>
                  <w:tcW w:w="4950" w:type="dxa"/>
                </w:tcPr>
                <w:p w14:paraId="540E9120" w14:textId="77777777" w:rsidR="009F3E26" w:rsidRDefault="000D0B63" w:rsidP="005C5E19">
                  <w:pPr>
                    <w:pStyle w:val="Box"/>
                  </w:pPr>
                  <w:r>
                    <w:t>services.exports</w:t>
                  </w:r>
                  <w:r w:rsidR="009F3E26">
                    <w:t>@pc.gov.au</w:t>
                  </w:r>
                </w:p>
              </w:tc>
            </w:tr>
            <w:tr w:rsidR="009F3E26" w14:paraId="26A695AE" w14:textId="77777777" w:rsidTr="00EC0A05">
              <w:tc>
                <w:tcPr>
                  <w:tcW w:w="3522" w:type="dxa"/>
                  <w:tcMar>
                    <w:left w:w="0" w:type="dxa"/>
                  </w:tcMar>
                </w:tcPr>
                <w:p w14:paraId="025F446B" w14:textId="77777777" w:rsidR="009F3E26" w:rsidRDefault="009F3E26" w:rsidP="00DB2AE0">
                  <w:pPr>
                    <w:pStyle w:val="Box"/>
                    <w:spacing w:before="60"/>
                    <w:jc w:val="left"/>
                  </w:pPr>
                  <w:r>
                    <w:t>By post:</w:t>
                  </w:r>
                </w:p>
              </w:tc>
              <w:tc>
                <w:tcPr>
                  <w:tcW w:w="4950" w:type="dxa"/>
                </w:tcPr>
                <w:p w14:paraId="1BD071B3" w14:textId="77777777" w:rsidR="009F3E26" w:rsidRDefault="000D0B63" w:rsidP="000D0B63">
                  <w:pPr>
                    <w:pStyle w:val="Box"/>
                    <w:spacing w:before="60"/>
                    <w:jc w:val="left"/>
                  </w:pPr>
                  <w:r>
                    <w:t>Australian Services Exports</w:t>
                  </w:r>
                  <w:r w:rsidR="00842A41">
                    <w:t xml:space="preserve"> </w:t>
                  </w:r>
                  <w:r w:rsidR="009F3E26">
                    <w:br/>
                    <w:t>Productivity Commission</w:t>
                  </w:r>
                  <w:r w:rsidR="009F3E26">
                    <w:br/>
                  </w:r>
                  <w:r>
                    <w:t>Locked Bag 2, Collins Street</w:t>
                  </w:r>
                  <w:r w:rsidR="009F3E26">
                    <w:br/>
                  </w:r>
                  <w:r>
                    <w:t>Melbourne, VIC, 8003</w:t>
                  </w:r>
                </w:p>
              </w:tc>
            </w:tr>
          </w:tbl>
          <w:p w14:paraId="5FC900C9" w14:textId="77777777" w:rsidR="00415F39" w:rsidRDefault="00415F39" w:rsidP="009F3E26">
            <w:pPr>
              <w:pStyle w:val="BoxHeading1"/>
            </w:pPr>
            <w:r>
              <w:t>Contacts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22"/>
              <w:gridCol w:w="2268"/>
              <w:gridCol w:w="2682"/>
            </w:tblGrid>
            <w:tr w:rsidR="009F3E26" w14:paraId="230B1A13" w14:textId="77777777" w:rsidTr="00EC0A05">
              <w:tc>
                <w:tcPr>
                  <w:tcW w:w="3522" w:type="dxa"/>
                  <w:tcMar>
                    <w:left w:w="0" w:type="dxa"/>
                  </w:tcMar>
                </w:tcPr>
                <w:p w14:paraId="3D301149" w14:textId="77777777" w:rsidR="009F3E26" w:rsidRDefault="009F3E26" w:rsidP="00415F39">
                  <w:pPr>
                    <w:pStyle w:val="Box"/>
                  </w:pPr>
                  <w:r>
                    <w:t>Administrative matters:</w:t>
                  </w:r>
                </w:p>
              </w:tc>
              <w:tc>
                <w:tcPr>
                  <w:tcW w:w="2268" w:type="dxa"/>
                </w:tcPr>
                <w:p w14:paraId="7813F76E" w14:textId="77777777" w:rsidR="009F3E26" w:rsidRDefault="000D0B63" w:rsidP="00415F39">
                  <w:pPr>
                    <w:pStyle w:val="Box"/>
                  </w:pPr>
                  <w:r>
                    <w:t>Carole Gardner</w:t>
                  </w:r>
                </w:p>
              </w:tc>
              <w:tc>
                <w:tcPr>
                  <w:tcW w:w="2682" w:type="dxa"/>
                </w:tcPr>
                <w:p w14:paraId="310835F7" w14:textId="77777777" w:rsidR="009F3E26" w:rsidRDefault="009F3E26" w:rsidP="000D0B63">
                  <w:pPr>
                    <w:pStyle w:val="Box"/>
                  </w:pPr>
                  <w:proofErr w:type="spellStart"/>
                  <w:r>
                    <w:t>Ph</w:t>
                  </w:r>
                  <w:proofErr w:type="spellEnd"/>
                  <w:r>
                    <w:t xml:space="preserve">: </w:t>
                  </w:r>
                  <w:r w:rsidR="000D0B63">
                    <w:t>03 9653 2194</w:t>
                  </w:r>
                </w:p>
              </w:tc>
            </w:tr>
            <w:tr w:rsidR="009F3E26" w14:paraId="7345679F" w14:textId="77777777" w:rsidTr="00EC0A05">
              <w:tc>
                <w:tcPr>
                  <w:tcW w:w="3522" w:type="dxa"/>
                  <w:tcMar>
                    <w:left w:w="0" w:type="dxa"/>
                  </w:tcMar>
                </w:tcPr>
                <w:p w14:paraId="7BF42078" w14:textId="77777777" w:rsidR="009F3E26" w:rsidRDefault="009F3E26" w:rsidP="00DB2AE0">
                  <w:pPr>
                    <w:pStyle w:val="Box"/>
                    <w:spacing w:before="60"/>
                  </w:pPr>
                  <w:r>
                    <w:t>Other matters:</w:t>
                  </w:r>
                </w:p>
              </w:tc>
              <w:tc>
                <w:tcPr>
                  <w:tcW w:w="2268" w:type="dxa"/>
                </w:tcPr>
                <w:p w14:paraId="5F8E8611" w14:textId="77777777" w:rsidR="009F3E26" w:rsidRDefault="000D0B63" w:rsidP="00DB2AE0">
                  <w:pPr>
                    <w:pStyle w:val="Box"/>
                    <w:spacing w:before="60"/>
                  </w:pPr>
                  <w:r>
                    <w:t>Ana Markulev</w:t>
                  </w:r>
                </w:p>
              </w:tc>
              <w:tc>
                <w:tcPr>
                  <w:tcW w:w="2682" w:type="dxa"/>
                </w:tcPr>
                <w:p w14:paraId="79BA185C" w14:textId="77777777" w:rsidR="009F3E26" w:rsidRDefault="009F3E26" w:rsidP="000D0B63">
                  <w:pPr>
                    <w:pStyle w:val="Box"/>
                    <w:spacing w:before="60"/>
                  </w:pPr>
                  <w:proofErr w:type="spellStart"/>
                  <w:r>
                    <w:t>Ph</w:t>
                  </w:r>
                  <w:proofErr w:type="spellEnd"/>
                  <w:r>
                    <w:t xml:space="preserve">: </w:t>
                  </w:r>
                  <w:r w:rsidR="000D0B63">
                    <w:t>03 9653 2137</w:t>
                  </w:r>
                </w:p>
              </w:tc>
            </w:tr>
            <w:tr w:rsidR="009F3E26" w14:paraId="297CFF2C" w14:textId="77777777" w:rsidTr="00EC0A05">
              <w:tc>
                <w:tcPr>
                  <w:tcW w:w="3522" w:type="dxa"/>
                  <w:tcMar>
                    <w:left w:w="0" w:type="dxa"/>
                  </w:tcMar>
                </w:tcPr>
                <w:p w14:paraId="48A535AC" w14:textId="77777777" w:rsidR="009F3E26" w:rsidRDefault="009F3E26" w:rsidP="00DB2AE0">
                  <w:pPr>
                    <w:pStyle w:val="Box"/>
                    <w:spacing w:before="60"/>
                  </w:pPr>
                  <w:proofErr w:type="spellStart"/>
                  <w:r>
                    <w:t>Freecall</w:t>
                  </w:r>
                  <w:proofErr w:type="spellEnd"/>
                  <w:r>
                    <w:t xml:space="preserve"> number for regional areas:</w:t>
                  </w:r>
                </w:p>
              </w:tc>
              <w:tc>
                <w:tcPr>
                  <w:tcW w:w="2268" w:type="dxa"/>
                </w:tcPr>
                <w:p w14:paraId="0508EB84" w14:textId="77777777" w:rsidR="009F3E26" w:rsidRDefault="009F3E26" w:rsidP="00DB2AE0">
                  <w:pPr>
                    <w:pStyle w:val="Box"/>
                    <w:spacing w:before="60"/>
                  </w:pPr>
                  <w:r>
                    <w:t>1800 020 083</w:t>
                  </w:r>
                </w:p>
              </w:tc>
              <w:tc>
                <w:tcPr>
                  <w:tcW w:w="2682" w:type="dxa"/>
                </w:tcPr>
                <w:p w14:paraId="423FED3C" w14:textId="77777777" w:rsidR="009F3E26" w:rsidRDefault="009F3E26" w:rsidP="00DB2AE0">
                  <w:pPr>
                    <w:pStyle w:val="Box"/>
                    <w:spacing w:before="60"/>
                  </w:pPr>
                </w:p>
              </w:tc>
            </w:tr>
            <w:tr w:rsidR="009F3E26" w14:paraId="77E98E81" w14:textId="77777777" w:rsidTr="00EC0A05">
              <w:tc>
                <w:tcPr>
                  <w:tcW w:w="3522" w:type="dxa"/>
                  <w:tcMar>
                    <w:left w:w="0" w:type="dxa"/>
                  </w:tcMar>
                </w:tcPr>
                <w:p w14:paraId="3B5615CC" w14:textId="77777777" w:rsidR="009F3E26" w:rsidRDefault="009F3E26" w:rsidP="00DB2AE0">
                  <w:pPr>
                    <w:pStyle w:val="Box"/>
                    <w:spacing w:before="60"/>
                  </w:pPr>
                  <w:r>
                    <w:t>Website</w:t>
                  </w:r>
                </w:p>
              </w:tc>
              <w:tc>
                <w:tcPr>
                  <w:tcW w:w="2268" w:type="dxa"/>
                </w:tcPr>
                <w:p w14:paraId="708F12A4" w14:textId="77777777" w:rsidR="009F3E26" w:rsidRPr="009F3E26" w:rsidRDefault="009F3E26" w:rsidP="00DB2AE0">
                  <w:pPr>
                    <w:pStyle w:val="Box"/>
                    <w:spacing w:before="60"/>
                    <w:rPr>
                      <w:b/>
                    </w:rPr>
                  </w:pPr>
                  <w:r w:rsidRPr="009F3E26">
                    <w:rPr>
                      <w:b/>
                    </w:rPr>
                    <w:t>www.pc.gov.au</w:t>
                  </w:r>
                </w:p>
              </w:tc>
              <w:tc>
                <w:tcPr>
                  <w:tcW w:w="2682" w:type="dxa"/>
                </w:tcPr>
                <w:p w14:paraId="3BCB0E1F" w14:textId="77777777" w:rsidR="009F3E26" w:rsidRDefault="009F3E26" w:rsidP="00DB2AE0">
                  <w:pPr>
                    <w:pStyle w:val="Box"/>
                    <w:spacing w:before="60"/>
                  </w:pPr>
                </w:p>
              </w:tc>
            </w:tr>
          </w:tbl>
          <w:p w14:paraId="560CE37F" w14:textId="77777777" w:rsidR="00415F39" w:rsidRDefault="00415F39" w:rsidP="009F3E26">
            <w:pPr>
              <w:pStyle w:val="Box"/>
            </w:pPr>
          </w:p>
        </w:tc>
      </w:tr>
      <w:tr w:rsidR="00415F39" w14:paraId="36874A3C" w14:textId="77777777" w:rsidTr="007D27F7">
        <w:trPr>
          <w:cantSplit/>
        </w:trPr>
        <w:tc>
          <w:tcPr>
            <w:tcW w:w="8771" w:type="dxa"/>
            <w:tcBorders>
              <w:top w:val="nil"/>
              <w:left w:val="nil"/>
              <w:bottom w:val="single" w:sz="6" w:space="0" w:color="78A22F"/>
              <w:right w:val="nil"/>
            </w:tcBorders>
            <w:shd w:val="clear" w:color="auto" w:fill="F2F2F2" w:themeFill="background1" w:themeFillShade="F2"/>
          </w:tcPr>
          <w:p w14:paraId="2471A302" w14:textId="77777777" w:rsidR="00415F39" w:rsidRDefault="00415F39" w:rsidP="007D27F7">
            <w:pPr>
              <w:pStyle w:val="Box"/>
              <w:spacing w:before="0" w:line="120" w:lineRule="exact"/>
            </w:pPr>
          </w:p>
        </w:tc>
      </w:tr>
    </w:tbl>
    <w:p w14:paraId="7F37B6B6" w14:textId="77777777" w:rsidR="00415F39" w:rsidRDefault="00415F39" w:rsidP="00415F39">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415F39" w14:paraId="3F858332" w14:textId="77777777" w:rsidTr="007D27F7">
        <w:tc>
          <w:tcPr>
            <w:tcW w:w="8771" w:type="dxa"/>
            <w:tcBorders>
              <w:top w:val="single" w:sz="6" w:space="0" w:color="78A22F"/>
              <w:left w:val="nil"/>
              <w:bottom w:val="nil"/>
              <w:right w:val="nil"/>
            </w:tcBorders>
            <w:shd w:val="clear" w:color="auto" w:fill="F2F2F2" w:themeFill="background1" w:themeFillShade="F2"/>
          </w:tcPr>
          <w:p w14:paraId="176958EF" w14:textId="77777777" w:rsidR="00415F39" w:rsidRPr="008A3857" w:rsidRDefault="00415F39" w:rsidP="007D27F7">
            <w:pPr>
              <w:pStyle w:val="BoxTitle"/>
              <w:rPr>
                <w:sz w:val="22"/>
                <w:szCs w:val="22"/>
              </w:rPr>
            </w:pPr>
            <w:r w:rsidRPr="008A3857">
              <w:rPr>
                <w:sz w:val="22"/>
                <w:szCs w:val="22"/>
              </w:rPr>
              <w:t>The Productivity Commission</w:t>
            </w:r>
          </w:p>
        </w:tc>
      </w:tr>
      <w:tr w:rsidR="00415F39" w14:paraId="7B3F3824" w14:textId="77777777" w:rsidTr="007D27F7">
        <w:trPr>
          <w:cantSplit/>
        </w:trPr>
        <w:tc>
          <w:tcPr>
            <w:tcW w:w="8771" w:type="dxa"/>
            <w:tcBorders>
              <w:top w:val="nil"/>
              <w:left w:val="nil"/>
              <w:bottom w:val="nil"/>
              <w:right w:val="nil"/>
            </w:tcBorders>
            <w:shd w:val="clear" w:color="auto" w:fill="F2F2F2" w:themeFill="background1" w:themeFillShade="F2"/>
          </w:tcPr>
          <w:p w14:paraId="0006DBC0" w14:textId="77777777" w:rsidR="00415F39" w:rsidRDefault="00415F39" w:rsidP="007D27F7">
            <w:pPr>
              <w:pStyle w:val="Box"/>
            </w:pPr>
            <w:r w:rsidRPr="00BB5DCF">
              <w:t>The Productivity Commission is the Australian Government’s independent research and advisory body on a range of economic, social and environmental issues affecting the welfare of Australians. Its role, expressed most simply, is to help governments make better policies, in the long term interest of the Australian community.</w:t>
            </w:r>
          </w:p>
          <w:p w14:paraId="22290C46" w14:textId="77777777" w:rsidR="00415F39" w:rsidRDefault="00415F39" w:rsidP="007D27F7">
            <w:pPr>
              <w:pStyle w:val="Box"/>
            </w:pPr>
            <w:r w:rsidRPr="00BB5DCF">
              <w:t>The Commission’s independence is underpinned by an Act of Parliament. Its processes and outputs are open to public scrutiny and are driven by concern for the wellbeing of the community as a whole.</w:t>
            </w:r>
          </w:p>
          <w:p w14:paraId="1BC8A3C3" w14:textId="77777777" w:rsidR="00415F39" w:rsidRDefault="00415F39" w:rsidP="007D27F7">
            <w:pPr>
              <w:pStyle w:val="Box"/>
            </w:pPr>
            <w:r w:rsidRPr="00BB5DCF">
              <w:rPr>
                <w:szCs w:val="24"/>
              </w:rPr>
              <w:t>Further information on the Productivity Commission can be obtained from the Commission’s website (www.pc.gov.au)</w:t>
            </w:r>
            <w:r>
              <w:rPr>
                <w:szCs w:val="24"/>
              </w:rPr>
              <w:t>.</w:t>
            </w:r>
          </w:p>
        </w:tc>
      </w:tr>
      <w:tr w:rsidR="00415F39" w14:paraId="66601213" w14:textId="77777777" w:rsidTr="007D27F7">
        <w:trPr>
          <w:cantSplit/>
        </w:trPr>
        <w:tc>
          <w:tcPr>
            <w:tcW w:w="8771" w:type="dxa"/>
            <w:tcBorders>
              <w:top w:val="nil"/>
              <w:left w:val="nil"/>
              <w:bottom w:val="single" w:sz="6" w:space="0" w:color="78A22F"/>
              <w:right w:val="nil"/>
            </w:tcBorders>
            <w:shd w:val="clear" w:color="auto" w:fill="F2F2F2" w:themeFill="background1" w:themeFillShade="F2"/>
          </w:tcPr>
          <w:p w14:paraId="4359C825" w14:textId="77777777" w:rsidR="00415F39" w:rsidRDefault="00415F39" w:rsidP="007D27F7">
            <w:pPr>
              <w:pStyle w:val="Box"/>
              <w:spacing w:before="0" w:line="120" w:lineRule="exact"/>
            </w:pPr>
          </w:p>
        </w:tc>
      </w:tr>
    </w:tbl>
    <w:p w14:paraId="0EA24C8E" w14:textId="77777777" w:rsidR="00EC0A05" w:rsidRDefault="00EC0A05" w:rsidP="00EC0A05">
      <w:pPr>
        <w:pStyle w:val="BodyText"/>
      </w:pPr>
    </w:p>
    <w:p w14:paraId="035F9B69" w14:textId="77777777" w:rsidR="00EC0A05" w:rsidRPr="00415F39" w:rsidRDefault="00EC0A05" w:rsidP="00EC0A05">
      <w:pPr>
        <w:pStyle w:val="BodyText"/>
        <w:sectPr w:rsidR="00EC0A05" w:rsidRPr="00415F39" w:rsidSect="00DA3EB4">
          <w:headerReference w:type="default" r:id="rId16"/>
          <w:footerReference w:type="default" r:id="rId17"/>
          <w:type w:val="continuous"/>
          <w:pgSz w:w="11907" w:h="16840" w:code="9"/>
          <w:pgMar w:top="1560" w:right="1304" w:bottom="851" w:left="1814" w:header="1276" w:footer="397" w:gutter="0"/>
          <w:pgNumType w:fmt="lowerRoman" w:chapSep="period"/>
          <w:cols w:space="720"/>
          <w:titlePg/>
        </w:sectPr>
      </w:pPr>
    </w:p>
    <w:p w14:paraId="05D9CAFD" w14:textId="77777777" w:rsidR="00EC0A05" w:rsidRDefault="00EC0A05" w:rsidP="00EC0A05">
      <w:pPr>
        <w:pStyle w:val="Heading2nosectionno"/>
      </w:pPr>
      <w:r>
        <w:lastRenderedPageBreak/>
        <w:t>Terms of reference</w:t>
      </w:r>
    </w:p>
    <w:p w14:paraId="1689DAAD" w14:textId="77777777" w:rsidR="000D0B63" w:rsidRDefault="000D0B63" w:rsidP="007F2944">
      <w:pPr>
        <w:spacing w:before="480"/>
        <w:jc w:val="center"/>
        <w:rPr>
          <w:rFonts w:ascii="Arial" w:hAnsi="Arial" w:cs="Arial"/>
          <w:b/>
          <w:caps/>
        </w:rPr>
      </w:pPr>
      <w:bookmarkStart w:id="2" w:name="begin"/>
      <w:bookmarkEnd w:id="0"/>
      <w:bookmarkEnd w:id="2"/>
      <w:r>
        <w:rPr>
          <w:rFonts w:ascii="Arial" w:hAnsi="Arial" w:cs="Arial"/>
          <w:b/>
          <w:caps/>
        </w:rPr>
        <w:t xml:space="preserve">Productivity Commission </w:t>
      </w:r>
      <w:r w:rsidRPr="00EF653C">
        <w:rPr>
          <w:rFonts w:ascii="Arial" w:hAnsi="Arial" w:cs="Arial"/>
          <w:b/>
          <w:caps/>
        </w:rPr>
        <w:t>Study into Barriers to Growth in Australian Service</w:t>
      </w:r>
      <w:r>
        <w:rPr>
          <w:rFonts w:ascii="Arial" w:hAnsi="Arial" w:cs="Arial"/>
          <w:b/>
          <w:caps/>
        </w:rPr>
        <w:t>s</w:t>
      </w:r>
      <w:r w:rsidRPr="00EF653C">
        <w:rPr>
          <w:rFonts w:ascii="Arial" w:hAnsi="Arial" w:cs="Arial"/>
          <w:b/>
          <w:caps/>
        </w:rPr>
        <w:t xml:space="preserve"> Exports</w:t>
      </w:r>
    </w:p>
    <w:p w14:paraId="4196DE2A" w14:textId="5F5A0BE7" w:rsidR="000D0B63" w:rsidRPr="000D0B63" w:rsidRDefault="000D0B63" w:rsidP="000D0B63">
      <w:pPr>
        <w:pStyle w:val="BodyText"/>
      </w:pPr>
      <w:r w:rsidRPr="000D0B63">
        <w:t xml:space="preserve">I, Joe Hockey, Treasurer, pursuant to Parts 2 and 4 of the </w:t>
      </w:r>
      <w:r w:rsidRPr="000D0B63">
        <w:rPr>
          <w:rStyle w:val="Emphasis"/>
          <w:i w:val="0"/>
          <w:iCs w:val="0"/>
        </w:rPr>
        <w:t>Productivity Commission Act 1998,</w:t>
      </w:r>
      <w:r w:rsidRPr="000D0B63">
        <w:t xml:space="preserve"> hereby request that the Productivity Commission undertake a research study into barriers to growth in Australian services exports. </w:t>
      </w:r>
    </w:p>
    <w:p w14:paraId="53D5B764" w14:textId="77777777" w:rsidR="000D0B63" w:rsidRPr="0065088D" w:rsidRDefault="000D0B63" w:rsidP="000D0B63">
      <w:pPr>
        <w:pStyle w:val="Heading3"/>
      </w:pPr>
      <w:r w:rsidRPr="00D2386D">
        <w:t>Background</w:t>
      </w:r>
    </w:p>
    <w:p w14:paraId="48E951C4" w14:textId="77777777" w:rsidR="000D0B63" w:rsidRPr="000D0B63" w:rsidRDefault="000D0B63" w:rsidP="000D0B63">
      <w:pPr>
        <w:pStyle w:val="BodyText"/>
      </w:pPr>
      <w:r w:rsidRPr="000D0B63">
        <w:t>Service industries are a large and growing share of the Austr</w:t>
      </w:r>
      <w:r>
        <w:t xml:space="preserve">alian economy and world trade. </w:t>
      </w:r>
      <w:r w:rsidRPr="000D0B63">
        <w:t xml:space="preserve">While services account for approximately 70 per cent of the Australian economy, they represent only 20 per cent of Australia’s total exports indicating there is scope for significant growth.  Some service industries are subject to extensive regulation and barriers to entry. The Government considers there is scope to reduce these and other barriers to growth. </w:t>
      </w:r>
    </w:p>
    <w:p w14:paraId="39F2AF42" w14:textId="77777777" w:rsidR="000D0B63" w:rsidRPr="0065088D" w:rsidRDefault="000D0B63" w:rsidP="000D0B63">
      <w:pPr>
        <w:pStyle w:val="Heading3"/>
      </w:pPr>
      <w:r w:rsidRPr="00D2386D">
        <w:t xml:space="preserve">Scope of </w:t>
      </w:r>
      <w:r>
        <w:t>the research study</w:t>
      </w:r>
    </w:p>
    <w:p w14:paraId="2E3A55C3" w14:textId="77777777" w:rsidR="000D0B63" w:rsidRPr="000D0B63" w:rsidRDefault="000D0B63" w:rsidP="000D0B63">
      <w:pPr>
        <w:pStyle w:val="BodyText"/>
      </w:pPr>
      <w:r w:rsidRPr="000D0B63">
        <w:t>In undertaking the study, the Commission</w:t>
      </w:r>
      <w:r w:rsidRPr="000D0B63" w:rsidDel="00B95F10">
        <w:t xml:space="preserve"> </w:t>
      </w:r>
      <w:r w:rsidRPr="000D0B63">
        <w:t>should:</w:t>
      </w:r>
    </w:p>
    <w:p w14:paraId="0EF8EB11" w14:textId="77777777" w:rsidR="000D0B63" w:rsidRPr="000D0B63" w:rsidRDefault="000D0B63" w:rsidP="000D0B63">
      <w:pPr>
        <w:pStyle w:val="ListNumber"/>
      </w:pPr>
      <w:r w:rsidRPr="000D0B63">
        <w:t>Consider recent trends in services exports by Australian suppliers, and draw on case studies and other material where relevant to look at drivers of Australian services exports. The study should focus on the education, financial services, health services, information technology, professional services, and tourism sectors.</w:t>
      </w:r>
    </w:p>
    <w:p w14:paraId="7E5E9AC0" w14:textId="77777777" w:rsidR="000D0B63" w:rsidRPr="000D0B63" w:rsidRDefault="000D0B63" w:rsidP="000D0B63">
      <w:pPr>
        <w:pStyle w:val="ListNumber"/>
      </w:pPr>
      <w:r w:rsidRPr="000D0B63">
        <w:t xml:space="preserve">Examine the domestic barriers to growth in Australian services exports, including any investment barriers, and consider appropriate policy remedies. </w:t>
      </w:r>
    </w:p>
    <w:p w14:paraId="0E63C511" w14:textId="77777777" w:rsidR="000D0B63" w:rsidRPr="000D0B63" w:rsidRDefault="000D0B63" w:rsidP="000D0B63">
      <w:pPr>
        <w:pStyle w:val="ListNumber"/>
      </w:pPr>
      <w:r w:rsidRPr="000D0B63">
        <w:t>Examine barriers to growth in Australian services exports in economies with which Australia does not have free trade agreements/economic partnership agreements in force or substantially concluded and which are ranked in Australia’s top forty trade partners.</w:t>
      </w:r>
    </w:p>
    <w:p w14:paraId="248BE6D5" w14:textId="77777777" w:rsidR="000D0B63" w:rsidRPr="000D0B63" w:rsidRDefault="000D0B63" w:rsidP="000D0B63">
      <w:pPr>
        <w:pStyle w:val="ListNumber"/>
      </w:pPr>
      <w:r w:rsidRPr="000D0B63">
        <w:t xml:space="preserve">Provide an assessment of the economic benefits of removing or reducing the barriers to Australian services exports in these markets. </w:t>
      </w:r>
    </w:p>
    <w:p w14:paraId="26234210" w14:textId="77777777" w:rsidR="000D0B63" w:rsidRPr="000D0B63" w:rsidRDefault="000D0B63" w:rsidP="000D0B63">
      <w:pPr>
        <w:pStyle w:val="ListNumber"/>
      </w:pPr>
      <w:r w:rsidRPr="000D0B63">
        <w:t xml:space="preserve">Examine, where relevant, the experience of other international economies in developing policy approaches in this area.  </w:t>
      </w:r>
    </w:p>
    <w:p w14:paraId="31AA1AA2" w14:textId="77777777" w:rsidR="000D0B63" w:rsidRPr="00515184" w:rsidRDefault="000D0B63" w:rsidP="000D0B63">
      <w:pPr>
        <w:pStyle w:val="Heading3"/>
      </w:pPr>
      <w:r w:rsidRPr="00515184">
        <w:lastRenderedPageBreak/>
        <w:t>Process</w:t>
      </w:r>
    </w:p>
    <w:p w14:paraId="65CC82E1" w14:textId="77777777" w:rsidR="000D0B63" w:rsidRPr="000D0B63" w:rsidRDefault="000D0B63" w:rsidP="000D0B63">
      <w:pPr>
        <w:pStyle w:val="BodyText"/>
      </w:pPr>
      <w:r w:rsidRPr="000D0B63">
        <w:t xml:space="preserve">The Commission is to undertake an appropriate public consultation process and release both a draft and a final report. </w:t>
      </w:r>
    </w:p>
    <w:p w14:paraId="71C5DD42" w14:textId="77777777" w:rsidR="000D0B63" w:rsidRPr="000D0B63" w:rsidRDefault="000D0B63" w:rsidP="000D0B63">
      <w:pPr>
        <w:pStyle w:val="BodyText"/>
      </w:pPr>
      <w:r w:rsidRPr="000D0B63">
        <w:t xml:space="preserve">Noting that the Commission has recently commenced research in the international education services and tourism sectors, in undertaking this study the Commission should avoid duplication of that work and draw on it as appropriate in its final report.  </w:t>
      </w:r>
    </w:p>
    <w:p w14:paraId="4EC61FEA" w14:textId="77777777" w:rsidR="000D0B63" w:rsidRPr="000D0B63" w:rsidRDefault="000D0B63" w:rsidP="000D0B63">
      <w:pPr>
        <w:pStyle w:val="BodyText"/>
      </w:pPr>
      <w:r w:rsidRPr="000D0B63">
        <w:t xml:space="preserve">The final report should be released within nine months of receipt of these terms of reference. </w:t>
      </w:r>
    </w:p>
    <w:p w14:paraId="2D0B6D64" w14:textId="77777777" w:rsidR="000D0B63" w:rsidRPr="000D0B63" w:rsidRDefault="000D0B63" w:rsidP="007F2944">
      <w:pPr>
        <w:pStyle w:val="BodyText"/>
        <w:spacing w:before="720"/>
      </w:pPr>
      <w:r w:rsidRPr="000D0B63">
        <w:t>J.B. HOCKEY</w:t>
      </w:r>
    </w:p>
    <w:p w14:paraId="2A706B59" w14:textId="77777777" w:rsidR="00DB26D2" w:rsidRPr="000D0B63" w:rsidRDefault="000D0B63" w:rsidP="000D0B63">
      <w:pPr>
        <w:pStyle w:val="BodyText"/>
      </w:pPr>
      <w:r w:rsidRPr="000D0B63">
        <w:t>Treasurer</w:t>
      </w:r>
    </w:p>
    <w:p w14:paraId="35D2FCE4" w14:textId="77777777" w:rsidR="00415F39" w:rsidRDefault="00415F39" w:rsidP="00120072">
      <w:pPr>
        <w:pStyle w:val="BodyText"/>
      </w:pPr>
    </w:p>
    <w:p w14:paraId="7A3C7C35" w14:textId="77777777" w:rsidR="00415F39" w:rsidRDefault="00415F39" w:rsidP="00120072">
      <w:pPr>
        <w:pStyle w:val="BodyText"/>
        <w:sectPr w:rsidR="00415F39" w:rsidSect="008E7834">
          <w:headerReference w:type="even" r:id="rId18"/>
          <w:headerReference w:type="default" r:id="rId19"/>
          <w:footerReference w:type="even" r:id="rId20"/>
          <w:footerReference w:type="default" r:id="rId21"/>
          <w:type w:val="continuous"/>
          <w:pgSz w:w="11907" w:h="16840" w:code="9"/>
          <w:pgMar w:top="1985" w:right="1304" w:bottom="1247" w:left="1814" w:header="1701" w:footer="397" w:gutter="0"/>
          <w:pgNumType w:fmt="lowerRoman" w:start="3" w:chapSep="period"/>
          <w:cols w:space="720"/>
        </w:sectPr>
      </w:pPr>
    </w:p>
    <w:p w14:paraId="7D760518" w14:textId="77777777" w:rsidR="00F056FC" w:rsidRDefault="00EC0A05" w:rsidP="00EC0A05">
      <w:pPr>
        <w:pStyle w:val="Heading2nosectionno"/>
      </w:pPr>
      <w:r>
        <w:lastRenderedPageBreak/>
        <w:t>Contents</w:t>
      </w:r>
    </w:p>
    <w:sdt>
      <w:sdtPr>
        <w:rPr>
          <w:rFonts w:ascii="Times New Roman" w:hAnsi="Times New Roman"/>
          <w:b w:val="0"/>
          <w:kern w:val="28"/>
          <w:sz w:val="52"/>
          <w:szCs w:val="26"/>
          <w:lang w:eastAsia="en-US"/>
        </w:rPr>
        <w:id w:val="1789932615"/>
        <w:docPartObj>
          <w:docPartGallery w:val="Table of Contents"/>
          <w:docPartUnique/>
        </w:docPartObj>
      </w:sdtPr>
      <w:sdtEndPr>
        <w:rPr>
          <w:kern w:val="0"/>
          <w:sz w:val="24"/>
          <w:szCs w:val="20"/>
          <w:lang w:eastAsia="en-AU"/>
        </w:rPr>
      </w:sdtEndPr>
      <w:sdtContent>
        <w:p w14:paraId="32E08A23" w14:textId="72E0026B" w:rsidR="008E2E2D" w:rsidRDefault="008E2E2D">
          <w:pPr>
            <w:pStyle w:val="TOC2"/>
            <w:rPr>
              <w:rFonts w:asciiTheme="minorHAnsi" w:eastAsiaTheme="minorEastAsia" w:hAnsiTheme="minorHAnsi" w:cstheme="minorBidi"/>
              <w:b w:val="0"/>
              <w:noProof/>
              <w:sz w:val="22"/>
              <w:szCs w:val="22"/>
            </w:rPr>
          </w:pPr>
          <w:r>
            <w:rPr>
              <w:noProof/>
            </w:rPr>
            <w:t>1</w:t>
          </w:r>
          <w:r>
            <w:rPr>
              <w:rFonts w:asciiTheme="minorHAnsi" w:eastAsiaTheme="minorEastAsia" w:hAnsiTheme="minorHAnsi" w:cstheme="minorBidi"/>
              <w:b w:val="0"/>
              <w:noProof/>
              <w:sz w:val="22"/>
              <w:szCs w:val="22"/>
            </w:rPr>
            <w:tab/>
          </w:r>
          <w:r>
            <w:rPr>
              <w:noProof/>
            </w:rPr>
            <w:t>What is this study about?</w:t>
          </w:r>
          <w:r>
            <w:rPr>
              <w:noProof/>
            </w:rPr>
            <w:tab/>
          </w:r>
          <w:r w:rsidR="00083F7F">
            <w:rPr>
              <w:noProof/>
            </w:rPr>
            <w:t>1</w:t>
          </w:r>
        </w:p>
        <w:p w14:paraId="6B20305C" w14:textId="53530F0A" w:rsidR="008E2E2D" w:rsidRDefault="008E2E2D">
          <w:pPr>
            <w:pStyle w:val="TOC2"/>
            <w:rPr>
              <w:rFonts w:asciiTheme="minorHAnsi" w:eastAsiaTheme="minorEastAsia" w:hAnsiTheme="minorHAnsi" w:cstheme="minorBidi"/>
              <w:b w:val="0"/>
              <w:noProof/>
              <w:sz w:val="22"/>
              <w:szCs w:val="22"/>
            </w:rPr>
          </w:pPr>
          <w:r>
            <w:rPr>
              <w:noProof/>
            </w:rPr>
            <w:t>2</w:t>
          </w:r>
          <w:r>
            <w:rPr>
              <w:rFonts w:asciiTheme="minorHAnsi" w:eastAsiaTheme="minorEastAsia" w:hAnsiTheme="minorHAnsi" w:cstheme="minorBidi"/>
              <w:b w:val="0"/>
              <w:noProof/>
              <w:sz w:val="22"/>
              <w:szCs w:val="22"/>
            </w:rPr>
            <w:tab/>
          </w:r>
          <w:r>
            <w:rPr>
              <w:noProof/>
            </w:rPr>
            <w:t>How can you contribute to this study?</w:t>
          </w:r>
          <w:r>
            <w:rPr>
              <w:noProof/>
            </w:rPr>
            <w:tab/>
          </w:r>
          <w:r w:rsidR="00083F7F">
            <w:rPr>
              <w:noProof/>
            </w:rPr>
            <w:t>1</w:t>
          </w:r>
        </w:p>
        <w:p w14:paraId="4CEC3CD8" w14:textId="638D69B5" w:rsidR="008E2E2D" w:rsidRDefault="008E2E2D">
          <w:pPr>
            <w:pStyle w:val="TOC2"/>
            <w:rPr>
              <w:rFonts w:asciiTheme="minorHAnsi" w:eastAsiaTheme="minorEastAsia" w:hAnsiTheme="minorHAnsi" w:cstheme="minorBidi"/>
              <w:b w:val="0"/>
              <w:noProof/>
              <w:sz w:val="22"/>
              <w:szCs w:val="22"/>
            </w:rPr>
          </w:pPr>
          <w:r>
            <w:rPr>
              <w:noProof/>
            </w:rPr>
            <w:t>3</w:t>
          </w:r>
          <w:r>
            <w:rPr>
              <w:rFonts w:asciiTheme="minorHAnsi" w:eastAsiaTheme="minorEastAsia" w:hAnsiTheme="minorHAnsi" w:cstheme="minorBidi"/>
              <w:b w:val="0"/>
              <w:noProof/>
              <w:sz w:val="22"/>
              <w:szCs w:val="22"/>
            </w:rPr>
            <w:tab/>
          </w:r>
          <w:r>
            <w:rPr>
              <w:noProof/>
            </w:rPr>
            <w:t>The Commission’s approach to this study</w:t>
          </w:r>
          <w:r>
            <w:rPr>
              <w:noProof/>
            </w:rPr>
            <w:tab/>
          </w:r>
          <w:r w:rsidR="00083F7F">
            <w:rPr>
              <w:noProof/>
            </w:rPr>
            <w:t>2</w:t>
          </w:r>
        </w:p>
        <w:p w14:paraId="1DE71B3D" w14:textId="29105C1B" w:rsidR="008E2E2D" w:rsidRDefault="008E2E2D">
          <w:pPr>
            <w:pStyle w:val="TOC2"/>
            <w:rPr>
              <w:rFonts w:asciiTheme="minorHAnsi" w:eastAsiaTheme="minorEastAsia" w:hAnsiTheme="minorHAnsi" w:cstheme="minorBidi"/>
              <w:b w:val="0"/>
              <w:noProof/>
              <w:sz w:val="22"/>
              <w:szCs w:val="22"/>
            </w:rPr>
          </w:pPr>
          <w:r>
            <w:rPr>
              <w:noProof/>
            </w:rPr>
            <w:t>4</w:t>
          </w:r>
          <w:r>
            <w:rPr>
              <w:rFonts w:asciiTheme="minorHAnsi" w:eastAsiaTheme="minorEastAsia" w:hAnsiTheme="minorHAnsi" w:cstheme="minorBidi"/>
              <w:b w:val="0"/>
              <w:noProof/>
              <w:sz w:val="22"/>
              <w:szCs w:val="22"/>
            </w:rPr>
            <w:tab/>
          </w:r>
          <w:r>
            <w:rPr>
              <w:noProof/>
            </w:rPr>
            <w:t>Australia’s services exports</w:t>
          </w:r>
          <w:r>
            <w:rPr>
              <w:noProof/>
            </w:rPr>
            <w:tab/>
          </w:r>
          <w:r w:rsidR="00083F7F">
            <w:rPr>
              <w:noProof/>
            </w:rPr>
            <w:t>5</w:t>
          </w:r>
        </w:p>
        <w:p w14:paraId="460CB4CC" w14:textId="0C06F4BC" w:rsidR="008E2E2D" w:rsidRDefault="008E2E2D">
          <w:pPr>
            <w:pStyle w:val="TOC2"/>
            <w:rPr>
              <w:rFonts w:asciiTheme="minorHAnsi" w:eastAsiaTheme="minorEastAsia" w:hAnsiTheme="minorHAnsi" w:cstheme="minorBidi"/>
              <w:b w:val="0"/>
              <w:noProof/>
              <w:sz w:val="22"/>
              <w:szCs w:val="22"/>
            </w:rPr>
          </w:pPr>
          <w:r>
            <w:rPr>
              <w:noProof/>
            </w:rPr>
            <w:t>5</w:t>
          </w:r>
          <w:r>
            <w:rPr>
              <w:rFonts w:asciiTheme="minorHAnsi" w:eastAsiaTheme="minorEastAsia" w:hAnsiTheme="minorHAnsi" w:cstheme="minorBidi"/>
              <w:b w:val="0"/>
              <w:noProof/>
              <w:sz w:val="22"/>
              <w:szCs w:val="22"/>
            </w:rPr>
            <w:tab/>
          </w:r>
          <w:r>
            <w:rPr>
              <w:noProof/>
            </w:rPr>
            <w:t>Domestic barriers to services exports</w:t>
          </w:r>
          <w:r>
            <w:rPr>
              <w:noProof/>
            </w:rPr>
            <w:tab/>
          </w:r>
          <w:r w:rsidR="00083F7F">
            <w:rPr>
              <w:noProof/>
            </w:rPr>
            <w:t>9</w:t>
          </w:r>
        </w:p>
        <w:p w14:paraId="7080D471" w14:textId="1C879450" w:rsidR="008E2E2D" w:rsidRDefault="008E2E2D">
          <w:pPr>
            <w:pStyle w:val="TOC2"/>
            <w:rPr>
              <w:rFonts w:asciiTheme="minorHAnsi" w:eastAsiaTheme="minorEastAsia" w:hAnsiTheme="minorHAnsi" w:cstheme="minorBidi"/>
              <w:b w:val="0"/>
              <w:noProof/>
              <w:sz w:val="22"/>
              <w:szCs w:val="22"/>
            </w:rPr>
          </w:pPr>
          <w:r>
            <w:rPr>
              <w:noProof/>
            </w:rPr>
            <w:t>6</w:t>
          </w:r>
          <w:r>
            <w:rPr>
              <w:rFonts w:asciiTheme="minorHAnsi" w:eastAsiaTheme="minorEastAsia" w:hAnsiTheme="minorHAnsi" w:cstheme="minorBidi"/>
              <w:b w:val="0"/>
              <w:noProof/>
              <w:sz w:val="22"/>
              <w:szCs w:val="22"/>
            </w:rPr>
            <w:tab/>
          </w:r>
          <w:r>
            <w:rPr>
              <w:noProof/>
            </w:rPr>
            <w:t>Barriers in Australia’s key trading countries</w:t>
          </w:r>
          <w:r>
            <w:rPr>
              <w:noProof/>
            </w:rPr>
            <w:tab/>
          </w:r>
          <w:r w:rsidR="00083F7F">
            <w:rPr>
              <w:noProof/>
            </w:rPr>
            <w:t>13</w:t>
          </w:r>
        </w:p>
        <w:p w14:paraId="1962E731" w14:textId="592F14B5" w:rsidR="008E2E2D" w:rsidRDefault="008E2E2D">
          <w:pPr>
            <w:pStyle w:val="TOC2"/>
            <w:rPr>
              <w:rFonts w:asciiTheme="minorHAnsi" w:eastAsiaTheme="minorEastAsia" w:hAnsiTheme="minorHAnsi" w:cstheme="minorBidi"/>
              <w:b w:val="0"/>
              <w:noProof/>
              <w:sz w:val="22"/>
              <w:szCs w:val="22"/>
            </w:rPr>
          </w:pPr>
          <w:r>
            <w:rPr>
              <w:noProof/>
            </w:rPr>
            <w:t>Attachment A</w:t>
          </w:r>
          <w:r>
            <w:rPr>
              <w:noProof/>
            </w:rPr>
            <w:tab/>
          </w:r>
          <w:r w:rsidR="00083F7F">
            <w:rPr>
              <w:noProof/>
            </w:rPr>
            <w:t>18</w:t>
          </w:r>
        </w:p>
        <w:p w14:paraId="024C0B1C" w14:textId="2EC03BC3" w:rsidR="008E2E2D" w:rsidRDefault="008E2E2D">
          <w:pPr>
            <w:pStyle w:val="TOC2"/>
            <w:rPr>
              <w:rFonts w:asciiTheme="minorHAnsi" w:eastAsiaTheme="minorEastAsia" w:hAnsiTheme="minorHAnsi" w:cstheme="minorBidi"/>
              <w:b w:val="0"/>
              <w:noProof/>
              <w:sz w:val="22"/>
              <w:szCs w:val="22"/>
            </w:rPr>
          </w:pPr>
          <w:r>
            <w:rPr>
              <w:noProof/>
            </w:rPr>
            <w:t>References</w:t>
          </w:r>
          <w:r>
            <w:rPr>
              <w:noProof/>
            </w:rPr>
            <w:tab/>
          </w:r>
          <w:r w:rsidR="00083F7F">
            <w:rPr>
              <w:noProof/>
            </w:rPr>
            <w:t>20</w:t>
          </w:r>
        </w:p>
        <w:p w14:paraId="5A062676" w14:textId="7C2CD056" w:rsidR="00EC0A05" w:rsidRDefault="00A77463" w:rsidP="00120072">
          <w:pPr>
            <w:pStyle w:val="BodyText"/>
          </w:pPr>
        </w:p>
      </w:sdtContent>
    </w:sdt>
    <w:p w14:paraId="38FE65EB" w14:textId="77777777" w:rsidR="00391500" w:rsidRDefault="00391500" w:rsidP="00120072">
      <w:pPr>
        <w:pStyle w:val="BodyText"/>
        <w:sectPr w:rsidR="00391500" w:rsidSect="009F6FCD">
          <w:headerReference w:type="even" r:id="rId22"/>
          <w:headerReference w:type="default" r:id="rId23"/>
          <w:footerReference w:type="even" r:id="rId24"/>
          <w:footerReference w:type="default" r:id="rId25"/>
          <w:pgSz w:w="11907" w:h="16840" w:code="9"/>
          <w:pgMar w:top="1985" w:right="1304" w:bottom="1247" w:left="1814" w:header="1701" w:footer="397" w:gutter="0"/>
          <w:pgNumType w:fmt="lowerRoman" w:chapSep="period"/>
          <w:cols w:space="720"/>
        </w:sectPr>
      </w:pPr>
    </w:p>
    <w:p w14:paraId="1298B52D" w14:textId="77777777" w:rsidR="000D0B63" w:rsidRDefault="00000152" w:rsidP="000D0B63">
      <w:pPr>
        <w:pStyle w:val="Heading2"/>
      </w:pPr>
      <w:fldSimple w:instr=" SEQ Heading2 ">
        <w:bookmarkStart w:id="3" w:name="_Toc415487501"/>
        <w:bookmarkStart w:id="4" w:name="_Toc415493827"/>
        <w:bookmarkStart w:id="5" w:name="_Toc415494269"/>
        <w:bookmarkStart w:id="6" w:name="_Toc415664541"/>
        <w:r w:rsidR="002B546F">
          <w:rPr>
            <w:noProof/>
          </w:rPr>
          <w:t>1</w:t>
        </w:r>
      </w:fldSimple>
      <w:r w:rsidR="000D0B63">
        <w:tab/>
        <w:t>What is this study about?</w:t>
      </w:r>
      <w:bookmarkEnd w:id="3"/>
      <w:bookmarkEnd w:id="4"/>
      <w:bookmarkEnd w:id="5"/>
      <w:bookmarkEnd w:id="6"/>
    </w:p>
    <w:p w14:paraId="076B39CC" w14:textId="77777777" w:rsidR="000D0B63" w:rsidRDefault="000D0B63" w:rsidP="000D0B63">
      <w:pPr>
        <w:pStyle w:val="BodyText"/>
      </w:pPr>
      <w:r>
        <w:t>The Australian Government has asked the Productivity Commission to conduct a study into barriers to growth in Australian services exports. In particular, the Commission has been asked to:</w:t>
      </w:r>
    </w:p>
    <w:p w14:paraId="3794EE4C" w14:textId="77777777" w:rsidR="000D0B63" w:rsidRPr="008235DB" w:rsidRDefault="000D0B63" w:rsidP="000D0B63">
      <w:pPr>
        <w:pStyle w:val="ListBullet"/>
      </w:pPr>
      <w:r w:rsidRPr="008235DB">
        <w:t>consider recent trends in services exports by Australian suppliers</w:t>
      </w:r>
    </w:p>
    <w:p w14:paraId="6786B35F" w14:textId="77777777" w:rsidR="000A2606" w:rsidRDefault="000D0B63" w:rsidP="000D0B63">
      <w:pPr>
        <w:pStyle w:val="ListBullet"/>
      </w:pPr>
      <w:r w:rsidRPr="008235DB">
        <w:t xml:space="preserve">examine the </w:t>
      </w:r>
      <w:r w:rsidR="000A2606">
        <w:t>domestic</w:t>
      </w:r>
      <w:r w:rsidRPr="008235DB">
        <w:t xml:space="preserve"> barriers to growth in Australian services exports, including </w:t>
      </w:r>
      <w:r w:rsidR="000A2606">
        <w:t>any investment barriers,</w:t>
      </w:r>
      <w:r w:rsidRPr="008235DB">
        <w:t xml:space="preserve"> and </w:t>
      </w:r>
      <w:r w:rsidR="000A2606">
        <w:t>consider appropriate policy responses</w:t>
      </w:r>
    </w:p>
    <w:p w14:paraId="359C3494" w14:textId="77777777" w:rsidR="000D0B63" w:rsidRPr="008235DB" w:rsidRDefault="000A2606" w:rsidP="000D0B63">
      <w:pPr>
        <w:pStyle w:val="ListBullet"/>
      </w:pPr>
      <w:r>
        <w:t>examine</w:t>
      </w:r>
      <w:r w:rsidRPr="008235DB">
        <w:t xml:space="preserve"> </w:t>
      </w:r>
      <w:r w:rsidR="000D0B63" w:rsidRPr="008235DB">
        <w:t xml:space="preserve">barriers </w:t>
      </w:r>
      <w:r>
        <w:t>to growth in services exports</w:t>
      </w:r>
      <w:r w:rsidR="000D0B63" w:rsidRPr="008235DB">
        <w:t xml:space="preserve"> in key trading partners with which Australia does not have a free trade agreement</w:t>
      </w:r>
      <w:r w:rsidR="00370D39">
        <w:t xml:space="preserve"> and </w:t>
      </w:r>
      <w:r w:rsidR="000D0B63" w:rsidRPr="008235DB">
        <w:t>assess the economic benefits of reducing or removing barriers</w:t>
      </w:r>
      <w:r w:rsidR="006D0D92">
        <w:t xml:space="preserve"> to services exports</w:t>
      </w:r>
      <w:r w:rsidR="00370D39">
        <w:t xml:space="preserve"> in these markets</w:t>
      </w:r>
    </w:p>
    <w:p w14:paraId="4499EF47" w14:textId="77777777" w:rsidR="000D0B63" w:rsidRPr="008235DB" w:rsidRDefault="000D0B63" w:rsidP="000D0B63">
      <w:pPr>
        <w:pStyle w:val="ListBullet"/>
      </w:pPr>
      <w:proofErr w:type="gramStart"/>
      <w:r w:rsidRPr="008235DB">
        <w:t>examine</w:t>
      </w:r>
      <w:proofErr w:type="gramEnd"/>
      <w:r w:rsidRPr="008235DB">
        <w:t xml:space="preserve"> the experience of other economies in developing policy approaches in this area.</w:t>
      </w:r>
    </w:p>
    <w:p w14:paraId="607D44A4" w14:textId="77777777" w:rsidR="000D0B63" w:rsidRPr="008235DB" w:rsidRDefault="000D0B63" w:rsidP="000D0B63">
      <w:pPr>
        <w:pStyle w:val="BodyText"/>
      </w:pPr>
      <w:r w:rsidRPr="008235DB">
        <w:t xml:space="preserve">The </w:t>
      </w:r>
      <w:r w:rsidR="000A2606">
        <w:t>Commission has been asked to</w:t>
      </w:r>
      <w:r w:rsidRPr="008235DB">
        <w:t xml:space="preserve"> focus on the education, financial services, health services, information technology, professional services and tourism sectors</w:t>
      </w:r>
      <w:r>
        <w:t>.</w:t>
      </w:r>
    </w:p>
    <w:p w14:paraId="40BF3D37" w14:textId="77777777" w:rsidR="000D0B63" w:rsidRDefault="000D0B63" w:rsidP="000D0B63">
      <w:pPr>
        <w:pStyle w:val="BodyText"/>
      </w:pPr>
      <w:r>
        <w:t>The Commission released a research report into Australia’s international tourism industry</w:t>
      </w:r>
      <w:r w:rsidR="00D23687">
        <w:t xml:space="preserve"> in February 2015</w:t>
      </w:r>
      <w:r>
        <w:t xml:space="preserve">, and is currently undertaking research into Australia’s international education </w:t>
      </w:r>
      <w:r w:rsidR="008F54D2">
        <w:t>services</w:t>
      </w:r>
      <w:r>
        <w:t xml:space="preserve">. The Commission will not duplicate the </w:t>
      </w:r>
      <w:r w:rsidR="009123EA">
        <w:t xml:space="preserve">areas </w:t>
      </w:r>
      <w:r>
        <w:t>covered in th</w:t>
      </w:r>
      <w:r w:rsidR="000A2606">
        <w:t>ese</w:t>
      </w:r>
      <w:r>
        <w:t xml:space="preserve"> </w:t>
      </w:r>
      <w:r w:rsidR="008F54D2">
        <w:t xml:space="preserve">projects </w:t>
      </w:r>
      <w:r>
        <w:t xml:space="preserve">in this study. However, </w:t>
      </w:r>
      <w:r w:rsidR="00715126">
        <w:t xml:space="preserve">the Commission is seeking information on whether </w:t>
      </w:r>
      <w:r>
        <w:t xml:space="preserve">there are barriers to exports from these sectors that were not covered in </w:t>
      </w:r>
      <w:r w:rsidR="008F54D2">
        <w:t>the tourism and education services projects</w:t>
      </w:r>
      <w:r>
        <w:t>, or if further information</w:t>
      </w:r>
      <w:r w:rsidR="00715126">
        <w:t xml:space="preserve"> and evidence</w:t>
      </w:r>
      <w:r>
        <w:t xml:space="preserve"> on the issues covered is available.</w:t>
      </w:r>
    </w:p>
    <w:p w14:paraId="039C4791" w14:textId="74E47CE8" w:rsidR="000D0B63" w:rsidRDefault="000D0B63" w:rsidP="000D0B63">
      <w:pPr>
        <w:pStyle w:val="BodyText"/>
      </w:pPr>
      <w:r>
        <w:t>The Commission is also undertaking inquir</w:t>
      </w:r>
      <w:r w:rsidR="00370D39">
        <w:t>ies</w:t>
      </w:r>
      <w:r>
        <w:t xml:space="preserve"> into Australia’s workplace relations system</w:t>
      </w:r>
      <w:r w:rsidR="00370D39">
        <w:t xml:space="preserve"> and migrant intake into Australia</w:t>
      </w:r>
      <w:r>
        <w:t>.</w:t>
      </w:r>
      <w:r w:rsidR="00370D39">
        <w:t xml:space="preserve"> The Commission is mindful that these inquiries touch on aspects of barriers to services exports, such as </w:t>
      </w:r>
      <w:r w:rsidR="00464B55">
        <w:t>the ability of businesses and the labour market to respond to changing economic conditions, and issues relating to temporary migration to Australia</w:t>
      </w:r>
      <w:r w:rsidR="00370D39">
        <w:t>.</w:t>
      </w:r>
      <w:r w:rsidR="00657F05">
        <w:t xml:space="preserve"> </w:t>
      </w:r>
      <w:r w:rsidR="009A6DC7">
        <w:t xml:space="preserve">The Commission will </w:t>
      </w:r>
      <w:r w:rsidR="00EF102A">
        <w:t>address</w:t>
      </w:r>
      <w:r w:rsidR="009A6DC7">
        <w:t xml:space="preserve"> any overlaps between these inquiries and this study as </w:t>
      </w:r>
      <w:r w:rsidR="001C3DD0">
        <w:t>the research and consultation process</w:t>
      </w:r>
      <w:r w:rsidR="009A6DC7">
        <w:t xml:space="preserve"> progress</w:t>
      </w:r>
      <w:r w:rsidR="001C3DD0">
        <w:t>es</w:t>
      </w:r>
      <w:r w:rsidR="00343EFA">
        <w:t>. Where</w:t>
      </w:r>
      <w:r w:rsidR="009A6DC7">
        <w:t xml:space="preserve"> issues </w:t>
      </w:r>
      <w:r w:rsidR="00343EFA">
        <w:t>are raised</w:t>
      </w:r>
      <w:r w:rsidR="009A6DC7">
        <w:t xml:space="preserve"> that are </w:t>
      </w:r>
      <w:r w:rsidR="001C3DD0">
        <w:t>specific to</w:t>
      </w:r>
      <w:r w:rsidR="009A6DC7">
        <w:t xml:space="preserve"> services exports</w:t>
      </w:r>
      <w:r w:rsidR="00343EFA">
        <w:t xml:space="preserve"> </w:t>
      </w:r>
      <w:r w:rsidR="00C84409">
        <w:t>they</w:t>
      </w:r>
      <w:r w:rsidR="00343EFA">
        <w:t xml:space="preserve"> will be considered in this study.</w:t>
      </w:r>
      <w:r w:rsidR="009A6DC7">
        <w:t xml:space="preserve"> </w:t>
      </w:r>
    </w:p>
    <w:p w14:paraId="1D723E53" w14:textId="77777777" w:rsidR="000D0B63" w:rsidRDefault="00000152" w:rsidP="000D0B63">
      <w:pPr>
        <w:pStyle w:val="Heading2"/>
      </w:pPr>
      <w:fldSimple w:instr=" SEQ Heading2 ">
        <w:bookmarkStart w:id="7" w:name="_Toc415487502"/>
        <w:bookmarkStart w:id="8" w:name="_Toc415493828"/>
        <w:bookmarkStart w:id="9" w:name="_Toc415494270"/>
        <w:bookmarkStart w:id="10" w:name="_Toc415664542"/>
        <w:r w:rsidR="002B546F">
          <w:rPr>
            <w:noProof/>
          </w:rPr>
          <w:t>2</w:t>
        </w:r>
      </w:fldSimple>
      <w:r w:rsidR="000D0B63">
        <w:tab/>
        <w:t>How can you contribute to this study?</w:t>
      </w:r>
      <w:bookmarkEnd w:id="7"/>
      <w:bookmarkEnd w:id="8"/>
      <w:bookmarkEnd w:id="9"/>
      <w:bookmarkEnd w:id="10"/>
    </w:p>
    <w:p w14:paraId="42CDB5EB" w14:textId="67F36D8C" w:rsidR="000D0B63" w:rsidRDefault="000D0B63" w:rsidP="000D0B63">
      <w:pPr>
        <w:pStyle w:val="BodyText"/>
      </w:pPr>
      <w:r>
        <w:t xml:space="preserve">The Commission is </w:t>
      </w:r>
      <w:r w:rsidRPr="00F878D0">
        <w:rPr>
          <w:b/>
        </w:rPr>
        <w:t>seeking submissions</w:t>
      </w:r>
      <w:r>
        <w:t xml:space="preserve"> from a range of participants including, but not limited to, </w:t>
      </w:r>
      <w:r w:rsidR="00920DA5">
        <w:t xml:space="preserve">services </w:t>
      </w:r>
      <w:r>
        <w:t>industry bodies, government departments, regulators, exporters of services and aspiring services exporters</w:t>
      </w:r>
      <w:r w:rsidR="00040E37">
        <w:t>, including those</w:t>
      </w:r>
      <w:r>
        <w:t xml:space="preserve"> that have encountered barriers</w:t>
      </w:r>
      <w:r w:rsidR="00920DA5">
        <w:t xml:space="preserve"> to exporting services</w:t>
      </w:r>
      <w:r>
        <w:t xml:space="preserve">. </w:t>
      </w:r>
      <w:r w:rsidR="009A6DC7">
        <w:t>T</w:t>
      </w:r>
      <w:r>
        <w:t xml:space="preserve">he Commission’s draft report </w:t>
      </w:r>
      <w:r w:rsidR="000312B7">
        <w:t>will</w:t>
      </w:r>
      <w:r>
        <w:t xml:space="preserve"> be released in </w:t>
      </w:r>
      <w:r w:rsidR="00A529B3">
        <w:t xml:space="preserve">early </w:t>
      </w:r>
      <w:r>
        <w:t>August 2015</w:t>
      </w:r>
      <w:r w:rsidR="009A6DC7">
        <w:t>.</w:t>
      </w:r>
      <w:r>
        <w:t xml:space="preserve"> </w:t>
      </w:r>
      <w:r w:rsidR="009A6DC7">
        <w:t>T</w:t>
      </w:r>
      <w:r>
        <w:t xml:space="preserve">he Commission requests that initial submissions be provided by </w:t>
      </w:r>
      <w:r w:rsidRPr="00A140F9">
        <w:rPr>
          <w:b/>
        </w:rPr>
        <w:t xml:space="preserve">Friday </w:t>
      </w:r>
      <w:r w:rsidR="00657F05">
        <w:rPr>
          <w:b/>
        </w:rPr>
        <w:t>15</w:t>
      </w:r>
      <w:r w:rsidRPr="00A140F9">
        <w:rPr>
          <w:b/>
        </w:rPr>
        <w:t xml:space="preserve"> May 2015</w:t>
      </w:r>
      <w:r>
        <w:t xml:space="preserve">. A </w:t>
      </w:r>
      <w:r>
        <w:lastRenderedPageBreak/>
        <w:t>further round of submissions will be requested after the draft report, which will inform the final report (to be released in December 2015).</w:t>
      </w:r>
    </w:p>
    <w:p w14:paraId="72192D57" w14:textId="17F7D13B" w:rsidR="0009503C" w:rsidRDefault="007C4281" w:rsidP="0009503C">
      <w:pPr>
        <w:pStyle w:val="BodyText"/>
      </w:pPr>
      <w:r>
        <w:rPr>
          <w:b/>
        </w:rPr>
        <w:t>T</w:t>
      </w:r>
      <w:r w:rsidR="0009503C" w:rsidRPr="00F878D0">
        <w:rPr>
          <w:b/>
        </w:rPr>
        <w:t>he Commission</w:t>
      </w:r>
      <w:r w:rsidR="00902292" w:rsidRPr="00902292">
        <w:rPr>
          <w:b/>
        </w:rPr>
        <w:t xml:space="preserve"> will </w:t>
      </w:r>
      <w:r>
        <w:rPr>
          <w:b/>
        </w:rPr>
        <w:t xml:space="preserve">also </w:t>
      </w:r>
      <w:r w:rsidR="00902292" w:rsidRPr="00902292">
        <w:rPr>
          <w:b/>
        </w:rPr>
        <w:t>be</w:t>
      </w:r>
      <w:r w:rsidR="00902292">
        <w:rPr>
          <w:b/>
        </w:rPr>
        <w:t xml:space="preserve"> </w:t>
      </w:r>
      <w:r w:rsidR="0009503C" w:rsidRPr="00F878D0">
        <w:rPr>
          <w:b/>
        </w:rPr>
        <w:t>actively seeking to consult with businesses with experience relevant to penetrating services export markets.</w:t>
      </w:r>
      <w:r w:rsidR="0009503C">
        <w:t xml:space="preserve"> The Commission</w:t>
      </w:r>
      <w:r w:rsidR="0009503C" w:rsidRPr="00EE1059">
        <w:t xml:space="preserve"> is intending to </w:t>
      </w:r>
      <w:r w:rsidR="0009503C">
        <w:t xml:space="preserve">send a questionnaire to </w:t>
      </w:r>
      <w:r w:rsidR="0009503C" w:rsidRPr="00EE1059">
        <w:t xml:space="preserve">businesses that are currently exporting, or have attempted to export, services. The </w:t>
      </w:r>
      <w:r w:rsidR="0009503C">
        <w:t>questionnaire</w:t>
      </w:r>
      <w:r w:rsidR="0009503C" w:rsidRPr="00EE1059">
        <w:t xml:space="preserve"> will </w:t>
      </w:r>
      <w:r w:rsidR="0009503C">
        <w:t>focus on the</w:t>
      </w:r>
      <w:r w:rsidR="0009503C" w:rsidRPr="00EE1059">
        <w:t xml:space="preserve"> barriers </w:t>
      </w:r>
      <w:r w:rsidR="0009503C">
        <w:t xml:space="preserve">to exporting </w:t>
      </w:r>
      <w:r w:rsidR="0009503C" w:rsidRPr="00EE1059">
        <w:t>faced by these businesses, including the potential costs and benefits from removing or reducing the barrier</w:t>
      </w:r>
      <w:r w:rsidR="0009503C">
        <w:t>, what should be done to address the barrier and who should be responsible for addressing the barrier</w:t>
      </w:r>
      <w:r w:rsidR="0009503C" w:rsidRPr="00EE1059">
        <w:t xml:space="preserve">. </w:t>
      </w:r>
    </w:p>
    <w:p w14:paraId="7AE083B0" w14:textId="76979C0A" w:rsidR="0009503C" w:rsidRPr="00EE1059" w:rsidRDefault="0009503C" w:rsidP="0009503C">
      <w:pPr>
        <w:pStyle w:val="BodyText"/>
      </w:pPr>
      <w:r>
        <w:t xml:space="preserve">The Commission is seeking indications of interest from services businesses in each of the sectors being considered in this study that are prepared to fill in a questionnaire and participate in a face-to-face discussion. The Commission will send the questionnaire to participants in late April/early May. </w:t>
      </w:r>
      <w:r w:rsidRPr="00EE1059">
        <w:t xml:space="preserve">Participants can </w:t>
      </w:r>
      <w:r>
        <w:t>express</w:t>
      </w:r>
      <w:r w:rsidRPr="00EE1059">
        <w:t xml:space="preserve"> their interest in participating in </w:t>
      </w:r>
      <w:r>
        <w:t>this process</w:t>
      </w:r>
      <w:r w:rsidRPr="00EE1059">
        <w:t xml:space="preserve"> by</w:t>
      </w:r>
      <w:r>
        <w:t xml:space="preserve"> registering at </w:t>
      </w:r>
      <w:r w:rsidRPr="0014249B">
        <w:rPr>
          <w:u w:val="single"/>
        </w:rPr>
        <w:t>http://www.pc.gov.au/inquiries/current/services-exports/register</w:t>
      </w:r>
      <w:r>
        <w:t xml:space="preserve">, or by emailing the Commission at </w:t>
      </w:r>
      <w:hyperlink r:id="rId26" w:history="1">
        <w:r w:rsidRPr="007F2944">
          <w:rPr>
            <w:rStyle w:val="Hyperlink"/>
            <w:color w:val="auto"/>
          </w:rPr>
          <w:t>services.exports@pc.gov.au</w:t>
        </w:r>
      </w:hyperlink>
      <w:r>
        <w:t>. The Commission will conduct face-to-face discussions with selected services businesses nominated through this process between May and June 2015. The number of such discussions will be necessarily limited by the time available for this study.</w:t>
      </w:r>
    </w:p>
    <w:p w14:paraId="68C8C1F3" w14:textId="580F2634" w:rsidR="00FD1F4C" w:rsidRDefault="000D0B63" w:rsidP="000D0B63">
      <w:pPr>
        <w:pStyle w:val="BodyText"/>
      </w:pPr>
      <w:r>
        <w:t xml:space="preserve">This issues paper is intended to assist participants in the preparation of initial submissions. The Commission has identified broad categories of potential barriers, and outlined issues raised in previous </w:t>
      </w:r>
      <w:r w:rsidR="000A2606">
        <w:t>reports into services exports</w:t>
      </w:r>
      <w:r w:rsidR="000312B7">
        <w:t xml:space="preserve"> as a guide only</w:t>
      </w:r>
      <w:r>
        <w:t xml:space="preserve">. </w:t>
      </w:r>
      <w:r w:rsidR="003F61D2">
        <w:t>These are</w:t>
      </w:r>
      <w:r>
        <w:t xml:space="preserve"> not intended to be exhaustive list</w:t>
      </w:r>
      <w:r w:rsidR="003F61D2">
        <w:t>s</w:t>
      </w:r>
      <w:r>
        <w:t xml:space="preserve"> of the issues and barrie</w:t>
      </w:r>
      <w:r w:rsidR="003349BB">
        <w:t>rs in the services export industry</w:t>
      </w:r>
      <w:r>
        <w:t xml:space="preserve">. </w:t>
      </w:r>
    </w:p>
    <w:p w14:paraId="78C56F59" w14:textId="55411440" w:rsidR="000D0B63" w:rsidRDefault="000D0B63" w:rsidP="000D0B63">
      <w:pPr>
        <w:pStyle w:val="BodyText"/>
      </w:pPr>
      <w:r>
        <w:t>Participants do not need to address every information request in this paper, nor do they need to limit submissions to areas raised in this paper</w:t>
      </w:r>
      <w:r w:rsidR="000A2606">
        <w:t xml:space="preserve"> — although participants should ensure that issues</w:t>
      </w:r>
      <w:r w:rsidR="001236B0">
        <w:t xml:space="preserve"> raised are relevant to the terms of reference</w:t>
      </w:r>
      <w:r>
        <w:t xml:space="preserve">. Participants should provide evidence to support their views, including data </w:t>
      </w:r>
      <w:r w:rsidR="003F61D2">
        <w:t xml:space="preserve">and specific examples </w:t>
      </w:r>
      <w:r>
        <w:t>where possible.</w:t>
      </w:r>
      <w:r w:rsidR="009E2E30">
        <w:t xml:space="preserve"> </w:t>
      </w:r>
      <w:r w:rsidR="00C57C24">
        <w:t>All</w:t>
      </w:r>
      <w:r w:rsidR="009E2E30">
        <w:t xml:space="preserve"> submissions should be provided as public documents. </w:t>
      </w:r>
      <w:r w:rsidR="00423952">
        <w:t>T</w:t>
      </w:r>
      <w:r w:rsidR="009E2E30">
        <w:t xml:space="preserve">he Commission encourages participants wishing to submit confidential material to contact the Commission before </w:t>
      </w:r>
      <w:r w:rsidR="00423952">
        <w:t xml:space="preserve">submitting such material. </w:t>
      </w:r>
      <w:r w:rsidR="0043164A">
        <w:t>Attachment</w:t>
      </w:r>
      <w:r>
        <w:t xml:space="preserve"> A provides further details on how to make a submission.</w:t>
      </w:r>
    </w:p>
    <w:p w14:paraId="45258AA8" w14:textId="77777777" w:rsidR="000D0B63" w:rsidRDefault="00000152" w:rsidP="000D0B63">
      <w:pPr>
        <w:pStyle w:val="Heading2"/>
      </w:pPr>
      <w:fldSimple w:instr=" SEQ Heading2 ">
        <w:bookmarkStart w:id="11" w:name="_Toc415487503"/>
        <w:bookmarkStart w:id="12" w:name="_Toc415493829"/>
        <w:bookmarkStart w:id="13" w:name="_Toc415494271"/>
        <w:bookmarkStart w:id="14" w:name="_Toc415664543"/>
        <w:r w:rsidR="002B546F">
          <w:rPr>
            <w:noProof/>
          </w:rPr>
          <w:t>3</w:t>
        </w:r>
      </w:fldSimple>
      <w:r w:rsidR="000D0B63">
        <w:tab/>
        <w:t>The Commission’s approach</w:t>
      </w:r>
      <w:r w:rsidR="00B66B90">
        <w:t xml:space="preserve"> to this study</w:t>
      </w:r>
      <w:bookmarkEnd w:id="11"/>
      <w:bookmarkEnd w:id="12"/>
      <w:bookmarkEnd w:id="13"/>
      <w:bookmarkEnd w:id="14"/>
    </w:p>
    <w:p w14:paraId="4C4517B6" w14:textId="77777777" w:rsidR="000D0B63" w:rsidRDefault="000D0B63" w:rsidP="00D91F9F">
      <w:pPr>
        <w:pStyle w:val="Heading3"/>
      </w:pPr>
      <w:r>
        <w:t>What are barriers to services exports?</w:t>
      </w:r>
    </w:p>
    <w:p w14:paraId="29CD406D" w14:textId="77777777" w:rsidR="007B3F0C" w:rsidRDefault="007B3F0C" w:rsidP="007B3F0C">
      <w:pPr>
        <w:pStyle w:val="BodyText"/>
      </w:pPr>
      <w:r>
        <w:t xml:space="preserve">Many factors affect the ability of businesses to export services. These factors include exchange rates, costs of production (such as labour and transport), access to finance, government regulation (both in Australia and overseas), and the policy approach taken by </w:t>
      </w:r>
      <w:r>
        <w:lastRenderedPageBreak/>
        <w:t xml:space="preserve">other governments to Australian companies operating overseas, for example in relation to foreign direct investment. </w:t>
      </w:r>
    </w:p>
    <w:p w14:paraId="11AB824D" w14:textId="43A6B942" w:rsidR="000D0B63" w:rsidRDefault="000D0B63" w:rsidP="000D0B63">
      <w:pPr>
        <w:pStyle w:val="BodyText"/>
      </w:pPr>
      <w:r>
        <w:t>The focus of this study will be on identif</w:t>
      </w:r>
      <w:r w:rsidR="007B3F0C">
        <w:t>ying policy-relevant barriers that directly affect</w:t>
      </w:r>
      <w:r>
        <w:t xml:space="preserve"> the export of services — those barriers that can be addressed by </w:t>
      </w:r>
      <w:r w:rsidR="00177F3C">
        <w:t xml:space="preserve">Australian </w:t>
      </w:r>
      <w:r>
        <w:t>governments</w:t>
      </w:r>
      <w:r w:rsidR="00CB0F91">
        <w:t xml:space="preserve"> either through domestic policies or regulations, or</w:t>
      </w:r>
      <w:r w:rsidR="00A34CD4">
        <w:t xml:space="preserve"> through international agreements to reduce or </w:t>
      </w:r>
      <w:r w:rsidR="00426828">
        <w:t>re</w:t>
      </w:r>
      <w:r w:rsidR="00A34CD4">
        <w:t>move barriers in other countries</w:t>
      </w:r>
      <w:r>
        <w:t xml:space="preserve">. A barrier includes anything that </w:t>
      </w:r>
      <w:r w:rsidRPr="00E84EE9">
        <w:rPr>
          <w:i/>
        </w:rPr>
        <w:t>unnecessarily</w:t>
      </w:r>
      <w:r>
        <w:t xml:space="preserve"> impedes the ability of businesses to export services, either by increasing their costs, or </w:t>
      </w:r>
      <w:r w:rsidR="00517449">
        <w:t xml:space="preserve">preventing </w:t>
      </w:r>
      <w:r>
        <w:t xml:space="preserve">the service export from taking place. </w:t>
      </w:r>
      <w:r w:rsidR="00651732">
        <w:t>Barriers can arise either where existing regulations or policies are inadequate, or where there is a clear policy rationale for regulation that is not currently in place</w:t>
      </w:r>
      <w:r w:rsidR="00427FA8">
        <w:t xml:space="preserve">. </w:t>
      </w:r>
      <w:r>
        <w:t xml:space="preserve">Barriers can be either domestic barriers (that can be addressed by changes in government regulation or policy </w:t>
      </w:r>
      <w:r w:rsidR="007442D2">
        <w:t>with</w:t>
      </w:r>
      <w:r>
        <w:t>in Australia) or international barriers (that can only be addressed by</w:t>
      </w:r>
      <w:r w:rsidR="000E003E">
        <w:t xml:space="preserve"> overseas governments making</w:t>
      </w:r>
      <w:r>
        <w:t xml:space="preserve"> changes </w:t>
      </w:r>
      <w:r w:rsidR="000E003E">
        <w:t>to their</w:t>
      </w:r>
      <w:r>
        <w:t xml:space="preserve"> regulation</w:t>
      </w:r>
      <w:r w:rsidR="00517449">
        <w:t>s</w:t>
      </w:r>
      <w:r>
        <w:t xml:space="preserve"> or </w:t>
      </w:r>
      <w:r w:rsidR="00517449">
        <w:t>policies</w:t>
      </w:r>
      <w:r>
        <w:t>).</w:t>
      </w:r>
    </w:p>
    <w:p w14:paraId="7BB28E00" w14:textId="6E1DE1A8" w:rsidR="00280236" w:rsidRDefault="001236B0" w:rsidP="000D0B63">
      <w:pPr>
        <w:pStyle w:val="BodyText"/>
      </w:pPr>
      <w:r>
        <w:t xml:space="preserve">When developing their submissions, participants should take care to differentiate between general costs of doing business — </w:t>
      </w:r>
      <w:r w:rsidR="00426828">
        <w:t xml:space="preserve">which </w:t>
      </w:r>
      <w:r>
        <w:t>are the responsibility of businesses to manage as part of day-to-day commercial operations — and policy-relevant barriers that c</w:t>
      </w:r>
      <w:r w:rsidR="00203C43">
        <w:t xml:space="preserve">an be addressed by governments. </w:t>
      </w:r>
      <w:r w:rsidR="000D0B63">
        <w:t xml:space="preserve">While there may be a range of barriers across the services </w:t>
      </w:r>
      <w:proofErr w:type="gramStart"/>
      <w:r w:rsidR="00375491">
        <w:t>industry</w:t>
      </w:r>
      <w:r w:rsidR="000D0B63">
        <w:t xml:space="preserve"> that influence</w:t>
      </w:r>
      <w:proofErr w:type="gramEnd"/>
      <w:r w:rsidR="000D0B63">
        <w:t xml:space="preserve"> the ability of </w:t>
      </w:r>
      <w:r w:rsidR="00375491">
        <w:t>businesses to</w:t>
      </w:r>
      <w:r w:rsidR="000D0B63">
        <w:t xml:space="preserve"> provide services </w:t>
      </w:r>
      <w:r w:rsidR="00563F46">
        <w:t xml:space="preserve">to </w:t>
      </w:r>
      <w:r w:rsidR="000D0B63">
        <w:t>the domestic market, these are not within the scope of this study.</w:t>
      </w:r>
      <w:r w:rsidR="00960658">
        <w:t xml:space="preserve"> </w:t>
      </w:r>
      <w:r w:rsidR="000B4F3F">
        <w:t xml:space="preserve">There </w:t>
      </w:r>
      <w:r w:rsidR="000D0B63">
        <w:t>are four modes in which a business can export services</w:t>
      </w:r>
      <w:r w:rsidR="00375491">
        <w:t>. T</w:t>
      </w:r>
      <w:r w:rsidR="000B4F3F">
        <w:t xml:space="preserve">he Commission is seeking to identify barriers across all of these modes </w:t>
      </w:r>
      <w:r w:rsidR="00CC2A18">
        <w:t>(figure </w:t>
      </w:r>
      <w:r w:rsidR="00A42E86">
        <w:t>1</w:t>
      </w:r>
      <w:r w:rsidR="000D0B63">
        <w:t>).</w:t>
      </w:r>
    </w:p>
    <w:p w14:paraId="09462DDB" w14:textId="77777777" w:rsidR="00E17B00" w:rsidRDefault="00E17B00" w:rsidP="00D91F9F">
      <w:pPr>
        <w:pStyle w:val="Heading3"/>
      </w:pPr>
      <w:r>
        <w:t>Examining the costs and benefits of reform</w:t>
      </w:r>
    </w:p>
    <w:p w14:paraId="6459E946" w14:textId="38CA89C4" w:rsidR="00E17B00" w:rsidRDefault="00E17B00" w:rsidP="00E17B00">
      <w:pPr>
        <w:pStyle w:val="BodyText"/>
      </w:pPr>
      <w:r>
        <w:t xml:space="preserve">In examining the costs and benefits of removing barriers to services exports, the Commission’s Act requires it to have regard to enhancing the wellbeing of the community as </w:t>
      </w:r>
      <w:r w:rsidR="006446EE">
        <w:t xml:space="preserve">a </w:t>
      </w:r>
      <w:r>
        <w:t xml:space="preserve">whole. While removing a barrier to services exports may increase the volume of exports, the relevant consideration is whether the benefits of removing the barrier (in terms of increased services exports) outweigh the costs from a community wide perspective. These costs include any flow on costs to other sectors of the Australian economy. </w:t>
      </w:r>
    </w:p>
    <w:p w14:paraId="0BFE8187" w14:textId="45D07F31" w:rsidR="000D0B63" w:rsidRDefault="000D0B63" w:rsidP="000D0B63">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0D0B63" w14:paraId="668195BF" w14:textId="77777777" w:rsidTr="007D27F7">
        <w:tc>
          <w:tcPr>
            <w:tcW w:w="8771" w:type="dxa"/>
            <w:tcBorders>
              <w:top w:val="single" w:sz="6" w:space="0" w:color="78A22F"/>
              <w:left w:val="nil"/>
              <w:bottom w:val="nil"/>
              <w:right w:val="nil"/>
            </w:tcBorders>
            <w:shd w:val="clear" w:color="auto" w:fill="auto"/>
          </w:tcPr>
          <w:p w14:paraId="3DBBBE55" w14:textId="77777777" w:rsidR="000D0B63" w:rsidRPr="00176D3F" w:rsidRDefault="000D0B63" w:rsidP="003F4BE0">
            <w:pPr>
              <w:pStyle w:val="FigureTitle"/>
            </w:pPr>
            <w:r w:rsidRPr="00784A05">
              <w:rPr>
                <w:b w:val="0"/>
              </w:rPr>
              <w:t xml:space="preserve">Figure </w:t>
            </w:r>
            <w:r w:rsidR="00F82BE0" w:rsidRPr="00784A05">
              <w:rPr>
                <w:b w:val="0"/>
              </w:rPr>
              <w:fldChar w:fldCharType="begin"/>
            </w:r>
            <w:r w:rsidRPr="00784A05">
              <w:rPr>
                <w:b w:val="0"/>
              </w:rPr>
              <w:instrText xml:space="preserve"> SEQ Figure \* ARABIC </w:instrText>
            </w:r>
            <w:r w:rsidR="00F82BE0" w:rsidRPr="00784A05">
              <w:rPr>
                <w:b w:val="0"/>
              </w:rPr>
              <w:fldChar w:fldCharType="separate"/>
            </w:r>
            <w:r w:rsidR="002B546F">
              <w:rPr>
                <w:b w:val="0"/>
                <w:noProof/>
              </w:rPr>
              <w:t>1</w:t>
            </w:r>
            <w:r w:rsidR="00F82BE0" w:rsidRPr="00784A05">
              <w:rPr>
                <w:b w:val="0"/>
              </w:rPr>
              <w:fldChar w:fldCharType="end"/>
            </w:r>
            <w:r>
              <w:tab/>
              <w:t>Modes of services export</w:t>
            </w:r>
          </w:p>
        </w:tc>
      </w:tr>
      <w:tr w:rsidR="000D0B63" w14:paraId="40C50BAD" w14:textId="77777777" w:rsidTr="007D27F7">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0D0B63" w14:paraId="77FFF982" w14:textId="77777777" w:rsidTr="007D27F7">
              <w:trPr>
                <w:jc w:val="center"/>
              </w:trPr>
              <w:tc>
                <w:tcPr>
                  <w:tcW w:w="5000" w:type="pct"/>
                  <w:tcBorders>
                    <w:top w:val="nil"/>
                    <w:bottom w:val="nil"/>
                  </w:tcBorders>
                </w:tcPr>
                <w:p w14:paraId="145ABC8C" w14:textId="52FC580F" w:rsidR="000D0B63" w:rsidRDefault="006D08C0" w:rsidP="007D27F7">
                  <w:pPr>
                    <w:pStyle w:val="Figure"/>
                    <w:spacing w:before="60" w:after="60"/>
                  </w:pPr>
                  <w:r w:rsidRPr="006D08C0">
                    <w:t xml:space="preserve"> </w:t>
                  </w:r>
                  <w:r w:rsidR="004C1915">
                    <w:rPr>
                      <w:noProof/>
                    </w:rPr>
                    <w:drawing>
                      <wp:inline distT="0" distB="0" distL="0" distR="0" wp14:anchorId="338BC965" wp14:editId="4D072E5B">
                        <wp:extent cx="5398770" cy="6627495"/>
                        <wp:effectExtent l="0" t="0" r="0" b="1905"/>
                        <wp:docPr id="4" name="Picture 4" descr="Mode 1: Cross border supply&#10;Example: legal advice provided over the internet&#10;&#10;Mode 2: Consumption in Australia&#10;Example: accommodation provided to an international tourist&#10;&#10;Mode 3: Commercial presence in country of export &#10;Example: a bank establishes an overseas branch&#10;&#10;Mode 4: Presence of natural persons in country of export&#10;Example: an independent engineer oversees a construction project in the country of export&#10;" title="Modes of services ex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398770" cy="6627495"/>
                                </a:xfrm>
                                <a:prstGeom prst="rect">
                                  <a:avLst/>
                                </a:prstGeom>
                                <a:noFill/>
                                <a:ln>
                                  <a:noFill/>
                                </a:ln>
                              </pic:spPr>
                            </pic:pic>
                          </a:graphicData>
                        </a:graphic>
                      </wp:inline>
                    </w:drawing>
                  </w:r>
                </w:p>
              </w:tc>
            </w:tr>
          </w:tbl>
          <w:p w14:paraId="3213E856" w14:textId="77777777" w:rsidR="000D0B63" w:rsidRDefault="000D0B63" w:rsidP="007D27F7">
            <w:pPr>
              <w:pStyle w:val="Figure"/>
            </w:pPr>
          </w:p>
        </w:tc>
      </w:tr>
      <w:tr w:rsidR="000D0B63" w14:paraId="412571BE" w14:textId="77777777" w:rsidTr="007D27F7">
        <w:tc>
          <w:tcPr>
            <w:tcW w:w="8771" w:type="dxa"/>
            <w:tcBorders>
              <w:top w:val="nil"/>
              <w:left w:val="nil"/>
              <w:bottom w:val="single" w:sz="6" w:space="0" w:color="78A22F"/>
              <w:right w:val="nil"/>
            </w:tcBorders>
            <w:shd w:val="clear" w:color="auto" w:fill="auto"/>
          </w:tcPr>
          <w:p w14:paraId="625DBCEB" w14:textId="77777777" w:rsidR="000D0B63" w:rsidRDefault="000D0B63" w:rsidP="007D27F7">
            <w:pPr>
              <w:pStyle w:val="Figurespace"/>
            </w:pPr>
          </w:p>
        </w:tc>
      </w:tr>
      <w:tr w:rsidR="000D0B63" w:rsidRPr="000863A5" w14:paraId="32A2F051" w14:textId="77777777" w:rsidTr="007D27F7">
        <w:tc>
          <w:tcPr>
            <w:tcW w:w="8771" w:type="dxa"/>
            <w:tcBorders>
              <w:top w:val="single" w:sz="6" w:space="0" w:color="78A22F"/>
              <w:left w:val="nil"/>
              <w:bottom w:val="nil"/>
              <w:right w:val="nil"/>
            </w:tcBorders>
          </w:tcPr>
          <w:p w14:paraId="54894EDA" w14:textId="6AAC41FB" w:rsidR="000D0B63" w:rsidRPr="00626D32" w:rsidRDefault="000D0B63" w:rsidP="007D27F7">
            <w:pPr>
              <w:pStyle w:val="BoxSpaceBelow"/>
            </w:pPr>
          </w:p>
        </w:tc>
      </w:tr>
    </w:tbl>
    <w:p w14:paraId="2B8E845D" w14:textId="77777777" w:rsidR="00391500" w:rsidRDefault="00000152" w:rsidP="000D0B63">
      <w:pPr>
        <w:pStyle w:val="Heading2"/>
      </w:pPr>
      <w:fldSimple w:instr=" SEQ Heading2 ">
        <w:bookmarkStart w:id="15" w:name="_Toc415487504"/>
        <w:bookmarkStart w:id="16" w:name="_Toc415493830"/>
        <w:bookmarkStart w:id="17" w:name="_Toc415494272"/>
        <w:bookmarkStart w:id="18" w:name="_Toc415664544"/>
        <w:r w:rsidR="002B546F">
          <w:rPr>
            <w:noProof/>
          </w:rPr>
          <w:t>4</w:t>
        </w:r>
      </w:fldSimple>
      <w:r w:rsidR="000D0B63">
        <w:tab/>
        <w:t>Australia’s services exports</w:t>
      </w:r>
      <w:bookmarkEnd w:id="15"/>
      <w:bookmarkEnd w:id="16"/>
      <w:bookmarkEnd w:id="17"/>
      <w:bookmarkEnd w:id="18"/>
    </w:p>
    <w:p w14:paraId="24FB62D8" w14:textId="39DDCEB4" w:rsidR="00BC6094" w:rsidRDefault="00A821D9" w:rsidP="0046637F">
      <w:pPr>
        <w:pStyle w:val="BodyText"/>
      </w:pPr>
      <w:r>
        <w:t>T</w:t>
      </w:r>
      <w:r w:rsidR="00F62F98">
        <w:t xml:space="preserve">he value of </w:t>
      </w:r>
      <w:r w:rsidR="0046637F">
        <w:t>Australia</w:t>
      </w:r>
      <w:r w:rsidR="00FA7036">
        <w:t>’s</w:t>
      </w:r>
      <w:r w:rsidR="0046637F">
        <w:t xml:space="preserve"> services exports w</w:t>
      </w:r>
      <w:r w:rsidR="00F62F98">
        <w:t>as a</w:t>
      </w:r>
      <w:r w:rsidR="003F565D">
        <w:t>bout</w:t>
      </w:r>
      <w:r w:rsidR="0046637F">
        <w:t xml:space="preserve"> $57 billion in 2013-14</w:t>
      </w:r>
      <w:r w:rsidR="00332AF2">
        <w:t xml:space="preserve">, </w:t>
      </w:r>
      <w:r w:rsidR="00FA7036">
        <w:t xml:space="preserve">which represents </w:t>
      </w:r>
      <w:r w:rsidR="00D25CBD">
        <w:t>17 per cent of total exports</w:t>
      </w:r>
      <w:r w:rsidR="00BB6C97" w:rsidRPr="00BB6C97">
        <w:t xml:space="preserve"> </w:t>
      </w:r>
      <w:r w:rsidR="00332AF2">
        <w:t xml:space="preserve">(in gross value terms, </w:t>
      </w:r>
      <w:r w:rsidR="00BB6C97">
        <w:t>as measured in Australia’s balance of payments</w:t>
      </w:r>
      <w:r w:rsidR="00951A50">
        <w:t>)</w:t>
      </w:r>
      <w:r w:rsidR="00BB6C97" w:rsidRPr="0060692F">
        <w:rPr>
          <w:rStyle w:val="FootnoteReference"/>
        </w:rPr>
        <w:footnoteReference w:id="2"/>
      </w:r>
      <w:r w:rsidR="0046637F">
        <w:t xml:space="preserve"> </w:t>
      </w:r>
      <w:r w:rsidR="00FC10B4" w:rsidRPr="00FC10B4">
        <w:rPr>
          <w:szCs w:val="24"/>
        </w:rPr>
        <w:t>(ABS 2015a)</w:t>
      </w:r>
      <w:r w:rsidR="0046637F">
        <w:t>.</w:t>
      </w:r>
      <w:r w:rsidR="00177F3C" w:rsidRPr="00177F3C">
        <w:t xml:space="preserve"> </w:t>
      </w:r>
      <w:r w:rsidR="00177F3C">
        <w:t>The value of Australian services exports was almost nine times larger (in real terms) in 2013</w:t>
      </w:r>
      <w:r w:rsidR="00177F3C">
        <w:noBreakHyphen/>
        <w:t>14 than in 1973</w:t>
      </w:r>
      <w:r w:rsidR="00177F3C">
        <w:noBreakHyphen/>
        <w:t xml:space="preserve">74 (figure 2). </w:t>
      </w:r>
    </w:p>
    <w:p w14:paraId="1578ACD8" w14:textId="1C2ED4CD" w:rsidR="0028434A" w:rsidRDefault="00887195" w:rsidP="0046637F">
      <w:pPr>
        <w:pStyle w:val="BodyText"/>
      </w:pPr>
      <w:r>
        <w:t>Australia</w:t>
      </w:r>
      <w:r w:rsidR="00FA7036">
        <w:t>’s</w:t>
      </w:r>
      <w:r>
        <w:t xml:space="preserve"> services exports account for a greater proportion of total exports</w:t>
      </w:r>
      <w:r w:rsidR="00C252FC">
        <w:t xml:space="preserve"> </w:t>
      </w:r>
      <w:r w:rsidR="000D4ED8">
        <w:t>when determined</w:t>
      </w:r>
      <w:r w:rsidR="00C252FC">
        <w:t xml:space="preserve"> in value</w:t>
      </w:r>
      <w:r w:rsidR="00C252FC">
        <w:noBreakHyphen/>
        <w:t>added terms</w:t>
      </w:r>
      <w:r>
        <w:t>, which reflect</w:t>
      </w:r>
      <w:r w:rsidR="00C252FC">
        <w:t>s</w:t>
      </w:r>
      <w:r>
        <w:t xml:space="preserve"> the use of services inputs to produce goods exports, such as engineering services used to produce mineral exports. In 2009 (the most recent estimate available), the services sector accounted for more than 35 per cent of exports in value</w:t>
      </w:r>
      <w:r w:rsidR="00E91813">
        <w:noBreakHyphen/>
      </w:r>
      <w:r>
        <w:t>added terms, compared to about 20 per cent in gross value terms</w:t>
      </w:r>
      <w:r w:rsidRPr="00887195">
        <w:t xml:space="preserve"> </w:t>
      </w:r>
      <w:r w:rsidR="00413EC4" w:rsidRPr="00413EC4">
        <w:rPr>
          <w:szCs w:val="24"/>
        </w:rPr>
        <w:t>(ABS 2015a; WTO 2014)</w:t>
      </w:r>
      <w:r w:rsidR="00C252FC">
        <w:t xml:space="preserve">. </w:t>
      </w:r>
    </w:p>
    <w:p w14:paraId="24814FE1" w14:textId="56FF26FF" w:rsidR="008543B0" w:rsidRDefault="00206197" w:rsidP="007D6656">
      <w:pPr>
        <w:pStyle w:val="BodyText"/>
      </w:pPr>
      <w:r>
        <w:t xml:space="preserve">In general, </w:t>
      </w:r>
      <w:r w:rsidR="007D6656">
        <w:t xml:space="preserve">services exports provided through commercial presence (mode 3) are </w:t>
      </w:r>
      <w:r>
        <w:t>not included</w:t>
      </w:r>
      <w:r w:rsidR="00D22583">
        <w:t xml:space="preserve"> </w:t>
      </w:r>
      <w:r w:rsidR="007D6656">
        <w:t>in the balance of payments</w:t>
      </w:r>
      <w:r w:rsidR="00A27DC5">
        <w:t>.</w:t>
      </w:r>
      <w:r w:rsidR="007D6656">
        <w:t xml:space="preserve"> There is limited recent data on exports through commercial presence. A one-off study by the ABS found that the value of Australian services exports through this mode </w:t>
      </w:r>
      <w:r w:rsidR="004D6D64">
        <w:t>accounted for almost two thirds of the total value of Australian services exports in 2002-03 (</w:t>
      </w:r>
      <w:r w:rsidR="007D6656">
        <w:t>$6</w:t>
      </w:r>
      <w:r w:rsidR="00027086">
        <w:t>0</w:t>
      </w:r>
      <w:r w:rsidR="007D6656">
        <w:t xml:space="preserve"> billion</w:t>
      </w:r>
      <w:r w:rsidR="004D6D64">
        <w:t xml:space="preserve"> out of $95 billion)</w:t>
      </w:r>
      <w:r w:rsidR="00E349B1" w:rsidRPr="00E349B1">
        <w:t xml:space="preserve"> </w:t>
      </w:r>
      <w:r w:rsidR="00E349B1" w:rsidRPr="00E349B1">
        <w:rPr>
          <w:szCs w:val="24"/>
        </w:rPr>
        <w:t>(ABS 2004, 2015a)</w:t>
      </w:r>
      <w:r w:rsidR="00E349B1">
        <w:t>.</w:t>
      </w:r>
      <w:r w:rsidR="004D6D64">
        <w:t xml:space="preserve"> </w:t>
      </w:r>
      <w:r w:rsidR="008543B0">
        <w:t xml:space="preserve">In </w:t>
      </w:r>
      <w:r w:rsidR="0009561A">
        <w:t>the same study</w:t>
      </w:r>
      <w:r w:rsidR="008543B0">
        <w:t>, the financial services sector accounted</w:t>
      </w:r>
      <w:r w:rsidR="00180524">
        <w:t xml:space="preserve"> for the largest proportion of </w:t>
      </w:r>
      <w:r w:rsidR="00CB4C1A">
        <w:t xml:space="preserve">the total value of </w:t>
      </w:r>
      <w:r w:rsidR="008543B0">
        <w:t>services exports through commercial presence (about 40 per </w:t>
      </w:r>
      <w:r w:rsidR="00CB4C1A">
        <w:t>cent</w:t>
      </w:r>
      <w:r w:rsidR="008543B0">
        <w:t>)</w:t>
      </w:r>
      <w:r w:rsidR="00F20CD6">
        <w:t xml:space="preserve"> </w:t>
      </w:r>
      <w:r w:rsidR="00397534" w:rsidRPr="00397534">
        <w:rPr>
          <w:szCs w:val="24"/>
        </w:rPr>
        <w:t>(ABS 2004)</w:t>
      </w:r>
      <w:r w:rsidR="008543B0">
        <w:t>.</w:t>
      </w:r>
    </w:p>
    <w:p w14:paraId="7263E7FD" w14:textId="77777777" w:rsidR="00E20E68" w:rsidRDefault="00E20E68" w:rsidP="00E20E68">
      <w:pPr>
        <w:pStyle w:val="Heading3"/>
      </w:pPr>
      <w:r>
        <w:t>Key services export sectors</w:t>
      </w:r>
    </w:p>
    <w:p w14:paraId="7DC7C24D" w14:textId="66F90965" w:rsidR="00E20E68" w:rsidRDefault="00E20E68" w:rsidP="00E20E68">
      <w:pPr>
        <w:pStyle w:val="BodyText"/>
      </w:pPr>
      <w:r>
        <w:t xml:space="preserve">The terms of reference for this study request that the Commission focus on </w:t>
      </w:r>
      <w:r w:rsidR="00603E2C">
        <w:t>six services export sectors:</w:t>
      </w:r>
      <w:r>
        <w:t xml:space="preserve"> </w:t>
      </w:r>
    </w:p>
    <w:p w14:paraId="73760BAA" w14:textId="77777777" w:rsidR="00A447E1" w:rsidRPr="00A447E1" w:rsidRDefault="00E20E68" w:rsidP="00A447E1">
      <w:pPr>
        <w:pStyle w:val="ListBullet"/>
        <w:spacing w:line="320" w:lineRule="atLeast"/>
      </w:pPr>
      <w:proofErr w:type="gramStart"/>
      <w:r w:rsidRPr="00722191">
        <w:rPr>
          <w:i/>
        </w:rPr>
        <w:t>tourism</w:t>
      </w:r>
      <w:proofErr w:type="gramEnd"/>
      <w:r>
        <w:t xml:space="preserve"> — which consists of services and personal goods,</w:t>
      </w:r>
      <w:r w:rsidRPr="00A2627B">
        <w:t xml:space="preserve"> </w:t>
      </w:r>
      <w:r>
        <w:t>such as transportation and food, consumed by short</w:t>
      </w:r>
      <w:r>
        <w:noBreakHyphen/>
        <w:t>term visitors to foreign countries. There is some overlap between tourism exports and exports from other services sectors. For example, expenditure in Australia by</w:t>
      </w:r>
      <w:r w:rsidR="00841C65">
        <w:t xml:space="preserve"> international</w:t>
      </w:r>
      <w:r>
        <w:t xml:space="preserve"> students may be considered a tourism export and an education export (as in figure 3)</w:t>
      </w:r>
      <w:r w:rsidR="00A447E1" w:rsidRPr="00A447E1">
        <w:rPr>
          <w:i/>
        </w:rPr>
        <w:t xml:space="preserve"> </w:t>
      </w:r>
    </w:p>
    <w:p w14:paraId="12AA772A" w14:textId="3D473537" w:rsidR="00A447E1" w:rsidRDefault="00A447E1" w:rsidP="00A447E1">
      <w:pPr>
        <w:pStyle w:val="ListBullet"/>
        <w:spacing w:line="320" w:lineRule="atLeast"/>
      </w:pPr>
      <w:proofErr w:type="gramStart"/>
      <w:r w:rsidRPr="00722191">
        <w:rPr>
          <w:i/>
        </w:rPr>
        <w:t>education</w:t>
      </w:r>
      <w:proofErr w:type="gramEnd"/>
      <w:r w:rsidRPr="00722191">
        <w:rPr>
          <w:i/>
        </w:rPr>
        <w:t xml:space="preserve"> </w:t>
      </w:r>
      <w:r>
        <w:t xml:space="preserve">— which includes services provided by universities, vocational educational and training (VET) providers, schools, and other educational institutions. Education exports are provided to international students in Australia, or to students in other countries via international branch campuses or </w:t>
      </w:r>
      <w:r w:rsidR="00F20CD6">
        <w:t>online</w:t>
      </w:r>
      <w:r w:rsidR="000B2F1C">
        <w:t xml:space="preserve"> </w:t>
      </w:r>
      <w:r>
        <w:t>courses</w:t>
      </w:r>
    </w:p>
    <w:p w14:paraId="30AA4A38" w14:textId="77777777" w:rsidR="00A447E1" w:rsidRDefault="00A447E1" w:rsidP="00A447E1">
      <w:pPr>
        <w:pStyle w:val="ListBullet"/>
        <w:spacing w:line="320" w:lineRule="atLeast"/>
      </w:pPr>
      <w:r w:rsidRPr="00722191">
        <w:rPr>
          <w:i/>
        </w:rPr>
        <w:lastRenderedPageBreak/>
        <w:t>professional services</w:t>
      </w:r>
      <w:r>
        <w:t xml:space="preserve"> — services provided by engineers, architects, accountants, lawyers, management consultants, advertisers, market researchers and other professionals</w:t>
      </w:r>
    </w:p>
    <w:p w14:paraId="0FEE1685" w14:textId="415C4182" w:rsidR="00A447E1" w:rsidRDefault="00A447E1" w:rsidP="00A447E1">
      <w:pPr>
        <w:pStyle w:val="ListBullet"/>
        <w:spacing w:line="320" w:lineRule="atLeast"/>
      </w:pPr>
      <w:r w:rsidRPr="00722191">
        <w:rPr>
          <w:i/>
        </w:rPr>
        <w:t>financial services</w:t>
      </w:r>
      <w:r>
        <w:t xml:space="preserve"> — which relate to financial intermediation, such as providing loans, insurance services, investment management, superannuation and pension services, stock brokerage, and investment banking services. </w:t>
      </w:r>
    </w:p>
    <w:p w14:paraId="3BE2AD6E" w14:textId="77777777" w:rsidR="00A447E1" w:rsidRDefault="00A447E1" w:rsidP="00A447E1">
      <w:pPr>
        <w:pStyle w:val="ListBullet"/>
        <w:spacing w:line="320" w:lineRule="atLeast"/>
      </w:pPr>
      <w:r w:rsidRPr="00722191">
        <w:rPr>
          <w:i/>
        </w:rPr>
        <w:t>information technology</w:t>
      </w:r>
      <w:r>
        <w:t xml:space="preserve"> — which includes services such as hardware and software consultancy, software licensing, data processing, database services, maintenance and repair of computers, and news services</w:t>
      </w:r>
    </w:p>
    <w:p w14:paraId="022428E2" w14:textId="64B0FE11" w:rsidR="00A447E1" w:rsidRDefault="00A447E1" w:rsidP="00A447E1">
      <w:pPr>
        <w:pStyle w:val="ListBullet"/>
        <w:spacing w:line="320" w:lineRule="atLeast"/>
      </w:pPr>
      <w:proofErr w:type="gramStart"/>
      <w:r w:rsidRPr="00722191">
        <w:rPr>
          <w:i/>
        </w:rPr>
        <w:t>health</w:t>
      </w:r>
      <w:proofErr w:type="gramEnd"/>
      <w:r w:rsidRPr="00722191">
        <w:rPr>
          <w:i/>
        </w:rPr>
        <w:t xml:space="preserve"> services</w:t>
      </w:r>
      <w:r>
        <w:t xml:space="preserve"> — which relate to the diagnosis, treatment and prevention of disease, illness and injury. </w:t>
      </w:r>
    </w:p>
    <w:p w14:paraId="74680F20" w14:textId="378DEB0A" w:rsidR="00F3343E" w:rsidRDefault="00932FB1" w:rsidP="00F3343E">
      <w:pPr>
        <w:pStyle w:val="BodyText"/>
      </w:pPr>
      <w:r>
        <w:t>In addition to</w:t>
      </w:r>
      <w:r w:rsidR="00F3343E">
        <w:t xml:space="preserve"> the above, the Commission is seeking information from </w:t>
      </w:r>
      <w:r w:rsidR="00FF61A9">
        <w:t>exporters in other</w:t>
      </w:r>
      <w:r w:rsidR="00F3343E">
        <w:t xml:space="preserve"> services sectors</w:t>
      </w:r>
      <w:r w:rsidR="00FF61A9">
        <w:t xml:space="preserve">. </w:t>
      </w:r>
      <w:r w:rsidR="00E819B8">
        <w:t xml:space="preserve">For example, mining services appears to be an area where expertise and capacity to export services is readily available. </w:t>
      </w:r>
    </w:p>
    <w:p w14:paraId="40412A5D" w14:textId="6D6C2973" w:rsidR="0028434A" w:rsidRDefault="0028434A" w:rsidP="0028434A">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28434A" w14:paraId="5EA30135" w14:textId="77777777" w:rsidTr="0028434A">
        <w:tc>
          <w:tcPr>
            <w:tcW w:w="8771" w:type="dxa"/>
            <w:tcBorders>
              <w:top w:val="single" w:sz="6" w:space="0" w:color="78A22F"/>
              <w:left w:val="nil"/>
              <w:bottom w:val="nil"/>
              <w:right w:val="nil"/>
            </w:tcBorders>
            <w:shd w:val="clear" w:color="auto" w:fill="auto"/>
          </w:tcPr>
          <w:p w14:paraId="1F02F779" w14:textId="77777777" w:rsidR="0028434A" w:rsidRDefault="0028434A" w:rsidP="0028434A">
            <w:pPr>
              <w:pStyle w:val="FigureTitle"/>
            </w:pPr>
            <w:r w:rsidRPr="00784A05">
              <w:rPr>
                <w:b w:val="0"/>
              </w:rPr>
              <w:t xml:space="preserve">Figure </w:t>
            </w:r>
            <w:r w:rsidR="00F82BE0" w:rsidRPr="00784A05">
              <w:rPr>
                <w:b w:val="0"/>
              </w:rPr>
              <w:fldChar w:fldCharType="begin"/>
            </w:r>
            <w:r w:rsidRPr="00784A05">
              <w:rPr>
                <w:b w:val="0"/>
              </w:rPr>
              <w:instrText xml:space="preserve"> COMMENTS  \* MERGEFORMAT </w:instrText>
            </w:r>
            <w:r w:rsidR="00F82BE0" w:rsidRPr="00784A05">
              <w:rPr>
                <w:b w:val="0"/>
              </w:rPr>
              <w:fldChar w:fldCharType="end"/>
            </w:r>
            <w:r w:rsidR="00F82BE0" w:rsidRPr="00784A05">
              <w:rPr>
                <w:b w:val="0"/>
              </w:rPr>
              <w:fldChar w:fldCharType="begin"/>
            </w:r>
            <w:r w:rsidRPr="00784A05">
              <w:rPr>
                <w:b w:val="0"/>
              </w:rPr>
              <w:instrText xml:space="preserve"> SEQ Figure \* ARABIC </w:instrText>
            </w:r>
            <w:r w:rsidR="00F82BE0" w:rsidRPr="00784A05">
              <w:rPr>
                <w:b w:val="0"/>
              </w:rPr>
              <w:fldChar w:fldCharType="separate"/>
            </w:r>
            <w:r w:rsidR="002B546F">
              <w:rPr>
                <w:b w:val="0"/>
                <w:noProof/>
              </w:rPr>
              <w:t>2</w:t>
            </w:r>
            <w:r w:rsidR="00F82BE0" w:rsidRPr="00784A05">
              <w:rPr>
                <w:b w:val="0"/>
              </w:rPr>
              <w:fldChar w:fldCharType="end"/>
            </w:r>
            <w:r>
              <w:tab/>
              <w:t>Australian services exports, 1973-74 to 2013-14</w:t>
            </w:r>
          </w:p>
          <w:p w14:paraId="4FDCA496" w14:textId="28A09456" w:rsidR="0028434A" w:rsidRPr="00176D3F" w:rsidRDefault="0028434A" w:rsidP="0028434A">
            <w:pPr>
              <w:pStyle w:val="Subtitle"/>
            </w:pPr>
            <w:r>
              <w:t>Chain volume measure</w:t>
            </w:r>
            <w:r w:rsidR="00775A2D">
              <w:rPr>
                <w:rStyle w:val="NoteLabel"/>
              </w:rPr>
              <w:t>a</w:t>
            </w:r>
            <w:r>
              <w:t>, 2012</w:t>
            </w:r>
            <w:r>
              <w:noBreakHyphen/>
              <w:t>13 prices</w:t>
            </w:r>
          </w:p>
        </w:tc>
      </w:tr>
      <w:tr w:rsidR="0028434A" w14:paraId="34857D9A" w14:textId="77777777" w:rsidTr="0028434A">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28434A" w14:paraId="6D000C4F" w14:textId="77777777" w:rsidTr="0028434A">
              <w:trPr>
                <w:jc w:val="center"/>
              </w:trPr>
              <w:tc>
                <w:tcPr>
                  <w:tcW w:w="5000" w:type="pct"/>
                  <w:tcBorders>
                    <w:top w:val="nil"/>
                    <w:bottom w:val="nil"/>
                  </w:tcBorders>
                </w:tcPr>
                <w:p w14:paraId="2E722B9E" w14:textId="77777777" w:rsidR="0028434A" w:rsidRDefault="00DD6A24" w:rsidP="0028434A">
                  <w:pPr>
                    <w:pStyle w:val="Figure"/>
                    <w:spacing w:before="60" w:after="60"/>
                  </w:pPr>
                  <w:r>
                    <w:rPr>
                      <w:noProof/>
                    </w:rPr>
                    <w:drawing>
                      <wp:inline distT="0" distB="0" distL="0" distR="0" wp14:anchorId="7334A707" wp14:editId="4FEE0E4A">
                        <wp:extent cx="5205249" cy="2772461"/>
                        <wp:effectExtent l="0" t="0" r="0" b="8890"/>
                        <wp:docPr id="1" name="Picture 1" descr="exports increase gradually over the four decade period, with no growht since 2007." title="Australian services exports, 1973-74 to 2013-14, chain volume mea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212179" cy="2776152"/>
                                </a:xfrm>
                                <a:prstGeom prst="rect">
                                  <a:avLst/>
                                </a:prstGeom>
                                <a:noFill/>
                                <a:ln>
                                  <a:noFill/>
                                </a:ln>
                              </pic:spPr>
                            </pic:pic>
                          </a:graphicData>
                        </a:graphic>
                      </wp:inline>
                    </w:drawing>
                  </w:r>
                </w:p>
              </w:tc>
            </w:tr>
          </w:tbl>
          <w:p w14:paraId="35E53094" w14:textId="77777777" w:rsidR="0028434A" w:rsidRDefault="0028434A" w:rsidP="0028434A">
            <w:pPr>
              <w:pStyle w:val="Figure"/>
            </w:pPr>
          </w:p>
        </w:tc>
      </w:tr>
      <w:tr w:rsidR="00775A2D" w:rsidRPr="00176D3F" w14:paraId="124CECD1" w14:textId="77777777" w:rsidTr="0028434A">
        <w:tc>
          <w:tcPr>
            <w:tcW w:w="8771" w:type="dxa"/>
            <w:tcBorders>
              <w:top w:val="nil"/>
              <w:left w:val="nil"/>
              <w:bottom w:val="nil"/>
              <w:right w:val="nil"/>
            </w:tcBorders>
            <w:shd w:val="clear" w:color="auto" w:fill="auto"/>
          </w:tcPr>
          <w:p w14:paraId="7E6C0D73" w14:textId="59396BF7" w:rsidR="00775A2D" w:rsidRPr="000D0575" w:rsidRDefault="00775A2D" w:rsidP="000D0575">
            <w:pPr>
              <w:autoSpaceDE w:val="0"/>
              <w:autoSpaceDN w:val="0"/>
              <w:adjustRightInd w:val="0"/>
              <w:rPr>
                <w:rFonts w:ascii="GaramondITCbyBT-LightItalic" w:hAnsi="GaramondITCbyBT-LightItalic" w:cs="GaramondITCbyBT-LightItalic"/>
                <w:iCs/>
                <w:szCs w:val="18"/>
              </w:rPr>
            </w:pPr>
            <w:proofErr w:type="gramStart"/>
            <w:r>
              <w:rPr>
                <w:rStyle w:val="NoteLabel"/>
              </w:rPr>
              <w:t>a</w:t>
            </w:r>
            <w:proofErr w:type="gramEnd"/>
            <w:r>
              <w:t xml:space="preserve"> </w:t>
            </w:r>
            <w:r w:rsidR="007932BF" w:rsidRPr="007932BF">
              <w:rPr>
                <w:rFonts w:ascii="GaramondITCbyBT-LightItalic" w:hAnsi="GaramondITCbyBT-LightItalic" w:cs="GaramondITCbyBT-LightItalic"/>
                <w:iCs/>
                <w:sz w:val="18"/>
                <w:szCs w:val="18"/>
              </w:rPr>
              <w:t xml:space="preserve">Chain volume measures only vary with changes in the quantities of commodities produced or sold. </w:t>
            </w:r>
            <w:r w:rsidR="007932BF">
              <w:rPr>
                <w:rFonts w:ascii="GaramondITCbyBT-LightItalic" w:hAnsi="GaramondITCbyBT-LightItalic" w:cs="GaramondITCbyBT-LightItalic"/>
                <w:iCs/>
                <w:sz w:val="18"/>
                <w:szCs w:val="18"/>
              </w:rPr>
              <w:t>They value quantities by using prices in a base period which is updated annually. These annually reweighted volume change measures are then chained together to produce a time series.</w:t>
            </w:r>
          </w:p>
        </w:tc>
      </w:tr>
      <w:tr w:rsidR="0028434A" w:rsidRPr="00176D3F" w14:paraId="5592FBD3" w14:textId="77777777" w:rsidTr="0028434A">
        <w:tc>
          <w:tcPr>
            <w:tcW w:w="8771" w:type="dxa"/>
            <w:tcBorders>
              <w:top w:val="nil"/>
              <w:left w:val="nil"/>
              <w:bottom w:val="nil"/>
              <w:right w:val="nil"/>
            </w:tcBorders>
            <w:shd w:val="clear" w:color="auto" w:fill="auto"/>
          </w:tcPr>
          <w:p w14:paraId="00303CA3" w14:textId="43513D42" w:rsidR="0028434A" w:rsidRPr="00176D3F" w:rsidRDefault="007932BF" w:rsidP="007932BF">
            <w:pPr>
              <w:pStyle w:val="Source"/>
            </w:pPr>
            <w:r>
              <w:rPr>
                <w:i/>
              </w:rPr>
              <w:t>S</w:t>
            </w:r>
            <w:r w:rsidR="0028434A" w:rsidRPr="00784A05">
              <w:rPr>
                <w:i/>
              </w:rPr>
              <w:t>ource</w:t>
            </w:r>
            <w:r w:rsidR="0028434A" w:rsidRPr="00176D3F">
              <w:t xml:space="preserve">: </w:t>
            </w:r>
            <w:r w:rsidR="0028434A">
              <w:t xml:space="preserve">ABS </w:t>
            </w:r>
            <w:r w:rsidR="003B078E" w:rsidRPr="003B078E">
              <w:rPr>
                <w:rFonts w:cs="Arial"/>
              </w:rPr>
              <w:t>(2015a)</w:t>
            </w:r>
            <w:r w:rsidR="00414D7F">
              <w:t>.</w:t>
            </w:r>
          </w:p>
        </w:tc>
      </w:tr>
      <w:tr w:rsidR="0028434A" w14:paraId="0F8DAD26" w14:textId="77777777" w:rsidTr="0028434A">
        <w:tc>
          <w:tcPr>
            <w:tcW w:w="8771" w:type="dxa"/>
            <w:tcBorders>
              <w:top w:val="nil"/>
              <w:left w:val="nil"/>
              <w:bottom w:val="single" w:sz="6" w:space="0" w:color="78A22F"/>
              <w:right w:val="nil"/>
            </w:tcBorders>
            <w:shd w:val="clear" w:color="auto" w:fill="auto"/>
          </w:tcPr>
          <w:p w14:paraId="02D3B9DB" w14:textId="77777777" w:rsidR="0028434A" w:rsidRDefault="0028434A" w:rsidP="0028434A">
            <w:pPr>
              <w:pStyle w:val="Figurespace"/>
            </w:pPr>
          </w:p>
        </w:tc>
      </w:tr>
      <w:tr w:rsidR="0028434A" w:rsidRPr="000863A5" w14:paraId="10DC34C1" w14:textId="77777777" w:rsidTr="0028434A">
        <w:tc>
          <w:tcPr>
            <w:tcW w:w="8771" w:type="dxa"/>
            <w:tcBorders>
              <w:top w:val="single" w:sz="6" w:space="0" w:color="78A22F"/>
              <w:left w:val="nil"/>
              <w:bottom w:val="nil"/>
              <w:right w:val="nil"/>
            </w:tcBorders>
          </w:tcPr>
          <w:p w14:paraId="49385330" w14:textId="697F16DD" w:rsidR="0028434A" w:rsidRPr="00626D32" w:rsidRDefault="0028434A" w:rsidP="0028434A">
            <w:pPr>
              <w:pStyle w:val="BoxSpaceBelow"/>
            </w:pPr>
          </w:p>
        </w:tc>
      </w:tr>
    </w:tbl>
    <w:p w14:paraId="6AE07B32" w14:textId="524C271B" w:rsidR="00231433" w:rsidRDefault="00603E2C" w:rsidP="00656CC1">
      <w:pPr>
        <w:pStyle w:val="BodyText"/>
      </w:pPr>
      <w:r>
        <w:t>Figure 3 shows Australian exports (as measured in the balance of payments) in each of the sectors covered by this study in 2013</w:t>
      </w:r>
      <w:r>
        <w:noBreakHyphen/>
        <w:t xml:space="preserve">14 (except health services, which is too small to </w:t>
      </w:r>
      <w:r>
        <w:lastRenderedPageBreak/>
        <w:t>show in the figure). Combined, these sectors accounted for almost 85 per cent of the value of Australian services exports in 2013</w:t>
      </w:r>
      <w:r>
        <w:noBreakHyphen/>
        <w:t xml:space="preserve">14 </w:t>
      </w:r>
      <w:r w:rsidR="00DE4F34" w:rsidRPr="00DE4F34">
        <w:rPr>
          <w:szCs w:val="24"/>
        </w:rPr>
        <w:t>(ABS 2015a)</w:t>
      </w:r>
      <w:r>
        <w:t>.</w:t>
      </w:r>
    </w:p>
    <w:p w14:paraId="40E31803" w14:textId="6121E9B5" w:rsidR="0046637F" w:rsidRDefault="0046637F" w:rsidP="0046637F">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46637F" w14:paraId="1320186F" w14:textId="77777777" w:rsidTr="00AA622E">
        <w:tc>
          <w:tcPr>
            <w:tcW w:w="8771" w:type="dxa"/>
            <w:tcBorders>
              <w:top w:val="single" w:sz="6" w:space="0" w:color="78A22F"/>
              <w:left w:val="nil"/>
              <w:bottom w:val="nil"/>
              <w:right w:val="nil"/>
            </w:tcBorders>
            <w:shd w:val="clear" w:color="auto" w:fill="auto"/>
          </w:tcPr>
          <w:p w14:paraId="631D05D4" w14:textId="77777777" w:rsidR="0046637F" w:rsidRDefault="0046637F" w:rsidP="00AA622E">
            <w:pPr>
              <w:pStyle w:val="FigureTitle"/>
            </w:pPr>
            <w:r w:rsidRPr="00784A05">
              <w:rPr>
                <w:b w:val="0"/>
              </w:rPr>
              <w:t xml:space="preserve">Figure </w:t>
            </w:r>
            <w:r w:rsidR="00F82BE0" w:rsidRPr="00784A05">
              <w:rPr>
                <w:b w:val="0"/>
              </w:rPr>
              <w:fldChar w:fldCharType="begin"/>
            </w:r>
            <w:r w:rsidRPr="00784A05">
              <w:rPr>
                <w:b w:val="0"/>
              </w:rPr>
              <w:instrText xml:space="preserve"> SEQ Figure \* ARABIC </w:instrText>
            </w:r>
            <w:r w:rsidR="00F82BE0" w:rsidRPr="00784A05">
              <w:rPr>
                <w:b w:val="0"/>
              </w:rPr>
              <w:fldChar w:fldCharType="separate"/>
            </w:r>
            <w:r w:rsidR="002B546F">
              <w:rPr>
                <w:b w:val="0"/>
                <w:noProof/>
              </w:rPr>
              <w:t>3</w:t>
            </w:r>
            <w:r w:rsidR="00F82BE0" w:rsidRPr="00784A05">
              <w:rPr>
                <w:b w:val="0"/>
              </w:rPr>
              <w:fldChar w:fldCharType="end"/>
            </w:r>
            <w:r>
              <w:tab/>
              <w:t>Australian services exports</w:t>
            </w:r>
            <w:r w:rsidR="00116793">
              <w:t xml:space="preserve"> in</w:t>
            </w:r>
            <w:r w:rsidR="00A379AD">
              <w:t xml:space="preserve"> </w:t>
            </w:r>
            <w:r w:rsidR="002A4669">
              <w:t>2013</w:t>
            </w:r>
            <w:r w:rsidR="002A4669">
              <w:noBreakHyphen/>
              <w:t>14</w:t>
            </w:r>
            <w:r w:rsidR="00A379AD">
              <w:t>,</w:t>
            </w:r>
            <w:r w:rsidR="002A4669">
              <w:t xml:space="preserve"> </w:t>
            </w:r>
            <w:r>
              <w:t>by sector</w:t>
            </w:r>
            <w:r w:rsidRPr="009B1CCF">
              <w:rPr>
                <w:rStyle w:val="NoteLabel"/>
                <w:b/>
              </w:rPr>
              <w:t>a</w:t>
            </w:r>
          </w:p>
          <w:p w14:paraId="6B756E94" w14:textId="77777777" w:rsidR="0046637F" w:rsidRPr="00176D3F" w:rsidRDefault="002A4669" w:rsidP="00AA622E">
            <w:pPr>
              <w:pStyle w:val="Subtitle"/>
            </w:pPr>
            <w:r>
              <w:t>Compound annual growth rate</w:t>
            </w:r>
            <w:r w:rsidR="00941753">
              <w:t xml:space="preserve"> </w:t>
            </w:r>
            <w:r w:rsidR="00FB05DF">
              <w:t>(CAGR)</w:t>
            </w:r>
            <w:r>
              <w:t>, 1993</w:t>
            </w:r>
            <w:r>
              <w:noBreakHyphen/>
              <w:t>94 to 2013</w:t>
            </w:r>
            <w:r>
              <w:noBreakHyphen/>
              <w:t>14</w:t>
            </w:r>
            <w:r w:rsidR="009B1CCF">
              <w:rPr>
                <w:rStyle w:val="NoteLabel"/>
              </w:rPr>
              <w:t>b</w:t>
            </w:r>
          </w:p>
        </w:tc>
      </w:tr>
      <w:tr w:rsidR="0046637F" w14:paraId="6D95359E" w14:textId="77777777" w:rsidTr="00AA622E">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46637F" w14:paraId="6C4E0F4C" w14:textId="77777777" w:rsidTr="00AA622E">
              <w:trPr>
                <w:jc w:val="center"/>
              </w:trPr>
              <w:tc>
                <w:tcPr>
                  <w:tcW w:w="5000" w:type="pct"/>
                  <w:tcBorders>
                    <w:top w:val="nil"/>
                    <w:bottom w:val="nil"/>
                  </w:tcBorders>
                </w:tcPr>
                <w:p w14:paraId="515606C2" w14:textId="5C78B300" w:rsidR="0046637F" w:rsidRDefault="00211132" w:rsidP="00AA622E">
                  <w:pPr>
                    <w:pStyle w:val="Figure"/>
                    <w:spacing w:before="60" w:after="60"/>
                  </w:pPr>
                  <w:r>
                    <w:rPr>
                      <w:noProof/>
                    </w:rPr>
                    <w:drawing>
                      <wp:inline distT="0" distB="0" distL="0" distR="0" wp14:anchorId="3E756BD4" wp14:editId="0694FB93">
                        <wp:extent cx="5398770" cy="2874645"/>
                        <wp:effectExtent l="0" t="0" r="0" b="1905"/>
                        <wp:docPr id="7" name="Picture 7" descr="The five sectors (from largest to smallest) and their compound annual growth rates are:&#10;Tourism 5.9%&#10;Education 12%&#10;Professional Services 11.9%&#10;Financial services 3.8%&#10;information technology 4.6%" title="Australian services exports in 2013-14 by sector, and compound annual growth rate from 1993-94 to 2013-14 in nominal te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398770" cy="2874645"/>
                                </a:xfrm>
                                <a:prstGeom prst="rect">
                                  <a:avLst/>
                                </a:prstGeom>
                                <a:noFill/>
                                <a:ln>
                                  <a:noFill/>
                                </a:ln>
                              </pic:spPr>
                            </pic:pic>
                          </a:graphicData>
                        </a:graphic>
                      </wp:inline>
                    </w:drawing>
                  </w:r>
                </w:p>
              </w:tc>
            </w:tr>
          </w:tbl>
          <w:p w14:paraId="09ADDA1D" w14:textId="77777777" w:rsidR="0046637F" w:rsidRDefault="0046637F" w:rsidP="00AA622E">
            <w:pPr>
              <w:pStyle w:val="Figure"/>
            </w:pPr>
          </w:p>
        </w:tc>
      </w:tr>
      <w:tr w:rsidR="0046637F" w:rsidRPr="00176D3F" w14:paraId="233920A1" w14:textId="77777777" w:rsidTr="00AA622E">
        <w:tc>
          <w:tcPr>
            <w:tcW w:w="8771" w:type="dxa"/>
            <w:tcBorders>
              <w:top w:val="nil"/>
              <w:left w:val="nil"/>
              <w:bottom w:val="nil"/>
              <w:right w:val="nil"/>
            </w:tcBorders>
            <w:shd w:val="clear" w:color="auto" w:fill="auto"/>
          </w:tcPr>
          <w:p w14:paraId="1036D940" w14:textId="1EB2A523" w:rsidR="0046637F" w:rsidRPr="00176D3F" w:rsidRDefault="0046637F" w:rsidP="00775A2D">
            <w:pPr>
              <w:pStyle w:val="Note"/>
            </w:pPr>
            <w:proofErr w:type="gramStart"/>
            <w:r>
              <w:rPr>
                <w:rStyle w:val="NoteLabel"/>
              </w:rPr>
              <w:t>a</w:t>
            </w:r>
            <w:proofErr w:type="gramEnd"/>
            <w:r>
              <w:t xml:space="preserve"> </w:t>
            </w:r>
            <w:r w:rsidR="00F15E0C">
              <w:t>Value as</w:t>
            </w:r>
            <w:r w:rsidR="00026F19">
              <w:t xml:space="preserve"> measured in balance of payments does not include most exports provided through commercial presence (mode 3).</w:t>
            </w:r>
            <w:r>
              <w:t xml:space="preserve"> </w:t>
            </w:r>
            <w:r w:rsidR="00027086">
              <w:t>The value of health services</w:t>
            </w:r>
            <w:r w:rsidR="00E73BD8">
              <w:t xml:space="preserve"> exports was $37 million, although </w:t>
            </w:r>
            <w:r w:rsidR="00027086">
              <w:t>this does not include health services received in Australia by overseas consumers</w:t>
            </w:r>
            <w:r w:rsidR="00E57E78">
              <w:t xml:space="preserve"> (mode 2)</w:t>
            </w:r>
            <w:r w:rsidR="00027086">
              <w:t>.</w:t>
            </w:r>
            <w:r w:rsidR="00814365">
              <w:t xml:space="preserve"> </w:t>
            </w:r>
            <w:r>
              <w:t>Sectors are defined here according to balance of payments</w:t>
            </w:r>
            <w:r w:rsidR="00A1079D">
              <w:t xml:space="preserve"> categories</w:t>
            </w:r>
            <w:r w:rsidDel="007E3C04">
              <w:t>.</w:t>
            </w:r>
            <w:r w:rsidR="00027086">
              <w:t xml:space="preserve"> </w:t>
            </w:r>
            <w:r>
              <w:t>‘Information technology’ consists of telecommunications, computer and information services, and charges for the use of intellectual property related to computer and telecommunication services. ‘Financial services’ consists of financial, insurance and pension services. ‘Professional services’ consists of architectural, engineering, professional and management consulting services. ‘Education’ consists of education</w:t>
            </w:r>
            <w:r>
              <w:noBreakHyphen/>
              <w:t>related personal travel, education services, and royalties on education. ‘Tourism’ is equivalent to tourism related services, and consists of travel and passenger transport.</w:t>
            </w:r>
            <w:r w:rsidR="009B1CCF" w:rsidRPr="008A3353">
              <w:rPr>
                <w:rStyle w:val="NoteLabel"/>
              </w:rPr>
              <w:t xml:space="preserve"> </w:t>
            </w:r>
            <w:proofErr w:type="gramStart"/>
            <w:r w:rsidR="009B1CCF">
              <w:rPr>
                <w:rStyle w:val="NoteLabel"/>
              </w:rPr>
              <w:t>b</w:t>
            </w:r>
            <w:proofErr w:type="gramEnd"/>
            <w:r w:rsidR="009B1CCF">
              <w:rPr>
                <w:rStyle w:val="NoteLabel"/>
              </w:rPr>
              <w:t xml:space="preserve"> </w:t>
            </w:r>
            <w:r w:rsidR="00804407">
              <w:t xml:space="preserve">In </w:t>
            </w:r>
            <w:r w:rsidR="00775A2D">
              <w:t>nominal terms</w:t>
            </w:r>
            <w:r w:rsidR="00026F19">
              <w:t xml:space="preserve">. </w:t>
            </w:r>
            <w:r w:rsidR="00F15E0C">
              <w:t>Value as</w:t>
            </w:r>
            <w:r w:rsidR="00026F19">
              <w:t xml:space="preserve"> measured in </w:t>
            </w:r>
            <w:r w:rsidR="00B0154E">
              <w:t>the</w:t>
            </w:r>
            <w:r w:rsidR="00F95276">
              <w:t xml:space="preserve"> </w:t>
            </w:r>
            <w:r w:rsidR="00026F19">
              <w:t>balance of payments</w:t>
            </w:r>
            <w:r w:rsidR="00F95276">
              <w:t>:</w:t>
            </w:r>
            <w:r w:rsidR="00026F19">
              <w:t xml:space="preserve"> does not include most exports provided through commercial presence (mode 3).</w:t>
            </w:r>
          </w:p>
        </w:tc>
      </w:tr>
      <w:tr w:rsidR="0046637F" w:rsidRPr="00176D3F" w14:paraId="232DBE9A" w14:textId="77777777" w:rsidTr="00AA622E">
        <w:tc>
          <w:tcPr>
            <w:tcW w:w="8771" w:type="dxa"/>
            <w:tcBorders>
              <w:top w:val="nil"/>
              <w:left w:val="nil"/>
              <w:bottom w:val="nil"/>
              <w:right w:val="nil"/>
            </w:tcBorders>
            <w:shd w:val="clear" w:color="auto" w:fill="auto"/>
          </w:tcPr>
          <w:p w14:paraId="61A572B0" w14:textId="694AFF87" w:rsidR="0046637F" w:rsidRPr="00176D3F" w:rsidRDefault="0046637F" w:rsidP="00AA622E">
            <w:pPr>
              <w:pStyle w:val="Source"/>
            </w:pPr>
            <w:r>
              <w:rPr>
                <w:i/>
              </w:rPr>
              <w:t>S</w:t>
            </w:r>
            <w:r w:rsidRPr="00784A05">
              <w:rPr>
                <w:i/>
              </w:rPr>
              <w:t>ource</w:t>
            </w:r>
            <w:r w:rsidRPr="00176D3F">
              <w:t>:</w:t>
            </w:r>
            <w:r>
              <w:t xml:space="preserve"> ABS</w:t>
            </w:r>
            <w:r w:rsidRPr="00176D3F">
              <w:t xml:space="preserve"> </w:t>
            </w:r>
            <w:r w:rsidR="00397534" w:rsidRPr="009C5024">
              <w:rPr>
                <w:rFonts w:cs="Arial"/>
              </w:rPr>
              <w:t>(2015a)</w:t>
            </w:r>
            <w:r>
              <w:t>.</w:t>
            </w:r>
          </w:p>
        </w:tc>
      </w:tr>
      <w:tr w:rsidR="0046637F" w14:paraId="718523FA" w14:textId="77777777" w:rsidTr="00AA622E">
        <w:tc>
          <w:tcPr>
            <w:tcW w:w="8771" w:type="dxa"/>
            <w:tcBorders>
              <w:top w:val="nil"/>
              <w:left w:val="nil"/>
              <w:bottom w:val="single" w:sz="6" w:space="0" w:color="78A22F"/>
              <w:right w:val="nil"/>
            </w:tcBorders>
            <w:shd w:val="clear" w:color="auto" w:fill="auto"/>
          </w:tcPr>
          <w:p w14:paraId="2CF5ECAB" w14:textId="77777777" w:rsidR="0046637F" w:rsidRDefault="0046637F" w:rsidP="00AA622E">
            <w:pPr>
              <w:pStyle w:val="Figurespace"/>
            </w:pPr>
          </w:p>
        </w:tc>
      </w:tr>
      <w:tr w:rsidR="0046637F" w:rsidRPr="000863A5" w14:paraId="7EC94369" w14:textId="77777777" w:rsidTr="00AA622E">
        <w:tc>
          <w:tcPr>
            <w:tcW w:w="8771" w:type="dxa"/>
            <w:tcBorders>
              <w:top w:val="single" w:sz="6" w:space="0" w:color="78A22F"/>
              <w:left w:val="nil"/>
              <w:bottom w:val="nil"/>
              <w:right w:val="nil"/>
            </w:tcBorders>
          </w:tcPr>
          <w:p w14:paraId="1BC20F14" w14:textId="6D0FAD20" w:rsidR="0046637F" w:rsidRPr="00626D32" w:rsidRDefault="0046637F" w:rsidP="00AA622E">
            <w:pPr>
              <w:pStyle w:val="BoxSpaceBelow"/>
            </w:pPr>
          </w:p>
        </w:tc>
      </w:tr>
    </w:tbl>
    <w:p w14:paraId="0A2C087C" w14:textId="77777777" w:rsidR="0046637F" w:rsidRDefault="0046637F" w:rsidP="0046637F">
      <w:pPr>
        <w:pStyle w:val="Heading3"/>
      </w:pPr>
      <w:r>
        <w:t>Where do Australian services exports go?</w:t>
      </w:r>
    </w:p>
    <w:p w14:paraId="564E41E8" w14:textId="77777777" w:rsidR="0046637F" w:rsidRDefault="0046637F" w:rsidP="0046637F">
      <w:pPr>
        <w:pStyle w:val="BodyText"/>
      </w:pPr>
      <w:r>
        <w:t>The terms of reference for this study request that the Commission examine barriers to growth in Australian services exports in economies with which Australia does not have trade agreements in force or substantially concluded. Table 1 shows Australia’s largest trading partners in 2013</w:t>
      </w:r>
      <w:r>
        <w:noBreakHyphen/>
        <w:t>14, Australian services exports to each of these countries in 2013</w:t>
      </w:r>
      <w:r>
        <w:noBreakHyphen/>
        <w:t xml:space="preserve">14, and whether Australia has a trade agreement with </w:t>
      </w:r>
      <w:r w:rsidR="00C07685">
        <w:t xml:space="preserve">that </w:t>
      </w:r>
      <w:r>
        <w:t>country.</w:t>
      </w:r>
    </w:p>
    <w:p w14:paraId="524327DA" w14:textId="0D71A5CE" w:rsidR="0037749E" w:rsidRDefault="0037749E" w:rsidP="0037749E">
      <w:pPr>
        <w:pStyle w:val="BodyText"/>
        <w:keepNext/>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37749E" w14:paraId="65ACD8AF" w14:textId="77777777" w:rsidTr="00775786">
        <w:tc>
          <w:tcPr>
            <w:tcW w:w="8771" w:type="dxa"/>
            <w:tcBorders>
              <w:top w:val="single" w:sz="6" w:space="0" w:color="78A22F"/>
              <w:left w:val="nil"/>
              <w:bottom w:val="nil"/>
              <w:right w:val="nil"/>
            </w:tcBorders>
            <w:shd w:val="clear" w:color="auto" w:fill="auto"/>
          </w:tcPr>
          <w:p w14:paraId="755CA53E" w14:textId="77777777" w:rsidR="0037749E" w:rsidRDefault="0037749E" w:rsidP="00775786">
            <w:pPr>
              <w:pStyle w:val="TableTitle"/>
            </w:pPr>
            <w:r>
              <w:rPr>
                <w:b w:val="0"/>
              </w:rPr>
              <w:t xml:space="preserve">Table </w:t>
            </w:r>
            <w:r>
              <w:rPr>
                <w:b w:val="0"/>
              </w:rPr>
              <w:fldChar w:fldCharType="begin"/>
            </w:r>
            <w:r>
              <w:rPr>
                <w:b w:val="0"/>
              </w:rPr>
              <w:instrText xml:space="preserve"> COMMENTS  \* MERGEFORMAT </w:instrText>
            </w:r>
            <w:r>
              <w:rPr>
                <w:b w:val="0"/>
              </w:rPr>
              <w:fldChar w:fldCharType="end"/>
            </w:r>
            <w:r>
              <w:rPr>
                <w:b w:val="0"/>
              </w:rPr>
              <w:fldChar w:fldCharType="begin"/>
            </w:r>
            <w:r>
              <w:rPr>
                <w:b w:val="0"/>
              </w:rPr>
              <w:instrText xml:space="preserve"> SEQ Table \* ARABIC </w:instrText>
            </w:r>
            <w:r>
              <w:rPr>
                <w:b w:val="0"/>
              </w:rPr>
              <w:fldChar w:fldCharType="separate"/>
            </w:r>
            <w:r w:rsidR="002B546F">
              <w:rPr>
                <w:b w:val="0"/>
                <w:noProof/>
              </w:rPr>
              <w:t>1</w:t>
            </w:r>
            <w:r>
              <w:rPr>
                <w:b w:val="0"/>
              </w:rPr>
              <w:fldChar w:fldCharType="end"/>
            </w:r>
            <w:r>
              <w:tab/>
              <w:t>Australia’s largest trading partners, 2013-14</w:t>
            </w:r>
            <w:r w:rsidRPr="00D35F95">
              <w:rPr>
                <w:rStyle w:val="NoteLabel"/>
                <w:b/>
              </w:rPr>
              <w:t>a</w:t>
            </w:r>
          </w:p>
          <w:p w14:paraId="7E3C2D90" w14:textId="77777777" w:rsidR="0037749E" w:rsidRPr="00784A05" w:rsidRDefault="0037749E" w:rsidP="00775786">
            <w:pPr>
              <w:pStyle w:val="Subtitle"/>
            </w:pPr>
            <w:r>
              <w:t>Australia has trade agreements with the countries shaded green</w:t>
            </w:r>
            <w:r>
              <w:rPr>
                <w:rStyle w:val="NoteLabel"/>
              </w:rPr>
              <w:t>b</w:t>
            </w:r>
          </w:p>
        </w:tc>
      </w:tr>
      <w:tr w:rsidR="0037749E" w14:paraId="305FF642" w14:textId="77777777" w:rsidTr="00775786">
        <w:trPr>
          <w:cantSplit/>
        </w:trPr>
        <w:tc>
          <w:tcPr>
            <w:tcW w:w="8771" w:type="dxa"/>
            <w:tcBorders>
              <w:top w:val="nil"/>
              <w:left w:val="nil"/>
              <w:bottom w:val="single" w:sz="6" w:space="0" w:color="BFBFBF"/>
              <w:right w:val="nil"/>
            </w:tcBorders>
            <w:shd w:val="clear" w:color="auto" w:fill="auto"/>
          </w:tcPr>
          <w:tbl>
            <w:tblPr>
              <w:tblW w:w="8483" w:type="dxa"/>
              <w:tblLayout w:type="fixed"/>
              <w:tblCellMar>
                <w:top w:w="28" w:type="dxa"/>
                <w:left w:w="0" w:type="dxa"/>
                <w:right w:w="0" w:type="dxa"/>
              </w:tblCellMar>
              <w:tblLook w:val="0000" w:firstRow="0" w:lastRow="0" w:firstColumn="0" w:lastColumn="0" w:noHBand="0" w:noVBand="0"/>
            </w:tblPr>
            <w:tblGrid>
              <w:gridCol w:w="271"/>
              <w:gridCol w:w="1977"/>
              <w:gridCol w:w="991"/>
              <w:gridCol w:w="996"/>
              <w:gridCol w:w="422"/>
              <w:gridCol w:w="283"/>
              <w:gridCol w:w="1559"/>
              <w:gridCol w:w="991"/>
              <w:gridCol w:w="993"/>
            </w:tblGrid>
            <w:tr w:rsidR="0037749E" w14:paraId="2A7E26BF" w14:textId="77777777" w:rsidTr="00775786">
              <w:trPr>
                <w:trHeight w:val="524"/>
              </w:trPr>
              <w:tc>
                <w:tcPr>
                  <w:tcW w:w="160" w:type="pct"/>
                  <w:tcBorders>
                    <w:top w:val="single" w:sz="6" w:space="0" w:color="BFBFBF"/>
                    <w:bottom w:val="single" w:sz="6" w:space="0" w:color="BFBFBF"/>
                  </w:tcBorders>
                  <w:shd w:val="clear" w:color="auto" w:fill="auto"/>
                  <w:tcMar>
                    <w:top w:w="28" w:type="dxa"/>
                  </w:tcMar>
                </w:tcPr>
                <w:p w14:paraId="330196A7" w14:textId="77777777" w:rsidR="0037749E" w:rsidRDefault="0037749E" w:rsidP="00775786">
                  <w:pPr>
                    <w:pStyle w:val="TableColumnHeading"/>
                    <w:jc w:val="left"/>
                  </w:pPr>
                </w:p>
              </w:tc>
              <w:tc>
                <w:tcPr>
                  <w:tcW w:w="1165" w:type="pct"/>
                  <w:tcBorders>
                    <w:top w:val="single" w:sz="6" w:space="0" w:color="BFBFBF"/>
                    <w:bottom w:val="single" w:sz="6" w:space="0" w:color="BFBFBF"/>
                  </w:tcBorders>
                  <w:shd w:val="clear" w:color="auto" w:fill="auto"/>
                  <w:tcMar>
                    <w:top w:w="28" w:type="dxa"/>
                  </w:tcMar>
                </w:tcPr>
                <w:p w14:paraId="5EFD5FC7" w14:textId="77777777" w:rsidR="0037749E" w:rsidRDefault="0037749E" w:rsidP="00775786">
                  <w:pPr>
                    <w:pStyle w:val="TableColumnHeading"/>
                    <w:jc w:val="left"/>
                  </w:pPr>
                  <w:r>
                    <w:t>Country</w:t>
                  </w:r>
                </w:p>
              </w:tc>
              <w:tc>
                <w:tcPr>
                  <w:tcW w:w="584" w:type="pct"/>
                  <w:tcBorders>
                    <w:top w:val="single" w:sz="6" w:space="0" w:color="BFBFBF"/>
                    <w:bottom w:val="single" w:sz="6" w:space="0" w:color="BFBFBF"/>
                  </w:tcBorders>
                </w:tcPr>
                <w:p w14:paraId="395050B3" w14:textId="77777777" w:rsidR="0037749E" w:rsidRDefault="0037749E" w:rsidP="00775786">
                  <w:pPr>
                    <w:pStyle w:val="TableColumnHeading"/>
                    <w:ind w:right="28"/>
                  </w:pPr>
                  <w:r>
                    <w:t>Total goods trade ($ million)</w:t>
                  </w:r>
                </w:p>
              </w:tc>
              <w:tc>
                <w:tcPr>
                  <w:tcW w:w="587" w:type="pct"/>
                  <w:tcBorders>
                    <w:top w:val="single" w:sz="6" w:space="0" w:color="BFBFBF"/>
                    <w:bottom w:val="single" w:sz="6" w:space="0" w:color="BFBFBF"/>
                  </w:tcBorders>
                </w:tcPr>
                <w:p w14:paraId="5934C316" w14:textId="77777777" w:rsidR="0037749E" w:rsidRDefault="0037749E" w:rsidP="00775786">
                  <w:pPr>
                    <w:pStyle w:val="TableColumnHeading"/>
                    <w:ind w:right="28"/>
                  </w:pPr>
                  <w:r>
                    <w:t>Services exports ($ million)</w:t>
                  </w:r>
                </w:p>
              </w:tc>
              <w:tc>
                <w:tcPr>
                  <w:tcW w:w="249" w:type="pct"/>
                  <w:tcBorders>
                    <w:top w:val="single" w:sz="6" w:space="0" w:color="BFBFBF"/>
                    <w:bottom w:val="single" w:sz="6" w:space="0" w:color="BFBFBF"/>
                  </w:tcBorders>
                </w:tcPr>
                <w:p w14:paraId="582CF796" w14:textId="77777777" w:rsidR="0037749E" w:rsidRDefault="0037749E" w:rsidP="00775786">
                  <w:pPr>
                    <w:pStyle w:val="TableColumnHeading"/>
                    <w:ind w:right="28"/>
                  </w:pPr>
                </w:p>
              </w:tc>
              <w:tc>
                <w:tcPr>
                  <w:tcW w:w="167" w:type="pct"/>
                  <w:tcBorders>
                    <w:top w:val="single" w:sz="6" w:space="0" w:color="BFBFBF"/>
                    <w:bottom w:val="single" w:sz="6" w:space="0" w:color="BFBFBF"/>
                  </w:tcBorders>
                </w:tcPr>
                <w:p w14:paraId="5023121A" w14:textId="77777777" w:rsidR="0037749E" w:rsidRDefault="0037749E" w:rsidP="00775786">
                  <w:pPr>
                    <w:pStyle w:val="TableColumnHeading"/>
                    <w:ind w:right="28"/>
                  </w:pPr>
                </w:p>
              </w:tc>
              <w:tc>
                <w:tcPr>
                  <w:tcW w:w="919" w:type="pct"/>
                  <w:tcBorders>
                    <w:top w:val="single" w:sz="6" w:space="0" w:color="BFBFBF"/>
                    <w:bottom w:val="single" w:sz="6" w:space="0" w:color="BFBFBF"/>
                  </w:tcBorders>
                </w:tcPr>
                <w:p w14:paraId="6C7A5CC3" w14:textId="77777777" w:rsidR="0037749E" w:rsidRDefault="0037749E" w:rsidP="00775786">
                  <w:pPr>
                    <w:pStyle w:val="TableColumnHeading"/>
                    <w:ind w:right="28"/>
                    <w:jc w:val="left"/>
                  </w:pPr>
                  <w:r>
                    <w:t>Country</w:t>
                  </w:r>
                </w:p>
              </w:tc>
              <w:tc>
                <w:tcPr>
                  <w:tcW w:w="584" w:type="pct"/>
                  <w:tcBorders>
                    <w:top w:val="single" w:sz="6" w:space="0" w:color="BFBFBF"/>
                    <w:bottom w:val="single" w:sz="6" w:space="0" w:color="BFBFBF"/>
                  </w:tcBorders>
                  <w:shd w:val="clear" w:color="auto" w:fill="auto"/>
                  <w:tcMar>
                    <w:top w:w="28" w:type="dxa"/>
                  </w:tcMar>
                </w:tcPr>
                <w:p w14:paraId="2D45A591" w14:textId="77777777" w:rsidR="0037749E" w:rsidRDefault="0037749E" w:rsidP="00775786">
                  <w:pPr>
                    <w:pStyle w:val="TableColumnHeading"/>
                    <w:ind w:right="28"/>
                  </w:pPr>
                  <w:r>
                    <w:t>Total goods trade ($ million)</w:t>
                  </w:r>
                </w:p>
              </w:tc>
              <w:tc>
                <w:tcPr>
                  <w:tcW w:w="585" w:type="pct"/>
                  <w:tcBorders>
                    <w:top w:val="single" w:sz="6" w:space="0" w:color="BFBFBF"/>
                    <w:bottom w:val="single" w:sz="6" w:space="0" w:color="BFBFBF"/>
                  </w:tcBorders>
                </w:tcPr>
                <w:p w14:paraId="63ED87C3" w14:textId="77777777" w:rsidR="0037749E" w:rsidRDefault="0037749E" w:rsidP="00775786">
                  <w:pPr>
                    <w:pStyle w:val="TableColumnHeading"/>
                    <w:ind w:right="28"/>
                  </w:pPr>
                  <w:r>
                    <w:t>Services exports ($ million)</w:t>
                  </w:r>
                </w:p>
              </w:tc>
            </w:tr>
            <w:tr w:rsidR="0037749E" w14:paraId="0436530D" w14:textId="77777777" w:rsidTr="00775786">
              <w:tc>
                <w:tcPr>
                  <w:tcW w:w="160" w:type="pct"/>
                  <w:tcBorders>
                    <w:top w:val="single" w:sz="6" w:space="0" w:color="BFBFBF"/>
                  </w:tcBorders>
                  <w:shd w:val="clear" w:color="auto" w:fill="B2D673"/>
                  <w:vAlign w:val="bottom"/>
                </w:tcPr>
                <w:p w14:paraId="44A13E3C" w14:textId="77777777" w:rsidR="0037749E" w:rsidRPr="007973C0" w:rsidRDefault="0037749E" w:rsidP="00775786">
                  <w:pPr>
                    <w:pStyle w:val="TableBodyText"/>
                    <w:ind w:right="28"/>
                  </w:pPr>
                  <w:r w:rsidRPr="007973C0">
                    <w:t>1</w:t>
                  </w:r>
                </w:p>
              </w:tc>
              <w:tc>
                <w:tcPr>
                  <w:tcW w:w="1165" w:type="pct"/>
                  <w:tcBorders>
                    <w:top w:val="single" w:sz="6" w:space="0" w:color="BFBFBF"/>
                  </w:tcBorders>
                  <w:shd w:val="clear" w:color="auto" w:fill="B2D673"/>
                  <w:vAlign w:val="bottom"/>
                </w:tcPr>
                <w:p w14:paraId="78DD5D42" w14:textId="77777777" w:rsidR="0037749E" w:rsidRPr="007973C0" w:rsidRDefault="0037749E" w:rsidP="00775786">
                  <w:pPr>
                    <w:pStyle w:val="TableBodyText"/>
                    <w:ind w:left="28" w:right="28"/>
                    <w:jc w:val="left"/>
                  </w:pPr>
                  <w:r w:rsidRPr="007973C0">
                    <w:t>China</w:t>
                  </w:r>
                  <w:r>
                    <w:rPr>
                      <w:rStyle w:val="NoteLabel"/>
                    </w:rPr>
                    <w:t>c</w:t>
                  </w:r>
                </w:p>
              </w:tc>
              <w:tc>
                <w:tcPr>
                  <w:tcW w:w="584" w:type="pct"/>
                  <w:tcBorders>
                    <w:top w:val="single" w:sz="6" w:space="0" w:color="BFBFBF"/>
                  </w:tcBorders>
                  <w:shd w:val="clear" w:color="auto" w:fill="B2D673"/>
                  <w:vAlign w:val="bottom"/>
                </w:tcPr>
                <w:p w14:paraId="5F4FA888" w14:textId="77777777" w:rsidR="0037749E" w:rsidRPr="007973C0" w:rsidRDefault="0037749E" w:rsidP="00775786">
                  <w:pPr>
                    <w:pStyle w:val="TableBodyText"/>
                    <w:spacing w:before="80"/>
                    <w:ind w:right="28"/>
                  </w:pPr>
                  <w:r w:rsidRPr="007973C0">
                    <w:t>1</w:t>
                  </w:r>
                  <w:r>
                    <w:t>49</w:t>
                  </w:r>
                  <w:r w:rsidRPr="007973C0">
                    <w:t xml:space="preserve"> </w:t>
                  </w:r>
                  <w:r>
                    <w:t>471</w:t>
                  </w:r>
                </w:p>
              </w:tc>
              <w:tc>
                <w:tcPr>
                  <w:tcW w:w="587" w:type="pct"/>
                  <w:tcBorders>
                    <w:top w:val="single" w:sz="6" w:space="0" w:color="BFBFBF"/>
                  </w:tcBorders>
                  <w:shd w:val="clear" w:color="auto" w:fill="B2D673"/>
                </w:tcPr>
                <w:p w14:paraId="0E01577B" w14:textId="77777777" w:rsidR="0037749E" w:rsidRPr="007973C0" w:rsidRDefault="0037749E" w:rsidP="00775786">
                  <w:pPr>
                    <w:pStyle w:val="TableBodyText"/>
                    <w:spacing w:before="80"/>
                    <w:ind w:right="28"/>
                  </w:pPr>
                  <w:r>
                    <w:t>7 487</w:t>
                  </w:r>
                </w:p>
              </w:tc>
              <w:tc>
                <w:tcPr>
                  <w:tcW w:w="249" w:type="pct"/>
                  <w:tcBorders>
                    <w:top w:val="single" w:sz="6" w:space="0" w:color="BFBFBF"/>
                  </w:tcBorders>
                </w:tcPr>
                <w:p w14:paraId="6485B6A3" w14:textId="77777777" w:rsidR="0037749E" w:rsidRPr="007973C0" w:rsidRDefault="0037749E" w:rsidP="00775786">
                  <w:pPr>
                    <w:pStyle w:val="TableBodyText"/>
                    <w:ind w:right="28"/>
                  </w:pPr>
                </w:p>
              </w:tc>
              <w:tc>
                <w:tcPr>
                  <w:tcW w:w="167" w:type="pct"/>
                  <w:tcBorders>
                    <w:top w:val="single" w:sz="6" w:space="0" w:color="BFBFBF"/>
                  </w:tcBorders>
                  <w:vAlign w:val="bottom"/>
                </w:tcPr>
                <w:p w14:paraId="78BC8AD1" w14:textId="77777777" w:rsidR="0037749E" w:rsidRPr="007973C0" w:rsidRDefault="0037749E" w:rsidP="00775786">
                  <w:pPr>
                    <w:pStyle w:val="TableBodyText"/>
                    <w:ind w:right="28"/>
                  </w:pPr>
                  <w:r w:rsidRPr="007973C0">
                    <w:t>21</w:t>
                  </w:r>
                </w:p>
              </w:tc>
              <w:tc>
                <w:tcPr>
                  <w:tcW w:w="919" w:type="pct"/>
                  <w:tcBorders>
                    <w:top w:val="single" w:sz="6" w:space="0" w:color="BFBFBF"/>
                  </w:tcBorders>
                  <w:vAlign w:val="bottom"/>
                </w:tcPr>
                <w:p w14:paraId="74265A93" w14:textId="77777777" w:rsidR="0037749E" w:rsidRPr="007973C0" w:rsidRDefault="0037749E" w:rsidP="00775786">
                  <w:pPr>
                    <w:pStyle w:val="TableBodyText"/>
                    <w:ind w:left="28" w:right="28"/>
                    <w:jc w:val="left"/>
                  </w:pPr>
                  <w:r w:rsidRPr="007973C0">
                    <w:t>Netherlands</w:t>
                  </w:r>
                  <w:r>
                    <w:rPr>
                      <w:rStyle w:val="NoteLabel"/>
                    </w:rPr>
                    <w:t>d</w:t>
                  </w:r>
                </w:p>
              </w:tc>
              <w:tc>
                <w:tcPr>
                  <w:tcW w:w="584" w:type="pct"/>
                  <w:tcBorders>
                    <w:top w:val="single" w:sz="6" w:space="0" w:color="BFBFBF"/>
                  </w:tcBorders>
                  <w:vAlign w:val="bottom"/>
                </w:tcPr>
                <w:p w14:paraId="7E6DB3C2" w14:textId="77777777" w:rsidR="0037749E" w:rsidRPr="007973C0" w:rsidRDefault="0037749E" w:rsidP="00775786">
                  <w:pPr>
                    <w:pStyle w:val="TableBodyText"/>
                    <w:ind w:right="28"/>
                  </w:pPr>
                  <w:r w:rsidRPr="00F85466">
                    <w:t>3</w:t>
                  </w:r>
                  <w:r>
                    <w:t xml:space="preserve"> </w:t>
                  </w:r>
                  <w:r w:rsidRPr="00F85466">
                    <w:t>795</w:t>
                  </w:r>
                </w:p>
              </w:tc>
              <w:tc>
                <w:tcPr>
                  <w:tcW w:w="585" w:type="pct"/>
                  <w:tcBorders>
                    <w:top w:val="single" w:sz="6" w:space="0" w:color="BFBFBF"/>
                  </w:tcBorders>
                </w:tcPr>
                <w:p w14:paraId="51960B24" w14:textId="77777777" w:rsidR="0037749E" w:rsidRPr="007973C0" w:rsidRDefault="0037749E" w:rsidP="00775786">
                  <w:pPr>
                    <w:pStyle w:val="TableBodyText"/>
                    <w:spacing w:before="80"/>
                    <w:ind w:right="28"/>
                  </w:pPr>
                  <w:r>
                    <w:t>481</w:t>
                  </w:r>
                </w:p>
              </w:tc>
            </w:tr>
            <w:tr w:rsidR="0037749E" w14:paraId="51C7E73B" w14:textId="77777777" w:rsidTr="00775786">
              <w:tc>
                <w:tcPr>
                  <w:tcW w:w="160" w:type="pct"/>
                  <w:shd w:val="clear" w:color="auto" w:fill="B2D673"/>
                  <w:vAlign w:val="bottom"/>
                </w:tcPr>
                <w:p w14:paraId="331CCD93" w14:textId="77777777" w:rsidR="0037749E" w:rsidRPr="007973C0" w:rsidRDefault="0037749E" w:rsidP="00775786">
                  <w:pPr>
                    <w:pStyle w:val="TableBodyText"/>
                    <w:ind w:right="28"/>
                  </w:pPr>
                  <w:r w:rsidRPr="007973C0">
                    <w:t>2</w:t>
                  </w:r>
                </w:p>
              </w:tc>
              <w:tc>
                <w:tcPr>
                  <w:tcW w:w="1165" w:type="pct"/>
                  <w:shd w:val="clear" w:color="auto" w:fill="B2D673"/>
                  <w:vAlign w:val="bottom"/>
                </w:tcPr>
                <w:p w14:paraId="73074E8D" w14:textId="77777777" w:rsidR="0037749E" w:rsidRPr="007973C0" w:rsidRDefault="0037749E" w:rsidP="00775786">
                  <w:pPr>
                    <w:pStyle w:val="TableBodyText"/>
                    <w:ind w:left="28" w:right="28"/>
                    <w:jc w:val="left"/>
                  </w:pPr>
                  <w:r w:rsidRPr="007973C0">
                    <w:t>Japan</w:t>
                  </w:r>
                  <w:proofErr w:type="spellStart"/>
                  <w:r>
                    <w:rPr>
                      <w:rStyle w:val="NoteLabel"/>
                    </w:rPr>
                    <w:t>d,e</w:t>
                  </w:r>
                  <w:proofErr w:type="spellEnd"/>
                </w:p>
              </w:tc>
              <w:tc>
                <w:tcPr>
                  <w:tcW w:w="584" w:type="pct"/>
                  <w:shd w:val="clear" w:color="auto" w:fill="B2D673"/>
                  <w:vAlign w:val="bottom"/>
                </w:tcPr>
                <w:p w14:paraId="7A5D625E" w14:textId="77777777" w:rsidR="0037749E" w:rsidRPr="007973C0" w:rsidRDefault="0037749E" w:rsidP="00775786">
                  <w:pPr>
                    <w:pStyle w:val="TableBodyText"/>
                    <w:spacing w:before="80"/>
                    <w:ind w:right="28"/>
                  </w:pPr>
                  <w:r>
                    <w:t>66 693</w:t>
                  </w:r>
                </w:p>
              </w:tc>
              <w:tc>
                <w:tcPr>
                  <w:tcW w:w="587" w:type="pct"/>
                  <w:shd w:val="clear" w:color="auto" w:fill="B2D673"/>
                </w:tcPr>
                <w:p w14:paraId="6B93A69C" w14:textId="77777777" w:rsidR="0037749E" w:rsidRPr="007973C0" w:rsidRDefault="0037749E" w:rsidP="00775786">
                  <w:pPr>
                    <w:pStyle w:val="TableBodyText"/>
                    <w:spacing w:before="80"/>
                    <w:ind w:right="28"/>
                  </w:pPr>
                  <w:r>
                    <w:t>2 005</w:t>
                  </w:r>
                </w:p>
              </w:tc>
              <w:tc>
                <w:tcPr>
                  <w:tcW w:w="249" w:type="pct"/>
                </w:tcPr>
                <w:p w14:paraId="1A6B8F42" w14:textId="77777777" w:rsidR="0037749E" w:rsidRPr="007973C0" w:rsidRDefault="0037749E" w:rsidP="00775786">
                  <w:pPr>
                    <w:pStyle w:val="TableBodyText"/>
                    <w:ind w:right="28"/>
                  </w:pPr>
                </w:p>
              </w:tc>
              <w:tc>
                <w:tcPr>
                  <w:tcW w:w="167" w:type="pct"/>
                  <w:vAlign w:val="bottom"/>
                </w:tcPr>
                <w:p w14:paraId="2B638FB3" w14:textId="77777777" w:rsidR="0037749E" w:rsidRPr="007973C0" w:rsidRDefault="0037749E" w:rsidP="00775786">
                  <w:pPr>
                    <w:pStyle w:val="TableBodyText"/>
                    <w:ind w:right="28"/>
                  </w:pPr>
                  <w:r w:rsidRPr="007973C0">
                    <w:t>22</w:t>
                  </w:r>
                </w:p>
              </w:tc>
              <w:tc>
                <w:tcPr>
                  <w:tcW w:w="919" w:type="pct"/>
                  <w:vAlign w:val="bottom"/>
                </w:tcPr>
                <w:p w14:paraId="258C8CC3" w14:textId="77777777" w:rsidR="0037749E" w:rsidRPr="007973C0" w:rsidRDefault="0037749E" w:rsidP="00775786">
                  <w:pPr>
                    <w:pStyle w:val="TableBodyText"/>
                    <w:ind w:left="28" w:right="28"/>
                    <w:jc w:val="left"/>
                  </w:pPr>
                  <w:r w:rsidRPr="007973C0">
                    <w:t>Switzerland</w:t>
                  </w:r>
                  <w:r>
                    <w:rPr>
                      <w:rStyle w:val="NoteLabel"/>
                    </w:rPr>
                    <w:t>d</w:t>
                  </w:r>
                </w:p>
              </w:tc>
              <w:tc>
                <w:tcPr>
                  <w:tcW w:w="584" w:type="pct"/>
                  <w:vAlign w:val="bottom"/>
                </w:tcPr>
                <w:p w14:paraId="1C00DA4D" w14:textId="77777777" w:rsidR="0037749E" w:rsidRPr="007973C0" w:rsidRDefault="0037749E" w:rsidP="00775786">
                  <w:pPr>
                    <w:pStyle w:val="TableBodyText"/>
                    <w:ind w:right="28"/>
                  </w:pPr>
                  <w:r>
                    <w:t>3 767</w:t>
                  </w:r>
                </w:p>
              </w:tc>
              <w:tc>
                <w:tcPr>
                  <w:tcW w:w="585" w:type="pct"/>
                </w:tcPr>
                <w:p w14:paraId="67C37E0F" w14:textId="77777777" w:rsidR="0037749E" w:rsidRPr="007973C0" w:rsidRDefault="0037749E" w:rsidP="00775786">
                  <w:pPr>
                    <w:pStyle w:val="TableBodyText"/>
                    <w:spacing w:before="60"/>
                    <w:ind w:right="28"/>
                  </w:pPr>
                  <w:r>
                    <w:t>943</w:t>
                  </w:r>
                </w:p>
              </w:tc>
            </w:tr>
            <w:tr w:rsidR="0037749E" w14:paraId="228B71FA" w14:textId="77777777" w:rsidTr="00775786">
              <w:tc>
                <w:tcPr>
                  <w:tcW w:w="160" w:type="pct"/>
                  <w:shd w:val="clear" w:color="auto" w:fill="B2D673"/>
                  <w:vAlign w:val="bottom"/>
                </w:tcPr>
                <w:p w14:paraId="7CFE9DD8" w14:textId="77777777" w:rsidR="0037749E" w:rsidRPr="007973C0" w:rsidRDefault="0037749E" w:rsidP="00775786">
                  <w:pPr>
                    <w:pStyle w:val="TableBodyText"/>
                    <w:ind w:right="28"/>
                  </w:pPr>
                  <w:r w:rsidRPr="007973C0">
                    <w:t>3</w:t>
                  </w:r>
                </w:p>
              </w:tc>
              <w:tc>
                <w:tcPr>
                  <w:tcW w:w="1165" w:type="pct"/>
                  <w:shd w:val="clear" w:color="auto" w:fill="B2D673"/>
                  <w:vAlign w:val="bottom"/>
                </w:tcPr>
                <w:p w14:paraId="4EFA5863" w14:textId="77777777" w:rsidR="0037749E" w:rsidRPr="007973C0" w:rsidRDefault="0037749E" w:rsidP="00775786">
                  <w:pPr>
                    <w:pStyle w:val="TableBodyText"/>
                    <w:ind w:left="28" w:right="28"/>
                    <w:jc w:val="left"/>
                  </w:pPr>
                  <w:r w:rsidRPr="007973C0">
                    <w:t>United States</w:t>
                  </w:r>
                  <w:proofErr w:type="spellStart"/>
                  <w:r>
                    <w:rPr>
                      <w:rStyle w:val="NoteLabel"/>
                    </w:rPr>
                    <w:t>d,e</w:t>
                  </w:r>
                  <w:proofErr w:type="spellEnd"/>
                </w:p>
              </w:tc>
              <w:tc>
                <w:tcPr>
                  <w:tcW w:w="584" w:type="pct"/>
                  <w:shd w:val="clear" w:color="auto" w:fill="B2D673"/>
                  <w:vAlign w:val="bottom"/>
                </w:tcPr>
                <w:p w14:paraId="751D9D9C" w14:textId="6231D241" w:rsidR="0037749E" w:rsidRPr="007973C0" w:rsidRDefault="0037749E" w:rsidP="009B5AFF">
                  <w:pPr>
                    <w:pStyle w:val="TableBodyText"/>
                    <w:spacing w:before="80"/>
                    <w:ind w:right="28"/>
                  </w:pPr>
                  <w:r>
                    <w:t>36 1</w:t>
                  </w:r>
                  <w:r w:rsidR="009B5AFF">
                    <w:t>2</w:t>
                  </w:r>
                  <w:r>
                    <w:t>2</w:t>
                  </w:r>
                </w:p>
              </w:tc>
              <w:tc>
                <w:tcPr>
                  <w:tcW w:w="587" w:type="pct"/>
                  <w:shd w:val="clear" w:color="auto" w:fill="B2D673"/>
                </w:tcPr>
                <w:p w14:paraId="0C346D19" w14:textId="77777777" w:rsidR="0037749E" w:rsidRPr="007973C0" w:rsidRDefault="0037749E" w:rsidP="00775786">
                  <w:pPr>
                    <w:pStyle w:val="TableBodyText"/>
                    <w:spacing w:before="80"/>
                    <w:ind w:right="28"/>
                  </w:pPr>
                  <w:r>
                    <w:t>6 399</w:t>
                  </w:r>
                </w:p>
              </w:tc>
              <w:tc>
                <w:tcPr>
                  <w:tcW w:w="249" w:type="pct"/>
                </w:tcPr>
                <w:p w14:paraId="524A227C" w14:textId="77777777" w:rsidR="0037749E" w:rsidRPr="007973C0" w:rsidRDefault="0037749E" w:rsidP="00775786">
                  <w:pPr>
                    <w:pStyle w:val="TableBodyText"/>
                    <w:ind w:right="28"/>
                  </w:pPr>
                </w:p>
              </w:tc>
              <w:tc>
                <w:tcPr>
                  <w:tcW w:w="167" w:type="pct"/>
                  <w:shd w:val="clear" w:color="auto" w:fill="auto"/>
                  <w:vAlign w:val="bottom"/>
                </w:tcPr>
                <w:p w14:paraId="0119D70D" w14:textId="77777777" w:rsidR="0037749E" w:rsidRPr="000A02D7" w:rsidRDefault="0037749E" w:rsidP="00775786">
                  <w:pPr>
                    <w:pStyle w:val="TableBodyText"/>
                    <w:ind w:right="28"/>
                  </w:pPr>
                  <w:r w:rsidRPr="000A02D7">
                    <w:t>23</w:t>
                  </w:r>
                </w:p>
              </w:tc>
              <w:tc>
                <w:tcPr>
                  <w:tcW w:w="919" w:type="pct"/>
                  <w:shd w:val="clear" w:color="auto" w:fill="auto"/>
                  <w:vAlign w:val="bottom"/>
                </w:tcPr>
                <w:p w14:paraId="575BC5B1" w14:textId="77777777" w:rsidR="0037749E" w:rsidRPr="000A02D7" w:rsidRDefault="0037749E" w:rsidP="00775786">
                  <w:pPr>
                    <w:pStyle w:val="TableBodyText"/>
                    <w:ind w:left="28" w:right="28"/>
                    <w:jc w:val="left"/>
                  </w:pPr>
                  <w:r w:rsidRPr="007973C0">
                    <w:t>Canada</w:t>
                  </w:r>
                  <w:proofErr w:type="spellStart"/>
                  <w:r>
                    <w:rPr>
                      <w:rStyle w:val="NoteLabel"/>
                    </w:rPr>
                    <w:t>d,e</w:t>
                  </w:r>
                  <w:proofErr w:type="spellEnd"/>
                </w:p>
              </w:tc>
              <w:tc>
                <w:tcPr>
                  <w:tcW w:w="584" w:type="pct"/>
                  <w:shd w:val="clear" w:color="auto" w:fill="auto"/>
                  <w:vAlign w:val="bottom"/>
                </w:tcPr>
                <w:p w14:paraId="76BC0B70" w14:textId="77777777" w:rsidR="0037749E" w:rsidRPr="000A02D7" w:rsidRDefault="0037749E" w:rsidP="00775786">
                  <w:pPr>
                    <w:pStyle w:val="TableBodyText"/>
                    <w:ind w:right="28"/>
                  </w:pPr>
                  <w:r w:rsidRPr="00F85466">
                    <w:t>3</w:t>
                  </w:r>
                  <w:r>
                    <w:t xml:space="preserve"> </w:t>
                  </w:r>
                  <w:r w:rsidRPr="00F85466">
                    <w:t>212</w:t>
                  </w:r>
                </w:p>
              </w:tc>
              <w:tc>
                <w:tcPr>
                  <w:tcW w:w="585" w:type="pct"/>
                  <w:shd w:val="clear" w:color="auto" w:fill="auto"/>
                </w:tcPr>
                <w:p w14:paraId="270FC1D3" w14:textId="77777777" w:rsidR="0037749E" w:rsidRPr="000A02D7" w:rsidRDefault="0037749E" w:rsidP="00775786">
                  <w:pPr>
                    <w:pStyle w:val="TableBodyText"/>
                    <w:spacing w:before="80"/>
                    <w:ind w:right="28"/>
                  </w:pPr>
                  <w:r>
                    <w:t>855</w:t>
                  </w:r>
                </w:p>
              </w:tc>
            </w:tr>
            <w:tr w:rsidR="0037749E" w14:paraId="4687689B" w14:textId="77777777" w:rsidTr="00775786">
              <w:tc>
                <w:tcPr>
                  <w:tcW w:w="160" w:type="pct"/>
                  <w:shd w:val="clear" w:color="auto" w:fill="B2D673"/>
                  <w:vAlign w:val="bottom"/>
                </w:tcPr>
                <w:p w14:paraId="5AA051BF" w14:textId="77777777" w:rsidR="0037749E" w:rsidRPr="007973C0" w:rsidRDefault="0037749E" w:rsidP="00775786">
                  <w:pPr>
                    <w:pStyle w:val="TableBodyText"/>
                    <w:ind w:right="28"/>
                  </w:pPr>
                  <w:r w:rsidRPr="007973C0">
                    <w:t>4</w:t>
                  </w:r>
                </w:p>
              </w:tc>
              <w:tc>
                <w:tcPr>
                  <w:tcW w:w="1165" w:type="pct"/>
                  <w:shd w:val="clear" w:color="auto" w:fill="B2D673"/>
                  <w:vAlign w:val="bottom"/>
                </w:tcPr>
                <w:p w14:paraId="536CE2A1" w14:textId="77777777" w:rsidR="0037749E" w:rsidRPr="007973C0" w:rsidRDefault="0037749E" w:rsidP="00775786">
                  <w:pPr>
                    <w:pStyle w:val="TableBodyText"/>
                    <w:ind w:left="28" w:right="28"/>
                    <w:jc w:val="left"/>
                  </w:pPr>
                  <w:r>
                    <w:t>South Korea</w:t>
                  </w:r>
                  <w:r>
                    <w:rPr>
                      <w:rStyle w:val="NoteLabel"/>
                    </w:rPr>
                    <w:t>d</w:t>
                  </w:r>
                </w:p>
              </w:tc>
              <w:tc>
                <w:tcPr>
                  <w:tcW w:w="584" w:type="pct"/>
                  <w:shd w:val="clear" w:color="auto" w:fill="B2D673"/>
                  <w:vAlign w:val="bottom"/>
                </w:tcPr>
                <w:p w14:paraId="133F16F4" w14:textId="77777777" w:rsidR="0037749E" w:rsidRPr="007973C0" w:rsidRDefault="0037749E" w:rsidP="00775786">
                  <w:pPr>
                    <w:pStyle w:val="TableBodyText"/>
                    <w:spacing w:before="80"/>
                    <w:ind w:right="28"/>
                  </w:pPr>
                  <w:r>
                    <w:t>31 725</w:t>
                  </w:r>
                </w:p>
              </w:tc>
              <w:tc>
                <w:tcPr>
                  <w:tcW w:w="587" w:type="pct"/>
                  <w:shd w:val="clear" w:color="auto" w:fill="B2D673"/>
                </w:tcPr>
                <w:p w14:paraId="766047A8" w14:textId="77777777" w:rsidR="0037749E" w:rsidRPr="007973C0" w:rsidRDefault="0037749E" w:rsidP="00775786">
                  <w:pPr>
                    <w:pStyle w:val="TableBodyText"/>
                    <w:spacing w:before="280"/>
                    <w:ind w:right="28"/>
                  </w:pPr>
                  <w:r>
                    <w:t>1 635</w:t>
                  </w:r>
                </w:p>
              </w:tc>
              <w:tc>
                <w:tcPr>
                  <w:tcW w:w="249" w:type="pct"/>
                </w:tcPr>
                <w:p w14:paraId="66AA0100" w14:textId="77777777" w:rsidR="0037749E" w:rsidRPr="007973C0" w:rsidRDefault="0037749E" w:rsidP="00775786">
                  <w:pPr>
                    <w:pStyle w:val="TableBodyText"/>
                    <w:ind w:right="28"/>
                  </w:pPr>
                </w:p>
              </w:tc>
              <w:tc>
                <w:tcPr>
                  <w:tcW w:w="167" w:type="pct"/>
                  <w:vAlign w:val="bottom"/>
                </w:tcPr>
                <w:p w14:paraId="22F53857" w14:textId="77777777" w:rsidR="0037749E" w:rsidRPr="007973C0" w:rsidRDefault="0037749E" w:rsidP="00775786">
                  <w:pPr>
                    <w:pStyle w:val="TableBodyText"/>
                    <w:ind w:right="28"/>
                  </w:pPr>
                  <w:r w:rsidRPr="007973C0">
                    <w:t>24</w:t>
                  </w:r>
                </w:p>
              </w:tc>
              <w:tc>
                <w:tcPr>
                  <w:tcW w:w="919" w:type="pct"/>
                  <w:vAlign w:val="bottom"/>
                </w:tcPr>
                <w:p w14:paraId="347F2531" w14:textId="77777777" w:rsidR="0037749E" w:rsidRPr="007973C0" w:rsidRDefault="0037749E" w:rsidP="00775786">
                  <w:pPr>
                    <w:pStyle w:val="TableBodyText"/>
                    <w:ind w:left="28" w:right="28"/>
                    <w:jc w:val="left"/>
                  </w:pPr>
                  <w:r w:rsidRPr="007973C0">
                    <w:t xml:space="preserve">Belgium </w:t>
                  </w:r>
                  <w:r>
                    <w:t>and</w:t>
                  </w:r>
                  <w:r w:rsidRPr="007973C0">
                    <w:t xml:space="preserve"> Luxembourg</w:t>
                  </w:r>
                  <w:r>
                    <w:rPr>
                      <w:rStyle w:val="NoteLabel"/>
                    </w:rPr>
                    <w:t>d</w:t>
                  </w:r>
                </w:p>
              </w:tc>
              <w:tc>
                <w:tcPr>
                  <w:tcW w:w="584" w:type="pct"/>
                  <w:vAlign w:val="bottom"/>
                </w:tcPr>
                <w:p w14:paraId="0CC29C80" w14:textId="77777777" w:rsidR="0037749E" w:rsidRPr="007973C0" w:rsidRDefault="0037749E" w:rsidP="00775786">
                  <w:pPr>
                    <w:pStyle w:val="TableBodyText"/>
                    <w:ind w:right="28"/>
                  </w:pPr>
                  <w:r>
                    <w:t>2</w:t>
                  </w:r>
                  <w:r w:rsidRPr="007973C0">
                    <w:t xml:space="preserve"> </w:t>
                  </w:r>
                  <w:r>
                    <w:t>870</w:t>
                  </w:r>
                </w:p>
              </w:tc>
              <w:tc>
                <w:tcPr>
                  <w:tcW w:w="585" w:type="pct"/>
                </w:tcPr>
                <w:p w14:paraId="20FA89DB" w14:textId="77777777" w:rsidR="0037749E" w:rsidRPr="007973C0" w:rsidRDefault="0037749E" w:rsidP="00775786">
                  <w:pPr>
                    <w:pStyle w:val="TableBodyText"/>
                    <w:spacing w:before="280"/>
                    <w:ind w:right="28"/>
                  </w:pPr>
                  <w:r>
                    <w:t>148</w:t>
                  </w:r>
                </w:p>
              </w:tc>
            </w:tr>
            <w:tr w:rsidR="0037749E" w14:paraId="7BAA574D" w14:textId="77777777" w:rsidTr="00775786">
              <w:tc>
                <w:tcPr>
                  <w:tcW w:w="160" w:type="pct"/>
                  <w:shd w:val="clear" w:color="auto" w:fill="B2D673"/>
                  <w:vAlign w:val="bottom"/>
                </w:tcPr>
                <w:p w14:paraId="53C4D82D" w14:textId="77777777" w:rsidR="0037749E" w:rsidRPr="007973C0" w:rsidRDefault="0037749E" w:rsidP="00775786">
                  <w:pPr>
                    <w:pStyle w:val="TableBodyText"/>
                    <w:ind w:right="28"/>
                  </w:pPr>
                  <w:r w:rsidRPr="007973C0">
                    <w:t>5</w:t>
                  </w:r>
                </w:p>
              </w:tc>
              <w:tc>
                <w:tcPr>
                  <w:tcW w:w="1165" w:type="pct"/>
                  <w:shd w:val="clear" w:color="auto" w:fill="B2D673"/>
                  <w:vAlign w:val="bottom"/>
                </w:tcPr>
                <w:p w14:paraId="41A61655" w14:textId="77777777" w:rsidR="0037749E" w:rsidRPr="007973C0" w:rsidRDefault="0037749E" w:rsidP="00775786">
                  <w:pPr>
                    <w:pStyle w:val="TableBodyText"/>
                    <w:ind w:left="28" w:right="28"/>
                    <w:jc w:val="left"/>
                  </w:pPr>
                  <w:r w:rsidRPr="007973C0">
                    <w:t>Singapore</w:t>
                  </w:r>
                  <w:proofErr w:type="spellStart"/>
                  <w:r>
                    <w:rPr>
                      <w:rStyle w:val="NoteLabel"/>
                    </w:rPr>
                    <w:t>e,f</w:t>
                  </w:r>
                  <w:proofErr w:type="spellEnd"/>
                </w:p>
              </w:tc>
              <w:tc>
                <w:tcPr>
                  <w:tcW w:w="584" w:type="pct"/>
                  <w:shd w:val="clear" w:color="auto" w:fill="B2D673"/>
                  <w:vAlign w:val="bottom"/>
                </w:tcPr>
                <w:p w14:paraId="1BB38882" w14:textId="77777777" w:rsidR="0037749E" w:rsidRDefault="0037749E" w:rsidP="00775786">
                  <w:pPr>
                    <w:pStyle w:val="TableBodyText"/>
                    <w:ind w:right="28"/>
                  </w:pPr>
                  <w:r>
                    <w:t xml:space="preserve">20 345 </w:t>
                  </w:r>
                </w:p>
              </w:tc>
              <w:tc>
                <w:tcPr>
                  <w:tcW w:w="587" w:type="pct"/>
                  <w:shd w:val="clear" w:color="auto" w:fill="B2D673"/>
                </w:tcPr>
                <w:p w14:paraId="51889D98" w14:textId="77777777" w:rsidR="0037749E" w:rsidRDefault="0037749E" w:rsidP="00775786">
                  <w:pPr>
                    <w:pStyle w:val="TableBodyText"/>
                    <w:spacing w:before="80"/>
                    <w:ind w:right="28"/>
                  </w:pPr>
                  <w:r>
                    <w:t>3 580</w:t>
                  </w:r>
                </w:p>
              </w:tc>
              <w:tc>
                <w:tcPr>
                  <w:tcW w:w="249" w:type="pct"/>
                </w:tcPr>
                <w:p w14:paraId="0112BD2B" w14:textId="77777777" w:rsidR="0037749E" w:rsidRPr="007973C0" w:rsidRDefault="0037749E" w:rsidP="00775786">
                  <w:pPr>
                    <w:pStyle w:val="TableBodyText"/>
                    <w:ind w:right="28"/>
                  </w:pPr>
                </w:p>
              </w:tc>
              <w:tc>
                <w:tcPr>
                  <w:tcW w:w="167" w:type="pct"/>
                  <w:shd w:val="clear" w:color="auto" w:fill="auto"/>
                  <w:vAlign w:val="bottom"/>
                </w:tcPr>
                <w:p w14:paraId="46EFD225" w14:textId="77777777" w:rsidR="0037749E" w:rsidRPr="007973C0" w:rsidRDefault="0037749E" w:rsidP="00775786">
                  <w:pPr>
                    <w:pStyle w:val="TableBodyText"/>
                    <w:ind w:right="28"/>
                  </w:pPr>
                  <w:r w:rsidRPr="007973C0">
                    <w:t>25</w:t>
                  </w:r>
                </w:p>
              </w:tc>
              <w:tc>
                <w:tcPr>
                  <w:tcW w:w="919" w:type="pct"/>
                  <w:shd w:val="clear" w:color="auto" w:fill="auto"/>
                  <w:vAlign w:val="bottom"/>
                </w:tcPr>
                <w:p w14:paraId="795D9FC5" w14:textId="77777777" w:rsidR="0037749E" w:rsidRPr="000A02D7" w:rsidRDefault="0037749E" w:rsidP="00775786">
                  <w:pPr>
                    <w:pStyle w:val="TableBodyText"/>
                    <w:ind w:left="28" w:right="28"/>
                    <w:jc w:val="left"/>
                  </w:pPr>
                  <w:r w:rsidRPr="007973C0">
                    <w:t>Saudi Arabia</w:t>
                  </w:r>
                  <w:r>
                    <w:rPr>
                      <w:rStyle w:val="NoteLabel"/>
                    </w:rPr>
                    <w:t>k</w:t>
                  </w:r>
                </w:p>
              </w:tc>
              <w:tc>
                <w:tcPr>
                  <w:tcW w:w="584" w:type="pct"/>
                  <w:shd w:val="clear" w:color="auto" w:fill="auto"/>
                  <w:vAlign w:val="bottom"/>
                </w:tcPr>
                <w:p w14:paraId="17C73511" w14:textId="77777777" w:rsidR="0037749E" w:rsidRDefault="0037749E" w:rsidP="00775786">
                  <w:pPr>
                    <w:pStyle w:val="TableBodyText"/>
                    <w:ind w:right="28"/>
                  </w:pPr>
                  <w:r w:rsidRPr="007973C0">
                    <w:t xml:space="preserve">2 </w:t>
                  </w:r>
                  <w:r>
                    <w:t>578</w:t>
                  </w:r>
                </w:p>
              </w:tc>
              <w:tc>
                <w:tcPr>
                  <w:tcW w:w="585" w:type="pct"/>
                  <w:shd w:val="clear" w:color="auto" w:fill="auto"/>
                </w:tcPr>
                <w:p w14:paraId="504B8140" w14:textId="77777777" w:rsidR="0037749E" w:rsidRPr="000A02D7" w:rsidRDefault="0037749E" w:rsidP="00775786">
                  <w:pPr>
                    <w:pStyle w:val="TableBodyText"/>
                    <w:spacing w:before="80"/>
                    <w:ind w:right="28"/>
                  </w:pPr>
                  <w:r>
                    <w:t>352</w:t>
                  </w:r>
                </w:p>
              </w:tc>
            </w:tr>
            <w:tr w:rsidR="0037749E" w14:paraId="7A4DD0D2" w14:textId="77777777" w:rsidTr="00775786">
              <w:tc>
                <w:tcPr>
                  <w:tcW w:w="160" w:type="pct"/>
                  <w:shd w:val="clear" w:color="auto" w:fill="B2D673"/>
                  <w:vAlign w:val="bottom"/>
                </w:tcPr>
                <w:p w14:paraId="50E42A1F" w14:textId="77777777" w:rsidR="0037749E" w:rsidRPr="007973C0" w:rsidRDefault="0037749E" w:rsidP="00775786">
                  <w:pPr>
                    <w:pStyle w:val="TableBodyText"/>
                    <w:ind w:right="28"/>
                  </w:pPr>
                  <w:r w:rsidRPr="007973C0">
                    <w:t>6</w:t>
                  </w:r>
                </w:p>
              </w:tc>
              <w:tc>
                <w:tcPr>
                  <w:tcW w:w="1165" w:type="pct"/>
                  <w:shd w:val="clear" w:color="auto" w:fill="B2D673"/>
                  <w:vAlign w:val="bottom"/>
                </w:tcPr>
                <w:p w14:paraId="5C30B88F" w14:textId="77777777" w:rsidR="0037749E" w:rsidRPr="007973C0" w:rsidRDefault="0037749E" w:rsidP="00775786">
                  <w:pPr>
                    <w:pStyle w:val="TableBodyText"/>
                    <w:ind w:left="28" w:right="28"/>
                    <w:jc w:val="left"/>
                  </w:pPr>
                  <w:r w:rsidRPr="007973C0">
                    <w:t>Malaysia</w:t>
                  </w:r>
                  <w:proofErr w:type="spellStart"/>
                  <w:r>
                    <w:rPr>
                      <w:rStyle w:val="NoteLabel"/>
                    </w:rPr>
                    <w:t>e,f</w:t>
                  </w:r>
                  <w:proofErr w:type="spellEnd"/>
                </w:p>
              </w:tc>
              <w:tc>
                <w:tcPr>
                  <w:tcW w:w="584" w:type="pct"/>
                  <w:shd w:val="clear" w:color="auto" w:fill="B2D673"/>
                  <w:vAlign w:val="bottom"/>
                </w:tcPr>
                <w:p w14:paraId="542522DC" w14:textId="77777777" w:rsidR="0037749E" w:rsidRPr="007973C0" w:rsidRDefault="0037749E" w:rsidP="00775786">
                  <w:pPr>
                    <w:pStyle w:val="TableBodyText"/>
                    <w:ind w:right="28"/>
                  </w:pPr>
                  <w:r>
                    <w:t>16</w:t>
                  </w:r>
                  <w:r w:rsidRPr="007973C0">
                    <w:t xml:space="preserve"> </w:t>
                  </w:r>
                  <w:r>
                    <w:t>462</w:t>
                  </w:r>
                </w:p>
              </w:tc>
              <w:tc>
                <w:tcPr>
                  <w:tcW w:w="587" w:type="pct"/>
                  <w:shd w:val="clear" w:color="auto" w:fill="B2D673"/>
                </w:tcPr>
                <w:p w14:paraId="2FB734C1" w14:textId="77777777" w:rsidR="0037749E" w:rsidRPr="007973C0" w:rsidRDefault="0037749E" w:rsidP="00775786">
                  <w:pPr>
                    <w:pStyle w:val="TableBodyText"/>
                    <w:spacing w:before="80"/>
                    <w:ind w:right="28"/>
                  </w:pPr>
                  <w:r>
                    <w:t>1 766</w:t>
                  </w:r>
                </w:p>
              </w:tc>
              <w:tc>
                <w:tcPr>
                  <w:tcW w:w="249" w:type="pct"/>
                </w:tcPr>
                <w:p w14:paraId="226F99FF" w14:textId="77777777" w:rsidR="0037749E" w:rsidRPr="007973C0" w:rsidRDefault="0037749E" w:rsidP="00775786">
                  <w:pPr>
                    <w:pStyle w:val="TableBodyText"/>
                    <w:ind w:right="28"/>
                  </w:pPr>
                </w:p>
              </w:tc>
              <w:tc>
                <w:tcPr>
                  <w:tcW w:w="167" w:type="pct"/>
                  <w:shd w:val="clear" w:color="auto" w:fill="B2D673"/>
                  <w:vAlign w:val="bottom"/>
                </w:tcPr>
                <w:p w14:paraId="2E7382DC" w14:textId="77777777" w:rsidR="0037749E" w:rsidRPr="007973C0" w:rsidRDefault="0037749E" w:rsidP="00775786">
                  <w:pPr>
                    <w:pStyle w:val="TableBodyText"/>
                    <w:ind w:right="28"/>
                  </w:pPr>
                  <w:r w:rsidRPr="007973C0">
                    <w:t>26</w:t>
                  </w:r>
                </w:p>
              </w:tc>
              <w:tc>
                <w:tcPr>
                  <w:tcW w:w="919" w:type="pct"/>
                  <w:shd w:val="clear" w:color="auto" w:fill="B2D673"/>
                  <w:vAlign w:val="bottom"/>
                </w:tcPr>
                <w:p w14:paraId="207006BE" w14:textId="77777777" w:rsidR="0037749E" w:rsidRPr="007973C0" w:rsidRDefault="0037749E" w:rsidP="00775786">
                  <w:pPr>
                    <w:pStyle w:val="TableBodyText"/>
                    <w:ind w:left="28" w:right="28"/>
                    <w:jc w:val="left"/>
                  </w:pPr>
                  <w:r w:rsidRPr="000A02D7">
                    <w:t>Philippines</w:t>
                  </w:r>
                  <w:r>
                    <w:rPr>
                      <w:rStyle w:val="NoteLabel"/>
                    </w:rPr>
                    <w:t>h</w:t>
                  </w:r>
                </w:p>
              </w:tc>
              <w:tc>
                <w:tcPr>
                  <w:tcW w:w="584" w:type="pct"/>
                  <w:shd w:val="clear" w:color="auto" w:fill="B2D673"/>
                  <w:vAlign w:val="bottom"/>
                </w:tcPr>
                <w:p w14:paraId="04BF722E" w14:textId="77777777" w:rsidR="0037749E" w:rsidRPr="007973C0" w:rsidRDefault="0037749E" w:rsidP="00775786">
                  <w:pPr>
                    <w:pStyle w:val="TableBodyText"/>
                    <w:ind w:right="28"/>
                  </w:pPr>
                  <w:r>
                    <w:t>2 518</w:t>
                  </w:r>
                </w:p>
              </w:tc>
              <w:tc>
                <w:tcPr>
                  <w:tcW w:w="585" w:type="pct"/>
                  <w:shd w:val="clear" w:color="auto" w:fill="B2D673"/>
                </w:tcPr>
                <w:p w14:paraId="3F8C094E" w14:textId="77777777" w:rsidR="0037749E" w:rsidRPr="007973C0" w:rsidRDefault="0037749E" w:rsidP="00775786">
                  <w:pPr>
                    <w:pStyle w:val="TableBodyText"/>
                    <w:spacing w:before="80"/>
                    <w:ind w:right="28"/>
                  </w:pPr>
                  <w:r w:rsidRPr="000A02D7">
                    <w:t>593</w:t>
                  </w:r>
                </w:p>
              </w:tc>
            </w:tr>
            <w:tr w:rsidR="0037749E" w14:paraId="6E56A16D" w14:textId="77777777" w:rsidTr="00775786">
              <w:tc>
                <w:tcPr>
                  <w:tcW w:w="160" w:type="pct"/>
                  <w:shd w:val="clear" w:color="auto" w:fill="B2D673"/>
                  <w:vAlign w:val="bottom"/>
                </w:tcPr>
                <w:p w14:paraId="1651002D" w14:textId="77777777" w:rsidR="0037749E" w:rsidRPr="007973C0" w:rsidRDefault="0037749E" w:rsidP="00775786">
                  <w:pPr>
                    <w:pStyle w:val="TableBodyText"/>
                    <w:ind w:right="28"/>
                  </w:pPr>
                  <w:r w:rsidRPr="007973C0">
                    <w:t>7</w:t>
                  </w:r>
                </w:p>
              </w:tc>
              <w:tc>
                <w:tcPr>
                  <w:tcW w:w="1165" w:type="pct"/>
                  <w:shd w:val="clear" w:color="auto" w:fill="B2D673"/>
                  <w:vAlign w:val="bottom"/>
                </w:tcPr>
                <w:p w14:paraId="3C8089CD" w14:textId="77777777" w:rsidR="0037749E" w:rsidRPr="007973C0" w:rsidRDefault="0037749E" w:rsidP="00775786">
                  <w:pPr>
                    <w:pStyle w:val="TableBodyText"/>
                    <w:ind w:left="28" w:right="28"/>
                    <w:jc w:val="left"/>
                  </w:pPr>
                  <w:r w:rsidRPr="007973C0">
                    <w:t>Thailand</w:t>
                  </w:r>
                  <w:r>
                    <w:rPr>
                      <w:rStyle w:val="NoteLabel"/>
                    </w:rPr>
                    <w:t>f</w:t>
                  </w:r>
                </w:p>
              </w:tc>
              <w:tc>
                <w:tcPr>
                  <w:tcW w:w="584" w:type="pct"/>
                  <w:shd w:val="clear" w:color="auto" w:fill="B2D673"/>
                  <w:vAlign w:val="bottom"/>
                </w:tcPr>
                <w:p w14:paraId="2A3353F1" w14:textId="77777777" w:rsidR="0037749E" w:rsidRPr="007973C0" w:rsidRDefault="0037749E" w:rsidP="00775786">
                  <w:pPr>
                    <w:pStyle w:val="TableBodyText"/>
                    <w:ind w:right="28"/>
                  </w:pPr>
                  <w:r w:rsidRPr="007973C0">
                    <w:t>1</w:t>
                  </w:r>
                  <w:r>
                    <w:t>5</w:t>
                  </w:r>
                  <w:r w:rsidRPr="007973C0">
                    <w:t xml:space="preserve"> </w:t>
                  </w:r>
                  <w:r>
                    <w:t>759</w:t>
                  </w:r>
                </w:p>
              </w:tc>
              <w:tc>
                <w:tcPr>
                  <w:tcW w:w="587" w:type="pct"/>
                  <w:shd w:val="clear" w:color="auto" w:fill="B2D673"/>
                </w:tcPr>
                <w:p w14:paraId="0E280F8F" w14:textId="77777777" w:rsidR="0037749E" w:rsidRPr="007973C0" w:rsidRDefault="0037749E" w:rsidP="00775786">
                  <w:pPr>
                    <w:pStyle w:val="TableBodyText"/>
                    <w:spacing w:before="80"/>
                    <w:ind w:right="28"/>
                  </w:pPr>
                  <w:r>
                    <w:t>848</w:t>
                  </w:r>
                </w:p>
              </w:tc>
              <w:tc>
                <w:tcPr>
                  <w:tcW w:w="249" w:type="pct"/>
                </w:tcPr>
                <w:p w14:paraId="31E98D9C" w14:textId="77777777" w:rsidR="0037749E" w:rsidRPr="007973C0" w:rsidRDefault="0037749E" w:rsidP="00775786">
                  <w:pPr>
                    <w:pStyle w:val="TableBodyText"/>
                    <w:ind w:right="28"/>
                  </w:pPr>
                </w:p>
              </w:tc>
              <w:tc>
                <w:tcPr>
                  <w:tcW w:w="167" w:type="pct"/>
                  <w:vAlign w:val="bottom"/>
                </w:tcPr>
                <w:p w14:paraId="67EA5709" w14:textId="77777777" w:rsidR="0037749E" w:rsidRPr="007973C0" w:rsidRDefault="0037749E" w:rsidP="00775786">
                  <w:pPr>
                    <w:pStyle w:val="TableBodyText"/>
                    <w:ind w:right="28"/>
                  </w:pPr>
                  <w:r w:rsidRPr="007973C0">
                    <w:t>27</w:t>
                  </w:r>
                </w:p>
              </w:tc>
              <w:tc>
                <w:tcPr>
                  <w:tcW w:w="919" w:type="pct"/>
                  <w:vAlign w:val="bottom"/>
                </w:tcPr>
                <w:p w14:paraId="2419EB68" w14:textId="77777777" w:rsidR="0037749E" w:rsidRPr="007973C0" w:rsidRDefault="0037749E" w:rsidP="00775786">
                  <w:pPr>
                    <w:pStyle w:val="TableBodyText"/>
                    <w:ind w:left="28" w:right="28"/>
                    <w:jc w:val="left"/>
                  </w:pPr>
                  <w:r w:rsidRPr="007973C0">
                    <w:t>Mexico</w:t>
                  </w:r>
                  <w:proofErr w:type="spellStart"/>
                  <w:r>
                    <w:rPr>
                      <w:rStyle w:val="NoteLabel"/>
                    </w:rPr>
                    <w:t>d,e</w:t>
                  </w:r>
                  <w:proofErr w:type="spellEnd"/>
                </w:p>
              </w:tc>
              <w:tc>
                <w:tcPr>
                  <w:tcW w:w="584" w:type="pct"/>
                  <w:vAlign w:val="bottom"/>
                </w:tcPr>
                <w:p w14:paraId="1168C748" w14:textId="77777777" w:rsidR="0037749E" w:rsidRPr="007973C0" w:rsidRDefault="0037749E" w:rsidP="00775786">
                  <w:pPr>
                    <w:pStyle w:val="TableBodyText"/>
                    <w:ind w:right="28"/>
                  </w:pPr>
                  <w:r w:rsidRPr="007973C0">
                    <w:t xml:space="preserve">2 </w:t>
                  </w:r>
                  <w:r>
                    <w:t>418</w:t>
                  </w:r>
                </w:p>
              </w:tc>
              <w:tc>
                <w:tcPr>
                  <w:tcW w:w="585" w:type="pct"/>
                </w:tcPr>
                <w:p w14:paraId="7BB1C81B" w14:textId="77777777" w:rsidR="0037749E" w:rsidRPr="007973C0" w:rsidRDefault="0037749E" w:rsidP="00775786">
                  <w:pPr>
                    <w:pStyle w:val="TableBodyText"/>
                    <w:spacing w:before="60"/>
                    <w:ind w:right="28"/>
                  </w:pPr>
                  <w:r>
                    <w:t>70</w:t>
                  </w:r>
                </w:p>
              </w:tc>
            </w:tr>
            <w:tr w:rsidR="0037749E" w14:paraId="7CBAB4B8" w14:textId="77777777" w:rsidTr="00775786">
              <w:tc>
                <w:tcPr>
                  <w:tcW w:w="160" w:type="pct"/>
                  <w:shd w:val="clear" w:color="auto" w:fill="B2D673"/>
                  <w:vAlign w:val="bottom"/>
                </w:tcPr>
                <w:p w14:paraId="0C7BC8EA" w14:textId="77777777" w:rsidR="0037749E" w:rsidRPr="007973C0" w:rsidRDefault="0037749E" w:rsidP="00775786">
                  <w:pPr>
                    <w:pStyle w:val="TableBodyText"/>
                    <w:ind w:right="28"/>
                  </w:pPr>
                  <w:r w:rsidRPr="007973C0">
                    <w:t>8</w:t>
                  </w:r>
                </w:p>
              </w:tc>
              <w:tc>
                <w:tcPr>
                  <w:tcW w:w="1165" w:type="pct"/>
                  <w:shd w:val="clear" w:color="auto" w:fill="B2D673"/>
                  <w:vAlign w:val="bottom"/>
                </w:tcPr>
                <w:p w14:paraId="03D7654B" w14:textId="77777777" w:rsidR="0037749E" w:rsidRPr="007973C0" w:rsidRDefault="0037749E" w:rsidP="00775786">
                  <w:pPr>
                    <w:pStyle w:val="TableBodyText"/>
                    <w:ind w:left="28" w:right="28"/>
                    <w:jc w:val="left"/>
                  </w:pPr>
                  <w:r w:rsidRPr="007973C0">
                    <w:t>New Zealand</w:t>
                  </w:r>
                  <w:proofErr w:type="spellStart"/>
                  <w:r>
                    <w:rPr>
                      <w:rStyle w:val="NoteLabel"/>
                    </w:rPr>
                    <w:t>d,e,f,g</w:t>
                  </w:r>
                  <w:proofErr w:type="spellEnd"/>
                </w:p>
              </w:tc>
              <w:tc>
                <w:tcPr>
                  <w:tcW w:w="584" w:type="pct"/>
                  <w:shd w:val="clear" w:color="auto" w:fill="B2D673"/>
                  <w:vAlign w:val="bottom"/>
                </w:tcPr>
                <w:p w14:paraId="7955AF21" w14:textId="77777777" w:rsidR="0037749E" w:rsidRPr="007973C0" w:rsidRDefault="0037749E" w:rsidP="00775786">
                  <w:pPr>
                    <w:pStyle w:val="TableBodyText"/>
                    <w:ind w:right="28"/>
                  </w:pPr>
                  <w:r>
                    <w:t>15 337</w:t>
                  </w:r>
                </w:p>
              </w:tc>
              <w:tc>
                <w:tcPr>
                  <w:tcW w:w="587" w:type="pct"/>
                  <w:shd w:val="clear" w:color="auto" w:fill="B2D673"/>
                </w:tcPr>
                <w:p w14:paraId="672C90BA" w14:textId="77777777" w:rsidR="0037749E" w:rsidRPr="007973C0" w:rsidRDefault="0037749E" w:rsidP="00775786">
                  <w:pPr>
                    <w:pStyle w:val="TableBodyText"/>
                    <w:spacing w:before="80"/>
                    <w:ind w:right="28"/>
                  </w:pPr>
                  <w:r>
                    <w:t>3 876</w:t>
                  </w:r>
                </w:p>
              </w:tc>
              <w:tc>
                <w:tcPr>
                  <w:tcW w:w="249" w:type="pct"/>
                </w:tcPr>
                <w:p w14:paraId="33B926A2" w14:textId="77777777" w:rsidR="0037749E" w:rsidRPr="007973C0" w:rsidRDefault="0037749E" w:rsidP="00775786">
                  <w:pPr>
                    <w:pStyle w:val="TableBodyText"/>
                    <w:ind w:right="28"/>
                  </w:pPr>
                </w:p>
              </w:tc>
              <w:tc>
                <w:tcPr>
                  <w:tcW w:w="167" w:type="pct"/>
                  <w:vAlign w:val="bottom"/>
                </w:tcPr>
                <w:p w14:paraId="610BE061" w14:textId="77777777" w:rsidR="0037749E" w:rsidRPr="007973C0" w:rsidRDefault="0037749E" w:rsidP="00775786">
                  <w:pPr>
                    <w:pStyle w:val="TableBodyText"/>
                    <w:ind w:right="28"/>
                  </w:pPr>
                  <w:r w:rsidRPr="007973C0">
                    <w:t>28</w:t>
                  </w:r>
                </w:p>
              </w:tc>
              <w:tc>
                <w:tcPr>
                  <w:tcW w:w="919" w:type="pct"/>
                  <w:vAlign w:val="bottom"/>
                </w:tcPr>
                <w:p w14:paraId="1FABC6AD" w14:textId="77777777" w:rsidR="0037749E" w:rsidRPr="007973C0" w:rsidRDefault="0037749E" w:rsidP="00775786">
                  <w:pPr>
                    <w:pStyle w:val="TableBodyText"/>
                    <w:ind w:left="28" w:right="28"/>
                    <w:jc w:val="left"/>
                  </w:pPr>
                  <w:r w:rsidRPr="007973C0">
                    <w:t>Sweden</w:t>
                  </w:r>
                  <w:r>
                    <w:rPr>
                      <w:rStyle w:val="NoteLabel"/>
                    </w:rPr>
                    <w:t>d</w:t>
                  </w:r>
                </w:p>
              </w:tc>
              <w:tc>
                <w:tcPr>
                  <w:tcW w:w="584" w:type="pct"/>
                  <w:vAlign w:val="bottom"/>
                </w:tcPr>
                <w:p w14:paraId="1BF1A1BB" w14:textId="77777777" w:rsidR="0037749E" w:rsidRPr="007973C0" w:rsidRDefault="0037749E" w:rsidP="00775786">
                  <w:pPr>
                    <w:pStyle w:val="TableBodyText"/>
                    <w:ind w:right="28"/>
                  </w:pPr>
                  <w:r w:rsidRPr="00E263B0">
                    <w:t>2</w:t>
                  </w:r>
                  <w:r>
                    <w:t xml:space="preserve"> </w:t>
                  </w:r>
                  <w:r w:rsidRPr="00E263B0">
                    <w:t>408</w:t>
                  </w:r>
                </w:p>
              </w:tc>
              <w:tc>
                <w:tcPr>
                  <w:tcW w:w="585" w:type="pct"/>
                </w:tcPr>
                <w:p w14:paraId="1FD65655" w14:textId="77777777" w:rsidR="0037749E" w:rsidRPr="007973C0" w:rsidRDefault="0037749E" w:rsidP="00775786">
                  <w:pPr>
                    <w:pStyle w:val="TableBodyText"/>
                    <w:spacing w:before="80"/>
                    <w:ind w:right="28"/>
                  </w:pPr>
                  <w:r>
                    <w:t>284</w:t>
                  </w:r>
                </w:p>
              </w:tc>
            </w:tr>
            <w:tr w:rsidR="0037749E" w14:paraId="6826A27A" w14:textId="77777777" w:rsidTr="00775786">
              <w:tc>
                <w:tcPr>
                  <w:tcW w:w="160" w:type="pct"/>
                  <w:shd w:val="clear" w:color="auto" w:fill="auto"/>
                  <w:vAlign w:val="bottom"/>
                </w:tcPr>
                <w:p w14:paraId="21B3FFBD" w14:textId="77777777" w:rsidR="0037749E" w:rsidRPr="007973C0" w:rsidRDefault="0037749E" w:rsidP="00775786">
                  <w:pPr>
                    <w:pStyle w:val="TableBodyText"/>
                    <w:ind w:right="28"/>
                  </w:pPr>
                  <w:r w:rsidRPr="007973C0">
                    <w:t>9</w:t>
                  </w:r>
                </w:p>
              </w:tc>
              <w:tc>
                <w:tcPr>
                  <w:tcW w:w="1165" w:type="pct"/>
                  <w:shd w:val="clear" w:color="auto" w:fill="auto"/>
                  <w:vAlign w:val="bottom"/>
                </w:tcPr>
                <w:p w14:paraId="1166CA1C" w14:textId="77777777" w:rsidR="0037749E" w:rsidRPr="007973C0" w:rsidRDefault="0037749E" w:rsidP="00775786">
                  <w:pPr>
                    <w:pStyle w:val="TableBodyText"/>
                    <w:ind w:left="28" w:right="28"/>
                    <w:jc w:val="left"/>
                  </w:pPr>
                  <w:r w:rsidRPr="007973C0">
                    <w:t>Germany</w:t>
                  </w:r>
                  <w:r>
                    <w:rPr>
                      <w:rStyle w:val="NoteLabel"/>
                    </w:rPr>
                    <w:t>d</w:t>
                  </w:r>
                </w:p>
              </w:tc>
              <w:tc>
                <w:tcPr>
                  <w:tcW w:w="584" w:type="pct"/>
                  <w:shd w:val="clear" w:color="auto" w:fill="auto"/>
                  <w:vAlign w:val="bottom"/>
                </w:tcPr>
                <w:p w14:paraId="2F643C7C" w14:textId="77777777" w:rsidR="0037749E" w:rsidRPr="007973C0" w:rsidRDefault="0037749E" w:rsidP="00775786">
                  <w:pPr>
                    <w:pStyle w:val="TableBodyText"/>
                    <w:ind w:right="28"/>
                  </w:pPr>
                  <w:r w:rsidRPr="001C5397">
                    <w:t>13</w:t>
                  </w:r>
                  <w:r>
                    <w:t xml:space="preserve"> </w:t>
                  </w:r>
                  <w:r w:rsidRPr="001C5397">
                    <w:t>757</w:t>
                  </w:r>
                </w:p>
              </w:tc>
              <w:tc>
                <w:tcPr>
                  <w:tcW w:w="587" w:type="pct"/>
                  <w:shd w:val="clear" w:color="auto" w:fill="auto"/>
                </w:tcPr>
                <w:p w14:paraId="3371303F" w14:textId="77777777" w:rsidR="0037749E" w:rsidRPr="007973C0" w:rsidRDefault="0037749E" w:rsidP="00775786">
                  <w:pPr>
                    <w:pStyle w:val="TableBodyText"/>
                    <w:spacing w:before="80"/>
                    <w:ind w:right="28"/>
                  </w:pPr>
                  <w:r>
                    <w:t>1 101</w:t>
                  </w:r>
                </w:p>
              </w:tc>
              <w:tc>
                <w:tcPr>
                  <w:tcW w:w="249" w:type="pct"/>
                </w:tcPr>
                <w:p w14:paraId="1854BA81" w14:textId="77777777" w:rsidR="0037749E" w:rsidRPr="007973C0" w:rsidRDefault="0037749E" w:rsidP="00775786">
                  <w:pPr>
                    <w:pStyle w:val="TableBodyText"/>
                    <w:ind w:right="28"/>
                  </w:pPr>
                </w:p>
              </w:tc>
              <w:tc>
                <w:tcPr>
                  <w:tcW w:w="167" w:type="pct"/>
                  <w:vAlign w:val="bottom"/>
                </w:tcPr>
                <w:p w14:paraId="0583A3A2" w14:textId="77777777" w:rsidR="0037749E" w:rsidRPr="007973C0" w:rsidRDefault="0037749E" w:rsidP="00775786">
                  <w:pPr>
                    <w:pStyle w:val="TableBodyText"/>
                    <w:ind w:right="28"/>
                  </w:pPr>
                  <w:r w:rsidRPr="007973C0">
                    <w:t>29</w:t>
                  </w:r>
                </w:p>
              </w:tc>
              <w:tc>
                <w:tcPr>
                  <w:tcW w:w="919" w:type="pct"/>
                  <w:vAlign w:val="bottom"/>
                </w:tcPr>
                <w:p w14:paraId="26293D3E" w14:textId="77777777" w:rsidR="0037749E" w:rsidRPr="007973C0" w:rsidRDefault="0037749E" w:rsidP="00775786">
                  <w:pPr>
                    <w:pStyle w:val="TableBodyText"/>
                    <w:ind w:left="28" w:right="28"/>
                    <w:jc w:val="left"/>
                  </w:pPr>
                  <w:r>
                    <w:t>Nigeria</w:t>
                  </w:r>
                </w:p>
              </w:tc>
              <w:tc>
                <w:tcPr>
                  <w:tcW w:w="584" w:type="pct"/>
                  <w:vAlign w:val="bottom"/>
                </w:tcPr>
                <w:p w14:paraId="171F40A1" w14:textId="77777777" w:rsidR="0037749E" w:rsidRPr="007973C0" w:rsidRDefault="0037749E" w:rsidP="00775786">
                  <w:pPr>
                    <w:pStyle w:val="TableBodyText"/>
                    <w:ind w:right="28"/>
                  </w:pPr>
                  <w:r>
                    <w:t>2 190</w:t>
                  </w:r>
                </w:p>
              </w:tc>
              <w:tc>
                <w:tcPr>
                  <w:tcW w:w="585" w:type="pct"/>
                </w:tcPr>
                <w:p w14:paraId="24FF1072" w14:textId="77777777" w:rsidR="0037749E" w:rsidRPr="00AF2EC4" w:rsidRDefault="0037749E" w:rsidP="00775786">
                  <w:pPr>
                    <w:pStyle w:val="TableBodyText"/>
                    <w:spacing w:before="80"/>
                    <w:ind w:right="28"/>
                    <w:rPr>
                      <w:b/>
                    </w:rPr>
                  </w:pPr>
                  <w:proofErr w:type="spellStart"/>
                  <w:r w:rsidRPr="00AF2EC4">
                    <w:rPr>
                      <w:b/>
                    </w:rPr>
                    <w:t>na</w:t>
                  </w:r>
                  <w:proofErr w:type="spellEnd"/>
                </w:p>
              </w:tc>
            </w:tr>
            <w:tr w:rsidR="0037749E" w14:paraId="14A4ED24" w14:textId="77777777" w:rsidTr="00775786">
              <w:tc>
                <w:tcPr>
                  <w:tcW w:w="160" w:type="pct"/>
                  <w:shd w:val="clear" w:color="auto" w:fill="B2D673"/>
                  <w:vAlign w:val="bottom"/>
                </w:tcPr>
                <w:p w14:paraId="2D3423F3" w14:textId="77777777" w:rsidR="0037749E" w:rsidRPr="007973C0" w:rsidRDefault="0037749E" w:rsidP="00775786">
                  <w:pPr>
                    <w:pStyle w:val="TableBodyText"/>
                    <w:ind w:right="28"/>
                  </w:pPr>
                  <w:r w:rsidRPr="007973C0">
                    <w:t>10</w:t>
                  </w:r>
                </w:p>
              </w:tc>
              <w:tc>
                <w:tcPr>
                  <w:tcW w:w="1165" w:type="pct"/>
                  <w:shd w:val="clear" w:color="auto" w:fill="B2D673"/>
                  <w:vAlign w:val="bottom"/>
                </w:tcPr>
                <w:p w14:paraId="4453DDE5" w14:textId="77777777" w:rsidR="0037749E" w:rsidRPr="007973C0" w:rsidRDefault="0037749E" w:rsidP="00775786">
                  <w:pPr>
                    <w:pStyle w:val="TableBodyText"/>
                    <w:ind w:left="28" w:right="28"/>
                    <w:jc w:val="left"/>
                  </w:pPr>
                  <w:r w:rsidRPr="007973C0">
                    <w:t>Indonesia</w:t>
                  </w:r>
                  <w:proofErr w:type="spellStart"/>
                  <w:r>
                    <w:rPr>
                      <w:rStyle w:val="NoteLabel"/>
                    </w:rPr>
                    <w:t>h,i</w:t>
                  </w:r>
                  <w:proofErr w:type="spellEnd"/>
                </w:p>
              </w:tc>
              <w:tc>
                <w:tcPr>
                  <w:tcW w:w="584" w:type="pct"/>
                  <w:shd w:val="clear" w:color="auto" w:fill="B2D673"/>
                  <w:vAlign w:val="bottom"/>
                </w:tcPr>
                <w:p w14:paraId="60747201" w14:textId="77777777" w:rsidR="0037749E" w:rsidRPr="007973C0" w:rsidRDefault="0037749E" w:rsidP="00775786">
                  <w:pPr>
                    <w:pStyle w:val="TableBodyText"/>
                    <w:ind w:right="28"/>
                  </w:pPr>
                  <w:r w:rsidRPr="001C5397">
                    <w:t>11</w:t>
                  </w:r>
                  <w:r>
                    <w:t xml:space="preserve"> </w:t>
                  </w:r>
                  <w:r w:rsidRPr="001C5397">
                    <w:t>307</w:t>
                  </w:r>
                </w:p>
              </w:tc>
              <w:tc>
                <w:tcPr>
                  <w:tcW w:w="587" w:type="pct"/>
                  <w:shd w:val="clear" w:color="auto" w:fill="B2D673"/>
                </w:tcPr>
                <w:p w14:paraId="6E468C11" w14:textId="77777777" w:rsidR="0037749E" w:rsidRPr="007973C0" w:rsidRDefault="0037749E" w:rsidP="00775786">
                  <w:pPr>
                    <w:pStyle w:val="TableBodyText"/>
                    <w:spacing w:before="80"/>
                    <w:ind w:right="28"/>
                  </w:pPr>
                  <w:r>
                    <w:t>1 287</w:t>
                  </w:r>
                </w:p>
              </w:tc>
              <w:tc>
                <w:tcPr>
                  <w:tcW w:w="249" w:type="pct"/>
                </w:tcPr>
                <w:p w14:paraId="2378641C" w14:textId="77777777" w:rsidR="0037749E" w:rsidRPr="007973C0" w:rsidRDefault="0037749E" w:rsidP="00775786">
                  <w:pPr>
                    <w:pStyle w:val="TableBodyText"/>
                    <w:ind w:right="28"/>
                  </w:pPr>
                </w:p>
              </w:tc>
              <w:tc>
                <w:tcPr>
                  <w:tcW w:w="167" w:type="pct"/>
                  <w:vAlign w:val="bottom"/>
                </w:tcPr>
                <w:p w14:paraId="5CA54A48" w14:textId="77777777" w:rsidR="0037749E" w:rsidRPr="007973C0" w:rsidRDefault="0037749E" w:rsidP="00775786">
                  <w:pPr>
                    <w:pStyle w:val="TableBodyText"/>
                    <w:ind w:right="28"/>
                  </w:pPr>
                  <w:r w:rsidRPr="007973C0">
                    <w:t>30</w:t>
                  </w:r>
                </w:p>
              </w:tc>
              <w:tc>
                <w:tcPr>
                  <w:tcW w:w="919" w:type="pct"/>
                  <w:vAlign w:val="bottom"/>
                </w:tcPr>
                <w:p w14:paraId="4C1F8A44" w14:textId="77777777" w:rsidR="0037749E" w:rsidRPr="007973C0" w:rsidRDefault="0037749E" w:rsidP="00775786">
                  <w:pPr>
                    <w:pStyle w:val="TableBodyText"/>
                    <w:ind w:left="28" w:right="28"/>
                    <w:jc w:val="left"/>
                  </w:pPr>
                  <w:r>
                    <w:t>Russia</w:t>
                  </w:r>
                </w:p>
              </w:tc>
              <w:tc>
                <w:tcPr>
                  <w:tcW w:w="584" w:type="pct"/>
                  <w:vAlign w:val="bottom"/>
                </w:tcPr>
                <w:p w14:paraId="710831EF" w14:textId="77777777" w:rsidR="0037749E" w:rsidRPr="007973C0" w:rsidRDefault="0037749E" w:rsidP="00775786">
                  <w:pPr>
                    <w:pStyle w:val="TableBodyText"/>
                    <w:ind w:right="28"/>
                  </w:pPr>
                  <w:r>
                    <w:t>2 128</w:t>
                  </w:r>
                </w:p>
              </w:tc>
              <w:tc>
                <w:tcPr>
                  <w:tcW w:w="585" w:type="pct"/>
                </w:tcPr>
                <w:p w14:paraId="627098DB" w14:textId="77777777" w:rsidR="0037749E" w:rsidRPr="007973C0" w:rsidRDefault="0037749E" w:rsidP="00775786">
                  <w:pPr>
                    <w:pStyle w:val="TableBodyText"/>
                    <w:spacing w:before="80"/>
                    <w:ind w:right="28"/>
                  </w:pPr>
                  <w:r>
                    <w:t>162</w:t>
                  </w:r>
                </w:p>
              </w:tc>
            </w:tr>
            <w:tr w:rsidR="0037749E" w14:paraId="7727EE61" w14:textId="77777777" w:rsidTr="00775786">
              <w:tc>
                <w:tcPr>
                  <w:tcW w:w="160" w:type="pct"/>
                  <w:shd w:val="clear" w:color="auto" w:fill="auto"/>
                  <w:vAlign w:val="bottom"/>
                </w:tcPr>
                <w:p w14:paraId="162A40EB" w14:textId="77777777" w:rsidR="0037749E" w:rsidRPr="00827033" w:rsidRDefault="0037749E" w:rsidP="00775786">
                  <w:pPr>
                    <w:pStyle w:val="TableBodyText"/>
                    <w:ind w:right="28"/>
                    <w:rPr>
                      <w:rFonts w:asciiTheme="majorHAnsi" w:hAnsiTheme="majorHAnsi"/>
                    </w:rPr>
                  </w:pPr>
                  <w:r w:rsidRPr="00827033">
                    <w:rPr>
                      <w:rFonts w:asciiTheme="majorHAnsi" w:hAnsiTheme="majorHAnsi"/>
                    </w:rPr>
                    <w:t>11</w:t>
                  </w:r>
                </w:p>
              </w:tc>
              <w:tc>
                <w:tcPr>
                  <w:tcW w:w="1165" w:type="pct"/>
                  <w:shd w:val="clear" w:color="auto" w:fill="auto"/>
                  <w:vAlign w:val="bottom"/>
                </w:tcPr>
                <w:p w14:paraId="6E092BBE" w14:textId="77777777" w:rsidR="0037749E" w:rsidRPr="00827033" w:rsidRDefault="0037749E" w:rsidP="00775786">
                  <w:pPr>
                    <w:pStyle w:val="TableBodyText"/>
                    <w:ind w:left="28" w:right="28"/>
                    <w:jc w:val="left"/>
                    <w:rPr>
                      <w:rFonts w:asciiTheme="majorHAnsi" w:hAnsiTheme="majorHAnsi"/>
                    </w:rPr>
                  </w:pPr>
                  <w:r w:rsidRPr="00827033">
                    <w:rPr>
                      <w:rFonts w:asciiTheme="majorHAnsi" w:hAnsiTheme="majorHAnsi"/>
                    </w:rPr>
                    <w:t>Taiwan</w:t>
                  </w:r>
                  <w:r w:rsidRPr="00827033">
                    <w:rPr>
                      <w:rStyle w:val="NoteLabel"/>
                      <w:rFonts w:asciiTheme="majorHAnsi" w:hAnsiTheme="majorHAnsi"/>
                    </w:rPr>
                    <w:t>d</w:t>
                  </w:r>
                </w:p>
              </w:tc>
              <w:tc>
                <w:tcPr>
                  <w:tcW w:w="584" w:type="pct"/>
                  <w:shd w:val="clear" w:color="auto" w:fill="auto"/>
                  <w:vAlign w:val="bottom"/>
                </w:tcPr>
                <w:p w14:paraId="70E016F3" w14:textId="77777777" w:rsidR="0037749E" w:rsidRPr="00827033" w:rsidRDefault="0037749E" w:rsidP="00775786">
                  <w:pPr>
                    <w:pStyle w:val="TableBodyText"/>
                    <w:ind w:right="28"/>
                    <w:rPr>
                      <w:rFonts w:asciiTheme="majorHAnsi" w:hAnsiTheme="majorHAnsi"/>
                    </w:rPr>
                  </w:pPr>
                  <w:r w:rsidRPr="00827033">
                    <w:rPr>
                      <w:rFonts w:asciiTheme="majorHAnsi" w:hAnsiTheme="majorHAnsi"/>
                    </w:rPr>
                    <w:t>11 188</w:t>
                  </w:r>
                </w:p>
              </w:tc>
              <w:tc>
                <w:tcPr>
                  <w:tcW w:w="587" w:type="pct"/>
                  <w:shd w:val="clear" w:color="auto" w:fill="auto"/>
                </w:tcPr>
                <w:p w14:paraId="5FDD5CF0" w14:textId="77777777" w:rsidR="0037749E" w:rsidRPr="00827033" w:rsidRDefault="0037749E" w:rsidP="00775786">
                  <w:pPr>
                    <w:pStyle w:val="TableBodyText"/>
                    <w:spacing w:before="80"/>
                    <w:ind w:right="28"/>
                    <w:rPr>
                      <w:rFonts w:asciiTheme="majorHAnsi" w:hAnsiTheme="majorHAnsi"/>
                    </w:rPr>
                  </w:pPr>
                  <w:r w:rsidRPr="00827033">
                    <w:rPr>
                      <w:rFonts w:asciiTheme="majorHAnsi" w:hAnsiTheme="majorHAnsi"/>
                    </w:rPr>
                    <w:t>754</w:t>
                  </w:r>
                </w:p>
              </w:tc>
              <w:tc>
                <w:tcPr>
                  <w:tcW w:w="249" w:type="pct"/>
                </w:tcPr>
                <w:p w14:paraId="4A435C59" w14:textId="77777777" w:rsidR="0037749E" w:rsidRPr="00827033" w:rsidRDefault="0037749E" w:rsidP="00775786">
                  <w:pPr>
                    <w:pStyle w:val="TableBodyText"/>
                    <w:ind w:right="28"/>
                    <w:rPr>
                      <w:rFonts w:asciiTheme="majorHAnsi" w:hAnsiTheme="majorHAnsi"/>
                    </w:rPr>
                  </w:pPr>
                </w:p>
              </w:tc>
              <w:tc>
                <w:tcPr>
                  <w:tcW w:w="167" w:type="pct"/>
                  <w:vAlign w:val="bottom"/>
                </w:tcPr>
                <w:p w14:paraId="153A9129" w14:textId="77777777" w:rsidR="0037749E" w:rsidRPr="00827033" w:rsidRDefault="0037749E" w:rsidP="00775786">
                  <w:pPr>
                    <w:pStyle w:val="TableBodyText"/>
                    <w:ind w:right="28"/>
                    <w:rPr>
                      <w:rFonts w:asciiTheme="majorHAnsi" w:hAnsiTheme="majorHAnsi"/>
                    </w:rPr>
                  </w:pPr>
                  <w:r w:rsidRPr="00827033">
                    <w:rPr>
                      <w:rFonts w:asciiTheme="majorHAnsi" w:hAnsiTheme="majorHAnsi"/>
                    </w:rPr>
                    <w:t>31</w:t>
                  </w:r>
                </w:p>
              </w:tc>
              <w:tc>
                <w:tcPr>
                  <w:tcW w:w="919" w:type="pct"/>
                  <w:vAlign w:val="bottom"/>
                </w:tcPr>
                <w:p w14:paraId="02DF88AC" w14:textId="77777777" w:rsidR="0037749E" w:rsidRPr="00827033" w:rsidRDefault="0037749E" w:rsidP="00775786">
                  <w:pPr>
                    <w:pStyle w:val="TableBodyText"/>
                    <w:ind w:left="28" w:right="28"/>
                    <w:jc w:val="left"/>
                    <w:rPr>
                      <w:rFonts w:asciiTheme="majorHAnsi" w:hAnsiTheme="majorHAnsi"/>
                    </w:rPr>
                  </w:pPr>
                  <w:r w:rsidRPr="00827033">
                    <w:rPr>
                      <w:rFonts w:asciiTheme="majorHAnsi" w:hAnsiTheme="majorHAnsi"/>
                    </w:rPr>
                    <w:t>South Africa</w:t>
                  </w:r>
                </w:p>
              </w:tc>
              <w:tc>
                <w:tcPr>
                  <w:tcW w:w="584" w:type="pct"/>
                  <w:vAlign w:val="bottom"/>
                </w:tcPr>
                <w:p w14:paraId="548AD97E" w14:textId="77777777" w:rsidR="0037749E" w:rsidRPr="00827033" w:rsidRDefault="0037749E" w:rsidP="00775786">
                  <w:pPr>
                    <w:pStyle w:val="TableBodyText"/>
                    <w:ind w:right="28"/>
                    <w:rPr>
                      <w:rFonts w:asciiTheme="majorHAnsi" w:hAnsiTheme="majorHAnsi"/>
                    </w:rPr>
                  </w:pPr>
                  <w:r w:rsidRPr="00827033">
                    <w:rPr>
                      <w:rFonts w:asciiTheme="majorHAnsi" w:hAnsiTheme="majorHAnsi"/>
                    </w:rPr>
                    <w:t>2 124</w:t>
                  </w:r>
                </w:p>
              </w:tc>
              <w:tc>
                <w:tcPr>
                  <w:tcW w:w="585" w:type="pct"/>
                </w:tcPr>
                <w:p w14:paraId="6DC69AA7" w14:textId="77777777" w:rsidR="0037749E" w:rsidRPr="00827033" w:rsidRDefault="0037749E" w:rsidP="00775786">
                  <w:pPr>
                    <w:pStyle w:val="TableBodyText"/>
                    <w:spacing w:before="80"/>
                    <w:ind w:right="28"/>
                    <w:rPr>
                      <w:rFonts w:asciiTheme="majorHAnsi" w:hAnsiTheme="majorHAnsi"/>
                    </w:rPr>
                  </w:pPr>
                  <w:r w:rsidRPr="00827033">
                    <w:rPr>
                      <w:rFonts w:asciiTheme="majorHAnsi" w:hAnsiTheme="majorHAnsi"/>
                    </w:rPr>
                    <w:t>394</w:t>
                  </w:r>
                </w:p>
              </w:tc>
            </w:tr>
            <w:tr w:rsidR="0037749E" w14:paraId="26D010B7" w14:textId="77777777" w:rsidTr="00775786">
              <w:tc>
                <w:tcPr>
                  <w:tcW w:w="160" w:type="pct"/>
                  <w:shd w:val="clear" w:color="auto" w:fill="auto"/>
                  <w:vAlign w:val="bottom"/>
                </w:tcPr>
                <w:p w14:paraId="51F0E6DD" w14:textId="77777777" w:rsidR="0037749E" w:rsidRPr="00827033" w:rsidRDefault="0037749E" w:rsidP="00775786">
                  <w:pPr>
                    <w:pStyle w:val="TableBodyText"/>
                    <w:ind w:right="28"/>
                    <w:rPr>
                      <w:rFonts w:asciiTheme="majorHAnsi" w:hAnsiTheme="majorHAnsi"/>
                    </w:rPr>
                  </w:pPr>
                  <w:r w:rsidRPr="00827033">
                    <w:rPr>
                      <w:rFonts w:asciiTheme="majorHAnsi" w:hAnsiTheme="majorHAnsi"/>
                    </w:rPr>
                    <w:t>12</w:t>
                  </w:r>
                </w:p>
              </w:tc>
              <w:tc>
                <w:tcPr>
                  <w:tcW w:w="1165" w:type="pct"/>
                  <w:shd w:val="clear" w:color="auto" w:fill="auto"/>
                  <w:vAlign w:val="bottom"/>
                </w:tcPr>
                <w:p w14:paraId="21D58E38" w14:textId="77777777" w:rsidR="0037749E" w:rsidRPr="00827033" w:rsidRDefault="0037749E" w:rsidP="00775786">
                  <w:pPr>
                    <w:pStyle w:val="TableBodyText"/>
                    <w:ind w:left="28" w:right="28"/>
                    <w:jc w:val="left"/>
                    <w:rPr>
                      <w:rFonts w:asciiTheme="majorHAnsi" w:hAnsiTheme="majorHAnsi"/>
                    </w:rPr>
                  </w:pPr>
                  <w:r w:rsidRPr="00827033">
                    <w:rPr>
                      <w:rFonts w:asciiTheme="majorHAnsi" w:hAnsiTheme="majorHAnsi"/>
                    </w:rPr>
                    <w:t>India</w:t>
                  </w:r>
                  <w:r>
                    <w:rPr>
                      <w:rStyle w:val="NoteLabel"/>
                      <w:rFonts w:asciiTheme="majorHAnsi" w:hAnsiTheme="majorHAnsi"/>
                    </w:rPr>
                    <w:t>j</w:t>
                  </w:r>
                </w:p>
              </w:tc>
              <w:tc>
                <w:tcPr>
                  <w:tcW w:w="584" w:type="pct"/>
                  <w:shd w:val="clear" w:color="auto" w:fill="auto"/>
                  <w:vAlign w:val="bottom"/>
                </w:tcPr>
                <w:p w14:paraId="18BDBD55" w14:textId="77777777" w:rsidR="0037749E" w:rsidRPr="00827033" w:rsidRDefault="0037749E" w:rsidP="00775786">
                  <w:pPr>
                    <w:pStyle w:val="TableBodyText"/>
                    <w:ind w:right="28"/>
                    <w:rPr>
                      <w:rFonts w:asciiTheme="majorHAnsi" w:hAnsiTheme="majorHAnsi"/>
                    </w:rPr>
                  </w:pPr>
                  <w:r w:rsidRPr="00827033">
                    <w:rPr>
                      <w:rFonts w:asciiTheme="majorHAnsi" w:hAnsiTheme="majorHAnsi"/>
                    </w:rPr>
                    <w:t>11 171</w:t>
                  </w:r>
                </w:p>
              </w:tc>
              <w:tc>
                <w:tcPr>
                  <w:tcW w:w="587" w:type="pct"/>
                  <w:shd w:val="clear" w:color="auto" w:fill="auto"/>
                </w:tcPr>
                <w:p w14:paraId="42152831" w14:textId="77777777" w:rsidR="0037749E" w:rsidRPr="00827033" w:rsidRDefault="0037749E" w:rsidP="00775786">
                  <w:pPr>
                    <w:pStyle w:val="TableBodyText"/>
                    <w:spacing w:before="80"/>
                    <w:ind w:right="28"/>
                    <w:rPr>
                      <w:rFonts w:asciiTheme="majorHAnsi" w:hAnsiTheme="majorHAnsi"/>
                    </w:rPr>
                  </w:pPr>
                  <w:r w:rsidRPr="00827033">
                    <w:rPr>
                      <w:rFonts w:asciiTheme="majorHAnsi" w:hAnsiTheme="majorHAnsi"/>
                    </w:rPr>
                    <w:t>2 098</w:t>
                  </w:r>
                </w:p>
              </w:tc>
              <w:tc>
                <w:tcPr>
                  <w:tcW w:w="249" w:type="pct"/>
                </w:tcPr>
                <w:p w14:paraId="40B3B020" w14:textId="77777777" w:rsidR="0037749E" w:rsidRPr="00827033" w:rsidRDefault="0037749E" w:rsidP="00775786">
                  <w:pPr>
                    <w:pStyle w:val="TableBodyText"/>
                    <w:ind w:right="28"/>
                    <w:rPr>
                      <w:rFonts w:asciiTheme="majorHAnsi" w:hAnsiTheme="majorHAnsi"/>
                    </w:rPr>
                  </w:pPr>
                </w:p>
              </w:tc>
              <w:tc>
                <w:tcPr>
                  <w:tcW w:w="167" w:type="pct"/>
                  <w:shd w:val="clear" w:color="auto" w:fill="auto"/>
                  <w:vAlign w:val="bottom"/>
                </w:tcPr>
                <w:p w14:paraId="48788AAD" w14:textId="77777777" w:rsidR="0037749E" w:rsidRPr="00827033" w:rsidRDefault="0037749E" w:rsidP="00775786">
                  <w:pPr>
                    <w:pStyle w:val="TableBodyText"/>
                    <w:ind w:right="28"/>
                    <w:rPr>
                      <w:rFonts w:asciiTheme="majorHAnsi" w:hAnsiTheme="majorHAnsi"/>
                    </w:rPr>
                  </w:pPr>
                  <w:r w:rsidRPr="00827033">
                    <w:rPr>
                      <w:rFonts w:asciiTheme="majorHAnsi" w:hAnsiTheme="majorHAnsi"/>
                    </w:rPr>
                    <w:t>32</w:t>
                  </w:r>
                </w:p>
              </w:tc>
              <w:tc>
                <w:tcPr>
                  <w:tcW w:w="919" w:type="pct"/>
                  <w:shd w:val="clear" w:color="auto" w:fill="auto"/>
                  <w:vAlign w:val="bottom"/>
                </w:tcPr>
                <w:p w14:paraId="536CDA86" w14:textId="77777777" w:rsidR="0037749E" w:rsidRPr="00827033" w:rsidRDefault="0037749E" w:rsidP="00775786">
                  <w:pPr>
                    <w:pStyle w:val="TableBodyText"/>
                    <w:ind w:left="28" w:right="28"/>
                    <w:jc w:val="left"/>
                    <w:rPr>
                      <w:rFonts w:asciiTheme="majorHAnsi" w:hAnsiTheme="majorHAnsi"/>
                    </w:rPr>
                  </w:pPr>
                  <w:r w:rsidRPr="00827033">
                    <w:rPr>
                      <w:rFonts w:asciiTheme="majorHAnsi" w:hAnsiTheme="majorHAnsi"/>
                    </w:rPr>
                    <w:t>Ireland</w:t>
                  </w:r>
                  <w:r w:rsidRPr="00827033">
                    <w:rPr>
                      <w:rStyle w:val="NoteLabel"/>
                      <w:rFonts w:asciiTheme="majorHAnsi" w:hAnsiTheme="majorHAnsi"/>
                    </w:rPr>
                    <w:t>d</w:t>
                  </w:r>
                </w:p>
              </w:tc>
              <w:tc>
                <w:tcPr>
                  <w:tcW w:w="584" w:type="pct"/>
                  <w:shd w:val="clear" w:color="auto" w:fill="auto"/>
                  <w:vAlign w:val="bottom"/>
                </w:tcPr>
                <w:p w14:paraId="1208320E" w14:textId="77777777" w:rsidR="0037749E" w:rsidRPr="00827033" w:rsidRDefault="0037749E" w:rsidP="00775786">
                  <w:pPr>
                    <w:pStyle w:val="TableBodyText"/>
                    <w:spacing w:before="80"/>
                    <w:ind w:right="28"/>
                    <w:rPr>
                      <w:rFonts w:asciiTheme="majorHAnsi" w:hAnsiTheme="majorHAnsi"/>
                    </w:rPr>
                  </w:pPr>
                  <w:r w:rsidRPr="00827033">
                    <w:rPr>
                      <w:rFonts w:asciiTheme="majorHAnsi" w:hAnsiTheme="majorHAnsi"/>
                    </w:rPr>
                    <w:t>1 596</w:t>
                  </w:r>
                </w:p>
              </w:tc>
              <w:tc>
                <w:tcPr>
                  <w:tcW w:w="585" w:type="pct"/>
                  <w:shd w:val="clear" w:color="auto" w:fill="auto"/>
                </w:tcPr>
                <w:p w14:paraId="5F7501B9" w14:textId="77777777" w:rsidR="0037749E" w:rsidRPr="00827033" w:rsidRDefault="0037749E" w:rsidP="00775786">
                  <w:pPr>
                    <w:pStyle w:val="TableBodyText"/>
                    <w:spacing w:before="80"/>
                    <w:ind w:right="28"/>
                    <w:rPr>
                      <w:rFonts w:asciiTheme="majorHAnsi" w:hAnsiTheme="majorHAnsi"/>
                    </w:rPr>
                  </w:pPr>
                  <w:r w:rsidRPr="00827033">
                    <w:rPr>
                      <w:rFonts w:asciiTheme="majorHAnsi" w:hAnsiTheme="majorHAnsi"/>
                    </w:rPr>
                    <w:t>606</w:t>
                  </w:r>
                </w:p>
              </w:tc>
            </w:tr>
            <w:tr w:rsidR="0037749E" w14:paraId="45CCB6DF" w14:textId="77777777" w:rsidTr="00775786">
              <w:tc>
                <w:tcPr>
                  <w:tcW w:w="160" w:type="pct"/>
                  <w:shd w:val="clear" w:color="auto" w:fill="auto"/>
                  <w:vAlign w:val="bottom"/>
                </w:tcPr>
                <w:p w14:paraId="171E15A6" w14:textId="77777777" w:rsidR="0037749E" w:rsidRPr="00827033" w:rsidRDefault="0037749E" w:rsidP="00775786">
                  <w:pPr>
                    <w:pStyle w:val="TableBodyText"/>
                    <w:ind w:right="28"/>
                    <w:rPr>
                      <w:rFonts w:asciiTheme="majorHAnsi" w:hAnsiTheme="majorHAnsi"/>
                    </w:rPr>
                  </w:pPr>
                  <w:r w:rsidRPr="00827033">
                    <w:rPr>
                      <w:rFonts w:asciiTheme="majorHAnsi" w:hAnsiTheme="majorHAnsi"/>
                    </w:rPr>
                    <w:t>13</w:t>
                  </w:r>
                </w:p>
              </w:tc>
              <w:tc>
                <w:tcPr>
                  <w:tcW w:w="1165" w:type="pct"/>
                  <w:shd w:val="clear" w:color="auto" w:fill="auto"/>
                  <w:vAlign w:val="bottom"/>
                </w:tcPr>
                <w:p w14:paraId="78313A9F" w14:textId="77777777" w:rsidR="0037749E" w:rsidRPr="00827033" w:rsidRDefault="0037749E" w:rsidP="00775786">
                  <w:pPr>
                    <w:pStyle w:val="TableBodyText"/>
                    <w:ind w:left="28" w:right="28"/>
                    <w:jc w:val="left"/>
                    <w:rPr>
                      <w:rFonts w:asciiTheme="majorHAnsi" w:hAnsiTheme="majorHAnsi"/>
                    </w:rPr>
                  </w:pPr>
                  <w:r w:rsidRPr="00827033">
                    <w:rPr>
                      <w:rFonts w:asciiTheme="majorHAnsi" w:hAnsiTheme="majorHAnsi"/>
                    </w:rPr>
                    <w:t>United Kingdom</w:t>
                  </w:r>
                  <w:r w:rsidRPr="00827033">
                    <w:rPr>
                      <w:rStyle w:val="NoteLabel"/>
                      <w:rFonts w:asciiTheme="majorHAnsi" w:hAnsiTheme="majorHAnsi"/>
                    </w:rPr>
                    <w:t>d</w:t>
                  </w:r>
                </w:p>
              </w:tc>
              <w:tc>
                <w:tcPr>
                  <w:tcW w:w="584" w:type="pct"/>
                  <w:shd w:val="clear" w:color="auto" w:fill="auto"/>
                  <w:vAlign w:val="bottom"/>
                </w:tcPr>
                <w:p w14:paraId="13A2E43E" w14:textId="77777777" w:rsidR="0037749E" w:rsidRPr="00827033" w:rsidRDefault="0037749E" w:rsidP="00775786">
                  <w:pPr>
                    <w:pStyle w:val="TableBodyText"/>
                    <w:ind w:right="28"/>
                    <w:rPr>
                      <w:rFonts w:asciiTheme="majorHAnsi" w:hAnsiTheme="majorHAnsi"/>
                    </w:rPr>
                  </w:pPr>
                  <w:r w:rsidRPr="00827033">
                    <w:rPr>
                      <w:rFonts w:asciiTheme="majorHAnsi" w:hAnsiTheme="majorHAnsi"/>
                    </w:rPr>
                    <w:t>9 888</w:t>
                  </w:r>
                </w:p>
              </w:tc>
              <w:tc>
                <w:tcPr>
                  <w:tcW w:w="587" w:type="pct"/>
                  <w:shd w:val="clear" w:color="auto" w:fill="auto"/>
                </w:tcPr>
                <w:p w14:paraId="6B1AE960" w14:textId="77777777" w:rsidR="0037749E" w:rsidRPr="00827033" w:rsidRDefault="0037749E" w:rsidP="00775786">
                  <w:pPr>
                    <w:pStyle w:val="TableBodyText"/>
                    <w:spacing w:before="80"/>
                    <w:ind w:right="28"/>
                    <w:rPr>
                      <w:rFonts w:asciiTheme="majorHAnsi" w:hAnsiTheme="majorHAnsi"/>
                    </w:rPr>
                  </w:pPr>
                  <w:r w:rsidRPr="00827033">
                    <w:rPr>
                      <w:rFonts w:asciiTheme="majorHAnsi" w:hAnsiTheme="majorHAnsi"/>
                    </w:rPr>
                    <w:t>4 168</w:t>
                  </w:r>
                </w:p>
              </w:tc>
              <w:tc>
                <w:tcPr>
                  <w:tcW w:w="249" w:type="pct"/>
                </w:tcPr>
                <w:p w14:paraId="0277F354" w14:textId="77777777" w:rsidR="0037749E" w:rsidRPr="00827033" w:rsidRDefault="0037749E" w:rsidP="00775786">
                  <w:pPr>
                    <w:pStyle w:val="TableBodyText"/>
                    <w:ind w:right="28"/>
                    <w:rPr>
                      <w:rFonts w:asciiTheme="majorHAnsi" w:hAnsiTheme="majorHAnsi"/>
                    </w:rPr>
                  </w:pPr>
                </w:p>
              </w:tc>
              <w:tc>
                <w:tcPr>
                  <w:tcW w:w="167" w:type="pct"/>
                  <w:shd w:val="clear" w:color="auto" w:fill="auto"/>
                  <w:vAlign w:val="bottom"/>
                </w:tcPr>
                <w:p w14:paraId="4EBE7CC3" w14:textId="77777777" w:rsidR="0037749E" w:rsidRPr="00827033" w:rsidRDefault="0037749E" w:rsidP="00775786">
                  <w:pPr>
                    <w:pStyle w:val="TableBodyText"/>
                    <w:ind w:right="28"/>
                    <w:rPr>
                      <w:rFonts w:asciiTheme="majorHAnsi" w:hAnsiTheme="majorHAnsi"/>
                    </w:rPr>
                  </w:pPr>
                  <w:r w:rsidRPr="00827033">
                    <w:rPr>
                      <w:rFonts w:asciiTheme="majorHAnsi" w:hAnsiTheme="majorHAnsi"/>
                    </w:rPr>
                    <w:t>33</w:t>
                  </w:r>
                </w:p>
              </w:tc>
              <w:tc>
                <w:tcPr>
                  <w:tcW w:w="919" w:type="pct"/>
                  <w:shd w:val="clear" w:color="auto" w:fill="auto"/>
                  <w:vAlign w:val="bottom"/>
                </w:tcPr>
                <w:p w14:paraId="7CC514DD" w14:textId="77777777" w:rsidR="0037749E" w:rsidRPr="00827033" w:rsidRDefault="0037749E" w:rsidP="00775786">
                  <w:pPr>
                    <w:pStyle w:val="TableBodyText"/>
                    <w:ind w:left="28" w:right="28"/>
                    <w:jc w:val="left"/>
                    <w:rPr>
                      <w:rFonts w:asciiTheme="majorHAnsi" w:hAnsiTheme="majorHAnsi"/>
                    </w:rPr>
                  </w:pPr>
                  <w:r w:rsidRPr="00827033">
                    <w:rPr>
                      <w:rFonts w:asciiTheme="majorHAnsi" w:hAnsiTheme="majorHAnsi"/>
                    </w:rPr>
                    <w:t>Turkey</w:t>
                  </w:r>
                  <w:r w:rsidRPr="00827033">
                    <w:rPr>
                      <w:rStyle w:val="NoteLabel"/>
                      <w:rFonts w:asciiTheme="majorHAnsi" w:hAnsiTheme="majorHAnsi"/>
                    </w:rPr>
                    <w:t>d</w:t>
                  </w:r>
                </w:p>
              </w:tc>
              <w:tc>
                <w:tcPr>
                  <w:tcW w:w="584" w:type="pct"/>
                  <w:shd w:val="clear" w:color="auto" w:fill="auto"/>
                  <w:vAlign w:val="bottom"/>
                </w:tcPr>
                <w:p w14:paraId="2FBE52D4" w14:textId="77777777" w:rsidR="0037749E" w:rsidRPr="00827033" w:rsidRDefault="0037749E" w:rsidP="00775786">
                  <w:pPr>
                    <w:pStyle w:val="TableBodyText"/>
                    <w:ind w:right="28"/>
                    <w:rPr>
                      <w:rFonts w:asciiTheme="majorHAnsi" w:hAnsiTheme="majorHAnsi"/>
                    </w:rPr>
                  </w:pPr>
                  <w:r w:rsidRPr="00827033">
                    <w:rPr>
                      <w:rFonts w:asciiTheme="majorHAnsi" w:hAnsiTheme="majorHAnsi"/>
                    </w:rPr>
                    <w:t>1 440</w:t>
                  </w:r>
                </w:p>
              </w:tc>
              <w:tc>
                <w:tcPr>
                  <w:tcW w:w="585" w:type="pct"/>
                  <w:shd w:val="clear" w:color="auto" w:fill="auto"/>
                </w:tcPr>
                <w:p w14:paraId="337C621D" w14:textId="77777777" w:rsidR="0037749E" w:rsidRPr="00827033" w:rsidRDefault="0037749E" w:rsidP="00775786">
                  <w:pPr>
                    <w:pStyle w:val="TableBodyText"/>
                    <w:spacing w:before="80"/>
                    <w:ind w:right="28"/>
                    <w:rPr>
                      <w:rFonts w:asciiTheme="majorHAnsi" w:hAnsiTheme="majorHAnsi"/>
                    </w:rPr>
                  </w:pPr>
                  <w:r w:rsidRPr="00827033">
                    <w:rPr>
                      <w:rFonts w:asciiTheme="majorHAnsi" w:hAnsiTheme="majorHAnsi"/>
                    </w:rPr>
                    <w:t>121</w:t>
                  </w:r>
                </w:p>
              </w:tc>
            </w:tr>
            <w:tr w:rsidR="0037749E" w14:paraId="0949F3A2" w14:textId="77777777" w:rsidTr="00775786">
              <w:tc>
                <w:tcPr>
                  <w:tcW w:w="160" w:type="pct"/>
                  <w:shd w:val="clear" w:color="auto" w:fill="B2D673"/>
                  <w:vAlign w:val="bottom"/>
                </w:tcPr>
                <w:p w14:paraId="599055AA" w14:textId="77777777" w:rsidR="0037749E" w:rsidRPr="00827033" w:rsidRDefault="0037749E" w:rsidP="00775786">
                  <w:pPr>
                    <w:pStyle w:val="TableBodyText"/>
                    <w:ind w:right="28"/>
                    <w:rPr>
                      <w:rFonts w:asciiTheme="majorHAnsi" w:hAnsiTheme="majorHAnsi"/>
                    </w:rPr>
                  </w:pPr>
                  <w:r w:rsidRPr="00827033">
                    <w:rPr>
                      <w:rFonts w:asciiTheme="majorHAnsi" w:hAnsiTheme="majorHAnsi"/>
                    </w:rPr>
                    <w:t>14</w:t>
                  </w:r>
                </w:p>
              </w:tc>
              <w:tc>
                <w:tcPr>
                  <w:tcW w:w="1165" w:type="pct"/>
                  <w:shd w:val="clear" w:color="auto" w:fill="B2D673"/>
                  <w:vAlign w:val="bottom"/>
                </w:tcPr>
                <w:p w14:paraId="11332DA2" w14:textId="77777777" w:rsidR="0037749E" w:rsidRPr="00827033" w:rsidRDefault="0037749E" w:rsidP="00775786">
                  <w:pPr>
                    <w:pStyle w:val="TableBodyText"/>
                    <w:ind w:left="28" w:right="28"/>
                    <w:jc w:val="left"/>
                    <w:rPr>
                      <w:rFonts w:asciiTheme="majorHAnsi" w:hAnsiTheme="majorHAnsi"/>
                    </w:rPr>
                  </w:pPr>
                  <w:r w:rsidRPr="00827033">
                    <w:rPr>
                      <w:rFonts w:asciiTheme="majorHAnsi" w:hAnsiTheme="majorHAnsi"/>
                    </w:rPr>
                    <w:t>Vietnam</w:t>
                  </w:r>
                  <w:proofErr w:type="spellStart"/>
                  <w:r>
                    <w:rPr>
                      <w:rStyle w:val="NoteLabel"/>
                      <w:rFonts w:asciiTheme="majorHAnsi" w:hAnsiTheme="majorHAnsi"/>
                    </w:rPr>
                    <w:t>e,h</w:t>
                  </w:r>
                  <w:proofErr w:type="spellEnd"/>
                </w:p>
              </w:tc>
              <w:tc>
                <w:tcPr>
                  <w:tcW w:w="584" w:type="pct"/>
                  <w:shd w:val="clear" w:color="auto" w:fill="B2D673"/>
                  <w:vAlign w:val="bottom"/>
                </w:tcPr>
                <w:p w14:paraId="736A4F47" w14:textId="77777777" w:rsidR="0037749E" w:rsidRPr="00827033" w:rsidRDefault="0037749E" w:rsidP="00775786">
                  <w:pPr>
                    <w:pStyle w:val="TableBodyText"/>
                    <w:ind w:right="28"/>
                    <w:rPr>
                      <w:rFonts w:asciiTheme="majorHAnsi" w:hAnsiTheme="majorHAnsi"/>
                    </w:rPr>
                  </w:pPr>
                  <w:r w:rsidRPr="00827033">
                    <w:rPr>
                      <w:rFonts w:asciiTheme="majorHAnsi" w:hAnsiTheme="majorHAnsi"/>
                    </w:rPr>
                    <w:t>7 236</w:t>
                  </w:r>
                </w:p>
              </w:tc>
              <w:tc>
                <w:tcPr>
                  <w:tcW w:w="587" w:type="pct"/>
                  <w:shd w:val="clear" w:color="auto" w:fill="B2D673"/>
                </w:tcPr>
                <w:p w14:paraId="5070562C" w14:textId="77777777" w:rsidR="0037749E" w:rsidRPr="00827033" w:rsidRDefault="0037749E" w:rsidP="00775786">
                  <w:pPr>
                    <w:pStyle w:val="TableBodyText"/>
                    <w:spacing w:before="80"/>
                    <w:ind w:right="28"/>
                    <w:rPr>
                      <w:rFonts w:asciiTheme="majorHAnsi" w:hAnsiTheme="majorHAnsi"/>
                    </w:rPr>
                  </w:pPr>
                  <w:r w:rsidRPr="00827033">
                    <w:rPr>
                      <w:rFonts w:asciiTheme="majorHAnsi" w:hAnsiTheme="majorHAnsi"/>
                    </w:rPr>
                    <w:t>1 084</w:t>
                  </w:r>
                </w:p>
              </w:tc>
              <w:tc>
                <w:tcPr>
                  <w:tcW w:w="249" w:type="pct"/>
                </w:tcPr>
                <w:p w14:paraId="00A6A7BC" w14:textId="77777777" w:rsidR="0037749E" w:rsidRPr="00827033" w:rsidRDefault="0037749E" w:rsidP="00775786">
                  <w:pPr>
                    <w:pStyle w:val="TableBodyText"/>
                    <w:ind w:right="28"/>
                    <w:rPr>
                      <w:rFonts w:asciiTheme="majorHAnsi" w:hAnsiTheme="majorHAnsi"/>
                    </w:rPr>
                  </w:pPr>
                </w:p>
              </w:tc>
              <w:tc>
                <w:tcPr>
                  <w:tcW w:w="167" w:type="pct"/>
                  <w:shd w:val="clear" w:color="auto" w:fill="B2D673"/>
                  <w:vAlign w:val="bottom"/>
                </w:tcPr>
                <w:p w14:paraId="147D914B" w14:textId="77777777" w:rsidR="0037749E" w:rsidRPr="00827033" w:rsidRDefault="0037749E" w:rsidP="00775786">
                  <w:pPr>
                    <w:pStyle w:val="TableBodyText"/>
                    <w:ind w:right="28"/>
                    <w:rPr>
                      <w:rFonts w:asciiTheme="majorHAnsi" w:hAnsiTheme="majorHAnsi"/>
                    </w:rPr>
                  </w:pPr>
                  <w:r w:rsidRPr="00827033">
                    <w:rPr>
                      <w:rFonts w:asciiTheme="majorHAnsi" w:hAnsiTheme="majorHAnsi"/>
                    </w:rPr>
                    <w:t>34</w:t>
                  </w:r>
                </w:p>
              </w:tc>
              <w:tc>
                <w:tcPr>
                  <w:tcW w:w="919" w:type="pct"/>
                  <w:shd w:val="clear" w:color="auto" w:fill="B2D673"/>
                  <w:vAlign w:val="bottom"/>
                </w:tcPr>
                <w:p w14:paraId="303BB45A" w14:textId="77777777" w:rsidR="0037749E" w:rsidRPr="00827033" w:rsidRDefault="0037749E" w:rsidP="00775786">
                  <w:pPr>
                    <w:pStyle w:val="TableBodyText"/>
                    <w:ind w:left="28" w:right="28"/>
                    <w:jc w:val="left"/>
                    <w:rPr>
                      <w:rFonts w:asciiTheme="majorHAnsi" w:hAnsiTheme="majorHAnsi"/>
                    </w:rPr>
                  </w:pPr>
                  <w:r w:rsidRPr="00827033">
                    <w:rPr>
                      <w:rFonts w:asciiTheme="majorHAnsi" w:hAnsiTheme="majorHAnsi"/>
                    </w:rPr>
                    <w:t>Chile</w:t>
                  </w:r>
                  <w:proofErr w:type="spellStart"/>
                  <w:r w:rsidRPr="00827033">
                    <w:rPr>
                      <w:rStyle w:val="NoteLabel"/>
                      <w:rFonts w:asciiTheme="majorHAnsi" w:hAnsiTheme="majorHAnsi"/>
                    </w:rPr>
                    <w:t>d,e</w:t>
                  </w:r>
                  <w:proofErr w:type="spellEnd"/>
                </w:p>
              </w:tc>
              <w:tc>
                <w:tcPr>
                  <w:tcW w:w="584" w:type="pct"/>
                  <w:shd w:val="clear" w:color="auto" w:fill="B2D673"/>
                  <w:vAlign w:val="bottom"/>
                </w:tcPr>
                <w:p w14:paraId="7D82B852" w14:textId="77777777" w:rsidR="0037749E" w:rsidRPr="00827033" w:rsidRDefault="0037749E" w:rsidP="00775786">
                  <w:pPr>
                    <w:pStyle w:val="TableBodyText"/>
                    <w:ind w:right="28"/>
                    <w:rPr>
                      <w:rFonts w:asciiTheme="majorHAnsi" w:hAnsiTheme="majorHAnsi"/>
                    </w:rPr>
                  </w:pPr>
                  <w:r w:rsidRPr="00827033">
                    <w:rPr>
                      <w:rFonts w:asciiTheme="majorHAnsi" w:hAnsiTheme="majorHAnsi"/>
                    </w:rPr>
                    <w:t>1 417</w:t>
                  </w:r>
                </w:p>
              </w:tc>
              <w:tc>
                <w:tcPr>
                  <w:tcW w:w="585" w:type="pct"/>
                  <w:shd w:val="clear" w:color="auto" w:fill="B2D673"/>
                </w:tcPr>
                <w:p w14:paraId="1AE61F42" w14:textId="77777777" w:rsidR="0037749E" w:rsidRPr="00827033" w:rsidRDefault="0037749E" w:rsidP="00775786">
                  <w:pPr>
                    <w:pStyle w:val="TableBodyText"/>
                    <w:spacing w:before="80"/>
                    <w:ind w:right="28"/>
                    <w:rPr>
                      <w:rFonts w:asciiTheme="majorHAnsi" w:hAnsiTheme="majorHAnsi"/>
                    </w:rPr>
                  </w:pPr>
                  <w:r w:rsidRPr="00827033">
                    <w:rPr>
                      <w:rFonts w:asciiTheme="majorHAnsi" w:hAnsiTheme="majorHAnsi"/>
                    </w:rPr>
                    <w:t>186</w:t>
                  </w:r>
                </w:p>
              </w:tc>
            </w:tr>
            <w:tr w:rsidR="0037749E" w14:paraId="259E7F67" w14:textId="77777777" w:rsidTr="00775786">
              <w:tc>
                <w:tcPr>
                  <w:tcW w:w="160" w:type="pct"/>
                  <w:shd w:val="clear" w:color="auto" w:fill="auto"/>
                  <w:vAlign w:val="bottom"/>
                </w:tcPr>
                <w:p w14:paraId="75143A5B" w14:textId="77777777" w:rsidR="0037749E" w:rsidRPr="00827033" w:rsidRDefault="0037749E" w:rsidP="00775786">
                  <w:pPr>
                    <w:pStyle w:val="TableBodyText"/>
                    <w:ind w:right="28"/>
                    <w:rPr>
                      <w:rFonts w:asciiTheme="majorHAnsi" w:hAnsiTheme="majorHAnsi"/>
                    </w:rPr>
                  </w:pPr>
                  <w:r w:rsidRPr="00827033">
                    <w:rPr>
                      <w:rFonts w:asciiTheme="majorHAnsi" w:hAnsiTheme="majorHAnsi"/>
                    </w:rPr>
                    <w:t>15</w:t>
                  </w:r>
                </w:p>
              </w:tc>
              <w:tc>
                <w:tcPr>
                  <w:tcW w:w="1165" w:type="pct"/>
                  <w:shd w:val="clear" w:color="auto" w:fill="auto"/>
                  <w:vAlign w:val="bottom"/>
                </w:tcPr>
                <w:p w14:paraId="240FB138" w14:textId="77777777" w:rsidR="0037749E" w:rsidRPr="00827033" w:rsidRDefault="0037749E" w:rsidP="00775786">
                  <w:pPr>
                    <w:pStyle w:val="TableBodyText"/>
                    <w:ind w:left="28" w:right="28"/>
                    <w:jc w:val="left"/>
                    <w:rPr>
                      <w:rFonts w:asciiTheme="majorHAnsi" w:hAnsiTheme="majorHAnsi"/>
                    </w:rPr>
                  </w:pPr>
                  <w:r w:rsidRPr="00827033">
                    <w:rPr>
                      <w:rFonts w:asciiTheme="majorHAnsi" w:hAnsiTheme="majorHAnsi"/>
                    </w:rPr>
                    <w:t>Italy</w:t>
                  </w:r>
                  <w:r w:rsidRPr="00827033">
                    <w:rPr>
                      <w:rStyle w:val="NoteLabel"/>
                      <w:rFonts w:asciiTheme="majorHAnsi" w:hAnsiTheme="majorHAnsi"/>
                    </w:rPr>
                    <w:t>d</w:t>
                  </w:r>
                </w:p>
              </w:tc>
              <w:tc>
                <w:tcPr>
                  <w:tcW w:w="584" w:type="pct"/>
                  <w:shd w:val="clear" w:color="auto" w:fill="auto"/>
                  <w:vAlign w:val="bottom"/>
                </w:tcPr>
                <w:p w14:paraId="090E6413" w14:textId="77777777" w:rsidR="0037749E" w:rsidRPr="00827033" w:rsidRDefault="0037749E" w:rsidP="00775786">
                  <w:pPr>
                    <w:pStyle w:val="TableBodyText"/>
                    <w:ind w:right="28"/>
                    <w:rPr>
                      <w:rFonts w:asciiTheme="majorHAnsi" w:hAnsiTheme="majorHAnsi"/>
                    </w:rPr>
                  </w:pPr>
                  <w:r w:rsidRPr="00827033">
                    <w:rPr>
                      <w:rFonts w:asciiTheme="majorHAnsi" w:hAnsiTheme="majorHAnsi"/>
                    </w:rPr>
                    <w:t>6 584</w:t>
                  </w:r>
                </w:p>
              </w:tc>
              <w:tc>
                <w:tcPr>
                  <w:tcW w:w="587" w:type="pct"/>
                  <w:shd w:val="clear" w:color="auto" w:fill="auto"/>
                </w:tcPr>
                <w:p w14:paraId="0821DF42" w14:textId="77777777" w:rsidR="0037749E" w:rsidRPr="00827033" w:rsidRDefault="0037749E" w:rsidP="00775786">
                  <w:pPr>
                    <w:pStyle w:val="TableBodyText"/>
                    <w:spacing w:before="80"/>
                    <w:ind w:right="28"/>
                    <w:rPr>
                      <w:rFonts w:asciiTheme="majorHAnsi" w:hAnsiTheme="majorHAnsi"/>
                    </w:rPr>
                  </w:pPr>
                  <w:r w:rsidRPr="00827033">
                    <w:rPr>
                      <w:rFonts w:asciiTheme="majorHAnsi" w:hAnsiTheme="majorHAnsi"/>
                    </w:rPr>
                    <w:t>515</w:t>
                  </w:r>
                </w:p>
              </w:tc>
              <w:tc>
                <w:tcPr>
                  <w:tcW w:w="249" w:type="pct"/>
                </w:tcPr>
                <w:p w14:paraId="167E9CDA" w14:textId="77777777" w:rsidR="0037749E" w:rsidRPr="00827033" w:rsidRDefault="0037749E" w:rsidP="00775786">
                  <w:pPr>
                    <w:pStyle w:val="TableBodyText"/>
                    <w:ind w:right="28"/>
                    <w:rPr>
                      <w:rFonts w:asciiTheme="majorHAnsi" w:hAnsiTheme="majorHAnsi"/>
                    </w:rPr>
                  </w:pPr>
                </w:p>
              </w:tc>
              <w:tc>
                <w:tcPr>
                  <w:tcW w:w="167" w:type="pct"/>
                  <w:shd w:val="clear" w:color="auto" w:fill="auto"/>
                  <w:vAlign w:val="bottom"/>
                </w:tcPr>
                <w:p w14:paraId="125421AD" w14:textId="77777777" w:rsidR="0037749E" w:rsidRPr="00827033" w:rsidRDefault="0037749E" w:rsidP="00775786">
                  <w:pPr>
                    <w:pStyle w:val="TableBodyText"/>
                    <w:ind w:right="28"/>
                    <w:rPr>
                      <w:rFonts w:asciiTheme="majorHAnsi" w:hAnsiTheme="majorHAnsi"/>
                    </w:rPr>
                  </w:pPr>
                  <w:r w:rsidRPr="00827033">
                    <w:rPr>
                      <w:rFonts w:asciiTheme="majorHAnsi" w:hAnsiTheme="majorHAnsi"/>
                    </w:rPr>
                    <w:t>35</w:t>
                  </w:r>
                </w:p>
              </w:tc>
              <w:tc>
                <w:tcPr>
                  <w:tcW w:w="919" w:type="pct"/>
                  <w:shd w:val="clear" w:color="auto" w:fill="auto"/>
                  <w:vAlign w:val="bottom"/>
                </w:tcPr>
                <w:p w14:paraId="409CB274" w14:textId="77777777" w:rsidR="0037749E" w:rsidRPr="00827033" w:rsidRDefault="0037749E" w:rsidP="00775786">
                  <w:pPr>
                    <w:pStyle w:val="TableBodyText"/>
                    <w:ind w:left="28" w:right="28"/>
                    <w:jc w:val="left"/>
                    <w:rPr>
                      <w:rFonts w:asciiTheme="majorHAnsi" w:hAnsiTheme="majorHAnsi"/>
                    </w:rPr>
                  </w:pPr>
                  <w:r w:rsidRPr="00827033">
                    <w:rPr>
                      <w:rFonts w:asciiTheme="majorHAnsi" w:hAnsiTheme="majorHAnsi"/>
                    </w:rPr>
                    <w:t>Brazil</w:t>
                  </w:r>
                </w:p>
              </w:tc>
              <w:tc>
                <w:tcPr>
                  <w:tcW w:w="584" w:type="pct"/>
                  <w:shd w:val="clear" w:color="auto" w:fill="auto"/>
                  <w:vAlign w:val="bottom"/>
                </w:tcPr>
                <w:p w14:paraId="5676E65A" w14:textId="77777777" w:rsidR="0037749E" w:rsidRPr="00827033" w:rsidRDefault="0037749E" w:rsidP="00775786">
                  <w:pPr>
                    <w:pStyle w:val="TableBodyText"/>
                    <w:ind w:right="28"/>
                    <w:rPr>
                      <w:rFonts w:asciiTheme="majorHAnsi" w:hAnsiTheme="majorHAnsi"/>
                    </w:rPr>
                  </w:pPr>
                  <w:r w:rsidRPr="00827033">
                    <w:rPr>
                      <w:rFonts w:asciiTheme="majorHAnsi" w:hAnsiTheme="majorHAnsi"/>
                    </w:rPr>
                    <w:t>1 361</w:t>
                  </w:r>
                </w:p>
              </w:tc>
              <w:tc>
                <w:tcPr>
                  <w:tcW w:w="585" w:type="pct"/>
                  <w:shd w:val="clear" w:color="auto" w:fill="auto"/>
                </w:tcPr>
                <w:p w14:paraId="2A6FFF36" w14:textId="77777777" w:rsidR="0037749E" w:rsidRPr="00827033" w:rsidRDefault="0037749E" w:rsidP="00775786">
                  <w:pPr>
                    <w:pStyle w:val="TableBodyText"/>
                    <w:spacing w:before="80"/>
                    <w:ind w:right="28"/>
                    <w:rPr>
                      <w:rFonts w:asciiTheme="majorHAnsi" w:hAnsiTheme="majorHAnsi"/>
                    </w:rPr>
                  </w:pPr>
                  <w:r w:rsidRPr="00827033">
                    <w:rPr>
                      <w:rFonts w:asciiTheme="majorHAnsi" w:hAnsiTheme="majorHAnsi"/>
                    </w:rPr>
                    <w:t>550</w:t>
                  </w:r>
                </w:p>
              </w:tc>
            </w:tr>
            <w:tr w:rsidR="0037749E" w14:paraId="0DCC2B34" w14:textId="77777777" w:rsidTr="00775786">
              <w:tc>
                <w:tcPr>
                  <w:tcW w:w="160" w:type="pct"/>
                  <w:shd w:val="clear" w:color="auto" w:fill="auto"/>
                  <w:vAlign w:val="bottom"/>
                </w:tcPr>
                <w:p w14:paraId="4C8A6284" w14:textId="77777777" w:rsidR="0037749E" w:rsidRPr="00827033" w:rsidRDefault="0037749E" w:rsidP="00775786">
                  <w:pPr>
                    <w:pStyle w:val="TableBodyText"/>
                    <w:ind w:right="28"/>
                    <w:rPr>
                      <w:rFonts w:asciiTheme="majorHAnsi" w:hAnsiTheme="majorHAnsi"/>
                    </w:rPr>
                  </w:pPr>
                  <w:r w:rsidRPr="00827033">
                    <w:rPr>
                      <w:rFonts w:asciiTheme="majorHAnsi" w:hAnsiTheme="majorHAnsi"/>
                    </w:rPr>
                    <w:t>16</w:t>
                  </w:r>
                </w:p>
              </w:tc>
              <w:tc>
                <w:tcPr>
                  <w:tcW w:w="1165" w:type="pct"/>
                  <w:shd w:val="clear" w:color="auto" w:fill="auto"/>
                  <w:vAlign w:val="bottom"/>
                </w:tcPr>
                <w:p w14:paraId="73F24275" w14:textId="77777777" w:rsidR="0037749E" w:rsidRPr="00827033" w:rsidRDefault="0037749E" w:rsidP="00775786">
                  <w:pPr>
                    <w:pStyle w:val="TableBodyText"/>
                    <w:ind w:left="28" w:right="28"/>
                    <w:jc w:val="left"/>
                    <w:rPr>
                      <w:rFonts w:asciiTheme="majorHAnsi" w:hAnsiTheme="majorHAnsi"/>
                    </w:rPr>
                  </w:pPr>
                  <w:r w:rsidRPr="00827033">
                    <w:rPr>
                      <w:rFonts w:asciiTheme="majorHAnsi" w:hAnsiTheme="majorHAnsi"/>
                    </w:rPr>
                    <w:t>United Arab Emirates</w:t>
                  </w:r>
                  <w:r>
                    <w:rPr>
                      <w:rStyle w:val="NoteLabel"/>
                      <w:rFonts w:asciiTheme="majorHAnsi" w:hAnsiTheme="majorHAnsi"/>
                    </w:rPr>
                    <w:t>k</w:t>
                  </w:r>
                  <w:r w:rsidRPr="00827033">
                    <w:rPr>
                      <w:rFonts w:asciiTheme="majorHAnsi" w:hAnsiTheme="majorHAnsi"/>
                    </w:rPr>
                    <w:t xml:space="preserve"> </w:t>
                  </w:r>
                </w:p>
              </w:tc>
              <w:tc>
                <w:tcPr>
                  <w:tcW w:w="584" w:type="pct"/>
                  <w:shd w:val="clear" w:color="auto" w:fill="auto"/>
                  <w:vAlign w:val="bottom"/>
                </w:tcPr>
                <w:p w14:paraId="2FEC80E9" w14:textId="77777777" w:rsidR="0037749E" w:rsidRPr="00827033" w:rsidRDefault="0037749E" w:rsidP="00775786">
                  <w:pPr>
                    <w:pStyle w:val="TableBodyText"/>
                    <w:ind w:right="28"/>
                    <w:rPr>
                      <w:rFonts w:asciiTheme="majorHAnsi" w:hAnsiTheme="majorHAnsi"/>
                    </w:rPr>
                  </w:pPr>
                  <w:r w:rsidRPr="00827033">
                    <w:rPr>
                      <w:rFonts w:asciiTheme="majorHAnsi" w:hAnsiTheme="majorHAnsi"/>
                    </w:rPr>
                    <w:t>5 964</w:t>
                  </w:r>
                </w:p>
              </w:tc>
              <w:tc>
                <w:tcPr>
                  <w:tcW w:w="587" w:type="pct"/>
                  <w:shd w:val="clear" w:color="auto" w:fill="auto"/>
                </w:tcPr>
                <w:p w14:paraId="1F1A2E9B" w14:textId="77777777" w:rsidR="0037749E" w:rsidRPr="00827033" w:rsidRDefault="0037749E" w:rsidP="00775786">
                  <w:pPr>
                    <w:pStyle w:val="TableBodyText"/>
                    <w:spacing w:before="80"/>
                    <w:ind w:right="28"/>
                    <w:rPr>
                      <w:rFonts w:asciiTheme="majorHAnsi" w:hAnsiTheme="majorHAnsi"/>
                    </w:rPr>
                  </w:pPr>
                  <w:r w:rsidRPr="00827033">
                    <w:rPr>
                      <w:rFonts w:asciiTheme="majorHAnsi" w:hAnsiTheme="majorHAnsi"/>
                    </w:rPr>
                    <w:t>592</w:t>
                  </w:r>
                </w:p>
              </w:tc>
              <w:tc>
                <w:tcPr>
                  <w:tcW w:w="249" w:type="pct"/>
                </w:tcPr>
                <w:p w14:paraId="4A7AC07B" w14:textId="77777777" w:rsidR="0037749E" w:rsidRPr="00827033" w:rsidRDefault="0037749E" w:rsidP="00775786">
                  <w:pPr>
                    <w:pStyle w:val="TableBodyText"/>
                    <w:ind w:right="28"/>
                    <w:rPr>
                      <w:rFonts w:asciiTheme="majorHAnsi" w:hAnsiTheme="majorHAnsi"/>
                    </w:rPr>
                  </w:pPr>
                </w:p>
              </w:tc>
              <w:tc>
                <w:tcPr>
                  <w:tcW w:w="167" w:type="pct"/>
                  <w:shd w:val="clear" w:color="auto" w:fill="auto"/>
                  <w:vAlign w:val="bottom"/>
                </w:tcPr>
                <w:p w14:paraId="62371628" w14:textId="77777777" w:rsidR="0037749E" w:rsidRPr="00827033" w:rsidRDefault="0037749E" w:rsidP="00775786">
                  <w:pPr>
                    <w:pStyle w:val="TableBodyText"/>
                    <w:ind w:right="28"/>
                    <w:rPr>
                      <w:rFonts w:asciiTheme="majorHAnsi" w:hAnsiTheme="majorHAnsi"/>
                    </w:rPr>
                  </w:pPr>
                  <w:r w:rsidRPr="00827033">
                    <w:rPr>
                      <w:rFonts w:asciiTheme="majorHAnsi" w:hAnsiTheme="majorHAnsi"/>
                    </w:rPr>
                    <w:t>36</w:t>
                  </w:r>
                </w:p>
              </w:tc>
              <w:tc>
                <w:tcPr>
                  <w:tcW w:w="919" w:type="pct"/>
                  <w:shd w:val="clear" w:color="auto" w:fill="auto"/>
                  <w:vAlign w:val="bottom"/>
                </w:tcPr>
                <w:p w14:paraId="7659F6D0" w14:textId="77777777" w:rsidR="0037749E" w:rsidRPr="00827033" w:rsidRDefault="0037749E" w:rsidP="00775786">
                  <w:pPr>
                    <w:pStyle w:val="TableBodyText"/>
                    <w:ind w:left="28" w:right="28"/>
                    <w:jc w:val="left"/>
                    <w:rPr>
                      <w:rFonts w:asciiTheme="majorHAnsi" w:hAnsiTheme="majorHAnsi"/>
                    </w:rPr>
                  </w:pPr>
                  <w:r w:rsidRPr="00827033">
                    <w:rPr>
                      <w:rFonts w:asciiTheme="majorHAnsi" w:hAnsiTheme="majorHAnsi"/>
                    </w:rPr>
                    <w:t>Denmark</w:t>
                  </w:r>
                  <w:r w:rsidRPr="00827033">
                    <w:rPr>
                      <w:rStyle w:val="NoteLabel"/>
                      <w:rFonts w:asciiTheme="majorHAnsi" w:hAnsiTheme="majorHAnsi"/>
                    </w:rPr>
                    <w:t>d</w:t>
                  </w:r>
                </w:p>
              </w:tc>
              <w:tc>
                <w:tcPr>
                  <w:tcW w:w="584" w:type="pct"/>
                  <w:shd w:val="clear" w:color="auto" w:fill="auto"/>
                  <w:vAlign w:val="bottom"/>
                </w:tcPr>
                <w:p w14:paraId="745E742F" w14:textId="77777777" w:rsidR="0037749E" w:rsidRPr="00827033" w:rsidRDefault="0037749E" w:rsidP="00775786">
                  <w:pPr>
                    <w:pStyle w:val="TableBodyText"/>
                    <w:ind w:right="28"/>
                    <w:rPr>
                      <w:rFonts w:asciiTheme="majorHAnsi" w:hAnsiTheme="majorHAnsi"/>
                    </w:rPr>
                  </w:pPr>
                  <w:r w:rsidRPr="00827033">
                    <w:rPr>
                      <w:rFonts w:asciiTheme="majorHAnsi" w:hAnsiTheme="majorHAnsi"/>
                    </w:rPr>
                    <w:t>1 304</w:t>
                  </w:r>
                </w:p>
              </w:tc>
              <w:tc>
                <w:tcPr>
                  <w:tcW w:w="585" w:type="pct"/>
                  <w:shd w:val="clear" w:color="auto" w:fill="auto"/>
                </w:tcPr>
                <w:p w14:paraId="669C1B32" w14:textId="77777777" w:rsidR="0037749E" w:rsidRPr="00AF2EC4" w:rsidRDefault="0037749E" w:rsidP="00775786">
                  <w:pPr>
                    <w:pStyle w:val="TableBodyText"/>
                    <w:spacing w:before="80"/>
                    <w:ind w:right="28"/>
                    <w:rPr>
                      <w:rFonts w:asciiTheme="majorHAnsi" w:hAnsiTheme="majorHAnsi"/>
                      <w:b/>
                    </w:rPr>
                  </w:pPr>
                  <w:proofErr w:type="spellStart"/>
                  <w:r w:rsidRPr="00AF2EC4">
                    <w:rPr>
                      <w:rFonts w:asciiTheme="majorHAnsi" w:hAnsiTheme="majorHAnsi"/>
                      <w:b/>
                    </w:rPr>
                    <w:t>na</w:t>
                  </w:r>
                  <w:proofErr w:type="spellEnd"/>
                </w:p>
              </w:tc>
            </w:tr>
            <w:tr w:rsidR="0037749E" w14:paraId="12E939E3" w14:textId="77777777" w:rsidTr="00775786">
              <w:tc>
                <w:tcPr>
                  <w:tcW w:w="160" w:type="pct"/>
                  <w:shd w:val="clear" w:color="auto" w:fill="auto"/>
                  <w:vAlign w:val="bottom"/>
                </w:tcPr>
                <w:p w14:paraId="6CA21BCA" w14:textId="77777777" w:rsidR="0037749E" w:rsidRPr="00827033" w:rsidRDefault="0037749E" w:rsidP="00775786">
                  <w:pPr>
                    <w:pStyle w:val="TableBodyText"/>
                    <w:ind w:right="28"/>
                    <w:rPr>
                      <w:rFonts w:asciiTheme="majorHAnsi" w:hAnsiTheme="majorHAnsi"/>
                    </w:rPr>
                  </w:pPr>
                  <w:r w:rsidRPr="00827033">
                    <w:rPr>
                      <w:rFonts w:asciiTheme="majorHAnsi" w:hAnsiTheme="majorHAnsi"/>
                    </w:rPr>
                    <w:t>17</w:t>
                  </w:r>
                </w:p>
              </w:tc>
              <w:tc>
                <w:tcPr>
                  <w:tcW w:w="1165" w:type="pct"/>
                  <w:shd w:val="clear" w:color="auto" w:fill="auto"/>
                  <w:vAlign w:val="bottom"/>
                </w:tcPr>
                <w:p w14:paraId="2211138A" w14:textId="77777777" w:rsidR="0037749E" w:rsidRPr="00827033" w:rsidRDefault="0037749E" w:rsidP="00775786">
                  <w:pPr>
                    <w:pStyle w:val="TableBodyText"/>
                    <w:ind w:left="28" w:right="28"/>
                    <w:jc w:val="left"/>
                    <w:rPr>
                      <w:rFonts w:asciiTheme="majorHAnsi" w:hAnsiTheme="majorHAnsi"/>
                    </w:rPr>
                  </w:pPr>
                  <w:r w:rsidRPr="00827033">
                    <w:rPr>
                      <w:rFonts w:asciiTheme="majorHAnsi" w:hAnsiTheme="majorHAnsi"/>
                    </w:rPr>
                    <w:t>Papua New Guinea</w:t>
                  </w:r>
                  <w:r>
                    <w:rPr>
                      <w:rStyle w:val="NoteLabel"/>
                      <w:rFonts w:asciiTheme="majorHAnsi" w:hAnsiTheme="majorHAnsi"/>
                    </w:rPr>
                    <w:t>g</w:t>
                  </w:r>
                  <w:r w:rsidRPr="00827033">
                    <w:rPr>
                      <w:rFonts w:asciiTheme="majorHAnsi" w:hAnsiTheme="majorHAnsi"/>
                    </w:rPr>
                    <w:t xml:space="preserve"> </w:t>
                  </w:r>
                </w:p>
              </w:tc>
              <w:tc>
                <w:tcPr>
                  <w:tcW w:w="584" w:type="pct"/>
                  <w:shd w:val="clear" w:color="auto" w:fill="auto"/>
                  <w:vAlign w:val="bottom"/>
                </w:tcPr>
                <w:p w14:paraId="0427520E" w14:textId="77777777" w:rsidR="0037749E" w:rsidRPr="00827033" w:rsidRDefault="0037749E" w:rsidP="00775786">
                  <w:pPr>
                    <w:pStyle w:val="TableBodyText"/>
                    <w:ind w:right="28"/>
                    <w:rPr>
                      <w:rFonts w:asciiTheme="majorHAnsi" w:hAnsiTheme="majorHAnsi"/>
                    </w:rPr>
                  </w:pPr>
                  <w:r w:rsidRPr="00827033">
                    <w:rPr>
                      <w:rFonts w:asciiTheme="majorHAnsi" w:hAnsiTheme="majorHAnsi"/>
                    </w:rPr>
                    <w:t>5 849</w:t>
                  </w:r>
                </w:p>
              </w:tc>
              <w:tc>
                <w:tcPr>
                  <w:tcW w:w="587" w:type="pct"/>
                  <w:shd w:val="clear" w:color="auto" w:fill="auto"/>
                </w:tcPr>
                <w:p w14:paraId="73838A0C" w14:textId="77777777" w:rsidR="0037749E" w:rsidRPr="00827033" w:rsidRDefault="0037749E" w:rsidP="00775786">
                  <w:pPr>
                    <w:pStyle w:val="TableBodyText"/>
                    <w:spacing w:before="80"/>
                    <w:ind w:right="28"/>
                    <w:rPr>
                      <w:rFonts w:asciiTheme="majorHAnsi" w:hAnsiTheme="majorHAnsi"/>
                    </w:rPr>
                  </w:pPr>
                  <w:r w:rsidRPr="00827033">
                    <w:rPr>
                      <w:rFonts w:asciiTheme="majorHAnsi" w:hAnsiTheme="majorHAnsi"/>
                    </w:rPr>
                    <w:t>500</w:t>
                  </w:r>
                </w:p>
              </w:tc>
              <w:tc>
                <w:tcPr>
                  <w:tcW w:w="249" w:type="pct"/>
                </w:tcPr>
                <w:p w14:paraId="1853D996" w14:textId="77777777" w:rsidR="0037749E" w:rsidRPr="00827033" w:rsidRDefault="0037749E" w:rsidP="00775786">
                  <w:pPr>
                    <w:pStyle w:val="TableBodyText"/>
                    <w:ind w:right="28"/>
                    <w:rPr>
                      <w:rFonts w:asciiTheme="majorHAnsi" w:hAnsiTheme="majorHAnsi"/>
                    </w:rPr>
                  </w:pPr>
                </w:p>
              </w:tc>
              <w:tc>
                <w:tcPr>
                  <w:tcW w:w="167" w:type="pct"/>
                  <w:shd w:val="clear" w:color="auto" w:fill="auto"/>
                  <w:vAlign w:val="bottom"/>
                </w:tcPr>
                <w:p w14:paraId="63CF0045" w14:textId="77777777" w:rsidR="0037749E" w:rsidRPr="00827033" w:rsidRDefault="0037749E" w:rsidP="00775786">
                  <w:pPr>
                    <w:pStyle w:val="TableBodyText"/>
                    <w:ind w:right="28"/>
                    <w:rPr>
                      <w:rFonts w:asciiTheme="majorHAnsi" w:hAnsiTheme="majorHAnsi"/>
                    </w:rPr>
                  </w:pPr>
                  <w:r w:rsidRPr="00827033">
                    <w:rPr>
                      <w:rFonts w:asciiTheme="majorHAnsi" w:hAnsiTheme="majorHAnsi"/>
                    </w:rPr>
                    <w:t>37</w:t>
                  </w:r>
                </w:p>
              </w:tc>
              <w:tc>
                <w:tcPr>
                  <w:tcW w:w="919" w:type="pct"/>
                  <w:shd w:val="clear" w:color="auto" w:fill="auto"/>
                  <w:vAlign w:val="bottom"/>
                </w:tcPr>
                <w:p w14:paraId="174A3A6D" w14:textId="77777777" w:rsidR="0037749E" w:rsidRPr="00827033" w:rsidRDefault="0037749E" w:rsidP="00775786">
                  <w:pPr>
                    <w:pStyle w:val="TableBodyText"/>
                    <w:ind w:left="28" w:right="28"/>
                    <w:jc w:val="left"/>
                    <w:rPr>
                      <w:rFonts w:asciiTheme="majorHAnsi" w:hAnsiTheme="majorHAnsi"/>
                    </w:rPr>
                  </w:pPr>
                  <w:r w:rsidRPr="00827033">
                    <w:rPr>
                      <w:rFonts w:asciiTheme="majorHAnsi" w:hAnsiTheme="majorHAnsi"/>
                    </w:rPr>
                    <w:t>Congo</w:t>
                  </w:r>
                </w:p>
              </w:tc>
              <w:tc>
                <w:tcPr>
                  <w:tcW w:w="584" w:type="pct"/>
                  <w:shd w:val="clear" w:color="auto" w:fill="auto"/>
                  <w:vAlign w:val="bottom"/>
                </w:tcPr>
                <w:p w14:paraId="15B01588" w14:textId="77777777" w:rsidR="0037749E" w:rsidRPr="00827033" w:rsidRDefault="0037749E" w:rsidP="00775786">
                  <w:pPr>
                    <w:pStyle w:val="TableBodyText"/>
                    <w:ind w:right="28"/>
                    <w:rPr>
                      <w:rFonts w:asciiTheme="majorHAnsi" w:hAnsiTheme="majorHAnsi"/>
                    </w:rPr>
                  </w:pPr>
                  <w:r w:rsidRPr="00827033">
                    <w:rPr>
                      <w:rFonts w:asciiTheme="majorHAnsi" w:hAnsiTheme="majorHAnsi"/>
                    </w:rPr>
                    <w:t>1 300</w:t>
                  </w:r>
                </w:p>
              </w:tc>
              <w:tc>
                <w:tcPr>
                  <w:tcW w:w="585" w:type="pct"/>
                  <w:shd w:val="clear" w:color="auto" w:fill="auto"/>
                </w:tcPr>
                <w:p w14:paraId="1F36C326" w14:textId="77777777" w:rsidR="0037749E" w:rsidRPr="00AF2EC4" w:rsidRDefault="0037749E" w:rsidP="00775786">
                  <w:pPr>
                    <w:pStyle w:val="TableBodyText"/>
                    <w:spacing w:before="80"/>
                    <w:ind w:right="28"/>
                    <w:rPr>
                      <w:rFonts w:asciiTheme="majorHAnsi" w:hAnsiTheme="majorHAnsi"/>
                      <w:b/>
                    </w:rPr>
                  </w:pPr>
                  <w:proofErr w:type="spellStart"/>
                  <w:r w:rsidRPr="00AF2EC4">
                    <w:rPr>
                      <w:rFonts w:asciiTheme="majorHAnsi" w:hAnsiTheme="majorHAnsi"/>
                      <w:b/>
                    </w:rPr>
                    <w:t>na</w:t>
                  </w:r>
                  <w:proofErr w:type="spellEnd"/>
                </w:p>
              </w:tc>
            </w:tr>
            <w:tr w:rsidR="0037749E" w14:paraId="57762B32" w14:textId="77777777" w:rsidTr="00775786">
              <w:tc>
                <w:tcPr>
                  <w:tcW w:w="160" w:type="pct"/>
                  <w:shd w:val="clear" w:color="auto" w:fill="auto"/>
                  <w:vAlign w:val="bottom"/>
                </w:tcPr>
                <w:p w14:paraId="185E6BF8" w14:textId="77777777" w:rsidR="0037749E" w:rsidRPr="00827033" w:rsidRDefault="0037749E" w:rsidP="00775786">
                  <w:pPr>
                    <w:pStyle w:val="TableBodyText"/>
                    <w:ind w:right="28"/>
                    <w:rPr>
                      <w:rFonts w:asciiTheme="majorHAnsi" w:hAnsiTheme="majorHAnsi"/>
                    </w:rPr>
                  </w:pPr>
                  <w:r w:rsidRPr="00827033">
                    <w:rPr>
                      <w:rFonts w:asciiTheme="majorHAnsi" w:hAnsiTheme="majorHAnsi"/>
                    </w:rPr>
                    <w:t>18</w:t>
                  </w:r>
                </w:p>
              </w:tc>
              <w:tc>
                <w:tcPr>
                  <w:tcW w:w="1165" w:type="pct"/>
                  <w:shd w:val="clear" w:color="auto" w:fill="auto"/>
                  <w:vAlign w:val="bottom"/>
                </w:tcPr>
                <w:p w14:paraId="7960CCE7" w14:textId="77777777" w:rsidR="0037749E" w:rsidRPr="00827033" w:rsidRDefault="0037749E" w:rsidP="00775786">
                  <w:pPr>
                    <w:pStyle w:val="TableBodyText"/>
                    <w:ind w:left="28" w:right="28"/>
                    <w:jc w:val="left"/>
                    <w:rPr>
                      <w:rFonts w:asciiTheme="majorHAnsi" w:hAnsiTheme="majorHAnsi"/>
                    </w:rPr>
                  </w:pPr>
                  <w:r w:rsidRPr="00827033">
                    <w:rPr>
                      <w:rFonts w:asciiTheme="majorHAnsi" w:hAnsiTheme="majorHAnsi"/>
                    </w:rPr>
                    <w:t>France</w:t>
                  </w:r>
                  <w:r w:rsidRPr="00827033">
                    <w:rPr>
                      <w:rStyle w:val="NoteLabel"/>
                      <w:rFonts w:asciiTheme="majorHAnsi" w:hAnsiTheme="majorHAnsi"/>
                    </w:rPr>
                    <w:t>d</w:t>
                  </w:r>
                </w:p>
              </w:tc>
              <w:tc>
                <w:tcPr>
                  <w:tcW w:w="584" w:type="pct"/>
                  <w:shd w:val="clear" w:color="auto" w:fill="auto"/>
                  <w:vAlign w:val="bottom"/>
                </w:tcPr>
                <w:p w14:paraId="11A1A285" w14:textId="77777777" w:rsidR="0037749E" w:rsidRPr="00827033" w:rsidRDefault="0037749E" w:rsidP="00775786">
                  <w:pPr>
                    <w:pStyle w:val="TableBodyText"/>
                    <w:ind w:right="28"/>
                    <w:rPr>
                      <w:rFonts w:asciiTheme="majorHAnsi" w:hAnsiTheme="majorHAnsi"/>
                    </w:rPr>
                  </w:pPr>
                  <w:r w:rsidRPr="00827033">
                    <w:rPr>
                      <w:rFonts w:asciiTheme="majorHAnsi" w:hAnsiTheme="majorHAnsi"/>
                    </w:rPr>
                    <w:t>5 293</w:t>
                  </w:r>
                </w:p>
              </w:tc>
              <w:tc>
                <w:tcPr>
                  <w:tcW w:w="587" w:type="pct"/>
                  <w:shd w:val="clear" w:color="auto" w:fill="auto"/>
                </w:tcPr>
                <w:p w14:paraId="00E491AD" w14:textId="77777777" w:rsidR="0037749E" w:rsidRPr="00827033" w:rsidRDefault="0037749E" w:rsidP="00775786">
                  <w:pPr>
                    <w:pStyle w:val="TableBodyText"/>
                    <w:spacing w:before="80"/>
                    <w:ind w:right="28"/>
                    <w:rPr>
                      <w:rFonts w:asciiTheme="majorHAnsi" w:hAnsiTheme="majorHAnsi"/>
                    </w:rPr>
                  </w:pPr>
                  <w:r w:rsidRPr="00827033">
                    <w:rPr>
                      <w:rFonts w:asciiTheme="majorHAnsi" w:hAnsiTheme="majorHAnsi"/>
                    </w:rPr>
                    <w:t>741</w:t>
                  </w:r>
                </w:p>
              </w:tc>
              <w:tc>
                <w:tcPr>
                  <w:tcW w:w="249" w:type="pct"/>
                </w:tcPr>
                <w:p w14:paraId="5BB546A7" w14:textId="77777777" w:rsidR="0037749E" w:rsidRPr="00827033" w:rsidRDefault="0037749E" w:rsidP="00775786">
                  <w:pPr>
                    <w:pStyle w:val="TableBodyText"/>
                    <w:ind w:right="28"/>
                    <w:rPr>
                      <w:rFonts w:asciiTheme="majorHAnsi" w:hAnsiTheme="majorHAnsi"/>
                    </w:rPr>
                  </w:pPr>
                </w:p>
              </w:tc>
              <w:tc>
                <w:tcPr>
                  <w:tcW w:w="167" w:type="pct"/>
                  <w:vAlign w:val="bottom"/>
                </w:tcPr>
                <w:p w14:paraId="54646656" w14:textId="77777777" w:rsidR="0037749E" w:rsidRPr="00827033" w:rsidRDefault="0037749E" w:rsidP="00775786">
                  <w:pPr>
                    <w:pStyle w:val="TableBodyText"/>
                    <w:ind w:right="28"/>
                    <w:rPr>
                      <w:rFonts w:asciiTheme="majorHAnsi" w:hAnsiTheme="majorHAnsi"/>
                    </w:rPr>
                  </w:pPr>
                  <w:r w:rsidRPr="00827033">
                    <w:rPr>
                      <w:rFonts w:asciiTheme="majorHAnsi" w:hAnsiTheme="majorHAnsi"/>
                    </w:rPr>
                    <w:t>38</w:t>
                  </w:r>
                </w:p>
              </w:tc>
              <w:tc>
                <w:tcPr>
                  <w:tcW w:w="919" w:type="pct"/>
                  <w:vAlign w:val="bottom"/>
                </w:tcPr>
                <w:p w14:paraId="2AB6C53D" w14:textId="77777777" w:rsidR="0037749E" w:rsidRPr="00827033" w:rsidRDefault="0037749E" w:rsidP="00775786">
                  <w:pPr>
                    <w:pStyle w:val="TableBodyText"/>
                    <w:ind w:left="28" w:right="28"/>
                    <w:jc w:val="left"/>
                    <w:rPr>
                      <w:rFonts w:asciiTheme="majorHAnsi" w:hAnsiTheme="majorHAnsi"/>
                    </w:rPr>
                  </w:pPr>
                  <w:r w:rsidRPr="00827033">
                    <w:rPr>
                      <w:rFonts w:asciiTheme="majorHAnsi" w:hAnsiTheme="majorHAnsi"/>
                    </w:rPr>
                    <w:t>Gabon</w:t>
                  </w:r>
                </w:p>
              </w:tc>
              <w:tc>
                <w:tcPr>
                  <w:tcW w:w="584" w:type="pct"/>
                  <w:vAlign w:val="bottom"/>
                </w:tcPr>
                <w:p w14:paraId="40B98063" w14:textId="77777777" w:rsidR="0037749E" w:rsidRPr="00827033" w:rsidRDefault="0037749E" w:rsidP="00775786">
                  <w:pPr>
                    <w:pStyle w:val="TableBodyText"/>
                    <w:ind w:right="28"/>
                    <w:rPr>
                      <w:rFonts w:asciiTheme="majorHAnsi" w:hAnsiTheme="majorHAnsi"/>
                    </w:rPr>
                  </w:pPr>
                  <w:r w:rsidRPr="00827033">
                    <w:rPr>
                      <w:rFonts w:asciiTheme="majorHAnsi" w:hAnsiTheme="majorHAnsi"/>
                    </w:rPr>
                    <w:t>1 146</w:t>
                  </w:r>
                </w:p>
              </w:tc>
              <w:tc>
                <w:tcPr>
                  <w:tcW w:w="585" w:type="pct"/>
                </w:tcPr>
                <w:p w14:paraId="277F3DE4" w14:textId="77777777" w:rsidR="0037749E" w:rsidRPr="00AF2EC4" w:rsidRDefault="0037749E" w:rsidP="00775786">
                  <w:pPr>
                    <w:pStyle w:val="TableBodyText"/>
                    <w:spacing w:before="80"/>
                    <w:ind w:right="28"/>
                    <w:rPr>
                      <w:rFonts w:asciiTheme="majorHAnsi" w:hAnsiTheme="majorHAnsi"/>
                      <w:b/>
                    </w:rPr>
                  </w:pPr>
                  <w:proofErr w:type="spellStart"/>
                  <w:r w:rsidRPr="00AF2EC4">
                    <w:rPr>
                      <w:rFonts w:asciiTheme="majorHAnsi" w:hAnsiTheme="majorHAnsi"/>
                      <w:b/>
                    </w:rPr>
                    <w:t>na</w:t>
                  </w:r>
                  <w:proofErr w:type="spellEnd"/>
                </w:p>
              </w:tc>
            </w:tr>
            <w:tr w:rsidR="0037749E" w14:paraId="31739DED" w14:textId="77777777" w:rsidTr="00775786">
              <w:tc>
                <w:tcPr>
                  <w:tcW w:w="160" w:type="pct"/>
                  <w:shd w:val="clear" w:color="auto" w:fill="auto"/>
                  <w:vAlign w:val="bottom"/>
                </w:tcPr>
                <w:p w14:paraId="6B63EF0F" w14:textId="77777777" w:rsidR="0037749E" w:rsidRPr="00827033" w:rsidRDefault="0037749E" w:rsidP="00775786">
                  <w:pPr>
                    <w:pStyle w:val="TableBodyText"/>
                    <w:ind w:right="28"/>
                    <w:rPr>
                      <w:rFonts w:asciiTheme="majorHAnsi" w:hAnsiTheme="majorHAnsi"/>
                    </w:rPr>
                  </w:pPr>
                  <w:r w:rsidRPr="00827033">
                    <w:rPr>
                      <w:rFonts w:asciiTheme="majorHAnsi" w:hAnsiTheme="majorHAnsi"/>
                    </w:rPr>
                    <w:t>19</w:t>
                  </w:r>
                </w:p>
              </w:tc>
              <w:tc>
                <w:tcPr>
                  <w:tcW w:w="1165" w:type="pct"/>
                  <w:shd w:val="clear" w:color="auto" w:fill="auto"/>
                  <w:vAlign w:val="bottom"/>
                </w:tcPr>
                <w:p w14:paraId="73D700BE" w14:textId="77777777" w:rsidR="0037749E" w:rsidRPr="00827033" w:rsidRDefault="0037749E" w:rsidP="00775786">
                  <w:pPr>
                    <w:pStyle w:val="TableBodyText"/>
                    <w:ind w:left="28" w:right="28"/>
                    <w:jc w:val="left"/>
                    <w:rPr>
                      <w:rFonts w:asciiTheme="majorHAnsi" w:hAnsiTheme="majorHAnsi"/>
                    </w:rPr>
                  </w:pPr>
                  <w:r w:rsidRPr="00827033">
                    <w:rPr>
                      <w:rFonts w:asciiTheme="majorHAnsi" w:hAnsiTheme="majorHAnsi"/>
                    </w:rPr>
                    <w:t>Hong Kong</w:t>
                  </w:r>
                  <w:r w:rsidRPr="00827033">
                    <w:rPr>
                      <w:rStyle w:val="NoteLabel"/>
                      <w:rFonts w:asciiTheme="majorHAnsi" w:hAnsiTheme="majorHAnsi"/>
                    </w:rPr>
                    <w:t>d</w:t>
                  </w:r>
                  <w:r w:rsidRPr="00827033">
                    <w:rPr>
                      <w:rFonts w:asciiTheme="majorHAnsi" w:hAnsiTheme="majorHAnsi"/>
                    </w:rPr>
                    <w:t xml:space="preserve"> </w:t>
                  </w:r>
                </w:p>
              </w:tc>
              <w:tc>
                <w:tcPr>
                  <w:tcW w:w="584" w:type="pct"/>
                  <w:shd w:val="clear" w:color="auto" w:fill="auto"/>
                  <w:vAlign w:val="bottom"/>
                </w:tcPr>
                <w:p w14:paraId="1A446140" w14:textId="77777777" w:rsidR="0037749E" w:rsidRPr="00827033" w:rsidRDefault="0037749E" w:rsidP="00775786">
                  <w:pPr>
                    <w:pStyle w:val="TableBodyText"/>
                    <w:ind w:right="28"/>
                    <w:rPr>
                      <w:rFonts w:asciiTheme="majorHAnsi" w:hAnsiTheme="majorHAnsi"/>
                    </w:rPr>
                  </w:pPr>
                  <w:r w:rsidRPr="00827033">
                    <w:rPr>
                      <w:rFonts w:asciiTheme="majorHAnsi" w:hAnsiTheme="majorHAnsi"/>
                    </w:rPr>
                    <w:t>3 990</w:t>
                  </w:r>
                </w:p>
              </w:tc>
              <w:tc>
                <w:tcPr>
                  <w:tcW w:w="587" w:type="pct"/>
                  <w:shd w:val="clear" w:color="auto" w:fill="auto"/>
                </w:tcPr>
                <w:p w14:paraId="4C53A133" w14:textId="77777777" w:rsidR="0037749E" w:rsidRPr="00827033" w:rsidRDefault="0037749E" w:rsidP="00775786">
                  <w:pPr>
                    <w:pStyle w:val="TableBodyText"/>
                    <w:spacing w:before="80"/>
                    <w:ind w:right="28"/>
                    <w:rPr>
                      <w:rFonts w:asciiTheme="majorHAnsi" w:hAnsiTheme="majorHAnsi"/>
                    </w:rPr>
                  </w:pPr>
                  <w:r w:rsidRPr="00827033">
                    <w:rPr>
                      <w:rFonts w:asciiTheme="majorHAnsi" w:hAnsiTheme="majorHAnsi"/>
                    </w:rPr>
                    <w:t>1 908</w:t>
                  </w:r>
                </w:p>
              </w:tc>
              <w:tc>
                <w:tcPr>
                  <w:tcW w:w="249" w:type="pct"/>
                </w:tcPr>
                <w:p w14:paraId="3F5C1046" w14:textId="77777777" w:rsidR="0037749E" w:rsidRPr="00827033" w:rsidRDefault="0037749E" w:rsidP="00775786">
                  <w:pPr>
                    <w:pStyle w:val="TableBodyText"/>
                    <w:ind w:right="28"/>
                    <w:rPr>
                      <w:rFonts w:asciiTheme="majorHAnsi" w:hAnsiTheme="majorHAnsi"/>
                    </w:rPr>
                  </w:pPr>
                </w:p>
              </w:tc>
              <w:tc>
                <w:tcPr>
                  <w:tcW w:w="167" w:type="pct"/>
                  <w:vAlign w:val="bottom"/>
                </w:tcPr>
                <w:p w14:paraId="49E912BD" w14:textId="77777777" w:rsidR="0037749E" w:rsidRPr="00827033" w:rsidRDefault="0037749E" w:rsidP="00775786">
                  <w:pPr>
                    <w:pStyle w:val="TableBodyText"/>
                    <w:ind w:right="28"/>
                    <w:rPr>
                      <w:rFonts w:asciiTheme="majorHAnsi" w:hAnsiTheme="majorHAnsi"/>
                    </w:rPr>
                  </w:pPr>
                  <w:r w:rsidRPr="00827033">
                    <w:rPr>
                      <w:rFonts w:asciiTheme="majorHAnsi" w:hAnsiTheme="majorHAnsi"/>
                    </w:rPr>
                    <w:t>39</w:t>
                  </w:r>
                </w:p>
              </w:tc>
              <w:tc>
                <w:tcPr>
                  <w:tcW w:w="919" w:type="pct"/>
                  <w:vAlign w:val="bottom"/>
                </w:tcPr>
                <w:p w14:paraId="0D80B72D" w14:textId="77777777" w:rsidR="0037749E" w:rsidRPr="00827033" w:rsidRDefault="0037749E" w:rsidP="00775786">
                  <w:pPr>
                    <w:pStyle w:val="TableBodyText"/>
                    <w:ind w:left="28" w:right="28"/>
                    <w:jc w:val="left"/>
                    <w:rPr>
                      <w:rFonts w:asciiTheme="majorHAnsi" w:hAnsiTheme="majorHAnsi"/>
                    </w:rPr>
                  </w:pPr>
                  <w:r w:rsidRPr="00827033">
                    <w:rPr>
                      <w:rFonts w:asciiTheme="majorHAnsi" w:hAnsiTheme="majorHAnsi"/>
                    </w:rPr>
                    <w:t>Austria</w:t>
                  </w:r>
                  <w:r w:rsidRPr="00827033">
                    <w:rPr>
                      <w:rStyle w:val="NoteLabel"/>
                      <w:rFonts w:asciiTheme="majorHAnsi" w:hAnsiTheme="majorHAnsi"/>
                    </w:rPr>
                    <w:t>d</w:t>
                  </w:r>
                </w:p>
              </w:tc>
              <w:tc>
                <w:tcPr>
                  <w:tcW w:w="584" w:type="pct"/>
                  <w:vAlign w:val="bottom"/>
                </w:tcPr>
                <w:p w14:paraId="1DFFFD03" w14:textId="77777777" w:rsidR="0037749E" w:rsidRPr="00827033" w:rsidRDefault="0037749E" w:rsidP="00775786">
                  <w:pPr>
                    <w:pStyle w:val="TableBodyText"/>
                    <w:ind w:right="28"/>
                    <w:rPr>
                      <w:rFonts w:asciiTheme="majorHAnsi" w:hAnsiTheme="majorHAnsi"/>
                    </w:rPr>
                  </w:pPr>
                  <w:r w:rsidRPr="00827033">
                    <w:rPr>
                      <w:rFonts w:asciiTheme="majorHAnsi" w:hAnsiTheme="majorHAnsi"/>
                      <w:color w:val="000000"/>
                    </w:rPr>
                    <w:t>1 136</w:t>
                  </w:r>
                </w:p>
              </w:tc>
              <w:tc>
                <w:tcPr>
                  <w:tcW w:w="585" w:type="pct"/>
                </w:tcPr>
                <w:p w14:paraId="009A1065" w14:textId="77777777" w:rsidR="0037749E" w:rsidRPr="00AF2EC4" w:rsidRDefault="0037749E" w:rsidP="00775786">
                  <w:pPr>
                    <w:pStyle w:val="TableBodyText"/>
                    <w:spacing w:before="80"/>
                    <w:ind w:right="28"/>
                    <w:rPr>
                      <w:rFonts w:asciiTheme="majorHAnsi" w:hAnsiTheme="majorHAnsi"/>
                      <w:b/>
                    </w:rPr>
                  </w:pPr>
                  <w:proofErr w:type="spellStart"/>
                  <w:r w:rsidRPr="00AF2EC4">
                    <w:rPr>
                      <w:rFonts w:asciiTheme="majorHAnsi" w:hAnsiTheme="majorHAnsi"/>
                      <w:b/>
                    </w:rPr>
                    <w:t>na</w:t>
                  </w:r>
                  <w:proofErr w:type="spellEnd"/>
                </w:p>
              </w:tc>
            </w:tr>
            <w:tr w:rsidR="0037749E" w14:paraId="7B80A539" w14:textId="77777777" w:rsidTr="00775786">
              <w:tc>
                <w:tcPr>
                  <w:tcW w:w="160" w:type="pct"/>
                  <w:shd w:val="clear" w:color="auto" w:fill="auto"/>
                  <w:vAlign w:val="bottom"/>
                </w:tcPr>
                <w:p w14:paraId="3B7E5F85" w14:textId="77777777" w:rsidR="0037749E" w:rsidRPr="00827033" w:rsidRDefault="0037749E" w:rsidP="00775786">
                  <w:pPr>
                    <w:pStyle w:val="TableBodyText"/>
                    <w:ind w:right="28"/>
                    <w:rPr>
                      <w:rFonts w:asciiTheme="majorHAnsi" w:hAnsiTheme="majorHAnsi"/>
                    </w:rPr>
                  </w:pPr>
                  <w:r w:rsidRPr="00827033">
                    <w:rPr>
                      <w:rFonts w:asciiTheme="majorHAnsi" w:hAnsiTheme="majorHAnsi"/>
                    </w:rPr>
                    <w:t>20</w:t>
                  </w:r>
                </w:p>
              </w:tc>
              <w:tc>
                <w:tcPr>
                  <w:tcW w:w="1165" w:type="pct"/>
                  <w:shd w:val="clear" w:color="auto" w:fill="auto"/>
                  <w:vAlign w:val="bottom"/>
                </w:tcPr>
                <w:p w14:paraId="7A234F29" w14:textId="77777777" w:rsidR="0037749E" w:rsidRPr="00827033" w:rsidRDefault="0037749E" w:rsidP="00775786">
                  <w:pPr>
                    <w:pStyle w:val="TableBodyText"/>
                    <w:ind w:left="28" w:right="28"/>
                    <w:jc w:val="left"/>
                    <w:rPr>
                      <w:rFonts w:asciiTheme="majorHAnsi" w:hAnsiTheme="majorHAnsi"/>
                    </w:rPr>
                  </w:pPr>
                  <w:r w:rsidRPr="00827033">
                    <w:rPr>
                      <w:rFonts w:asciiTheme="majorHAnsi" w:hAnsiTheme="majorHAnsi"/>
                    </w:rPr>
                    <w:t>Spain</w:t>
                  </w:r>
                  <w:r w:rsidRPr="00827033">
                    <w:rPr>
                      <w:rStyle w:val="NoteLabel"/>
                      <w:rFonts w:asciiTheme="majorHAnsi" w:hAnsiTheme="majorHAnsi"/>
                    </w:rPr>
                    <w:t>d</w:t>
                  </w:r>
                </w:p>
              </w:tc>
              <w:tc>
                <w:tcPr>
                  <w:tcW w:w="584" w:type="pct"/>
                  <w:shd w:val="clear" w:color="auto" w:fill="auto"/>
                  <w:vAlign w:val="bottom"/>
                </w:tcPr>
                <w:p w14:paraId="37A0D853" w14:textId="77777777" w:rsidR="0037749E" w:rsidRPr="00827033" w:rsidRDefault="0037749E" w:rsidP="00775786">
                  <w:pPr>
                    <w:pStyle w:val="TableBodyText"/>
                    <w:ind w:right="28"/>
                    <w:rPr>
                      <w:rFonts w:asciiTheme="majorHAnsi" w:hAnsiTheme="majorHAnsi"/>
                    </w:rPr>
                  </w:pPr>
                  <w:r w:rsidRPr="00827033">
                    <w:rPr>
                      <w:rFonts w:asciiTheme="majorHAnsi" w:hAnsiTheme="majorHAnsi"/>
                    </w:rPr>
                    <w:t>3 806</w:t>
                  </w:r>
                </w:p>
              </w:tc>
              <w:tc>
                <w:tcPr>
                  <w:tcW w:w="587" w:type="pct"/>
                  <w:shd w:val="clear" w:color="auto" w:fill="auto"/>
                </w:tcPr>
                <w:p w14:paraId="3097A85E" w14:textId="77777777" w:rsidR="0037749E" w:rsidRPr="00AF2EC4" w:rsidRDefault="0037749E" w:rsidP="00775786">
                  <w:pPr>
                    <w:pStyle w:val="TableBodyText"/>
                    <w:spacing w:before="80"/>
                    <w:ind w:right="28"/>
                    <w:rPr>
                      <w:rFonts w:asciiTheme="majorHAnsi" w:hAnsiTheme="majorHAnsi"/>
                      <w:b/>
                    </w:rPr>
                  </w:pPr>
                  <w:proofErr w:type="spellStart"/>
                  <w:r w:rsidRPr="00AF2EC4">
                    <w:rPr>
                      <w:rFonts w:asciiTheme="majorHAnsi" w:hAnsiTheme="majorHAnsi"/>
                      <w:b/>
                    </w:rPr>
                    <w:t>na</w:t>
                  </w:r>
                  <w:proofErr w:type="spellEnd"/>
                </w:p>
              </w:tc>
              <w:tc>
                <w:tcPr>
                  <w:tcW w:w="249" w:type="pct"/>
                </w:tcPr>
                <w:p w14:paraId="4522EB2D" w14:textId="77777777" w:rsidR="0037749E" w:rsidRPr="00827033" w:rsidRDefault="0037749E" w:rsidP="00775786">
                  <w:pPr>
                    <w:pStyle w:val="TableBodyText"/>
                    <w:ind w:right="28"/>
                    <w:rPr>
                      <w:rFonts w:asciiTheme="majorHAnsi" w:hAnsiTheme="majorHAnsi"/>
                    </w:rPr>
                  </w:pPr>
                </w:p>
              </w:tc>
              <w:tc>
                <w:tcPr>
                  <w:tcW w:w="167" w:type="pct"/>
                  <w:vAlign w:val="bottom"/>
                </w:tcPr>
                <w:p w14:paraId="67A4ECB2" w14:textId="77777777" w:rsidR="0037749E" w:rsidRPr="00827033" w:rsidRDefault="0037749E" w:rsidP="00775786">
                  <w:pPr>
                    <w:pStyle w:val="TableBodyText"/>
                    <w:ind w:right="28"/>
                    <w:rPr>
                      <w:rFonts w:asciiTheme="majorHAnsi" w:hAnsiTheme="majorHAnsi"/>
                    </w:rPr>
                  </w:pPr>
                  <w:r w:rsidRPr="00827033">
                    <w:rPr>
                      <w:rFonts w:asciiTheme="majorHAnsi" w:hAnsiTheme="majorHAnsi"/>
                    </w:rPr>
                    <w:t>40</w:t>
                  </w:r>
                </w:p>
              </w:tc>
              <w:tc>
                <w:tcPr>
                  <w:tcW w:w="919" w:type="pct"/>
                  <w:vAlign w:val="bottom"/>
                </w:tcPr>
                <w:p w14:paraId="3D195037" w14:textId="77777777" w:rsidR="0037749E" w:rsidRPr="00827033" w:rsidRDefault="0037749E" w:rsidP="00775786">
                  <w:pPr>
                    <w:pStyle w:val="TableBodyText"/>
                    <w:ind w:right="28"/>
                    <w:jc w:val="left"/>
                    <w:rPr>
                      <w:rFonts w:asciiTheme="majorHAnsi" w:hAnsiTheme="majorHAnsi"/>
                      <w:i/>
                    </w:rPr>
                  </w:pPr>
                  <w:r w:rsidRPr="00827033">
                    <w:rPr>
                      <w:rFonts w:asciiTheme="majorHAnsi" w:hAnsiTheme="majorHAnsi"/>
                    </w:rPr>
                    <w:t>Qatar</w:t>
                  </w:r>
                  <w:r>
                    <w:rPr>
                      <w:rStyle w:val="NoteLabel"/>
                      <w:rFonts w:asciiTheme="majorHAnsi" w:hAnsiTheme="majorHAnsi"/>
                    </w:rPr>
                    <w:t>k</w:t>
                  </w:r>
                </w:p>
              </w:tc>
              <w:tc>
                <w:tcPr>
                  <w:tcW w:w="584" w:type="pct"/>
                  <w:vAlign w:val="bottom"/>
                </w:tcPr>
                <w:p w14:paraId="0F2728DF" w14:textId="77777777" w:rsidR="0037749E" w:rsidRPr="00827033" w:rsidRDefault="0037749E" w:rsidP="00775786">
                  <w:pPr>
                    <w:pStyle w:val="TableBodyText"/>
                    <w:ind w:right="28"/>
                    <w:rPr>
                      <w:rFonts w:asciiTheme="majorHAnsi" w:hAnsiTheme="majorHAnsi"/>
                    </w:rPr>
                  </w:pPr>
                  <w:r w:rsidRPr="00827033">
                    <w:rPr>
                      <w:rFonts w:asciiTheme="majorHAnsi" w:hAnsiTheme="majorHAnsi"/>
                      <w:color w:val="000000"/>
                    </w:rPr>
                    <w:t>1 094</w:t>
                  </w:r>
                </w:p>
              </w:tc>
              <w:tc>
                <w:tcPr>
                  <w:tcW w:w="585" w:type="pct"/>
                </w:tcPr>
                <w:p w14:paraId="6C57B326" w14:textId="77777777" w:rsidR="0037749E" w:rsidRPr="00AF2EC4" w:rsidRDefault="0037749E" w:rsidP="00775786">
                  <w:pPr>
                    <w:pStyle w:val="TableBodyText"/>
                    <w:spacing w:before="60"/>
                    <w:ind w:right="28"/>
                    <w:rPr>
                      <w:rFonts w:asciiTheme="majorHAnsi" w:hAnsiTheme="majorHAnsi"/>
                      <w:b/>
                    </w:rPr>
                  </w:pPr>
                  <w:proofErr w:type="spellStart"/>
                  <w:r w:rsidRPr="00AF2EC4">
                    <w:rPr>
                      <w:rFonts w:asciiTheme="majorHAnsi" w:hAnsiTheme="majorHAnsi"/>
                      <w:b/>
                    </w:rPr>
                    <w:t>na</w:t>
                  </w:r>
                  <w:proofErr w:type="spellEnd"/>
                </w:p>
              </w:tc>
            </w:tr>
          </w:tbl>
          <w:p w14:paraId="114F759E" w14:textId="77777777" w:rsidR="0037749E" w:rsidRDefault="0037749E" w:rsidP="00775786">
            <w:pPr>
              <w:pStyle w:val="Box"/>
            </w:pPr>
          </w:p>
        </w:tc>
      </w:tr>
      <w:tr w:rsidR="0037749E" w14:paraId="2BCFC803" w14:textId="77777777" w:rsidTr="00775786">
        <w:trPr>
          <w:cantSplit/>
        </w:trPr>
        <w:tc>
          <w:tcPr>
            <w:tcW w:w="8771" w:type="dxa"/>
            <w:tcBorders>
              <w:top w:val="single" w:sz="6" w:space="0" w:color="BFBFBF"/>
              <w:left w:val="nil"/>
              <w:bottom w:val="nil"/>
              <w:right w:val="nil"/>
            </w:tcBorders>
            <w:shd w:val="clear" w:color="auto" w:fill="auto"/>
          </w:tcPr>
          <w:p w14:paraId="6C76FCDE" w14:textId="77777777" w:rsidR="0037749E" w:rsidRPr="003C0C94" w:rsidRDefault="0037749E" w:rsidP="00775786">
            <w:pPr>
              <w:pStyle w:val="Note"/>
            </w:pPr>
            <w:proofErr w:type="gramStart"/>
            <w:r w:rsidRPr="008E77FE">
              <w:rPr>
                <w:rStyle w:val="NoteLabel"/>
              </w:rPr>
              <w:t>a</w:t>
            </w:r>
            <w:proofErr w:type="gramEnd"/>
            <w:r>
              <w:t xml:space="preserve"> By total value of goods trade (exports plus imports). </w:t>
            </w:r>
            <w:r>
              <w:rPr>
                <w:rStyle w:val="NoteLabel"/>
              </w:rPr>
              <w:t xml:space="preserve">b </w:t>
            </w:r>
            <w:r>
              <w:t xml:space="preserve">Trade agreements refers to bilateral trade agreements except for the ASEAN-Australia-New Zealand Free Trade Agreement, where indicated. </w:t>
            </w:r>
            <w:proofErr w:type="gramStart"/>
            <w:r>
              <w:rPr>
                <w:rStyle w:val="NoteLabel"/>
              </w:rPr>
              <w:t>c</w:t>
            </w:r>
            <w:proofErr w:type="gramEnd"/>
            <w:r>
              <w:rPr>
                <w:rStyle w:val="NoteLabel"/>
              </w:rPr>
              <w:t> </w:t>
            </w:r>
            <w:r>
              <w:t>Negotiations for the China</w:t>
            </w:r>
            <w:r>
              <w:noBreakHyphen/>
              <w:t>Australia Free Trade Agreement have concluded, although it is not yet in force.</w:t>
            </w:r>
            <w:r>
              <w:rPr>
                <w:rStyle w:val="NoteLabel"/>
              </w:rPr>
              <w:t xml:space="preserve"> </w:t>
            </w:r>
            <w:proofErr w:type="gramStart"/>
            <w:r>
              <w:rPr>
                <w:rStyle w:val="NoteLabel"/>
              </w:rPr>
              <w:t>d</w:t>
            </w:r>
            <w:proofErr w:type="gramEnd"/>
            <w:r>
              <w:t xml:space="preserve"> Part of the ongoing Trade in Services Agreement negotiations. </w:t>
            </w:r>
            <w:proofErr w:type="gramStart"/>
            <w:r>
              <w:rPr>
                <w:rStyle w:val="NoteLabel"/>
              </w:rPr>
              <w:t>e</w:t>
            </w:r>
            <w:proofErr w:type="gramEnd"/>
            <w:r>
              <w:t xml:space="preserve"> Part of the ongoing Trans-Pacific Partnership negotiations. </w:t>
            </w:r>
            <w:proofErr w:type="gramStart"/>
            <w:r>
              <w:rPr>
                <w:rStyle w:val="NoteLabel"/>
              </w:rPr>
              <w:t>f</w:t>
            </w:r>
            <w:proofErr w:type="gramEnd"/>
            <w:r>
              <w:rPr>
                <w:rStyle w:val="NoteLabel"/>
              </w:rPr>
              <w:t xml:space="preserve"> </w:t>
            </w:r>
            <w:r>
              <w:t>Bilateral trade agreement with Australia and also part of the ASEAN</w:t>
            </w:r>
            <w:r>
              <w:noBreakHyphen/>
              <w:t xml:space="preserve">Australia-New Zealand Free Trade Agreement </w:t>
            </w:r>
            <w:r>
              <w:rPr>
                <w:rStyle w:val="NoteLabel"/>
              </w:rPr>
              <w:t>g</w:t>
            </w:r>
            <w:r>
              <w:t xml:space="preserve"> Part of the South Pacific Regional Trade and Economic Co-operation Agreement and the ongoing Pacific Agreement on Closer Economic Relations ‘Plus’ Agreement negotiations.</w:t>
            </w:r>
            <w:r>
              <w:rPr>
                <w:rStyle w:val="NoteLabel"/>
              </w:rPr>
              <w:t xml:space="preserve"> </w:t>
            </w:r>
            <w:proofErr w:type="gramStart"/>
            <w:r>
              <w:rPr>
                <w:rStyle w:val="NoteLabel"/>
              </w:rPr>
              <w:t>h</w:t>
            </w:r>
            <w:proofErr w:type="gramEnd"/>
            <w:r>
              <w:rPr>
                <w:rStyle w:val="NoteLabel"/>
              </w:rPr>
              <w:t xml:space="preserve"> </w:t>
            </w:r>
            <w:r>
              <w:t xml:space="preserve">Part of the ASEAN-Australia-New Zealand Free Trade Agreement </w:t>
            </w:r>
            <w:proofErr w:type="spellStart"/>
            <w:r>
              <w:rPr>
                <w:rStyle w:val="NoteLabel"/>
              </w:rPr>
              <w:t>i</w:t>
            </w:r>
            <w:proofErr w:type="spellEnd"/>
            <w:r w:rsidRPr="006722DD">
              <w:rPr>
                <w:rStyle w:val="NoteLabel"/>
              </w:rPr>
              <w:t xml:space="preserve"> </w:t>
            </w:r>
            <w:r w:rsidRPr="006722DD">
              <w:t>The Indonesia</w:t>
            </w:r>
            <w:r w:rsidRPr="006722DD">
              <w:noBreakHyphen/>
              <w:t>Australia Comprehensive Economic Partnership Agreement is currently being negotiated.</w:t>
            </w:r>
            <w:r>
              <w:rPr>
                <w:rStyle w:val="NoteLabel"/>
              </w:rPr>
              <w:t xml:space="preserve"> </w:t>
            </w:r>
            <w:proofErr w:type="gramStart"/>
            <w:r>
              <w:rPr>
                <w:rStyle w:val="NoteLabel"/>
              </w:rPr>
              <w:t>j</w:t>
            </w:r>
            <w:proofErr w:type="gramEnd"/>
            <w:r w:rsidRPr="006722DD">
              <w:rPr>
                <w:rStyle w:val="NoteLabel"/>
              </w:rPr>
              <w:t xml:space="preserve"> </w:t>
            </w:r>
            <w:r w:rsidRPr="006722DD">
              <w:t>The India</w:t>
            </w:r>
            <w:r w:rsidRPr="006722DD">
              <w:noBreakHyphen/>
              <w:t>Australia Comprehensive Economic Partnership Agreement is currently being negotiated.</w:t>
            </w:r>
            <w:r>
              <w:rPr>
                <w:rStyle w:val="NoteLabel"/>
              </w:rPr>
              <w:t xml:space="preserve"> </w:t>
            </w:r>
            <w:proofErr w:type="gramStart"/>
            <w:r>
              <w:rPr>
                <w:rStyle w:val="NoteLabel"/>
              </w:rPr>
              <w:t>k</w:t>
            </w:r>
            <w:proofErr w:type="gramEnd"/>
            <w:r>
              <w:rPr>
                <w:rStyle w:val="NoteLabel"/>
              </w:rPr>
              <w:t xml:space="preserve"> </w:t>
            </w:r>
            <w:r>
              <w:t>Part of the ongoing Australia</w:t>
            </w:r>
            <w:r>
              <w:noBreakHyphen/>
              <w:t xml:space="preserve">Gulf Cooperation Council Free Trade Agreement negotiations. </w:t>
            </w:r>
            <w:proofErr w:type="spellStart"/>
            <w:r w:rsidRPr="00AF2EC4">
              <w:rPr>
                <w:b/>
              </w:rPr>
              <w:t>na</w:t>
            </w:r>
            <w:proofErr w:type="spellEnd"/>
            <w:r>
              <w:t xml:space="preserve"> Not available</w:t>
            </w:r>
          </w:p>
        </w:tc>
      </w:tr>
      <w:tr w:rsidR="0037749E" w14:paraId="69648ACF" w14:textId="77777777" w:rsidTr="00775786">
        <w:trPr>
          <w:cantSplit/>
        </w:trPr>
        <w:tc>
          <w:tcPr>
            <w:tcW w:w="8771" w:type="dxa"/>
            <w:tcBorders>
              <w:top w:val="nil"/>
              <w:left w:val="nil"/>
              <w:bottom w:val="nil"/>
              <w:right w:val="nil"/>
            </w:tcBorders>
            <w:shd w:val="clear" w:color="auto" w:fill="auto"/>
          </w:tcPr>
          <w:p w14:paraId="5D38DC33" w14:textId="45DEC6A4" w:rsidR="0037749E" w:rsidRPr="00A27A12" w:rsidRDefault="0037749E" w:rsidP="00775786">
            <w:pPr>
              <w:pStyle w:val="Source"/>
            </w:pPr>
            <w:r>
              <w:rPr>
                <w:i/>
              </w:rPr>
              <w:t>Sources</w:t>
            </w:r>
            <w:r w:rsidRPr="00167F06">
              <w:t>:</w:t>
            </w:r>
            <w:r>
              <w:t xml:space="preserve"> </w:t>
            </w:r>
            <w:r w:rsidR="00EE2A80" w:rsidRPr="00EE2A80">
              <w:rPr>
                <w:rFonts w:cs="Arial"/>
              </w:rPr>
              <w:t>(ABS 2015b; DFAT 2015a, 2015b)</w:t>
            </w:r>
            <w:r w:rsidR="000F4567">
              <w:t>.</w:t>
            </w:r>
          </w:p>
        </w:tc>
      </w:tr>
      <w:tr w:rsidR="0037749E" w14:paraId="6F6E9155" w14:textId="77777777" w:rsidTr="00775786">
        <w:trPr>
          <w:cantSplit/>
        </w:trPr>
        <w:tc>
          <w:tcPr>
            <w:tcW w:w="8771" w:type="dxa"/>
            <w:tcBorders>
              <w:top w:val="nil"/>
              <w:left w:val="nil"/>
              <w:bottom w:val="single" w:sz="6" w:space="0" w:color="78A22F"/>
              <w:right w:val="nil"/>
            </w:tcBorders>
            <w:shd w:val="clear" w:color="auto" w:fill="auto"/>
          </w:tcPr>
          <w:p w14:paraId="512E11D2" w14:textId="77777777" w:rsidR="0037749E" w:rsidRDefault="0037749E" w:rsidP="00775786">
            <w:pPr>
              <w:pStyle w:val="Box"/>
              <w:spacing w:before="0" w:line="120" w:lineRule="exact"/>
            </w:pPr>
          </w:p>
        </w:tc>
      </w:tr>
      <w:tr w:rsidR="0037749E" w:rsidRPr="000863A5" w14:paraId="12E73E4B" w14:textId="77777777" w:rsidTr="00775786">
        <w:tc>
          <w:tcPr>
            <w:tcW w:w="8771" w:type="dxa"/>
            <w:tcBorders>
              <w:top w:val="single" w:sz="6" w:space="0" w:color="78A22F"/>
              <w:left w:val="nil"/>
              <w:bottom w:val="nil"/>
              <w:right w:val="nil"/>
            </w:tcBorders>
          </w:tcPr>
          <w:p w14:paraId="7FCA673B" w14:textId="30B9C234" w:rsidR="0037749E" w:rsidRPr="00626D32" w:rsidRDefault="0037749E" w:rsidP="00775786">
            <w:pPr>
              <w:pStyle w:val="BoxSpaceBelow"/>
            </w:pPr>
          </w:p>
        </w:tc>
      </w:tr>
    </w:tbl>
    <w:p w14:paraId="1D3FC665" w14:textId="731611E7" w:rsidR="00853046" w:rsidRPr="004E3B94" w:rsidRDefault="00853046" w:rsidP="007F2944">
      <w:pPr>
        <w:pStyle w:val="BoxSpaceAboveElement"/>
        <w:keepLines/>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853046" w14:paraId="2A988CF8" w14:textId="77777777" w:rsidTr="00E17B00">
        <w:tc>
          <w:tcPr>
            <w:tcW w:w="8770" w:type="dxa"/>
            <w:tcBorders>
              <w:top w:val="single" w:sz="6" w:space="0" w:color="78A22F"/>
              <w:left w:val="nil"/>
              <w:bottom w:val="nil"/>
              <w:right w:val="nil"/>
            </w:tcBorders>
            <w:shd w:val="clear" w:color="auto" w:fill="auto"/>
          </w:tcPr>
          <w:p w14:paraId="23670CCE" w14:textId="77777777" w:rsidR="00853046" w:rsidRPr="00FF28DA" w:rsidRDefault="00853046" w:rsidP="007F2944">
            <w:pPr>
              <w:pStyle w:val="InformationRequest"/>
              <w:keepNext/>
            </w:pPr>
            <w:r>
              <w:t>The Commission is seeking information and evidence on:</w:t>
            </w:r>
          </w:p>
          <w:p w14:paraId="4363102E" w14:textId="77777777" w:rsidR="00853046" w:rsidRDefault="00853046" w:rsidP="007F2944">
            <w:pPr>
              <w:pStyle w:val="InformationRequestBullet"/>
              <w:keepNext/>
              <w:keepLines/>
            </w:pPr>
            <w:r>
              <w:t>data on Australian services exports for each of the sectors covered in this study — particularly data on services provided through commercial presence (mode 3) over time</w:t>
            </w:r>
          </w:p>
          <w:p w14:paraId="4A708A47" w14:textId="77777777" w:rsidR="00853046" w:rsidRDefault="00853046" w:rsidP="007F2944">
            <w:pPr>
              <w:pStyle w:val="InformationRequestBullet"/>
              <w:keepNext/>
              <w:keepLines/>
            </w:pPr>
            <w:r>
              <w:t>important trends in Australian services exports, including changes in the mode by which Australian services exports are provided, and any barriers to particular modes of delivery</w:t>
            </w:r>
          </w:p>
          <w:p w14:paraId="5A75B044" w14:textId="028DAFC7" w:rsidR="00853046" w:rsidRDefault="00853046" w:rsidP="007F2944">
            <w:pPr>
              <w:pStyle w:val="InformationRequestBullet"/>
              <w:keepNext/>
              <w:keepLines/>
            </w:pPr>
            <w:r>
              <w:t xml:space="preserve">the key drivers of the trends in services exports in each of the services sectors </w:t>
            </w:r>
            <w:r w:rsidR="00A05853">
              <w:t xml:space="preserve">covered </w:t>
            </w:r>
            <w:r>
              <w:t>in this study, including the key drivers of demand for Australian services exports</w:t>
            </w:r>
          </w:p>
          <w:p w14:paraId="042B00AC" w14:textId="77777777" w:rsidR="00853046" w:rsidRDefault="00853046" w:rsidP="007F2944">
            <w:pPr>
              <w:pStyle w:val="InformationRequestBullet"/>
              <w:keepNext/>
              <w:keepLines/>
            </w:pPr>
            <w:r>
              <w:t xml:space="preserve">which export markets are most important for services exports </w:t>
            </w:r>
            <w:r w:rsidDel="00E31872">
              <w:t xml:space="preserve">in </w:t>
            </w:r>
            <w:r>
              <w:t>the services sectors covered in this study, and which areas of services exports offer the greatest potential for growth, and why</w:t>
            </w:r>
          </w:p>
          <w:p w14:paraId="5CE3CF67" w14:textId="4F9F4AB1" w:rsidR="00853046" w:rsidRPr="00CE4C64" w:rsidRDefault="00853046" w:rsidP="007F2944">
            <w:pPr>
              <w:pStyle w:val="InformationRequestBullet"/>
              <w:keepNext/>
              <w:keepLines/>
            </w:pPr>
            <w:proofErr w:type="gramStart"/>
            <w:r>
              <w:t>the</w:t>
            </w:r>
            <w:proofErr w:type="gramEnd"/>
            <w:r>
              <w:t xml:space="preserve"> factors that affect the competitiveness of Australian services exports, including consideration of the strengths and weaknesses of each of the services sectors included in this study, relative to Australia’s key competitors</w:t>
            </w:r>
            <w:r w:rsidR="005003ED">
              <w:t>.</w:t>
            </w:r>
          </w:p>
        </w:tc>
      </w:tr>
      <w:tr w:rsidR="00853046" w14:paraId="69DF144F" w14:textId="77777777" w:rsidTr="00E17B00">
        <w:tc>
          <w:tcPr>
            <w:tcW w:w="8770" w:type="dxa"/>
            <w:tcBorders>
              <w:top w:val="nil"/>
              <w:left w:val="nil"/>
              <w:bottom w:val="single" w:sz="6" w:space="0" w:color="78A22F"/>
              <w:right w:val="nil"/>
            </w:tcBorders>
            <w:shd w:val="clear" w:color="auto" w:fill="auto"/>
          </w:tcPr>
          <w:p w14:paraId="3964C4CF" w14:textId="77777777" w:rsidR="00853046" w:rsidRDefault="00853046" w:rsidP="007F2944">
            <w:pPr>
              <w:pStyle w:val="Space"/>
              <w:keepLines/>
            </w:pPr>
          </w:p>
        </w:tc>
      </w:tr>
      <w:tr w:rsidR="00853046" w:rsidRPr="000863A5" w14:paraId="602BE9DD" w14:textId="77777777" w:rsidTr="00E17B00">
        <w:tc>
          <w:tcPr>
            <w:tcW w:w="8770" w:type="dxa"/>
            <w:tcBorders>
              <w:top w:val="single" w:sz="6" w:space="0" w:color="78A22F"/>
              <w:left w:val="nil"/>
              <w:bottom w:val="nil"/>
              <w:right w:val="nil"/>
            </w:tcBorders>
          </w:tcPr>
          <w:p w14:paraId="2E1B161C" w14:textId="615C2552" w:rsidR="00853046" w:rsidRPr="00626D32" w:rsidRDefault="00853046" w:rsidP="007F2944">
            <w:pPr>
              <w:pStyle w:val="BoxSpaceBelow"/>
              <w:keepNext/>
              <w:keepLines/>
            </w:pPr>
          </w:p>
        </w:tc>
      </w:tr>
    </w:tbl>
    <w:p w14:paraId="430920D8" w14:textId="77777777" w:rsidR="000D0B63" w:rsidRDefault="00000152" w:rsidP="000D0B63">
      <w:pPr>
        <w:pStyle w:val="Heading2"/>
      </w:pPr>
      <w:fldSimple w:instr=" SEQ Heading2 ">
        <w:bookmarkStart w:id="19" w:name="_Toc415487505"/>
        <w:bookmarkStart w:id="20" w:name="_Toc415493831"/>
        <w:bookmarkStart w:id="21" w:name="_Toc415494273"/>
        <w:bookmarkStart w:id="22" w:name="_Toc415664545"/>
        <w:r w:rsidR="002B546F">
          <w:rPr>
            <w:noProof/>
          </w:rPr>
          <w:t>5</w:t>
        </w:r>
      </w:fldSimple>
      <w:r w:rsidR="000D0B63">
        <w:tab/>
        <w:t>Domestic barriers to services exports</w:t>
      </w:r>
      <w:bookmarkEnd w:id="19"/>
      <w:bookmarkEnd w:id="20"/>
      <w:bookmarkEnd w:id="21"/>
      <w:bookmarkEnd w:id="22"/>
    </w:p>
    <w:p w14:paraId="503DC86C" w14:textId="2C489A7C" w:rsidR="000D0B63" w:rsidRDefault="00C57C24" w:rsidP="000D0B63">
      <w:pPr>
        <w:pStyle w:val="BodyText"/>
      </w:pPr>
      <w:r>
        <w:t xml:space="preserve">The </w:t>
      </w:r>
      <w:r w:rsidR="000D0B63">
        <w:t>domestic barriers to growth in Australian services exports could be caused by a variety of issues, some of which are described below.</w:t>
      </w:r>
    </w:p>
    <w:p w14:paraId="6D3EBBC9" w14:textId="5BF28901" w:rsidR="000D0B63" w:rsidRPr="004E3B94" w:rsidRDefault="000D0B63" w:rsidP="000D0B63">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0D0B63" w14:paraId="30E8F08F" w14:textId="77777777" w:rsidTr="007D27F7">
        <w:tc>
          <w:tcPr>
            <w:tcW w:w="8770" w:type="dxa"/>
            <w:tcBorders>
              <w:top w:val="single" w:sz="6" w:space="0" w:color="78A22F"/>
              <w:left w:val="nil"/>
              <w:bottom w:val="nil"/>
              <w:right w:val="nil"/>
            </w:tcBorders>
            <w:shd w:val="clear" w:color="auto" w:fill="auto"/>
          </w:tcPr>
          <w:p w14:paraId="1AB70515" w14:textId="0C299166" w:rsidR="000D0B63" w:rsidRDefault="000D0B63" w:rsidP="007D27F7">
            <w:pPr>
              <w:pStyle w:val="InformationRequest"/>
            </w:pPr>
            <w:r>
              <w:t xml:space="preserve">The Commission is seeking information </w:t>
            </w:r>
            <w:r w:rsidR="0048022B">
              <w:t xml:space="preserve">and evidence </w:t>
            </w:r>
            <w:r>
              <w:t>on:</w:t>
            </w:r>
          </w:p>
          <w:p w14:paraId="7A4AC23A" w14:textId="77777777" w:rsidR="000D0B63" w:rsidRDefault="000D0B63" w:rsidP="007D27F7">
            <w:pPr>
              <w:pStyle w:val="InformationRequestBullet"/>
            </w:pPr>
            <w:r>
              <w:t>what domestic barriers apply to services exports from Australia across the sectors considered in this study</w:t>
            </w:r>
          </w:p>
          <w:p w14:paraId="210A35D7" w14:textId="77777777" w:rsidR="000D0B63" w:rsidRDefault="000D0B63" w:rsidP="007D27F7">
            <w:pPr>
              <w:pStyle w:val="InformationRequestBullet"/>
            </w:pPr>
            <w:r>
              <w:t>the barriers that are the highest priority for reform</w:t>
            </w:r>
            <w:r w:rsidR="0001778B">
              <w:t>, and who should be responsible for driving the reform process</w:t>
            </w:r>
          </w:p>
          <w:p w14:paraId="1FC03BDE" w14:textId="77777777" w:rsidR="000D0B63" w:rsidRPr="00383A95" w:rsidRDefault="000D0B63" w:rsidP="007D27F7">
            <w:pPr>
              <w:pStyle w:val="InformationRequestBullet"/>
            </w:pPr>
            <w:r>
              <w:t>the costs and benefits of removing any barriers to services exports, including any flow on effects to other industries or the domestic services market</w:t>
            </w:r>
          </w:p>
          <w:p w14:paraId="24A9B9CE" w14:textId="785B4875" w:rsidR="00307331" w:rsidRDefault="000D0B63" w:rsidP="00307331">
            <w:pPr>
              <w:pStyle w:val="InformationRequestBullet"/>
            </w:pPr>
            <w:r>
              <w:t xml:space="preserve">how Australia’s domestic </w:t>
            </w:r>
            <w:r w:rsidR="004C4AE7">
              <w:t xml:space="preserve">policy and regulatory </w:t>
            </w:r>
            <w:r>
              <w:t xml:space="preserve">frameworks for facilitating services exports compare to other countries, </w:t>
            </w:r>
            <w:r w:rsidR="00307331">
              <w:t>including:</w:t>
            </w:r>
          </w:p>
          <w:p w14:paraId="51DFA77F" w14:textId="31140B5F" w:rsidR="00307331" w:rsidRPr="00EA51F3" w:rsidRDefault="00743FC8" w:rsidP="000D0575">
            <w:pPr>
              <w:pStyle w:val="BoxListBullet2"/>
              <w:rPr>
                <w:szCs w:val="24"/>
              </w:rPr>
            </w:pPr>
            <w:r>
              <w:rPr>
                <w:i/>
                <w:sz w:val="22"/>
              </w:rPr>
              <w:t>e</w:t>
            </w:r>
            <w:r w:rsidR="00307331" w:rsidRPr="00307331">
              <w:rPr>
                <w:i/>
                <w:sz w:val="22"/>
              </w:rPr>
              <w:t xml:space="preserve">xperience and lessons learned from other countries with which </w:t>
            </w:r>
            <w:r w:rsidR="0048409E" w:rsidRPr="00307331">
              <w:rPr>
                <w:i/>
                <w:sz w:val="22"/>
              </w:rPr>
              <w:t>Australia</w:t>
            </w:r>
            <w:r w:rsidR="00307331" w:rsidRPr="00307331">
              <w:rPr>
                <w:i/>
                <w:sz w:val="22"/>
              </w:rPr>
              <w:t xml:space="preserve"> has a trade agreement</w:t>
            </w:r>
          </w:p>
          <w:p w14:paraId="2CC5876B" w14:textId="724EC352" w:rsidR="000D0B63" w:rsidRPr="00AB7BAD" w:rsidRDefault="000D0B63" w:rsidP="000D0575">
            <w:pPr>
              <w:pStyle w:val="BoxListBullet2"/>
              <w:rPr>
                <w:szCs w:val="24"/>
              </w:rPr>
            </w:pPr>
            <w:proofErr w:type="gramStart"/>
            <w:r w:rsidRPr="00307331">
              <w:rPr>
                <w:i/>
                <w:sz w:val="22"/>
              </w:rPr>
              <w:t>whether</w:t>
            </w:r>
            <w:proofErr w:type="gramEnd"/>
            <w:r w:rsidRPr="00307331">
              <w:rPr>
                <w:i/>
                <w:sz w:val="22"/>
              </w:rPr>
              <w:t xml:space="preserve"> there are</w:t>
            </w:r>
            <w:r w:rsidR="004C4AE7" w:rsidRPr="00307331">
              <w:rPr>
                <w:i/>
                <w:sz w:val="22"/>
              </w:rPr>
              <w:t xml:space="preserve"> effective</w:t>
            </w:r>
            <w:r w:rsidRPr="00307331">
              <w:rPr>
                <w:i/>
                <w:sz w:val="22"/>
              </w:rPr>
              <w:t xml:space="preserve"> approaches </w:t>
            </w:r>
            <w:r w:rsidR="004C4AE7" w:rsidRPr="00307331">
              <w:rPr>
                <w:i/>
                <w:sz w:val="22"/>
              </w:rPr>
              <w:t xml:space="preserve">used </w:t>
            </w:r>
            <w:r w:rsidRPr="00307331">
              <w:rPr>
                <w:i/>
                <w:sz w:val="22"/>
              </w:rPr>
              <w:t>overseas that could be adopted in Australia</w:t>
            </w:r>
            <w:r w:rsidR="00163AF1">
              <w:rPr>
                <w:i/>
                <w:sz w:val="22"/>
              </w:rPr>
              <w:t>.</w:t>
            </w:r>
          </w:p>
        </w:tc>
      </w:tr>
      <w:tr w:rsidR="000D0B63" w14:paraId="7B74469D" w14:textId="77777777" w:rsidTr="007D27F7">
        <w:tc>
          <w:tcPr>
            <w:tcW w:w="8770" w:type="dxa"/>
            <w:tcBorders>
              <w:top w:val="nil"/>
              <w:left w:val="nil"/>
              <w:bottom w:val="single" w:sz="6" w:space="0" w:color="78A22F"/>
              <w:right w:val="nil"/>
            </w:tcBorders>
            <w:shd w:val="clear" w:color="auto" w:fill="auto"/>
          </w:tcPr>
          <w:p w14:paraId="73616BDF" w14:textId="77777777" w:rsidR="000D0B63" w:rsidRDefault="000D0B63" w:rsidP="007D27F7">
            <w:pPr>
              <w:pStyle w:val="Space"/>
              <w:keepNext w:val="0"/>
              <w:keepLines/>
            </w:pPr>
          </w:p>
        </w:tc>
      </w:tr>
      <w:tr w:rsidR="000D0B63" w:rsidRPr="000863A5" w14:paraId="63C57240" w14:textId="77777777" w:rsidTr="007D27F7">
        <w:tc>
          <w:tcPr>
            <w:tcW w:w="8770" w:type="dxa"/>
            <w:tcBorders>
              <w:top w:val="single" w:sz="6" w:space="0" w:color="78A22F"/>
              <w:left w:val="nil"/>
              <w:bottom w:val="nil"/>
              <w:right w:val="nil"/>
            </w:tcBorders>
          </w:tcPr>
          <w:p w14:paraId="36C5F7F0" w14:textId="027EDBE9" w:rsidR="000D0B63" w:rsidRPr="00626D32" w:rsidRDefault="000D0B63" w:rsidP="007D27F7">
            <w:pPr>
              <w:pStyle w:val="BoxSpaceBelow"/>
              <w:keepLines/>
            </w:pPr>
          </w:p>
        </w:tc>
      </w:tr>
    </w:tbl>
    <w:p w14:paraId="28BCE6B4" w14:textId="77777777" w:rsidR="000D0B63" w:rsidRDefault="000D0B63" w:rsidP="000D0B63">
      <w:pPr>
        <w:pStyle w:val="Heading3"/>
      </w:pPr>
      <w:r>
        <w:lastRenderedPageBreak/>
        <w:t xml:space="preserve">Tax and </w:t>
      </w:r>
      <w:r w:rsidR="00F6528F">
        <w:t xml:space="preserve">other </w:t>
      </w:r>
      <w:r>
        <w:t>regulatory issues</w:t>
      </w:r>
    </w:p>
    <w:p w14:paraId="71EB5EFB" w14:textId="302C0030" w:rsidR="000D0B63" w:rsidRDefault="000D0B63" w:rsidP="0025142E">
      <w:pPr>
        <w:pStyle w:val="BodyText"/>
      </w:pPr>
      <w:r>
        <w:t xml:space="preserve">In some cases, </w:t>
      </w:r>
      <w:r w:rsidR="00BB6029">
        <w:t>unnecessary or inadequate</w:t>
      </w:r>
      <w:r>
        <w:t xml:space="preserve"> regulation may act as a barrier to increasing services exports</w:t>
      </w:r>
      <w:r w:rsidR="00BB6029">
        <w:t xml:space="preserve">. </w:t>
      </w:r>
      <w:r w:rsidR="00D92ED8">
        <w:t xml:space="preserve">For example, in its study into </w:t>
      </w:r>
      <w:r w:rsidR="00D35F1B">
        <w:t xml:space="preserve">international </w:t>
      </w:r>
      <w:r w:rsidR="00D92ED8">
        <w:t xml:space="preserve">tourism </w:t>
      </w:r>
      <w:r>
        <w:t>the Commission</w:t>
      </w:r>
      <w:r w:rsidR="00DE3C45">
        <w:t xml:space="preserve"> </w:t>
      </w:r>
      <w:r w:rsidR="00F6528F">
        <w:t>found</w:t>
      </w:r>
      <w:r>
        <w:t xml:space="preserve"> that</w:t>
      </w:r>
      <w:r w:rsidR="00D92ED8">
        <w:t xml:space="preserve"> while</w:t>
      </w:r>
      <w:r>
        <w:t xml:space="preserve"> Australia’s international aviation policy settings have served Australia well, </w:t>
      </w:r>
      <w:r w:rsidR="00163AF1">
        <w:t xml:space="preserve">it is expected that </w:t>
      </w:r>
      <w:r>
        <w:t>further liberalising access to Australia’s major gateway air</w:t>
      </w:r>
      <w:r w:rsidR="003B078E">
        <w:t>ports would have net benefits for</w:t>
      </w:r>
      <w:r>
        <w:t xml:space="preserve"> the Australian community. </w:t>
      </w:r>
      <w:r w:rsidR="00D92ED8">
        <w:t xml:space="preserve">Participants to the Financial System Inquiry also suggested that </w:t>
      </w:r>
      <w:r w:rsidR="00B15F09">
        <w:t>a</w:t>
      </w:r>
      <w:r w:rsidR="00756D7F">
        <w:t xml:space="preserve"> lack of understanding of Australia’s trust law struc</w:t>
      </w:r>
      <w:r w:rsidR="00117605">
        <w:t>ture for managed funds</w:t>
      </w:r>
      <w:r w:rsidR="00D92ED8">
        <w:t xml:space="preserve"> was an impediment to the international integration of Australia’s finance sector</w:t>
      </w:r>
      <w:r w:rsidR="008E10E4">
        <w:t xml:space="preserve"> </w:t>
      </w:r>
      <w:r w:rsidR="00756D7F" w:rsidRPr="00474456">
        <w:rPr>
          <w:rFonts w:cs="Arial"/>
          <w:szCs w:val="24"/>
        </w:rPr>
        <w:t>(FSI 2014)</w:t>
      </w:r>
      <w:r w:rsidR="00D92ED8">
        <w:t>.</w:t>
      </w:r>
    </w:p>
    <w:p w14:paraId="660EC58C" w14:textId="670AEB71" w:rsidR="00E66878" w:rsidRDefault="00E66878" w:rsidP="00E66878">
      <w:pPr>
        <w:pStyle w:val="BodyText"/>
      </w:pPr>
      <w:r>
        <w:t>Australia’s taxation policy may also affect services exports, particularly if policy settings discriminate between the domestic services market and services exports. The 2009 Johnson Inquiry into Australia as a financial centre identified several taxation</w:t>
      </w:r>
      <w:r w:rsidR="00F321CE">
        <w:t xml:space="preserve"> issues</w:t>
      </w:r>
      <w:r>
        <w:t xml:space="preserve">, such as impediments posed by Australia’s withholding tax on foreign-raised funding </w:t>
      </w:r>
      <w:r w:rsidR="00756D7F" w:rsidRPr="00455376">
        <w:rPr>
          <w:rFonts w:cs="Arial"/>
          <w:szCs w:val="24"/>
        </w:rPr>
        <w:t>(AFCF 2009)</w:t>
      </w:r>
      <w:r>
        <w:t>.</w:t>
      </w:r>
      <w:r w:rsidR="00756D7F">
        <w:t xml:space="preserve"> </w:t>
      </w:r>
      <w:r>
        <w:t>In addition, in a submission to the Financial System</w:t>
      </w:r>
      <w:r w:rsidDel="00D8759E">
        <w:t>s</w:t>
      </w:r>
      <w:r>
        <w:t xml:space="preserve"> Inquiry, ANZ suggested that, because Australia does not have franking credits for profits earned offshore, offshore profits for Australian-based companies are subject to double taxation</w:t>
      </w:r>
      <w:r w:rsidDel="0000302A">
        <w:t xml:space="preserve"> </w:t>
      </w:r>
      <w:r w:rsidR="0000302A" w:rsidRPr="0000302A">
        <w:rPr>
          <w:szCs w:val="24"/>
        </w:rPr>
        <w:t>(ANZ 2014)</w:t>
      </w:r>
      <w:r>
        <w:t>.</w:t>
      </w:r>
      <w:r w:rsidR="0035382A">
        <w:t xml:space="preserve"> The Commission </w:t>
      </w:r>
      <w:r w:rsidR="0065779B">
        <w:t xml:space="preserve">is mindful of the review process being undertaken through the Australian Government’s taxation white paper, which </w:t>
      </w:r>
      <w:r w:rsidR="0000302A">
        <w:t>will</w:t>
      </w:r>
      <w:r w:rsidR="0065779B">
        <w:t xml:space="preserve"> cover the above issues</w:t>
      </w:r>
      <w:r w:rsidR="00223D8A">
        <w:t xml:space="preserve"> </w:t>
      </w:r>
      <w:r w:rsidR="00DE4F34" w:rsidRPr="00DE4F34">
        <w:rPr>
          <w:szCs w:val="24"/>
        </w:rPr>
        <w:t>(Australian Government 2015b)</w:t>
      </w:r>
      <w:r w:rsidR="00DE4F34">
        <w:t>.</w:t>
      </w:r>
    </w:p>
    <w:p w14:paraId="7F6CC264" w14:textId="57C72660" w:rsidR="000D0B63" w:rsidRPr="004E3B94" w:rsidRDefault="000D0B63" w:rsidP="000D0B63">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0D0B63" w14:paraId="2CD44A48" w14:textId="77777777" w:rsidTr="007D27F7">
        <w:tc>
          <w:tcPr>
            <w:tcW w:w="8770" w:type="dxa"/>
            <w:tcBorders>
              <w:top w:val="single" w:sz="6" w:space="0" w:color="78A22F"/>
              <w:left w:val="nil"/>
              <w:bottom w:val="nil"/>
              <w:right w:val="nil"/>
            </w:tcBorders>
            <w:shd w:val="clear" w:color="auto" w:fill="auto"/>
          </w:tcPr>
          <w:p w14:paraId="0A6A7A81" w14:textId="77777777" w:rsidR="000D0B63" w:rsidRDefault="000D0B63" w:rsidP="007D27F7">
            <w:pPr>
              <w:pStyle w:val="InformationRequest"/>
            </w:pPr>
            <w:r>
              <w:t xml:space="preserve">The Commission is seeking information </w:t>
            </w:r>
            <w:r w:rsidR="00F67F3A">
              <w:t xml:space="preserve">and evidence </w:t>
            </w:r>
            <w:r>
              <w:t>on:</w:t>
            </w:r>
          </w:p>
          <w:p w14:paraId="31EA6A3A" w14:textId="26D87268" w:rsidR="000D0B63" w:rsidRDefault="000D0B63" w:rsidP="007D27F7">
            <w:pPr>
              <w:pStyle w:val="InformationRequestBullet"/>
            </w:pPr>
            <w:r>
              <w:t xml:space="preserve">whether there are any domestic regulatory arrangements that limit the ability of the Australian services industry to export </w:t>
            </w:r>
          </w:p>
          <w:p w14:paraId="08F9F1DD" w14:textId="77777777" w:rsidR="003A6273" w:rsidRPr="00781A86" w:rsidRDefault="007E107D" w:rsidP="0025142E">
            <w:pPr>
              <w:pStyle w:val="InformationRequestBullet"/>
              <w:rPr>
                <w:szCs w:val="22"/>
              </w:rPr>
            </w:pPr>
            <w:r>
              <w:t>possible</w:t>
            </w:r>
            <w:r w:rsidR="009F1FCB" w:rsidRPr="007E107D">
              <w:t xml:space="preserve"> reforms to domestic regulatory </w:t>
            </w:r>
            <w:r w:rsidR="007B02E5" w:rsidRPr="007B02E5">
              <w:t>arrangements</w:t>
            </w:r>
            <w:r w:rsidR="009F1FCB" w:rsidRPr="007E107D">
              <w:t>, and the costs and benefits of these reforms</w:t>
            </w:r>
          </w:p>
          <w:p w14:paraId="77C06700" w14:textId="77777777" w:rsidR="003A6273" w:rsidRPr="007E107D" w:rsidRDefault="003A6273">
            <w:pPr>
              <w:pStyle w:val="InformationRequestBullet"/>
            </w:pPr>
            <w:r w:rsidRPr="007E107D">
              <w:t>whether any aspects of Austra</w:t>
            </w:r>
            <w:r w:rsidRPr="00DB7EDE">
              <w:t xml:space="preserve">lia’s taxation policy creates </w:t>
            </w:r>
            <w:r w:rsidR="00282A6C" w:rsidRPr="00282A6C">
              <w:t>a</w:t>
            </w:r>
            <w:r w:rsidRPr="007E107D">
              <w:t xml:space="preserve"> </w:t>
            </w:r>
            <w:r w:rsidR="00282A6C">
              <w:t>distortionary</w:t>
            </w:r>
            <w:r w:rsidRPr="007E107D">
              <w:t xml:space="preserve"> environment for services exports </w:t>
            </w:r>
          </w:p>
          <w:p w14:paraId="2B3C624A" w14:textId="77777777" w:rsidR="003A6273" w:rsidRPr="00796043" w:rsidRDefault="003A6273" w:rsidP="00796043">
            <w:pPr>
              <w:pStyle w:val="BoxListBullet2"/>
              <w:rPr>
                <w:i/>
                <w:sz w:val="22"/>
              </w:rPr>
            </w:pPr>
            <w:r w:rsidRPr="00796043">
              <w:rPr>
                <w:i/>
                <w:sz w:val="22"/>
              </w:rPr>
              <w:t>to what extent have taxation issues, such as Australia’s withholding taxes and system of franking credits, affected the competitiveness of services exporters</w:t>
            </w:r>
          </w:p>
          <w:p w14:paraId="46936AF4" w14:textId="58A9D007" w:rsidR="003A6273" w:rsidRPr="00796043" w:rsidRDefault="008D6A87" w:rsidP="00796043">
            <w:pPr>
              <w:pStyle w:val="BoxListBullet2"/>
              <w:rPr>
                <w:i/>
                <w:sz w:val="22"/>
              </w:rPr>
            </w:pPr>
            <w:r w:rsidRPr="00796043">
              <w:rPr>
                <w:i/>
                <w:sz w:val="22"/>
              </w:rPr>
              <w:t>in relation</w:t>
            </w:r>
            <w:r w:rsidR="003A6273" w:rsidRPr="00796043">
              <w:rPr>
                <w:i/>
                <w:sz w:val="22"/>
              </w:rPr>
              <w:t xml:space="preserve"> to </w:t>
            </w:r>
            <w:r w:rsidRPr="00796043">
              <w:rPr>
                <w:i/>
                <w:sz w:val="22"/>
              </w:rPr>
              <w:t>these issues</w:t>
            </w:r>
            <w:r w:rsidR="003A6273" w:rsidRPr="00796043">
              <w:rPr>
                <w:i/>
                <w:sz w:val="22"/>
              </w:rPr>
              <w:t>, what would be the best mechanism to achieve reform (such as tax treaties or reform to domestic tax policy) and what would be the costs and benefits of these reforms</w:t>
            </w:r>
          </w:p>
          <w:p w14:paraId="207AE3B7" w14:textId="77777777" w:rsidR="000D0B63" w:rsidRDefault="000D0B63" w:rsidP="007D27F7">
            <w:pPr>
              <w:pStyle w:val="InformationRequestBullet"/>
            </w:pPr>
            <w:r>
              <w:t xml:space="preserve">how Australia’s domestic regulatory and taxation </w:t>
            </w:r>
            <w:r w:rsidR="00282A6C">
              <w:t xml:space="preserve">arrangements </w:t>
            </w:r>
            <w:r>
              <w:t>for services exports compare to those in key competitor countries</w:t>
            </w:r>
          </w:p>
          <w:p w14:paraId="257EAB7D" w14:textId="77777777" w:rsidR="000D0B63" w:rsidRDefault="000D0B63" w:rsidP="007E107D">
            <w:pPr>
              <w:pStyle w:val="InformationRequestBullet"/>
            </w:pPr>
            <w:r>
              <w:t>the extent to which recommendations of previous reviews examining the regulation of services exports, such as the Johnson Review of financial services</w:t>
            </w:r>
            <w:r w:rsidR="0046637F">
              <w:t>, the Financial System Inquiry</w:t>
            </w:r>
            <w:r>
              <w:t xml:space="preserve"> and the Chaney Review of international education, have been adopted, and whether any high priority reforms remain outstanding</w:t>
            </w:r>
          </w:p>
          <w:p w14:paraId="0785A33F" w14:textId="77777777" w:rsidR="000D0B63" w:rsidRPr="00AB7BAD" w:rsidRDefault="007E107D" w:rsidP="007D27F7">
            <w:pPr>
              <w:pStyle w:val="InformationRequestBullet"/>
            </w:pPr>
            <w:proofErr w:type="gramStart"/>
            <w:r w:rsidRPr="007E107D">
              <w:t>participant</w:t>
            </w:r>
            <w:proofErr w:type="gramEnd"/>
            <w:r w:rsidRPr="007E107D">
              <w:t xml:space="preserve"> views on the conclusions reached by the Commission in its recent report on Australia’s international </w:t>
            </w:r>
            <w:r w:rsidR="00056880">
              <w:t>t</w:t>
            </w:r>
            <w:r w:rsidRPr="007E107D">
              <w:t xml:space="preserve">ourism </w:t>
            </w:r>
            <w:r w:rsidR="00056880">
              <w:t>i</w:t>
            </w:r>
            <w:r w:rsidRPr="007E107D">
              <w:t>ndustry, including the scope for further liberalisation of international air services arrangements</w:t>
            </w:r>
            <w:r>
              <w:t>.</w:t>
            </w:r>
          </w:p>
        </w:tc>
      </w:tr>
      <w:tr w:rsidR="000D0B63" w14:paraId="14B0A2D3" w14:textId="77777777" w:rsidTr="007D27F7">
        <w:tc>
          <w:tcPr>
            <w:tcW w:w="8770" w:type="dxa"/>
            <w:tcBorders>
              <w:top w:val="nil"/>
              <w:left w:val="nil"/>
              <w:bottom w:val="single" w:sz="6" w:space="0" w:color="78A22F"/>
              <w:right w:val="nil"/>
            </w:tcBorders>
            <w:shd w:val="clear" w:color="auto" w:fill="auto"/>
          </w:tcPr>
          <w:p w14:paraId="67326DF1" w14:textId="77777777" w:rsidR="000D0B63" w:rsidRDefault="000D0B63" w:rsidP="007D27F7">
            <w:pPr>
              <w:pStyle w:val="Space"/>
              <w:keepNext w:val="0"/>
              <w:keepLines/>
            </w:pPr>
          </w:p>
        </w:tc>
      </w:tr>
      <w:tr w:rsidR="000D0B63" w:rsidRPr="000863A5" w14:paraId="1555807F" w14:textId="77777777" w:rsidTr="007D27F7">
        <w:tc>
          <w:tcPr>
            <w:tcW w:w="8770" w:type="dxa"/>
            <w:tcBorders>
              <w:top w:val="single" w:sz="6" w:space="0" w:color="78A22F"/>
              <w:left w:val="nil"/>
              <w:bottom w:val="nil"/>
              <w:right w:val="nil"/>
            </w:tcBorders>
          </w:tcPr>
          <w:p w14:paraId="57633E2F" w14:textId="0E181B94" w:rsidR="000D0B63" w:rsidRPr="00626D32" w:rsidRDefault="000D0B63" w:rsidP="007D27F7">
            <w:pPr>
              <w:pStyle w:val="BoxSpaceBelow"/>
              <w:keepLines/>
            </w:pPr>
          </w:p>
        </w:tc>
      </w:tr>
    </w:tbl>
    <w:p w14:paraId="0C2F3F70" w14:textId="77777777" w:rsidR="000D0B63" w:rsidRDefault="000D0B63" w:rsidP="000D0B63">
      <w:pPr>
        <w:pStyle w:val="Heading3"/>
      </w:pPr>
      <w:r>
        <w:lastRenderedPageBreak/>
        <w:t>Visa arrangements</w:t>
      </w:r>
    </w:p>
    <w:p w14:paraId="0BA1611D" w14:textId="77777777" w:rsidR="000D0B63" w:rsidRDefault="000D0B63" w:rsidP="000D0B63">
      <w:pPr>
        <w:pStyle w:val="BodyText"/>
      </w:pPr>
      <w:r>
        <w:t>Australia’s visitor visa program, and the varying requirements attached to each visa type, is designed to facilitate the entry of genuine visitors, while minimising non-compliance rates and breach</w:t>
      </w:r>
      <w:r w:rsidR="008E4020">
        <w:t>es of visa conditions. I</w:t>
      </w:r>
      <w:r>
        <w:t>nefficient</w:t>
      </w:r>
      <w:r w:rsidR="008E4020">
        <w:t xml:space="preserve"> visa requirements</w:t>
      </w:r>
      <w:r>
        <w:t xml:space="preserve"> can pose a significant barrier to exports where a visitor travels to Australia to consume Australian services (mode 2). There are several broad visa types that are relevant for services exports.</w:t>
      </w:r>
    </w:p>
    <w:p w14:paraId="49175C91" w14:textId="77777777" w:rsidR="000D0B63" w:rsidRDefault="000D0B63" w:rsidP="000D0B63">
      <w:pPr>
        <w:pStyle w:val="ListBullet"/>
      </w:pPr>
      <w:r>
        <w:t xml:space="preserve">Visitors travelling to Australia for reasons such as a holiday, to visit friends and relatives, and for business reasons, can apply for a short-term visitor visa. </w:t>
      </w:r>
    </w:p>
    <w:p w14:paraId="20470803" w14:textId="77777777" w:rsidR="000D0B63" w:rsidRDefault="000D0B63" w:rsidP="000D0B63">
      <w:pPr>
        <w:pStyle w:val="ListBullet"/>
      </w:pPr>
      <w:r>
        <w:t>Visitors travelling to Australia for reasons such as medical treatments or consultations can apply for a medical treatment visa.</w:t>
      </w:r>
    </w:p>
    <w:p w14:paraId="600B0CB1" w14:textId="77777777" w:rsidR="000D0B63" w:rsidRDefault="000D0B63" w:rsidP="000D0B63">
      <w:pPr>
        <w:pStyle w:val="ListBullet"/>
      </w:pPr>
      <w:r>
        <w:t>Visitors travelling to Australia for study purposes can apply for a student visa.</w:t>
      </w:r>
    </w:p>
    <w:p w14:paraId="22F2C595" w14:textId="15D0FD36" w:rsidR="000D0B63" w:rsidRDefault="000D0B63" w:rsidP="000D0B63">
      <w:pPr>
        <w:pStyle w:val="BodyText"/>
      </w:pPr>
      <w:r>
        <w:t xml:space="preserve">The Commission considered short-term visitor visas in its </w:t>
      </w:r>
      <w:r w:rsidR="00201C40">
        <w:t>report on</w:t>
      </w:r>
      <w:r>
        <w:t xml:space="preserve"> international tourism, in which many participants raised concerns about the efficiency</w:t>
      </w:r>
      <w:r w:rsidR="00282A6C">
        <w:t xml:space="preserve"> and cost</w:t>
      </w:r>
      <w:r>
        <w:t xml:space="preserve"> of visa arrangements, particularly with regard to the arrangements for Chinese visitors. The Commission supported steps the Australian Government is taking to improve the efficiency of visa arrangements, such as its roll out of online visa applications </w:t>
      </w:r>
      <w:r w:rsidRPr="00474456">
        <w:rPr>
          <w:szCs w:val="24"/>
        </w:rPr>
        <w:t>(PC 2015)</w:t>
      </w:r>
      <w:r>
        <w:t xml:space="preserve">. Student visas are being considered in the Commission’s study into the international education sector. </w:t>
      </w:r>
      <w:r w:rsidR="007B3FB0">
        <w:t>The</w:t>
      </w:r>
      <w:r>
        <w:t xml:space="preserve"> Commission is seeking further evidence on the effectiveness of Australia’s </w:t>
      </w:r>
      <w:r w:rsidR="007B3FB0">
        <w:t xml:space="preserve">visitor </w:t>
      </w:r>
      <w:r>
        <w:t>visa arrangements, and the costs and benefits of any reform options.</w:t>
      </w:r>
    </w:p>
    <w:p w14:paraId="5692B274" w14:textId="277C9B41" w:rsidR="000D0B63" w:rsidRPr="004E3B94" w:rsidRDefault="000D0B63" w:rsidP="000D0B63">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0D0B63" w14:paraId="39143628" w14:textId="77777777" w:rsidTr="007D27F7">
        <w:tc>
          <w:tcPr>
            <w:tcW w:w="8770" w:type="dxa"/>
            <w:tcBorders>
              <w:top w:val="single" w:sz="6" w:space="0" w:color="78A22F"/>
              <w:left w:val="nil"/>
              <w:bottom w:val="nil"/>
              <w:right w:val="nil"/>
            </w:tcBorders>
            <w:shd w:val="clear" w:color="auto" w:fill="auto"/>
          </w:tcPr>
          <w:p w14:paraId="54D4F75D" w14:textId="77777777" w:rsidR="000D0B63" w:rsidRDefault="000D0B63" w:rsidP="007D27F7">
            <w:pPr>
              <w:pStyle w:val="InformationRequest"/>
            </w:pPr>
            <w:r>
              <w:t xml:space="preserve">The Commission is seeking information </w:t>
            </w:r>
            <w:r w:rsidR="00F77145">
              <w:t xml:space="preserve">and evidence </w:t>
            </w:r>
            <w:r>
              <w:t>on:</w:t>
            </w:r>
          </w:p>
          <w:p w14:paraId="092281DB" w14:textId="77777777" w:rsidR="00E64EA4" w:rsidRDefault="000D0B63" w:rsidP="007D27F7">
            <w:pPr>
              <w:pStyle w:val="InformationRequestBullet"/>
            </w:pPr>
            <w:r>
              <w:t xml:space="preserve">whether </w:t>
            </w:r>
            <w:r w:rsidR="00282A6C">
              <w:t xml:space="preserve">Australia’s visitor visa program </w:t>
            </w:r>
            <w:r>
              <w:t>imposes a barrier to services exports, taking into account</w:t>
            </w:r>
            <w:r w:rsidR="00E64EA4">
              <w:t>:</w:t>
            </w:r>
            <w:r>
              <w:t xml:space="preserve"> </w:t>
            </w:r>
          </w:p>
          <w:p w14:paraId="0BDC6496" w14:textId="77777777" w:rsidR="000D0B63" w:rsidRPr="004D5B0A" w:rsidRDefault="000D0B63" w:rsidP="0025142E">
            <w:pPr>
              <w:pStyle w:val="BoxListBullet2"/>
              <w:rPr>
                <w:i/>
                <w:sz w:val="22"/>
              </w:rPr>
            </w:pPr>
            <w:r w:rsidRPr="00E64EA4">
              <w:rPr>
                <w:i/>
                <w:sz w:val="22"/>
              </w:rPr>
              <w:t>the overall objectives of visa programs</w:t>
            </w:r>
          </w:p>
          <w:p w14:paraId="210B808C" w14:textId="77777777" w:rsidR="00E64EA4" w:rsidRPr="004D5B0A" w:rsidRDefault="00E64EA4">
            <w:pPr>
              <w:pStyle w:val="BoxListBullet2"/>
              <w:rPr>
                <w:i/>
                <w:sz w:val="22"/>
              </w:rPr>
            </w:pPr>
            <w:r w:rsidRPr="0025142E">
              <w:rPr>
                <w:i/>
                <w:sz w:val="22"/>
              </w:rPr>
              <w:t>current</w:t>
            </w:r>
            <w:r>
              <w:rPr>
                <w:i/>
                <w:sz w:val="22"/>
                <w:szCs w:val="22"/>
              </w:rPr>
              <w:t xml:space="preserve"> Australian</w:t>
            </w:r>
            <w:r w:rsidRPr="0025142E">
              <w:rPr>
                <w:i/>
                <w:sz w:val="22"/>
              </w:rPr>
              <w:t xml:space="preserve"> Government reforms to simplify visa arrangements</w:t>
            </w:r>
          </w:p>
          <w:p w14:paraId="514F3B39" w14:textId="55A88F03" w:rsidR="000D0B63" w:rsidRDefault="000D0B63" w:rsidP="007D27F7">
            <w:pPr>
              <w:pStyle w:val="InformationRequestBullet"/>
            </w:pPr>
            <w:r>
              <w:t xml:space="preserve">whether visa programs have affected people’s decisions on whether to study in visit, </w:t>
            </w:r>
            <w:r w:rsidR="0087279D">
              <w:t xml:space="preserve">or work in </w:t>
            </w:r>
            <w:r>
              <w:t>Australia</w:t>
            </w:r>
          </w:p>
          <w:p w14:paraId="679FD4AB" w14:textId="77777777" w:rsidR="000D0B63" w:rsidRDefault="000D0B63" w:rsidP="007D27F7">
            <w:pPr>
              <w:pStyle w:val="InformationRequestBullet"/>
            </w:pPr>
            <w:r>
              <w:t>how Australia’s current visa arrangements compare to competitor countries</w:t>
            </w:r>
          </w:p>
          <w:p w14:paraId="79AE9197" w14:textId="54BBD6EB" w:rsidR="000D0B63" w:rsidRPr="00AB7BAD" w:rsidRDefault="000D0B63" w:rsidP="007D27F7">
            <w:pPr>
              <w:pStyle w:val="InformationRequestBullet"/>
            </w:pPr>
            <w:proofErr w:type="gramStart"/>
            <w:r>
              <w:t>what</w:t>
            </w:r>
            <w:proofErr w:type="gramEnd"/>
            <w:r>
              <w:t xml:space="preserve"> </w:t>
            </w:r>
            <w:r w:rsidR="00E64EA4">
              <w:t>are the reform priorities</w:t>
            </w:r>
            <w:r>
              <w:t xml:space="preserve"> to improve visa processing arrangements</w:t>
            </w:r>
            <w:r w:rsidR="00A322AF">
              <w:t>.</w:t>
            </w:r>
          </w:p>
        </w:tc>
      </w:tr>
      <w:tr w:rsidR="000D0B63" w14:paraId="42D9F688" w14:textId="77777777" w:rsidTr="007D27F7">
        <w:tc>
          <w:tcPr>
            <w:tcW w:w="8770" w:type="dxa"/>
            <w:tcBorders>
              <w:top w:val="nil"/>
              <w:left w:val="nil"/>
              <w:bottom w:val="single" w:sz="6" w:space="0" w:color="78A22F"/>
              <w:right w:val="nil"/>
            </w:tcBorders>
            <w:shd w:val="clear" w:color="auto" w:fill="auto"/>
          </w:tcPr>
          <w:p w14:paraId="576E7060" w14:textId="77777777" w:rsidR="000D0B63" w:rsidRDefault="000D0B63" w:rsidP="007D27F7">
            <w:pPr>
              <w:pStyle w:val="Space"/>
              <w:keepNext w:val="0"/>
              <w:keepLines/>
            </w:pPr>
          </w:p>
        </w:tc>
      </w:tr>
      <w:tr w:rsidR="000D0B63" w:rsidRPr="000863A5" w14:paraId="5443B33C" w14:textId="77777777" w:rsidTr="007D27F7">
        <w:tc>
          <w:tcPr>
            <w:tcW w:w="8770" w:type="dxa"/>
            <w:tcBorders>
              <w:top w:val="single" w:sz="6" w:space="0" w:color="78A22F"/>
              <w:left w:val="nil"/>
              <w:bottom w:val="nil"/>
              <w:right w:val="nil"/>
            </w:tcBorders>
          </w:tcPr>
          <w:p w14:paraId="3ED38936" w14:textId="725CE33A" w:rsidR="000D0B63" w:rsidRPr="00626D32" w:rsidRDefault="000D0B63" w:rsidP="007D27F7">
            <w:pPr>
              <w:pStyle w:val="BoxSpaceBelow"/>
              <w:keepLines/>
            </w:pPr>
          </w:p>
        </w:tc>
      </w:tr>
    </w:tbl>
    <w:p w14:paraId="443FDDBD" w14:textId="77777777" w:rsidR="000D0B63" w:rsidRDefault="000D0B63" w:rsidP="000D0B63">
      <w:pPr>
        <w:pStyle w:val="Heading3"/>
      </w:pPr>
      <w:r>
        <w:t>Labour market issues</w:t>
      </w:r>
    </w:p>
    <w:p w14:paraId="612A6670" w14:textId="7DCCC5CE" w:rsidR="000D0B63" w:rsidRDefault="00822CC5" w:rsidP="000D0B63">
      <w:pPr>
        <w:pStyle w:val="BodyText"/>
      </w:pPr>
      <w:r>
        <w:t>While sectors</w:t>
      </w:r>
      <w:r w:rsidR="000D0B63">
        <w:t xml:space="preserve"> </w:t>
      </w:r>
      <w:r>
        <w:t>other than services are typically capita</w:t>
      </w:r>
      <w:r w:rsidR="004943DE">
        <w:t>l</w:t>
      </w:r>
      <w:r>
        <w:t xml:space="preserve"> intensive, the services industry is heavily reliant on human capital</w:t>
      </w:r>
      <w:r w:rsidR="004F1A93" w:rsidRPr="004F1A93">
        <w:t xml:space="preserve"> </w:t>
      </w:r>
      <w:r w:rsidR="004F1A93" w:rsidRPr="00474456">
        <w:rPr>
          <w:szCs w:val="24"/>
        </w:rPr>
        <w:t>(HRSCEFPA 2007)</w:t>
      </w:r>
      <w:r w:rsidR="004F1A93">
        <w:t>.</w:t>
      </w:r>
      <w:r w:rsidR="000D0B63">
        <w:t xml:space="preserve"> As a result, labour and skills issues </w:t>
      </w:r>
      <w:r w:rsidR="007B3FB0">
        <w:t xml:space="preserve">can </w:t>
      </w:r>
      <w:r w:rsidR="000D0B63">
        <w:t xml:space="preserve">have a significant effect on the services sector, and thus on its ability to export. </w:t>
      </w:r>
    </w:p>
    <w:p w14:paraId="32A8BB2B" w14:textId="1B77FD21" w:rsidR="000D0B63" w:rsidRDefault="000D0B63" w:rsidP="000D0B63">
      <w:pPr>
        <w:pStyle w:val="BodyText"/>
      </w:pPr>
      <w:r>
        <w:t xml:space="preserve">Previous studies and inquiries have suggested that skills and labour shortages are an issue for the </w:t>
      </w:r>
      <w:r w:rsidR="00E0057C">
        <w:t>services industry.</w:t>
      </w:r>
      <w:r w:rsidR="00512BE3">
        <w:t xml:space="preserve"> For example, the </w:t>
      </w:r>
      <w:r w:rsidR="00512BE3" w:rsidRPr="00BF5F85">
        <w:rPr>
          <w:i/>
        </w:rPr>
        <w:t>Tourism 2020</w:t>
      </w:r>
      <w:r w:rsidR="00512BE3">
        <w:t xml:space="preserve"> plan notes that labour and skills </w:t>
      </w:r>
      <w:r w:rsidR="00E82C37">
        <w:t>shortages</w:t>
      </w:r>
      <w:r w:rsidR="00512BE3">
        <w:t xml:space="preserve"> are the greatest supply side challenge for </w:t>
      </w:r>
      <w:r w:rsidR="00BF5F85">
        <w:t>tourism</w:t>
      </w:r>
      <w:r w:rsidR="00512BE3">
        <w:t xml:space="preserve">, and that substantial job growth </w:t>
      </w:r>
      <w:r w:rsidR="00512BE3">
        <w:lastRenderedPageBreak/>
        <w:t xml:space="preserve">in the industry is required </w:t>
      </w:r>
      <w:r w:rsidR="00512BE3" w:rsidRPr="00512BE3">
        <w:rPr>
          <w:szCs w:val="24"/>
        </w:rPr>
        <w:t>(DRET 2010)</w:t>
      </w:r>
      <w:r w:rsidR="00512BE3">
        <w:t>. In addition,</w:t>
      </w:r>
      <w:r>
        <w:t xml:space="preserve"> </w:t>
      </w:r>
      <w:r w:rsidR="00512BE3">
        <w:t>t</w:t>
      </w:r>
      <w:r>
        <w:t xml:space="preserve">he 2009 Johnson Review into Australia’s financial services sector also suggested that businesses in the financial services </w:t>
      </w:r>
      <w:r w:rsidR="00BF5F85">
        <w:t>sector</w:t>
      </w:r>
      <w:r>
        <w:t xml:space="preserve"> were concerned about skills shortages</w:t>
      </w:r>
      <w:r w:rsidR="004F1A93">
        <w:t xml:space="preserve"> </w:t>
      </w:r>
      <w:r w:rsidR="004F1A93" w:rsidRPr="00474456">
        <w:rPr>
          <w:szCs w:val="24"/>
        </w:rPr>
        <w:t>(AFCF 2009)</w:t>
      </w:r>
      <w:r w:rsidR="000407CE">
        <w:t>.</w:t>
      </w:r>
      <w:r>
        <w:t xml:space="preserve"> </w:t>
      </w:r>
    </w:p>
    <w:p w14:paraId="29628E59" w14:textId="65A158BA" w:rsidR="000D0B63" w:rsidRPr="004E3B94" w:rsidRDefault="000D0B63" w:rsidP="000D0B63">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0D0B63" w14:paraId="3D5F8B5D" w14:textId="77777777" w:rsidTr="007D27F7">
        <w:tc>
          <w:tcPr>
            <w:tcW w:w="8770" w:type="dxa"/>
            <w:tcBorders>
              <w:top w:val="single" w:sz="6" w:space="0" w:color="78A22F"/>
              <w:left w:val="nil"/>
              <w:bottom w:val="nil"/>
              <w:right w:val="nil"/>
            </w:tcBorders>
            <w:shd w:val="clear" w:color="auto" w:fill="auto"/>
          </w:tcPr>
          <w:p w14:paraId="44FBA308" w14:textId="77777777" w:rsidR="000D0B63" w:rsidRDefault="000D0B63" w:rsidP="007D27F7">
            <w:pPr>
              <w:pStyle w:val="InformationRequest"/>
            </w:pPr>
            <w:r>
              <w:t xml:space="preserve">The Commission is seeking information </w:t>
            </w:r>
            <w:r w:rsidR="00D6424C">
              <w:t xml:space="preserve">and evidence </w:t>
            </w:r>
            <w:r>
              <w:t>on:</w:t>
            </w:r>
          </w:p>
          <w:p w14:paraId="04AA3450" w14:textId="77777777" w:rsidR="000D0B63" w:rsidRDefault="000D0B63" w:rsidP="002A68A9">
            <w:pPr>
              <w:pStyle w:val="InformationRequestBullet"/>
            </w:pPr>
            <w:r>
              <w:t>whether skills and labour shortages have limited the ability of businesses across the services industry to export</w:t>
            </w:r>
            <w:r w:rsidR="00CB04DE">
              <w:t>, and the possible reasons for these shortages</w:t>
            </w:r>
          </w:p>
          <w:p w14:paraId="10A5A2B4" w14:textId="77777777" w:rsidR="000D0B63" w:rsidRPr="00AB7BAD" w:rsidRDefault="00A345C7" w:rsidP="007D27F7">
            <w:pPr>
              <w:pStyle w:val="InformationRequestBullet"/>
            </w:pPr>
            <w:proofErr w:type="gramStart"/>
            <w:r>
              <w:t>the</w:t>
            </w:r>
            <w:proofErr w:type="gramEnd"/>
            <w:r>
              <w:t xml:space="preserve"> priority areas for</w:t>
            </w:r>
            <w:r w:rsidR="009579AA">
              <w:t xml:space="preserve"> government</w:t>
            </w:r>
            <w:r>
              <w:t xml:space="preserve"> reform</w:t>
            </w:r>
            <w:r w:rsidR="009579AA">
              <w:t>s to</w:t>
            </w:r>
            <w:r w:rsidR="000D0B63">
              <w:t xml:space="preserve"> address</w:t>
            </w:r>
            <w:r w:rsidR="009579AA">
              <w:t xml:space="preserve"> </w:t>
            </w:r>
            <w:r w:rsidR="000D0B63">
              <w:t>any skills or labour shortages</w:t>
            </w:r>
            <w:r w:rsidR="009579AA">
              <w:t>, and the likely costs and benefits of these reforms</w:t>
            </w:r>
            <w:r w:rsidR="000D0B63">
              <w:t>.</w:t>
            </w:r>
          </w:p>
        </w:tc>
      </w:tr>
      <w:tr w:rsidR="000D0B63" w14:paraId="5A8A289E" w14:textId="77777777" w:rsidTr="007D27F7">
        <w:tc>
          <w:tcPr>
            <w:tcW w:w="8770" w:type="dxa"/>
            <w:tcBorders>
              <w:top w:val="nil"/>
              <w:left w:val="nil"/>
              <w:bottom w:val="single" w:sz="6" w:space="0" w:color="78A22F"/>
              <w:right w:val="nil"/>
            </w:tcBorders>
            <w:shd w:val="clear" w:color="auto" w:fill="auto"/>
          </w:tcPr>
          <w:p w14:paraId="15723C90" w14:textId="77777777" w:rsidR="000D0B63" w:rsidRDefault="000D0B63" w:rsidP="007D27F7">
            <w:pPr>
              <w:pStyle w:val="Space"/>
              <w:keepNext w:val="0"/>
              <w:keepLines/>
            </w:pPr>
          </w:p>
        </w:tc>
      </w:tr>
      <w:tr w:rsidR="000D0B63" w:rsidRPr="000863A5" w14:paraId="53073614" w14:textId="77777777" w:rsidTr="007D27F7">
        <w:tc>
          <w:tcPr>
            <w:tcW w:w="8770" w:type="dxa"/>
            <w:tcBorders>
              <w:top w:val="single" w:sz="6" w:space="0" w:color="78A22F"/>
              <w:left w:val="nil"/>
              <w:bottom w:val="nil"/>
              <w:right w:val="nil"/>
            </w:tcBorders>
          </w:tcPr>
          <w:p w14:paraId="01451A1B" w14:textId="79D5C317" w:rsidR="000D0B63" w:rsidRPr="00626D32" w:rsidRDefault="000D0B63" w:rsidP="007D27F7">
            <w:pPr>
              <w:pStyle w:val="BoxSpaceBelow"/>
              <w:keepLines/>
            </w:pPr>
          </w:p>
        </w:tc>
      </w:tr>
    </w:tbl>
    <w:p w14:paraId="56B286EA" w14:textId="77777777" w:rsidR="000D0B63" w:rsidRPr="009813AA" w:rsidRDefault="000D0B63" w:rsidP="000D0B63">
      <w:pPr>
        <w:pStyle w:val="Heading3"/>
      </w:pPr>
      <w:r>
        <w:t>Investment barriers</w:t>
      </w:r>
    </w:p>
    <w:p w14:paraId="19EEA8A9" w14:textId="109D1061" w:rsidR="000D0B63" w:rsidRDefault="000D0B63" w:rsidP="000D0B63">
      <w:pPr>
        <w:pStyle w:val="BodyText"/>
      </w:pPr>
      <w:r>
        <w:t xml:space="preserve">The provision of services in Australia to overseas residents requires investment in </w:t>
      </w:r>
      <w:r w:rsidR="00724881">
        <w:t xml:space="preserve">areas such as </w:t>
      </w:r>
      <w:r>
        <w:t>infrastructure</w:t>
      </w:r>
      <w:r w:rsidR="00724881">
        <w:t>, research and development</w:t>
      </w:r>
      <w:r w:rsidR="0064466F">
        <w:t>,</w:t>
      </w:r>
      <w:r w:rsidR="00724881">
        <w:t xml:space="preserve"> and human capital</w:t>
      </w:r>
      <w:r>
        <w:t>. For example, the provision of tourism services requires investment in accommodation and attractions, the provision of education services requires investment in student accommodation and educational institutions, and the provision of health services requires investment in infrastructure such as hospitals and medical practices able to accommodate overseas patients.</w:t>
      </w:r>
      <w:r w:rsidR="00724881">
        <w:t xml:space="preserve"> In all cases, investment in research and development, and human capital can help businesses across the services industry boost their productivity.</w:t>
      </w:r>
      <w:r w:rsidR="00904FE2">
        <w:t xml:space="preserve"> </w:t>
      </w:r>
    </w:p>
    <w:p w14:paraId="2486F6D0" w14:textId="2340E4E6" w:rsidR="00F232B5" w:rsidRDefault="00F232B5" w:rsidP="00F232B5">
      <w:pPr>
        <w:pStyle w:val="BodyText"/>
      </w:pPr>
      <w:r>
        <w:t xml:space="preserve">Government policies affect investment decisions, particularly in regulated sectors such </w:t>
      </w:r>
      <w:r w:rsidR="00D13934">
        <w:t xml:space="preserve">as </w:t>
      </w:r>
      <w:r>
        <w:t>health and education. If not designed and applied well, regulatory arrangements could present barriers to investments needed to support services exports.</w:t>
      </w:r>
    </w:p>
    <w:p w14:paraId="75D418AD" w14:textId="4E713D70" w:rsidR="00E82C04" w:rsidRDefault="002127B6" w:rsidP="000D0B63">
      <w:pPr>
        <w:pStyle w:val="BodyText"/>
      </w:pPr>
      <w:r>
        <w:t xml:space="preserve">Participants in the Commission’s study into Australia’s international tourism industry </w:t>
      </w:r>
      <w:r w:rsidR="00E82C04">
        <w:t>raised concerns relating to</w:t>
      </w:r>
      <w:r w:rsidR="000D0B63">
        <w:t xml:space="preserve"> infrastructure shortage</w:t>
      </w:r>
      <w:r w:rsidR="00E82C04">
        <w:t>s</w:t>
      </w:r>
      <w:r w:rsidR="000D0B63">
        <w:t xml:space="preserve"> in areas such as </w:t>
      </w:r>
      <w:r w:rsidR="00A345C7">
        <w:t xml:space="preserve">short-term </w:t>
      </w:r>
      <w:r w:rsidR="000D0B63">
        <w:t xml:space="preserve">accommodation and </w:t>
      </w:r>
      <w:r w:rsidR="00BD7054">
        <w:t>infrastructure in national parks</w:t>
      </w:r>
      <w:r w:rsidR="008849D0">
        <w:t xml:space="preserve"> </w:t>
      </w:r>
      <w:r w:rsidR="008849D0" w:rsidRPr="001721FA">
        <w:rPr>
          <w:szCs w:val="24"/>
        </w:rPr>
        <w:t>(PC 2015)</w:t>
      </w:r>
      <w:r w:rsidR="000D0B63">
        <w:t xml:space="preserve">. In addition, the Chaney Review of international education noted that there may be a need to increase the supply of affordable and safe accommodation available to </w:t>
      </w:r>
      <w:r w:rsidR="00F676BE">
        <w:t xml:space="preserve">international </w:t>
      </w:r>
      <w:r w:rsidR="000D0B63">
        <w:t>students</w:t>
      </w:r>
      <w:r w:rsidR="00E844B4">
        <w:t xml:space="preserve"> </w:t>
      </w:r>
      <w:r w:rsidR="00E844B4" w:rsidRPr="00E844B4">
        <w:rPr>
          <w:szCs w:val="24"/>
        </w:rPr>
        <w:t>(IEAC 2013)</w:t>
      </w:r>
      <w:r w:rsidR="000D0B63">
        <w:t>.</w:t>
      </w:r>
      <w:r w:rsidR="00F232B5" w:rsidRPr="00F232B5">
        <w:t xml:space="preserve"> </w:t>
      </w:r>
      <w:r w:rsidR="00F232B5">
        <w:t>The Australian Government’s approach to regulating foreign investment is relevant in this regard. Foreign investment helps to provide the capital necessary to finance investments in assets that support Australian businesses, including services exporters</w:t>
      </w:r>
      <w:r w:rsidR="00005FB8">
        <w:t>, and the Australian community.</w:t>
      </w:r>
    </w:p>
    <w:p w14:paraId="1E00DAA0" w14:textId="18AA3C4C" w:rsidR="000D0B63" w:rsidRPr="004E3B94" w:rsidRDefault="000D0B63" w:rsidP="000D0B63">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0D0B63" w14:paraId="52423BA8" w14:textId="77777777" w:rsidTr="007D27F7">
        <w:tc>
          <w:tcPr>
            <w:tcW w:w="8770" w:type="dxa"/>
            <w:tcBorders>
              <w:top w:val="single" w:sz="6" w:space="0" w:color="78A22F"/>
              <w:left w:val="nil"/>
              <w:bottom w:val="nil"/>
              <w:right w:val="nil"/>
            </w:tcBorders>
            <w:shd w:val="clear" w:color="auto" w:fill="auto"/>
          </w:tcPr>
          <w:p w14:paraId="21CFE9B8" w14:textId="77777777" w:rsidR="000D0B63" w:rsidRDefault="000D0B63" w:rsidP="008564EA">
            <w:pPr>
              <w:pStyle w:val="InformationRequest"/>
              <w:keepNext/>
              <w:spacing w:line="220" w:lineRule="atLeast"/>
              <w:rPr>
                <w:szCs w:val="24"/>
              </w:rPr>
            </w:pPr>
            <w:r>
              <w:t xml:space="preserve">The Commission is seeking information </w:t>
            </w:r>
            <w:r w:rsidR="009F4585">
              <w:t xml:space="preserve">and evidence </w:t>
            </w:r>
            <w:r>
              <w:t>on:</w:t>
            </w:r>
          </w:p>
          <w:p w14:paraId="5727A607" w14:textId="1E3A7D4E" w:rsidR="000D0B63" w:rsidRDefault="000D0B63" w:rsidP="008564EA">
            <w:pPr>
              <w:pStyle w:val="InformationRequestBullet"/>
              <w:keepNext/>
              <w:keepLines/>
              <w:spacing w:line="220" w:lineRule="atLeast"/>
              <w:rPr>
                <w:szCs w:val="24"/>
              </w:rPr>
            </w:pPr>
            <w:r>
              <w:t>whether there are any barriers</w:t>
            </w:r>
            <w:r w:rsidR="005C3960">
              <w:t>, including regulatory impediments,</w:t>
            </w:r>
            <w:r>
              <w:t xml:space="preserve"> to investment in infrastructure to support services exports from Australia </w:t>
            </w:r>
          </w:p>
          <w:p w14:paraId="271934FC" w14:textId="77777777" w:rsidR="000D0B63" w:rsidRDefault="000D0B63" w:rsidP="008564EA">
            <w:pPr>
              <w:pStyle w:val="InformationRequestBullet"/>
              <w:keepNext/>
              <w:keepLines/>
              <w:spacing w:line="220" w:lineRule="atLeast"/>
              <w:rPr>
                <w:szCs w:val="24"/>
              </w:rPr>
            </w:pPr>
            <w:r>
              <w:t>what reforms are needed to Australia’s frameworks for infrastructure investment to support services exports, including in relation to:</w:t>
            </w:r>
          </w:p>
          <w:p w14:paraId="0D12643E" w14:textId="77777777" w:rsidR="000D0B63" w:rsidRPr="008D3812" w:rsidRDefault="000D0B63" w:rsidP="008564EA">
            <w:pPr>
              <w:pStyle w:val="BoxListBullet2"/>
              <w:keepLines/>
              <w:spacing w:line="220" w:lineRule="atLeast"/>
              <w:rPr>
                <w:i/>
                <w:sz w:val="22"/>
                <w:szCs w:val="22"/>
              </w:rPr>
            </w:pPr>
            <w:r w:rsidRPr="008D3812">
              <w:rPr>
                <w:i/>
                <w:sz w:val="22"/>
                <w:szCs w:val="22"/>
              </w:rPr>
              <w:t>government investment in infrastructure</w:t>
            </w:r>
          </w:p>
          <w:p w14:paraId="159C56F3" w14:textId="77777777" w:rsidR="000D0B63" w:rsidRPr="00A51ADD" w:rsidRDefault="000D0B63" w:rsidP="008564EA">
            <w:pPr>
              <w:pStyle w:val="BoxListBullet2"/>
              <w:keepLines/>
              <w:spacing w:line="220" w:lineRule="atLeast"/>
              <w:rPr>
                <w:szCs w:val="24"/>
              </w:rPr>
            </w:pPr>
            <w:r w:rsidRPr="008D3812">
              <w:rPr>
                <w:i/>
                <w:sz w:val="22"/>
                <w:szCs w:val="22"/>
              </w:rPr>
              <w:t>development approval processes for private-sector investment</w:t>
            </w:r>
          </w:p>
          <w:p w14:paraId="1CAC3A18" w14:textId="7B64D5EE" w:rsidR="005C3960" w:rsidRPr="005C3960" w:rsidRDefault="00266FB4" w:rsidP="008564EA">
            <w:pPr>
              <w:pStyle w:val="InformationRequestBullet"/>
              <w:keepNext/>
              <w:keepLines/>
              <w:spacing w:line="220" w:lineRule="atLeast"/>
              <w:rPr>
                <w:szCs w:val="24"/>
              </w:rPr>
            </w:pPr>
            <w:r w:rsidRPr="00266FB4">
              <w:rPr>
                <w:i w:val="0"/>
              </w:rPr>
              <w:t>whether there are any barriers to investment in areas such as research and development and human capital, and any high-priority reforms needed in these areas</w:t>
            </w:r>
            <w:r w:rsidR="005C3960">
              <w:t xml:space="preserve"> </w:t>
            </w:r>
          </w:p>
          <w:p w14:paraId="29C05323" w14:textId="52AF779C" w:rsidR="000D0B63" w:rsidRPr="005C3960" w:rsidRDefault="005C3960" w:rsidP="008564EA">
            <w:pPr>
              <w:pStyle w:val="InformationRequestBullet"/>
              <w:keepNext/>
              <w:keepLines/>
              <w:spacing w:line="220" w:lineRule="atLeast"/>
              <w:rPr>
                <w:szCs w:val="24"/>
              </w:rPr>
            </w:pPr>
            <w:proofErr w:type="gramStart"/>
            <w:r>
              <w:t>the</w:t>
            </w:r>
            <w:proofErr w:type="gramEnd"/>
            <w:r>
              <w:t xml:space="preserve"> infrastructure needed to support services exports from Australia, and whether this infrastructure is adequate.</w:t>
            </w:r>
          </w:p>
        </w:tc>
      </w:tr>
      <w:tr w:rsidR="000D0B63" w14:paraId="1F68C70E" w14:textId="77777777" w:rsidTr="007D27F7">
        <w:tc>
          <w:tcPr>
            <w:tcW w:w="8770" w:type="dxa"/>
            <w:tcBorders>
              <w:top w:val="nil"/>
              <w:left w:val="nil"/>
              <w:bottom w:val="single" w:sz="6" w:space="0" w:color="78A22F"/>
              <w:right w:val="nil"/>
            </w:tcBorders>
            <w:shd w:val="clear" w:color="auto" w:fill="auto"/>
          </w:tcPr>
          <w:p w14:paraId="51F782FB" w14:textId="77777777" w:rsidR="000D0B63" w:rsidRDefault="000D0B63" w:rsidP="007D27F7">
            <w:pPr>
              <w:pStyle w:val="Space"/>
              <w:keepNext w:val="0"/>
              <w:keepLines/>
            </w:pPr>
          </w:p>
        </w:tc>
      </w:tr>
      <w:tr w:rsidR="000D0B63" w:rsidRPr="000863A5" w14:paraId="20109471" w14:textId="77777777" w:rsidTr="007D27F7">
        <w:tc>
          <w:tcPr>
            <w:tcW w:w="8770" w:type="dxa"/>
            <w:tcBorders>
              <w:top w:val="single" w:sz="6" w:space="0" w:color="78A22F"/>
              <w:left w:val="nil"/>
              <w:bottom w:val="nil"/>
              <w:right w:val="nil"/>
            </w:tcBorders>
          </w:tcPr>
          <w:p w14:paraId="11A91ED5" w14:textId="55D7FB83" w:rsidR="000D0B63" w:rsidRPr="00626D32" w:rsidRDefault="000D0B63" w:rsidP="007D27F7">
            <w:pPr>
              <w:pStyle w:val="BoxSpaceBelow"/>
              <w:keepLines/>
            </w:pPr>
          </w:p>
        </w:tc>
      </w:tr>
    </w:tbl>
    <w:p w14:paraId="371B7C55" w14:textId="77777777" w:rsidR="000D0B63" w:rsidRDefault="00000152" w:rsidP="008564EA">
      <w:pPr>
        <w:pStyle w:val="Heading2"/>
      </w:pPr>
      <w:fldSimple w:instr=" SEQ Heading2 ">
        <w:bookmarkStart w:id="23" w:name="_Toc415487506"/>
        <w:bookmarkStart w:id="24" w:name="_Toc415493832"/>
        <w:bookmarkStart w:id="25" w:name="_Toc415494274"/>
        <w:bookmarkStart w:id="26" w:name="_Toc415664546"/>
        <w:r w:rsidR="002B546F">
          <w:rPr>
            <w:noProof/>
          </w:rPr>
          <w:t>6</w:t>
        </w:r>
      </w:fldSimple>
      <w:r w:rsidR="000D0B63">
        <w:tab/>
        <w:t>Barriers in Australia’s key trading countries</w:t>
      </w:r>
      <w:bookmarkEnd w:id="23"/>
      <w:bookmarkEnd w:id="24"/>
      <w:bookmarkEnd w:id="25"/>
      <w:bookmarkEnd w:id="26"/>
    </w:p>
    <w:p w14:paraId="347D9515" w14:textId="4ECEAC66" w:rsidR="00E011E8" w:rsidRDefault="00FD6DC2" w:rsidP="00E011E8">
      <w:pPr>
        <w:pStyle w:val="BodyText"/>
      </w:pPr>
      <w:r>
        <w:t xml:space="preserve">Although barriers to services </w:t>
      </w:r>
      <w:r w:rsidR="0064466F">
        <w:t xml:space="preserve">exports </w:t>
      </w:r>
      <w:r>
        <w:t xml:space="preserve">can exist ‘at the border’, as is often the case with goods trade, many barriers to services </w:t>
      </w:r>
      <w:r w:rsidR="0064466F">
        <w:t xml:space="preserve">exports </w:t>
      </w:r>
      <w:r>
        <w:t>occur ‘behind the border’</w:t>
      </w:r>
      <w:r w:rsidR="00B615ED">
        <w:t xml:space="preserve"> — </w:t>
      </w:r>
      <w:r>
        <w:t>that is,</w:t>
      </w:r>
      <w:r w:rsidR="00B615ED">
        <w:t xml:space="preserve"> they are implicit barriers </w:t>
      </w:r>
      <w:r w:rsidR="00E011E8">
        <w:t xml:space="preserve">implemented through domestic regulations within the destination country. </w:t>
      </w:r>
    </w:p>
    <w:p w14:paraId="50CD160D" w14:textId="77777777" w:rsidR="00E011E8" w:rsidRDefault="00E011E8" w:rsidP="00D50B54">
      <w:pPr>
        <w:pStyle w:val="Heading3"/>
        <w:spacing w:before="520"/>
      </w:pPr>
      <w:r>
        <w:t>The nature of international barriers to trade in services</w:t>
      </w:r>
    </w:p>
    <w:p w14:paraId="66D3DF3D" w14:textId="38FE4AC4" w:rsidR="00E011E8" w:rsidRDefault="00E011E8" w:rsidP="00E011E8">
      <w:pPr>
        <w:pStyle w:val="BodyText"/>
      </w:pPr>
      <w:r>
        <w:t xml:space="preserve">Barriers </w:t>
      </w:r>
      <w:r w:rsidR="00EF60D3">
        <w:t xml:space="preserve">affect </w:t>
      </w:r>
      <w:r>
        <w:t>services</w:t>
      </w:r>
      <w:r w:rsidR="00EF60D3">
        <w:t xml:space="preserve"> exporters </w:t>
      </w:r>
      <w:r>
        <w:t xml:space="preserve">differently depending on the mode </w:t>
      </w:r>
      <w:r w:rsidR="00F30F2A">
        <w:t xml:space="preserve">by which </w:t>
      </w:r>
      <w:r w:rsidR="00EF60D3">
        <w:t>the service</w:t>
      </w:r>
      <w:r>
        <w:t xml:space="preserve"> </w:t>
      </w:r>
      <w:r w:rsidR="00EF60D3">
        <w:t>is</w:t>
      </w:r>
      <w:r>
        <w:t xml:space="preserve"> provided and do not necessarily prevent </w:t>
      </w:r>
      <w:r w:rsidR="00EF60D3">
        <w:t>entry into a</w:t>
      </w:r>
      <w:r w:rsidR="002E4988">
        <w:t>n</w:t>
      </w:r>
      <w:r w:rsidR="0064466F">
        <w:t>other country</w:t>
      </w:r>
      <w:r>
        <w:t xml:space="preserve">. For example, </w:t>
      </w:r>
      <w:r w:rsidR="002E4988">
        <w:t xml:space="preserve">if </w:t>
      </w:r>
      <w:r>
        <w:t>cross-border supply (mode 1) is prohibited, a services exporter may still be able to export services (albeit at a higher cost) by establishing a commercial presen</w:t>
      </w:r>
      <w:r w:rsidR="0073323B">
        <w:t xml:space="preserve">ce in the country. </w:t>
      </w:r>
      <w:r w:rsidR="00FB23A2">
        <w:t>International impediments to services exports may relate to:</w:t>
      </w:r>
    </w:p>
    <w:p w14:paraId="6928244A" w14:textId="49A04EE7" w:rsidR="00803787" w:rsidRPr="00FA0F45" w:rsidRDefault="00FB23A2" w:rsidP="00656CC1">
      <w:pPr>
        <w:pStyle w:val="ListBullet"/>
      </w:pPr>
      <w:r>
        <w:rPr>
          <w:i/>
        </w:rPr>
        <w:t>b</w:t>
      </w:r>
      <w:r w:rsidR="00E011E8" w:rsidRPr="00656CC1">
        <w:rPr>
          <w:i/>
        </w:rPr>
        <w:t>arriers to cross-border supply of services</w:t>
      </w:r>
      <w:r w:rsidR="00E011E8">
        <w:t xml:space="preserve"> </w:t>
      </w:r>
      <w:r w:rsidR="00E011E8" w:rsidRPr="000D0575">
        <w:rPr>
          <w:i/>
        </w:rPr>
        <w:t>(mode 1)</w:t>
      </w:r>
      <w:r w:rsidR="00803787">
        <w:t xml:space="preserve"> —</w:t>
      </w:r>
      <w:r w:rsidR="006B66B2">
        <w:t xml:space="preserve"> t</w:t>
      </w:r>
      <w:r w:rsidR="00E011E8">
        <w:t xml:space="preserve">he development of information technology has facilitated growth in the delivery of services via </w:t>
      </w:r>
      <w:r w:rsidR="006B66B2">
        <w:t>cross-border supply</w:t>
      </w:r>
      <w:r w:rsidR="00E011E8">
        <w:t>, such as distance learning</w:t>
      </w:r>
      <w:r w:rsidR="00527E82">
        <w:t xml:space="preserve"> and e-commerce</w:t>
      </w:r>
      <w:r w:rsidR="00E011E8">
        <w:t>, and partially eliminated distance as a barrier to trade in some services. An example</w:t>
      </w:r>
      <w:r w:rsidR="00527E82">
        <w:t xml:space="preserve"> of a barrier to the provision of services exports via cross-border supply</w:t>
      </w:r>
      <w:r w:rsidR="00E011E8">
        <w:t xml:space="preserve"> is non-recognition of degrees obtained through distance mode </w:t>
      </w:r>
      <w:r w:rsidR="00E011E8" w:rsidRPr="00803787">
        <w:rPr>
          <w:szCs w:val="24"/>
        </w:rPr>
        <w:t>(</w:t>
      </w:r>
      <w:proofErr w:type="spellStart"/>
      <w:r w:rsidR="00E011E8" w:rsidRPr="00803787">
        <w:rPr>
          <w:szCs w:val="24"/>
        </w:rPr>
        <w:t>Raychaudhuri</w:t>
      </w:r>
      <w:proofErr w:type="spellEnd"/>
      <w:r w:rsidR="00E011E8" w:rsidRPr="00803787">
        <w:rPr>
          <w:szCs w:val="24"/>
        </w:rPr>
        <w:t xml:space="preserve"> and De 2007)</w:t>
      </w:r>
      <w:r w:rsidR="00B43398">
        <w:t xml:space="preserve"> </w:t>
      </w:r>
    </w:p>
    <w:p w14:paraId="440511C2" w14:textId="11E884ED" w:rsidR="00803787" w:rsidRPr="00803787" w:rsidRDefault="00FB23A2">
      <w:pPr>
        <w:pStyle w:val="ListBullet"/>
      </w:pPr>
      <w:proofErr w:type="gramStart"/>
      <w:r>
        <w:rPr>
          <w:i/>
        </w:rPr>
        <w:t>b</w:t>
      </w:r>
      <w:r w:rsidR="00E011E8" w:rsidRPr="00656CC1">
        <w:rPr>
          <w:i/>
        </w:rPr>
        <w:t>arriers</w:t>
      </w:r>
      <w:proofErr w:type="gramEnd"/>
      <w:r w:rsidR="00E011E8" w:rsidRPr="00656CC1">
        <w:rPr>
          <w:i/>
        </w:rPr>
        <w:t xml:space="preserve"> to establishing a commercial presence in another country (mode 3)</w:t>
      </w:r>
      <w:r w:rsidR="00803787" w:rsidRPr="00656CC1">
        <w:rPr>
          <w:i/>
        </w:rPr>
        <w:t xml:space="preserve"> — </w:t>
      </w:r>
      <w:r w:rsidR="00803787">
        <w:t xml:space="preserve"> </w:t>
      </w:r>
      <w:r w:rsidR="00E011E8">
        <w:t>it may be necessary for Australian services exporters to establish a commercial presence abroad where they require close contact with consumers</w:t>
      </w:r>
      <w:r w:rsidR="00B43398">
        <w:t xml:space="preserve">. </w:t>
      </w:r>
      <w:r w:rsidR="00E011E8">
        <w:t>Some potential barriers to establishing a commercial presence include:</w:t>
      </w:r>
      <w:r w:rsidR="00803787">
        <w:t xml:space="preserve"> </w:t>
      </w:r>
      <w:r w:rsidR="00E011E8">
        <w:t>restrictions on the proportion of a business that can be owned by foreign entities</w:t>
      </w:r>
      <w:r w:rsidR="00803787">
        <w:t xml:space="preserve">; </w:t>
      </w:r>
      <w:r w:rsidR="00E011E8">
        <w:t>inability or difficulty gaining registration for a company</w:t>
      </w:r>
      <w:r w:rsidR="00B43398">
        <w:t>;</w:t>
      </w:r>
      <w:r w:rsidR="00E011E8">
        <w:t xml:space="preserve"> or restrictions on the use of international and foreign firm names</w:t>
      </w:r>
    </w:p>
    <w:p w14:paraId="11872861" w14:textId="204026B5" w:rsidR="00310F89" w:rsidRDefault="00FB23A2" w:rsidP="00E011E8">
      <w:pPr>
        <w:pStyle w:val="ListBullet"/>
      </w:pPr>
      <w:proofErr w:type="gramStart"/>
      <w:r>
        <w:rPr>
          <w:i/>
        </w:rPr>
        <w:t>b</w:t>
      </w:r>
      <w:r w:rsidR="00E011E8" w:rsidRPr="00656CC1">
        <w:rPr>
          <w:i/>
        </w:rPr>
        <w:t>arriers</w:t>
      </w:r>
      <w:proofErr w:type="gramEnd"/>
      <w:r w:rsidR="00E011E8" w:rsidRPr="00656CC1">
        <w:rPr>
          <w:i/>
        </w:rPr>
        <w:t xml:space="preserve"> to the provision of services exports by natural persons (mode 4)</w:t>
      </w:r>
      <w:r w:rsidR="007A3B94">
        <w:rPr>
          <w:i/>
        </w:rPr>
        <w:t xml:space="preserve"> </w:t>
      </w:r>
      <w:r w:rsidR="00803787">
        <w:rPr>
          <w:i/>
        </w:rPr>
        <w:t xml:space="preserve">— </w:t>
      </w:r>
      <w:r w:rsidR="00803787">
        <w:t>t</w:t>
      </w:r>
      <w:r w:rsidR="00E011E8">
        <w:t xml:space="preserve">here may also be instances where individual services exporters (such as doctors, lawyers, </w:t>
      </w:r>
      <w:r w:rsidR="00E011E8">
        <w:lastRenderedPageBreak/>
        <w:t>accountants, and teachers) are restricted from temporarily travelling to another country to provide a service</w:t>
      </w:r>
      <w:r w:rsidR="007A3B94">
        <w:t xml:space="preserve">. </w:t>
      </w:r>
      <w:r w:rsidR="00E011E8">
        <w:t>These barriers could take the form of</w:t>
      </w:r>
      <w:r w:rsidR="00803787">
        <w:t xml:space="preserve"> </w:t>
      </w:r>
      <w:r w:rsidR="00E011E8">
        <w:t xml:space="preserve">nationality or residency requirements that prohibit </w:t>
      </w:r>
      <w:r w:rsidR="00841C65">
        <w:t>services exporters</w:t>
      </w:r>
      <w:r w:rsidR="00E011E8">
        <w:t xml:space="preserve"> providing a specific service</w:t>
      </w:r>
      <w:r w:rsidR="00803787">
        <w:t xml:space="preserve">; </w:t>
      </w:r>
      <w:r w:rsidR="00E011E8">
        <w:t>standards and technical regulations</w:t>
      </w:r>
      <w:r w:rsidR="00803787">
        <w:t xml:space="preserve">, </w:t>
      </w:r>
      <w:r w:rsidR="00E011E8">
        <w:t>such as unnecessarily burdensome or opaque accreditation, registration and/or licensing requirements</w:t>
      </w:r>
      <w:r w:rsidR="00803787">
        <w:t xml:space="preserve">; or </w:t>
      </w:r>
      <w:r w:rsidR="00E011E8">
        <w:t>visa and entry restrictions</w:t>
      </w:r>
    </w:p>
    <w:p w14:paraId="0924D01B" w14:textId="29E351F6" w:rsidR="00B55619" w:rsidRDefault="002C2F4C">
      <w:pPr>
        <w:pStyle w:val="ListBullet"/>
      </w:pPr>
      <w:proofErr w:type="gramStart"/>
      <w:r>
        <w:rPr>
          <w:i/>
        </w:rPr>
        <w:t>o</w:t>
      </w:r>
      <w:r w:rsidR="00E011E8" w:rsidRPr="00656CC1">
        <w:rPr>
          <w:i/>
        </w:rPr>
        <w:t>ther</w:t>
      </w:r>
      <w:proofErr w:type="gramEnd"/>
      <w:r w:rsidR="00E011E8" w:rsidRPr="00656CC1">
        <w:rPr>
          <w:i/>
        </w:rPr>
        <w:t xml:space="preserve"> barriers</w:t>
      </w:r>
      <w:r w:rsidR="00310F89">
        <w:t xml:space="preserve"> — t</w:t>
      </w:r>
      <w:r w:rsidR="00E011E8">
        <w:t>here may be other barriers to services exports that apply across all modes of service delivery or do not fit neatly into the modes outlined above. These could relate to:</w:t>
      </w:r>
      <w:r w:rsidR="00310F89">
        <w:t xml:space="preserve"> </w:t>
      </w:r>
      <w:r w:rsidR="00E011E8">
        <w:t xml:space="preserve">lack of information, including in relation to business practices or local </w:t>
      </w:r>
      <w:r w:rsidR="00101B41">
        <w:t>culture</w:t>
      </w:r>
      <w:r w:rsidR="00310F89">
        <w:t xml:space="preserve">; </w:t>
      </w:r>
      <w:r w:rsidR="00E011E8">
        <w:t xml:space="preserve">problems </w:t>
      </w:r>
      <w:r w:rsidR="00084E77">
        <w:t>enforcing contracts</w:t>
      </w:r>
      <w:r w:rsidR="00E011E8">
        <w:t xml:space="preserve"> </w:t>
      </w:r>
      <w:r w:rsidR="00084E77">
        <w:t xml:space="preserve">(including </w:t>
      </w:r>
      <w:r w:rsidR="00E011E8">
        <w:t>obtaining customer payment</w:t>
      </w:r>
      <w:r w:rsidR="00084E77">
        <w:t>)</w:t>
      </w:r>
      <w:r w:rsidR="00310F89">
        <w:t xml:space="preserve">; </w:t>
      </w:r>
      <w:r w:rsidR="00310F89" w:rsidDel="00BC4EC4">
        <w:t xml:space="preserve">or </w:t>
      </w:r>
      <w:r w:rsidR="00E011E8">
        <w:t xml:space="preserve">problems </w:t>
      </w:r>
      <w:r w:rsidR="001D2F39">
        <w:t>protecting</w:t>
      </w:r>
      <w:r w:rsidR="00E011E8">
        <w:t xml:space="preserve"> </w:t>
      </w:r>
      <w:r w:rsidR="00AE67B6">
        <w:t xml:space="preserve">intellectual </w:t>
      </w:r>
      <w:r w:rsidR="00E011E8">
        <w:t>property rights</w:t>
      </w:r>
      <w:r w:rsidR="00D442E7">
        <w:t xml:space="preserve"> or with </w:t>
      </w:r>
      <w:r w:rsidR="00FF42D3">
        <w:t xml:space="preserve">the </w:t>
      </w:r>
      <w:r w:rsidR="00D442E7">
        <w:t>repatriation of profits</w:t>
      </w:r>
      <w:r w:rsidR="000B7575">
        <w:t xml:space="preserve">. Businesses may also be concerned about </w:t>
      </w:r>
      <w:r w:rsidR="001D2F39">
        <w:t>potential operational</w:t>
      </w:r>
      <w:r w:rsidR="00BC4EC4">
        <w:t xml:space="preserve"> and </w:t>
      </w:r>
      <w:r w:rsidR="000B7575">
        <w:t xml:space="preserve">reputational risks arising from less stringent </w:t>
      </w:r>
      <w:r w:rsidR="00084E77">
        <w:t xml:space="preserve">regulatory </w:t>
      </w:r>
      <w:r w:rsidR="000B7575">
        <w:t>standards</w:t>
      </w:r>
      <w:r w:rsidR="00084E77">
        <w:t xml:space="preserve"> in other jurisdictions</w:t>
      </w:r>
      <w:r w:rsidR="000B7575">
        <w:t xml:space="preserve"> </w:t>
      </w:r>
      <w:r w:rsidR="001D2F39">
        <w:t>(</w:t>
      </w:r>
      <w:r w:rsidR="000B7575">
        <w:t>occupational health and safety</w:t>
      </w:r>
      <w:r w:rsidR="001D2F39">
        <w:t xml:space="preserve"> or </w:t>
      </w:r>
      <w:r w:rsidR="00BC4EC4">
        <w:t>bribery and corruption</w:t>
      </w:r>
      <w:r w:rsidR="000B7575">
        <w:t xml:space="preserve"> </w:t>
      </w:r>
      <w:r w:rsidR="001D2F39">
        <w:t xml:space="preserve">laws, </w:t>
      </w:r>
      <w:r w:rsidR="000B7575">
        <w:t>for example</w:t>
      </w:r>
      <w:r w:rsidR="001D2F39">
        <w:t>)</w:t>
      </w:r>
      <w:r w:rsidR="00E011E8">
        <w:t>.</w:t>
      </w:r>
      <w:r w:rsidR="00B84923">
        <w:t xml:space="preserve"> </w:t>
      </w:r>
      <w:r w:rsidR="00EF7E89">
        <w:t>R</w:t>
      </w:r>
      <w:r w:rsidR="00B84923">
        <w:t>estrictions on cross-border data flows, such as privacy laws that restrict the flow of personal information, or requirements to use locally based data services</w:t>
      </w:r>
      <w:r w:rsidR="00EF7E89">
        <w:t>, can also act as an impediment to services exports</w:t>
      </w:r>
      <w:r w:rsidR="00B84923">
        <w:t xml:space="preserve"> </w:t>
      </w:r>
      <w:r w:rsidR="00B84923" w:rsidRPr="00B84923">
        <w:rPr>
          <w:szCs w:val="24"/>
        </w:rPr>
        <w:t>(IIS 2015)</w:t>
      </w:r>
      <w:r w:rsidR="00B84923">
        <w:t xml:space="preserve">. </w:t>
      </w:r>
    </w:p>
    <w:p w14:paraId="7A45FAEF" w14:textId="6811EF80" w:rsidR="00E011E8" w:rsidRPr="004E3B94" w:rsidRDefault="00E011E8" w:rsidP="00E011E8">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E011E8" w14:paraId="18241D27" w14:textId="77777777" w:rsidTr="00AA622E">
        <w:tc>
          <w:tcPr>
            <w:tcW w:w="8770" w:type="dxa"/>
            <w:tcBorders>
              <w:top w:val="single" w:sz="6" w:space="0" w:color="78A22F"/>
              <w:left w:val="nil"/>
              <w:bottom w:val="nil"/>
              <w:right w:val="nil"/>
            </w:tcBorders>
            <w:shd w:val="clear" w:color="auto" w:fill="auto"/>
          </w:tcPr>
          <w:p w14:paraId="69B8A9FE" w14:textId="77777777" w:rsidR="00E011E8" w:rsidRDefault="00E011E8" w:rsidP="00D50B54">
            <w:pPr>
              <w:pStyle w:val="InformationRequest"/>
              <w:spacing w:line="160" w:lineRule="atLeast"/>
            </w:pPr>
            <w:r>
              <w:t>The Commission is seeking information and evidence on:</w:t>
            </w:r>
          </w:p>
          <w:p w14:paraId="6C5E692F" w14:textId="77777777" w:rsidR="00E011E8" w:rsidRDefault="00E011E8" w:rsidP="00D50B54">
            <w:pPr>
              <w:pStyle w:val="InformationRequestBullet"/>
              <w:spacing w:line="160" w:lineRule="atLeast"/>
            </w:pPr>
            <w:r>
              <w:t>barriers to the export of services by mode of supply and country, for each of the services sectors</w:t>
            </w:r>
            <w:r w:rsidR="00806341">
              <w:t xml:space="preserve"> considered in this study</w:t>
            </w:r>
            <w:r>
              <w:t xml:space="preserve"> </w:t>
            </w:r>
          </w:p>
          <w:p w14:paraId="7CF63033" w14:textId="77777777" w:rsidR="008F7255" w:rsidRDefault="008F7255" w:rsidP="00D50B54">
            <w:pPr>
              <w:pStyle w:val="InformationRequestBullet"/>
              <w:spacing w:line="160" w:lineRule="atLeast"/>
            </w:pPr>
            <w:r>
              <w:t>which barriers (</w:t>
            </w:r>
            <w:r w:rsidR="000567BE">
              <w:t>by country</w:t>
            </w:r>
            <w:r>
              <w:t>) are the highest priority for reform</w:t>
            </w:r>
            <w:r w:rsidR="00534708">
              <w:t xml:space="preserve"> </w:t>
            </w:r>
            <w:r w:rsidR="00421D28">
              <w:t>and who should be responsible for driving the reform process</w:t>
            </w:r>
            <w:r>
              <w:t xml:space="preserve"> </w:t>
            </w:r>
          </w:p>
          <w:p w14:paraId="0BA405BF" w14:textId="77777777" w:rsidR="00E011E8" w:rsidRDefault="00E011E8" w:rsidP="00D50B54">
            <w:pPr>
              <w:pStyle w:val="InformationRequestBullet"/>
              <w:spacing w:line="160" w:lineRule="atLeast"/>
            </w:pPr>
            <w:r>
              <w:t xml:space="preserve">whether the barrier applies equally to Australian and domestic firms in the relevant country or whether the barrier discriminates against (or is more burdensome for) Australian firms </w:t>
            </w:r>
          </w:p>
          <w:p w14:paraId="2E7D358C" w14:textId="77777777" w:rsidR="00E011E8" w:rsidRPr="00CE4C64" w:rsidRDefault="00806341" w:rsidP="00D50B54">
            <w:pPr>
              <w:pStyle w:val="InformationRequestBullet"/>
              <w:spacing w:line="160" w:lineRule="atLeast"/>
            </w:pPr>
            <w:r>
              <w:t>the costs for</w:t>
            </w:r>
            <w:r w:rsidR="00E011E8">
              <w:t xml:space="preserve"> Australian services exporters</w:t>
            </w:r>
            <w:r>
              <w:t>, and the community more broadly, arising from</w:t>
            </w:r>
            <w:r w:rsidR="00E011E8">
              <w:t xml:space="preserve"> the barrie</w:t>
            </w:r>
            <w:r>
              <w:t>r, including:</w:t>
            </w:r>
          </w:p>
          <w:p w14:paraId="147C0870" w14:textId="702E2E34" w:rsidR="00E011E8" w:rsidRPr="00656CC1" w:rsidRDefault="00E011E8" w:rsidP="00D50B54">
            <w:pPr>
              <w:pStyle w:val="BoxListBullet2"/>
              <w:spacing w:line="160" w:lineRule="atLeast"/>
              <w:ind w:left="568" w:hanging="284"/>
              <w:rPr>
                <w:i/>
                <w:sz w:val="22"/>
                <w:szCs w:val="22"/>
              </w:rPr>
            </w:pPr>
            <w:r w:rsidRPr="00806341">
              <w:rPr>
                <w:i/>
                <w:sz w:val="22"/>
              </w:rPr>
              <w:t>the extent to which there are greater barriers</w:t>
            </w:r>
            <w:r w:rsidR="006C2481" w:rsidRPr="00806341">
              <w:rPr>
                <w:i/>
                <w:sz w:val="22"/>
              </w:rPr>
              <w:t xml:space="preserve"> (and costs)</w:t>
            </w:r>
            <w:r w:rsidRPr="00806341">
              <w:rPr>
                <w:i/>
                <w:sz w:val="22"/>
              </w:rPr>
              <w:t xml:space="preserve"> </w:t>
            </w:r>
            <w:r w:rsidR="00797754" w:rsidRPr="00806341">
              <w:rPr>
                <w:i/>
                <w:sz w:val="22"/>
              </w:rPr>
              <w:t xml:space="preserve">faced by </w:t>
            </w:r>
            <w:r w:rsidR="006C2481" w:rsidRPr="00806341">
              <w:rPr>
                <w:i/>
                <w:sz w:val="22"/>
              </w:rPr>
              <w:t xml:space="preserve">small </w:t>
            </w:r>
            <w:r w:rsidR="00684432">
              <w:rPr>
                <w:i/>
                <w:sz w:val="22"/>
              </w:rPr>
              <w:t xml:space="preserve">businesses that are seeking to export </w:t>
            </w:r>
            <w:r w:rsidR="006C2481" w:rsidRPr="00806341">
              <w:rPr>
                <w:i/>
                <w:sz w:val="22"/>
              </w:rPr>
              <w:t>services</w:t>
            </w:r>
            <w:r w:rsidRPr="00806341">
              <w:rPr>
                <w:i/>
                <w:sz w:val="22"/>
              </w:rPr>
              <w:t xml:space="preserve"> relative to larger </w:t>
            </w:r>
            <w:r w:rsidR="00684432">
              <w:rPr>
                <w:i/>
                <w:sz w:val="22"/>
              </w:rPr>
              <w:t>firms</w:t>
            </w:r>
          </w:p>
          <w:p w14:paraId="755C7C96" w14:textId="77777777" w:rsidR="00E011E8" w:rsidRPr="00656CC1" w:rsidRDefault="00E011E8" w:rsidP="00D50B54">
            <w:pPr>
              <w:pStyle w:val="BoxListBullet2"/>
              <w:spacing w:line="160" w:lineRule="atLeast"/>
              <w:ind w:left="568" w:hanging="284"/>
              <w:rPr>
                <w:i/>
                <w:sz w:val="22"/>
                <w:szCs w:val="22"/>
              </w:rPr>
            </w:pPr>
            <w:r w:rsidRPr="00806341">
              <w:rPr>
                <w:i/>
                <w:sz w:val="22"/>
              </w:rPr>
              <w:t>whether and to what extent barriers in one mode are resulting in services exporters accessing foreign markets via other</w:t>
            </w:r>
            <w:r w:rsidR="008F70B7">
              <w:rPr>
                <w:i/>
                <w:sz w:val="22"/>
              </w:rPr>
              <w:t>,</w:t>
            </w:r>
            <w:r w:rsidRPr="00806341">
              <w:rPr>
                <w:i/>
                <w:sz w:val="22"/>
              </w:rPr>
              <w:t xml:space="preserve"> potentially </w:t>
            </w:r>
            <w:r w:rsidR="00191512" w:rsidRPr="00806341">
              <w:rPr>
                <w:i/>
                <w:sz w:val="22"/>
              </w:rPr>
              <w:t>more costly</w:t>
            </w:r>
            <w:r w:rsidR="008F70B7">
              <w:rPr>
                <w:i/>
                <w:sz w:val="22"/>
              </w:rPr>
              <w:t>,</w:t>
            </w:r>
            <w:r w:rsidRPr="00806341">
              <w:rPr>
                <w:i/>
                <w:sz w:val="22"/>
              </w:rPr>
              <w:t xml:space="preserve"> modes </w:t>
            </w:r>
          </w:p>
          <w:p w14:paraId="14363B31" w14:textId="36AF73FB" w:rsidR="00270583" w:rsidRDefault="00E011E8" w:rsidP="00D50B54">
            <w:pPr>
              <w:pStyle w:val="InformationRequestBullet"/>
              <w:spacing w:line="160" w:lineRule="atLeast"/>
            </w:pPr>
            <w:r>
              <w:t>standards and technical regulations</w:t>
            </w:r>
            <w:r w:rsidR="008F70B7">
              <w:t>,</w:t>
            </w:r>
            <w:r>
              <w:t xml:space="preserve"> including qualifications and licensing requirements</w:t>
            </w:r>
            <w:r w:rsidR="008F70B7">
              <w:t>,</w:t>
            </w:r>
            <w:r>
              <w:t xml:space="preserve"> that are not based on objective and transparent criteria, and are more burdensome for Australian services exporters than is necessary to ensure quality and/or safety</w:t>
            </w:r>
          </w:p>
          <w:p w14:paraId="1BDBF177" w14:textId="42AAA1F9" w:rsidR="00940368" w:rsidRDefault="00893362" w:rsidP="00D50B54">
            <w:pPr>
              <w:pStyle w:val="InformationRequestBullet"/>
              <w:spacing w:line="160" w:lineRule="atLeast"/>
            </w:pPr>
            <w:r>
              <w:t>whether there are any concerns about possibl</w:t>
            </w:r>
            <w:r w:rsidR="000B2F1C">
              <w:t>e reputation</w:t>
            </w:r>
            <w:r w:rsidR="00FC615E">
              <w:t>al</w:t>
            </w:r>
            <w:r w:rsidR="000B2F1C">
              <w:t xml:space="preserve"> risks </w:t>
            </w:r>
            <w:r w:rsidR="0072086B">
              <w:t>for services exporters</w:t>
            </w:r>
            <w:r w:rsidR="000B2F1C">
              <w:t xml:space="preserve"> flowing from</w:t>
            </w:r>
            <w:r>
              <w:t xml:space="preserve"> standards and technical regulations</w:t>
            </w:r>
            <w:r w:rsidR="000B2F1C">
              <w:t xml:space="preserve"> that are less stringent than they are in Australia,</w:t>
            </w:r>
            <w:r>
              <w:t xml:space="preserve"> and/or from bribery and corruption concerns in key overseas markets</w:t>
            </w:r>
          </w:p>
          <w:p w14:paraId="41CC005A" w14:textId="0AF5D2BC" w:rsidR="00893362" w:rsidRPr="00EA51F3" w:rsidRDefault="00940368" w:rsidP="00D50B54">
            <w:pPr>
              <w:pStyle w:val="BoxListBullet2"/>
              <w:spacing w:line="160" w:lineRule="atLeast"/>
              <w:ind w:left="568" w:hanging="284"/>
              <w:rPr>
                <w:szCs w:val="24"/>
              </w:rPr>
            </w:pPr>
            <w:r>
              <w:rPr>
                <w:i/>
                <w:sz w:val="22"/>
              </w:rPr>
              <w:t>whether</w:t>
            </w:r>
            <w:r w:rsidR="000B2F1C">
              <w:rPr>
                <w:i/>
                <w:sz w:val="22"/>
              </w:rPr>
              <w:t xml:space="preserve"> </w:t>
            </w:r>
            <w:r w:rsidR="000B2F1C" w:rsidRPr="00940368">
              <w:rPr>
                <w:i/>
                <w:sz w:val="22"/>
              </w:rPr>
              <w:t xml:space="preserve">there </w:t>
            </w:r>
            <w:r>
              <w:rPr>
                <w:i/>
                <w:sz w:val="22"/>
              </w:rPr>
              <w:t xml:space="preserve">is </w:t>
            </w:r>
            <w:r w:rsidR="000B2F1C" w:rsidRPr="00940368">
              <w:rPr>
                <w:i/>
                <w:sz w:val="22"/>
              </w:rPr>
              <w:t>anything the Australian Government can</w:t>
            </w:r>
            <w:r>
              <w:rPr>
                <w:i/>
                <w:sz w:val="22"/>
              </w:rPr>
              <w:t xml:space="preserve"> and </w:t>
            </w:r>
            <w:r w:rsidR="000B2F1C">
              <w:rPr>
                <w:i/>
                <w:sz w:val="22"/>
              </w:rPr>
              <w:t>should</w:t>
            </w:r>
            <w:r w:rsidR="000B2F1C" w:rsidRPr="00940368">
              <w:rPr>
                <w:i/>
                <w:sz w:val="22"/>
              </w:rPr>
              <w:t xml:space="preserve"> do to help mitigate these risks</w:t>
            </w:r>
          </w:p>
          <w:p w14:paraId="0908229A" w14:textId="2857C2A3" w:rsidR="00E011E8" w:rsidRPr="007E27D7" w:rsidRDefault="00E011E8" w:rsidP="00D50B54">
            <w:pPr>
              <w:pStyle w:val="InformationRequestBullet"/>
              <w:spacing w:line="160" w:lineRule="atLeast"/>
            </w:pPr>
            <w:proofErr w:type="gramStart"/>
            <w:r>
              <w:t>the</w:t>
            </w:r>
            <w:proofErr w:type="gramEnd"/>
            <w:r>
              <w:t xml:space="preserve"> extent to which rules and regulations governing the international trade of services has kept pace with technological change, such as growing use of information technology as a means of exporting services</w:t>
            </w:r>
            <w:r w:rsidR="00B84923">
              <w:t>, and to what extent restrictions on cross-border data flows have increased costs for services exporters</w:t>
            </w:r>
            <w:r w:rsidR="0038423C">
              <w:t>.</w:t>
            </w:r>
          </w:p>
        </w:tc>
      </w:tr>
      <w:tr w:rsidR="00E011E8" w14:paraId="74C5F2E6" w14:textId="77777777" w:rsidTr="00AA622E">
        <w:tc>
          <w:tcPr>
            <w:tcW w:w="8770" w:type="dxa"/>
            <w:tcBorders>
              <w:top w:val="nil"/>
              <w:left w:val="nil"/>
              <w:bottom w:val="single" w:sz="6" w:space="0" w:color="78A22F"/>
              <w:right w:val="nil"/>
            </w:tcBorders>
            <w:shd w:val="clear" w:color="auto" w:fill="auto"/>
          </w:tcPr>
          <w:p w14:paraId="3C7F2547" w14:textId="77777777" w:rsidR="00E011E8" w:rsidRDefault="00E011E8" w:rsidP="00AA622E">
            <w:pPr>
              <w:pStyle w:val="Space"/>
              <w:keepNext w:val="0"/>
              <w:keepLines/>
            </w:pPr>
          </w:p>
        </w:tc>
      </w:tr>
    </w:tbl>
    <w:p w14:paraId="44003031" w14:textId="77777777" w:rsidR="00E011E8" w:rsidRDefault="00E011E8" w:rsidP="00720920">
      <w:pPr>
        <w:pStyle w:val="Heading3"/>
        <w:keepNext w:val="0"/>
      </w:pPr>
      <w:r>
        <w:lastRenderedPageBreak/>
        <w:t>Mechanisms for addressing barriers to services exports</w:t>
      </w:r>
    </w:p>
    <w:p w14:paraId="5645ACE1" w14:textId="2A22C890" w:rsidR="00E011E8" w:rsidRDefault="00E011E8" w:rsidP="00E011E8">
      <w:pPr>
        <w:pStyle w:val="BodyText"/>
      </w:pPr>
      <w:r>
        <w:t xml:space="preserve">Aside from identifying barriers and assessing the likely </w:t>
      </w:r>
      <w:r w:rsidR="003F4A3A">
        <w:t xml:space="preserve">net </w:t>
      </w:r>
      <w:r>
        <w:t>benefits to Australia of reducing or removing barriers</w:t>
      </w:r>
      <w:r w:rsidR="00FC615E">
        <w:t xml:space="preserve"> to services exports</w:t>
      </w:r>
      <w:r>
        <w:t>,</w:t>
      </w:r>
      <w:r w:rsidR="00FC615E">
        <w:t xml:space="preserve"> the Commission is seeking information on</w:t>
      </w:r>
      <w:r>
        <w:t xml:space="preserve"> the best mechanism for removing barriers. Mechanisms to address barriers include:</w:t>
      </w:r>
    </w:p>
    <w:p w14:paraId="4A060EDA" w14:textId="52AD189E" w:rsidR="00E011E8" w:rsidRDefault="00E011E8" w:rsidP="00E011E8">
      <w:pPr>
        <w:pStyle w:val="ListBullet"/>
      </w:pPr>
      <w:proofErr w:type="gramStart"/>
      <w:r w:rsidRPr="004E07D3">
        <w:rPr>
          <w:i/>
        </w:rPr>
        <w:t>trade</w:t>
      </w:r>
      <w:proofErr w:type="gramEnd"/>
      <w:r w:rsidRPr="004E07D3">
        <w:rPr>
          <w:i/>
        </w:rPr>
        <w:t xml:space="preserve"> agreements</w:t>
      </w:r>
      <w:r>
        <w:t xml:space="preserve"> — bilateral, </w:t>
      </w:r>
      <w:proofErr w:type="spellStart"/>
      <w:r>
        <w:t>plurilateral</w:t>
      </w:r>
      <w:proofErr w:type="spellEnd"/>
      <w:r w:rsidR="008B3A76">
        <w:t>, regional</w:t>
      </w:r>
      <w:r>
        <w:t xml:space="preserve"> or multilateral agreements</w:t>
      </w:r>
      <w:r w:rsidR="00F54F17">
        <w:t xml:space="preserve">. </w:t>
      </w:r>
      <w:r>
        <w:t>As outlined in table</w:t>
      </w:r>
      <w:r w:rsidR="00191B2F">
        <w:t xml:space="preserve"> 1</w:t>
      </w:r>
      <w:r>
        <w:t xml:space="preserve">, Australia has negotiated trade agreements with a number of countries. These agreements include provisions </w:t>
      </w:r>
      <w:r w:rsidR="001A2E5A">
        <w:t>for</w:t>
      </w:r>
      <w:r>
        <w:t xml:space="preserve"> liberalising market access for services exports. Australia is also jointly leading, with the </w:t>
      </w:r>
      <w:r w:rsidR="001A2E5A">
        <w:t>U</w:t>
      </w:r>
      <w:r w:rsidR="006D7F98">
        <w:t xml:space="preserve">nited </w:t>
      </w:r>
      <w:r w:rsidR="001A2E5A">
        <w:t>S</w:t>
      </w:r>
      <w:r w:rsidR="006D7F98">
        <w:t>tates</w:t>
      </w:r>
      <w:r w:rsidR="001A2E5A">
        <w:t xml:space="preserve"> and the E</w:t>
      </w:r>
      <w:r w:rsidR="006D7F98">
        <w:t xml:space="preserve">uropean </w:t>
      </w:r>
      <w:r w:rsidR="001A2E5A">
        <w:t>U</w:t>
      </w:r>
      <w:r w:rsidR="006D7F98">
        <w:t>nion</w:t>
      </w:r>
      <w:r>
        <w:t xml:space="preserve">, negotiations on a services-only trade agreement known as the Trade in Services Agreement </w:t>
      </w:r>
    </w:p>
    <w:p w14:paraId="6574963D" w14:textId="6AF29C79" w:rsidR="00E011E8" w:rsidRDefault="00E011E8" w:rsidP="00E011E8">
      <w:pPr>
        <w:pStyle w:val="ListBullet"/>
      </w:pPr>
      <w:proofErr w:type="gramStart"/>
      <w:r w:rsidRPr="00990D4C">
        <w:rPr>
          <w:i/>
        </w:rPr>
        <w:t>integration</w:t>
      </w:r>
      <w:proofErr w:type="gramEnd"/>
      <w:r w:rsidRPr="00990D4C">
        <w:rPr>
          <w:i/>
        </w:rPr>
        <w:t xml:space="preserve"> through intergovernmental </w:t>
      </w:r>
      <w:r>
        <w:rPr>
          <w:i/>
        </w:rPr>
        <w:t>forums</w:t>
      </w:r>
      <w:r>
        <w:t xml:space="preserve"> — such as the Association of Southeast Asian Nations (ASEAN) and the Asia-Pacific Economic Cooperation (APEC). An example is countries working together under the umbrella of APEC to develop the Asia Region Funds Passport which</w:t>
      </w:r>
      <w:r w:rsidR="00797754">
        <w:t>,</w:t>
      </w:r>
      <w:r>
        <w:t xml:space="preserve"> once implemented</w:t>
      </w:r>
      <w:r w:rsidR="00797754">
        <w:t>,</w:t>
      </w:r>
      <w:r>
        <w:t xml:space="preserve"> will provide a framework to facilitate the cross-border marketing of managed funds across participating economies </w:t>
      </w:r>
      <w:r w:rsidR="00DE4F34" w:rsidRPr="00DE4F34">
        <w:rPr>
          <w:szCs w:val="24"/>
        </w:rPr>
        <w:t>(Australian Government 2015a)</w:t>
      </w:r>
    </w:p>
    <w:p w14:paraId="44B48238" w14:textId="1786C8ED" w:rsidR="000D117D" w:rsidRDefault="00E011E8" w:rsidP="000D117D">
      <w:pPr>
        <w:pStyle w:val="ListBullet"/>
      </w:pPr>
      <w:r w:rsidRPr="004E07D3">
        <w:rPr>
          <w:i/>
        </w:rPr>
        <w:t xml:space="preserve">direct negotiation between </w:t>
      </w:r>
      <w:r>
        <w:rPr>
          <w:i/>
        </w:rPr>
        <w:t xml:space="preserve">regulators — </w:t>
      </w:r>
      <w:r w:rsidRPr="001B67C6">
        <w:t>f</w:t>
      </w:r>
      <w:r>
        <w:t xml:space="preserve">or example, in 2008 the Australian Securities and Investment Commission signed a declaration of mutual recognition with the Hong Kong Securities and Futures Commission to facilitate the sale of retail funds to investors in each other’s market </w:t>
      </w:r>
      <w:r w:rsidRPr="00927772">
        <w:rPr>
          <w:szCs w:val="24"/>
        </w:rPr>
        <w:t>(ASIC 2008)</w:t>
      </w:r>
      <w:r>
        <w:t xml:space="preserve"> </w:t>
      </w:r>
    </w:p>
    <w:p w14:paraId="5BF472F0" w14:textId="2FF18365" w:rsidR="00E011E8" w:rsidRDefault="000D117D" w:rsidP="000D117D">
      <w:pPr>
        <w:pStyle w:val="ListBullet"/>
      </w:pPr>
      <w:r w:rsidRPr="004E07D3">
        <w:rPr>
          <w:i/>
        </w:rPr>
        <w:t>direct negotiation between professional bodies</w:t>
      </w:r>
      <w:r>
        <w:rPr>
          <w:i/>
        </w:rPr>
        <w:t xml:space="preserve"> —</w:t>
      </w:r>
      <w:r>
        <w:t xml:space="preserve"> for example, Engineers Australia has established mutual recognition agreements with professional bodies in a number of countries</w:t>
      </w:r>
      <w:r w:rsidR="009E7980">
        <w:t>,</w:t>
      </w:r>
      <w:r>
        <w:t xml:space="preserve"> where members of the professional body are accorded an equivalent level of membership in Australia and vice versa </w:t>
      </w:r>
      <w:r w:rsidRPr="00056607">
        <w:rPr>
          <w:szCs w:val="24"/>
        </w:rPr>
        <w:t>(Engineers Australia 2009)</w:t>
      </w:r>
      <w:r>
        <w:t xml:space="preserve">. </w:t>
      </w:r>
    </w:p>
    <w:p w14:paraId="4BEA3DCC" w14:textId="77777777" w:rsidR="00E011E8" w:rsidRDefault="00E011E8" w:rsidP="00E011E8">
      <w:pPr>
        <w:pStyle w:val="BodyText"/>
      </w:pPr>
      <w:r>
        <w:t>Mutual recognition arrangements — for example, where a</w:t>
      </w:r>
      <w:r>
        <w:rPr>
          <w:i/>
        </w:rPr>
        <w:t xml:space="preserve"> </w:t>
      </w:r>
      <w:r>
        <w:t xml:space="preserve">person registered or licensed to practice in one country (or jurisdiction) is entitled to practice in another country without the need for additional approvals — could occur through any of the above mechanisms. </w:t>
      </w:r>
    </w:p>
    <w:p w14:paraId="7451A86D" w14:textId="0B534200" w:rsidR="0057520A" w:rsidRDefault="00D2582A" w:rsidP="00E011E8">
      <w:pPr>
        <w:pStyle w:val="BodyText"/>
      </w:pPr>
      <w:r>
        <w:t>The</w:t>
      </w:r>
      <w:r w:rsidR="00335195">
        <w:t xml:space="preserve"> mechanism </w:t>
      </w:r>
      <w:r>
        <w:t xml:space="preserve">that is </w:t>
      </w:r>
      <w:r w:rsidR="00335195">
        <w:t xml:space="preserve">most effective in addressing a barrier to services exports may depend on the nature of the barrier. </w:t>
      </w:r>
      <w:r w:rsidR="00E011E8">
        <w:t xml:space="preserve">For example, where countries rely on self-regulation of professional services by industry it may not be possible for governments to make firm commitments through trade negotiations. Similarly, regulators may not be able to negotiate binding arrangements without a mandate from the relevant government. </w:t>
      </w:r>
    </w:p>
    <w:p w14:paraId="1417B918" w14:textId="77777777" w:rsidR="0057520A" w:rsidRDefault="0057520A">
      <w:pPr>
        <w:rPr>
          <w:szCs w:val="20"/>
        </w:rPr>
      </w:pPr>
      <w:r>
        <w:br w:type="page"/>
      </w:r>
    </w:p>
    <w:p w14:paraId="44AA7264" w14:textId="0084CFF5" w:rsidR="0073323B" w:rsidRPr="004E3B94" w:rsidRDefault="0073323B" w:rsidP="00F36CA3">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73323B" w14:paraId="73B3E99E" w14:textId="77777777" w:rsidTr="00F36CA3">
        <w:tc>
          <w:tcPr>
            <w:tcW w:w="8770" w:type="dxa"/>
            <w:tcBorders>
              <w:top w:val="single" w:sz="6" w:space="0" w:color="78A22F"/>
              <w:left w:val="nil"/>
              <w:bottom w:val="nil"/>
              <w:right w:val="nil"/>
            </w:tcBorders>
            <w:shd w:val="clear" w:color="auto" w:fill="auto"/>
          </w:tcPr>
          <w:p w14:paraId="59F330E1" w14:textId="4F5D51EB" w:rsidR="0073323B" w:rsidRDefault="0073323B" w:rsidP="0073323B">
            <w:pPr>
              <w:pStyle w:val="InformationRequest"/>
            </w:pPr>
            <w:r>
              <w:t>The Commission is seeking information and evidence on:</w:t>
            </w:r>
          </w:p>
          <w:p w14:paraId="61A71DAC" w14:textId="77777777" w:rsidR="0073323B" w:rsidRDefault="0073323B" w:rsidP="0073323B">
            <w:pPr>
              <w:pStyle w:val="InformationRequestBullet"/>
            </w:pPr>
            <w:r>
              <w:t>the circumstances when different mechanisms for addressing barriers are likely to be most effective, including whether particular barriers are better addressed through one type of mechanism over another, and the relative advantages and disadvantages of different mechanisms</w:t>
            </w:r>
          </w:p>
          <w:p w14:paraId="632A4BF0" w14:textId="4E33CA9E" w:rsidR="0073323B" w:rsidRPr="00134D20" w:rsidRDefault="0073323B" w:rsidP="0073323B">
            <w:pPr>
              <w:pStyle w:val="InformationRequestBullet"/>
            </w:pPr>
            <w:r>
              <w:t xml:space="preserve">whether there are any aspects of the Trade in Services Agreement that require further consideration or </w:t>
            </w:r>
            <w:r w:rsidR="007F53AE">
              <w:t>modification</w:t>
            </w:r>
            <w:r>
              <w:t xml:space="preserve"> to ensure the agreement is effective in addressing barriers to services exports</w:t>
            </w:r>
          </w:p>
          <w:p w14:paraId="09BA6910" w14:textId="77777777" w:rsidR="008C356F" w:rsidRDefault="0073323B" w:rsidP="0073323B">
            <w:pPr>
              <w:pStyle w:val="InformationRequestBullet"/>
            </w:pPr>
            <w:proofErr w:type="gramStart"/>
            <w:r>
              <w:t>whether</w:t>
            </w:r>
            <w:proofErr w:type="gramEnd"/>
            <w:r>
              <w:t xml:space="preserve"> and how the approach to addressing barriers to services exports through trade agreements, or other mechanisms, could be improved. For example</w:t>
            </w:r>
            <w:r w:rsidR="008C356F">
              <w:t>:</w:t>
            </w:r>
          </w:p>
          <w:p w14:paraId="68B02B13" w14:textId="50712E81" w:rsidR="0073323B" w:rsidRDefault="00BC4EC4" w:rsidP="00843CF3">
            <w:pPr>
              <w:pStyle w:val="BoxListBullet2"/>
              <w:ind w:left="568" w:hanging="284"/>
              <w:rPr>
                <w:i/>
                <w:sz w:val="22"/>
              </w:rPr>
            </w:pPr>
            <w:r w:rsidRPr="00843CF3">
              <w:rPr>
                <w:i/>
                <w:sz w:val="22"/>
              </w:rPr>
              <w:t xml:space="preserve">after arrangements have been negotiated </w:t>
            </w:r>
            <w:r w:rsidR="008C356F">
              <w:rPr>
                <w:i/>
                <w:sz w:val="22"/>
              </w:rPr>
              <w:t xml:space="preserve">whether </w:t>
            </w:r>
            <w:r w:rsidRPr="00843CF3">
              <w:rPr>
                <w:i/>
                <w:sz w:val="22"/>
              </w:rPr>
              <w:t xml:space="preserve">sufficient attention </w:t>
            </w:r>
            <w:r w:rsidR="008C356F">
              <w:rPr>
                <w:i/>
                <w:sz w:val="22"/>
              </w:rPr>
              <w:t xml:space="preserve">is </w:t>
            </w:r>
            <w:r w:rsidRPr="00843CF3">
              <w:rPr>
                <w:i/>
                <w:sz w:val="22"/>
              </w:rPr>
              <w:t xml:space="preserve">paid to ensuring the necessary architecture (for example in relation to mutual recognition) and resourcing are in place to maximise the benefits flowing from the arrangements </w:t>
            </w:r>
          </w:p>
          <w:p w14:paraId="2245C543" w14:textId="77777777" w:rsidR="0037006A" w:rsidRDefault="008C356F" w:rsidP="00843CF3">
            <w:pPr>
              <w:pStyle w:val="BoxListBullet2"/>
              <w:ind w:left="568" w:hanging="284"/>
              <w:rPr>
                <w:i/>
                <w:sz w:val="22"/>
              </w:rPr>
            </w:pPr>
            <w:r>
              <w:rPr>
                <w:i/>
                <w:sz w:val="22"/>
              </w:rPr>
              <w:t xml:space="preserve">whether there is scope for greater </w:t>
            </w:r>
            <w:r w:rsidR="00750CE8">
              <w:rPr>
                <w:i/>
                <w:sz w:val="22"/>
              </w:rPr>
              <w:t>coordination</w:t>
            </w:r>
            <w:r>
              <w:rPr>
                <w:i/>
                <w:sz w:val="22"/>
              </w:rPr>
              <w:t xml:space="preserve"> between trade agreements</w:t>
            </w:r>
            <w:r w:rsidR="00732F5E">
              <w:rPr>
                <w:i/>
                <w:sz w:val="22"/>
              </w:rPr>
              <w:t xml:space="preserve"> and double taxation agreements</w:t>
            </w:r>
          </w:p>
          <w:p w14:paraId="7A38E5F0" w14:textId="666FF662" w:rsidR="008C356F" w:rsidRPr="00843CF3" w:rsidRDefault="00C020D5" w:rsidP="00843CF3">
            <w:pPr>
              <w:pStyle w:val="BoxListBullet2"/>
              <w:ind w:left="568" w:hanging="284"/>
              <w:rPr>
                <w:i/>
                <w:sz w:val="22"/>
              </w:rPr>
            </w:pPr>
            <w:r>
              <w:rPr>
                <w:i/>
                <w:sz w:val="22"/>
              </w:rPr>
              <w:t>the application and associated consequences of rules of origin for services exports and investment</w:t>
            </w:r>
          </w:p>
          <w:p w14:paraId="49715F87" w14:textId="77777777" w:rsidR="0073323B" w:rsidRPr="00CC7C66" w:rsidRDefault="0073323B" w:rsidP="0073323B">
            <w:pPr>
              <w:pStyle w:val="InformationRequestBullet"/>
              <w:ind w:left="357" w:hanging="357"/>
            </w:pPr>
            <w:r>
              <w:t xml:space="preserve">the role of government in facilitating arrangements to reduce or remove barriers by professional bodies </w:t>
            </w:r>
            <w:r w:rsidR="007F53AE">
              <w:t xml:space="preserve">or </w:t>
            </w:r>
            <w:r>
              <w:t>regulators</w:t>
            </w:r>
          </w:p>
          <w:p w14:paraId="1D6A9FE7" w14:textId="7CACB4A3" w:rsidR="0073323B" w:rsidRDefault="0073323B" w:rsidP="0073323B">
            <w:pPr>
              <w:pStyle w:val="InformationRequestBullet"/>
              <w:ind w:left="357" w:hanging="357"/>
            </w:pPr>
            <w:r>
              <w:t xml:space="preserve">whether there are barriers to the import of services to Australia that other countries are seeking </w:t>
            </w:r>
            <w:r w:rsidR="00C83F84">
              <w:t xml:space="preserve">to </w:t>
            </w:r>
            <w:r>
              <w:t>be removed before they will remove or reduce their own barriers</w:t>
            </w:r>
          </w:p>
          <w:p w14:paraId="1E851CF0" w14:textId="3A8CEDB7" w:rsidR="0073323B" w:rsidRPr="00CE4C64" w:rsidRDefault="0073323B" w:rsidP="0073323B">
            <w:pPr>
              <w:pStyle w:val="InformationRequestBullet"/>
              <w:ind w:left="357" w:hanging="357"/>
            </w:pPr>
            <w:proofErr w:type="gramStart"/>
            <w:r>
              <w:t>approaches</w:t>
            </w:r>
            <w:proofErr w:type="gramEnd"/>
            <w:r>
              <w:t xml:space="preserve"> that have been used to address barriers to services exports in other countries that could be adopted by Australia.</w:t>
            </w:r>
          </w:p>
        </w:tc>
      </w:tr>
      <w:tr w:rsidR="0073323B" w14:paraId="69F040C3" w14:textId="77777777" w:rsidTr="00F36CA3">
        <w:tc>
          <w:tcPr>
            <w:tcW w:w="8770" w:type="dxa"/>
            <w:tcBorders>
              <w:top w:val="nil"/>
              <w:left w:val="nil"/>
              <w:bottom w:val="single" w:sz="6" w:space="0" w:color="78A22F"/>
              <w:right w:val="nil"/>
            </w:tcBorders>
            <w:shd w:val="clear" w:color="auto" w:fill="auto"/>
          </w:tcPr>
          <w:p w14:paraId="581648B6" w14:textId="77777777" w:rsidR="0073323B" w:rsidRDefault="0073323B" w:rsidP="00F36CA3">
            <w:pPr>
              <w:pStyle w:val="Space"/>
              <w:keepNext w:val="0"/>
              <w:keepLines/>
            </w:pPr>
          </w:p>
        </w:tc>
      </w:tr>
      <w:tr w:rsidR="0073323B" w:rsidRPr="000863A5" w14:paraId="070037BD" w14:textId="77777777" w:rsidTr="00F36CA3">
        <w:tc>
          <w:tcPr>
            <w:tcW w:w="8770" w:type="dxa"/>
            <w:tcBorders>
              <w:top w:val="single" w:sz="6" w:space="0" w:color="78A22F"/>
              <w:left w:val="nil"/>
              <w:bottom w:val="nil"/>
              <w:right w:val="nil"/>
            </w:tcBorders>
          </w:tcPr>
          <w:p w14:paraId="40F16017" w14:textId="022A8BE0" w:rsidR="0073323B" w:rsidRPr="00626D32" w:rsidRDefault="0073323B" w:rsidP="00F36CA3">
            <w:pPr>
              <w:pStyle w:val="BoxSpaceBelow"/>
              <w:keepLines/>
            </w:pPr>
          </w:p>
        </w:tc>
      </w:tr>
    </w:tbl>
    <w:p w14:paraId="2E66F7EC" w14:textId="77777777" w:rsidR="00CE5DC6" w:rsidRDefault="00CE5DC6" w:rsidP="00CE5DC6">
      <w:pPr>
        <w:pStyle w:val="Heading3"/>
      </w:pPr>
      <w:r>
        <w:t>Export assistance schemes</w:t>
      </w:r>
    </w:p>
    <w:p w14:paraId="3F41DD4B" w14:textId="2C3F70A0" w:rsidR="00CE5DC6" w:rsidRDefault="00CE5DC6" w:rsidP="00CE5DC6">
      <w:pPr>
        <w:pStyle w:val="BodyText"/>
      </w:pPr>
      <w:r>
        <w:t xml:space="preserve">Services exporters, like goods exporters, are able to apply for government support to facilitate exports. This support is primarily provided through Austrade, and can take many forms, including cash grants and advice on how to access export markets (box </w:t>
      </w:r>
      <w:r w:rsidR="00487B81">
        <w:t>1</w:t>
      </w:r>
      <w:r>
        <w:t xml:space="preserve">). It is important that these schemes are designed well and are targeted to where there is a clear case for addressing a </w:t>
      </w:r>
      <w:r w:rsidR="007E3C85">
        <w:t>policy-relevant</w:t>
      </w:r>
      <w:r w:rsidR="00EE0469">
        <w:t xml:space="preserve"> </w:t>
      </w:r>
      <w:r>
        <w:t xml:space="preserve">barrier to exports. If there are difficulties for services exporters accessing programs, then this could constitute a barrier to services exports. </w:t>
      </w:r>
    </w:p>
    <w:p w14:paraId="5CD367CD" w14:textId="3544C7C0" w:rsidR="00CE5DC6" w:rsidRDefault="00CE5DC6" w:rsidP="00CE5DC6">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CE5DC6" w14:paraId="4279D6E3" w14:textId="77777777" w:rsidTr="00CE5DC6">
        <w:tc>
          <w:tcPr>
            <w:tcW w:w="8771" w:type="dxa"/>
            <w:tcBorders>
              <w:top w:val="single" w:sz="6" w:space="0" w:color="78A22F"/>
              <w:left w:val="nil"/>
              <w:bottom w:val="nil"/>
              <w:right w:val="nil"/>
            </w:tcBorders>
            <w:shd w:val="clear" w:color="auto" w:fill="F2F2F2"/>
          </w:tcPr>
          <w:p w14:paraId="35421058" w14:textId="77777777" w:rsidR="00CE5DC6" w:rsidRDefault="00CE5DC6" w:rsidP="00CE5DC6">
            <w:pPr>
              <w:pStyle w:val="BoxTitle"/>
            </w:pPr>
            <w:r>
              <w:rPr>
                <w:b w:val="0"/>
              </w:rPr>
              <w:t xml:space="preserve">Box </w:t>
            </w:r>
            <w:r w:rsidR="00F82BE0">
              <w:rPr>
                <w:b w:val="0"/>
              </w:rPr>
              <w:fldChar w:fldCharType="begin"/>
            </w:r>
            <w:r>
              <w:rPr>
                <w:b w:val="0"/>
              </w:rPr>
              <w:instrText xml:space="preserve"> SEQ Box \* ARABIC </w:instrText>
            </w:r>
            <w:r w:rsidR="00F82BE0">
              <w:rPr>
                <w:b w:val="0"/>
              </w:rPr>
              <w:fldChar w:fldCharType="separate"/>
            </w:r>
            <w:r w:rsidR="002B546F">
              <w:rPr>
                <w:b w:val="0"/>
                <w:noProof/>
              </w:rPr>
              <w:t>1</w:t>
            </w:r>
            <w:r w:rsidR="00F82BE0">
              <w:rPr>
                <w:b w:val="0"/>
              </w:rPr>
              <w:fldChar w:fldCharType="end"/>
            </w:r>
            <w:r>
              <w:tab/>
              <w:t>Types of export assistance schemes</w:t>
            </w:r>
          </w:p>
        </w:tc>
      </w:tr>
      <w:tr w:rsidR="00CE5DC6" w14:paraId="07457456" w14:textId="77777777" w:rsidTr="00CE5DC6">
        <w:trPr>
          <w:cantSplit/>
        </w:trPr>
        <w:tc>
          <w:tcPr>
            <w:tcW w:w="8771" w:type="dxa"/>
            <w:tcBorders>
              <w:top w:val="nil"/>
              <w:left w:val="nil"/>
              <w:bottom w:val="nil"/>
              <w:right w:val="nil"/>
            </w:tcBorders>
            <w:shd w:val="clear" w:color="auto" w:fill="F2F2F2"/>
          </w:tcPr>
          <w:p w14:paraId="573590EA" w14:textId="01700774" w:rsidR="00CE5DC6" w:rsidRDefault="00CE5DC6" w:rsidP="00CE5DC6">
            <w:pPr>
              <w:pStyle w:val="Box"/>
            </w:pPr>
            <w:r>
              <w:t xml:space="preserve">The key Australian Government grants program for exporters is the Export Market Development Grants scheme. This scheme reimburses up to 50 per cent of eligible export promotion services for small and medium businesses. </w:t>
            </w:r>
            <w:r w:rsidR="000111F3">
              <w:t>It</w:t>
            </w:r>
            <w:r>
              <w:t xml:space="preserve"> </w:t>
            </w:r>
            <w:r w:rsidR="000111F3">
              <w:t xml:space="preserve">is </w:t>
            </w:r>
            <w:r>
              <w:t>used by services exporters to varying degrees across the sector. For example, in 2012-13</w:t>
            </w:r>
            <w:r w:rsidR="000111F3">
              <w:t>:</w:t>
            </w:r>
          </w:p>
          <w:p w14:paraId="3D0541AA" w14:textId="41DAA423" w:rsidR="00CE5DC6" w:rsidRDefault="00CE5DC6" w:rsidP="00CE5DC6">
            <w:pPr>
              <w:pStyle w:val="BoxListBullet"/>
            </w:pPr>
            <w:r>
              <w:t xml:space="preserve">the information, media and telecommunications </w:t>
            </w:r>
            <w:r w:rsidR="000111F3">
              <w:t xml:space="preserve">sectors </w:t>
            </w:r>
            <w:r>
              <w:t>received $18.2 million in assistance</w:t>
            </w:r>
          </w:p>
          <w:p w14:paraId="0DB4FCBD" w14:textId="7BD7B8FD" w:rsidR="00CE5DC6" w:rsidRDefault="00CE5DC6" w:rsidP="00CE5DC6">
            <w:pPr>
              <w:pStyle w:val="BoxListBullet"/>
            </w:pPr>
            <w:r>
              <w:t xml:space="preserve">the financial and insurance services </w:t>
            </w:r>
            <w:r w:rsidR="000111F3">
              <w:t xml:space="preserve">sectors </w:t>
            </w:r>
            <w:r>
              <w:t>received $0.8 million in assistance</w:t>
            </w:r>
          </w:p>
          <w:p w14:paraId="73509A4D" w14:textId="1DE0CB42" w:rsidR="00CE5DC6" w:rsidRDefault="00CE5DC6" w:rsidP="00CE5DC6">
            <w:pPr>
              <w:pStyle w:val="BoxListBullet"/>
            </w:pPr>
            <w:proofErr w:type="gramStart"/>
            <w:r>
              <w:t>the</w:t>
            </w:r>
            <w:proofErr w:type="gramEnd"/>
            <w:r>
              <w:t xml:space="preserve"> education and training </w:t>
            </w:r>
            <w:r w:rsidR="000111F3">
              <w:t xml:space="preserve">sectors </w:t>
            </w:r>
            <w:r>
              <w:t>received $7.6 million in assistance.</w:t>
            </w:r>
          </w:p>
          <w:p w14:paraId="763C6C4A" w14:textId="77777777" w:rsidR="00CE5DC6" w:rsidRDefault="00CE5DC6" w:rsidP="00CE5DC6">
            <w:pPr>
              <w:pStyle w:val="Box"/>
            </w:pPr>
            <w:r>
              <w:t>The Export Market Development Grants scheme is currently subject to a review within Austrade. This review will assess whether the scheme is effective and whether it should be extended, and is due to report by 30 June 2015.</w:t>
            </w:r>
          </w:p>
          <w:p w14:paraId="07133784" w14:textId="7B627B07" w:rsidR="00CE5DC6" w:rsidRDefault="00CE5DC6">
            <w:pPr>
              <w:pStyle w:val="Box"/>
            </w:pPr>
            <w:r>
              <w:t xml:space="preserve">Austrade provides a range of other services to exporters. These include general information and advice on exporting, and tailored services such as market research (which is cost recovered). In addition, the Export Finance and Insurance Corporation </w:t>
            </w:r>
            <w:proofErr w:type="gramStart"/>
            <w:r>
              <w:t>provides</w:t>
            </w:r>
            <w:proofErr w:type="gramEnd"/>
            <w:r>
              <w:t xml:space="preserve"> insurance and financial services to exporters, and state and territory governments provide varying levels of assistance (such as export grants and advice provided through Business Victoria). The tourism industry is also supported by the destination marketing provided by Tourism Australia and state and territory tourism agencies — this support was considered in the Commission’s study into Australia’s international tourism industry </w:t>
            </w:r>
            <w:r w:rsidRPr="0046637F">
              <w:rPr>
                <w:rFonts w:cs="Arial"/>
                <w:szCs w:val="24"/>
              </w:rPr>
              <w:t>(PC 2015)</w:t>
            </w:r>
            <w:r>
              <w:t>.</w:t>
            </w:r>
          </w:p>
        </w:tc>
      </w:tr>
      <w:tr w:rsidR="00CE5DC6" w14:paraId="462C2A4D" w14:textId="77777777" w:rsidTr="00CE5DC6">
        <w:trPr>
          <w:cantSplit/>
        </w:trPr>
        <w:tc>
          <w:tcPr>
            <w:tcW w:w="8771" w:type="dxa"/>
            <w:tcBorders>
              <w:top w:val="nil"/>
              <w:left w:val="nil"/>
              <w:bottom w:val="single" w:sz="6" w:space="0" w:color="78A22F"/>
              <w:right w:val="nil"/>
            </w:tcBorders>
            <w:shd w:val="clear" w:color="auto" w:fill="F2F2F2"/>
          </w:tcPr>
          <w:p w14:paraId="0E8CAF42" w14:textId="77777777" w:rsidR="00CE5DC6" w:rsidRDefault="00CE5DC6" w:rsidP="00CE5DC6">
            <w:pPr>
              <w:pStyle w:val="Box"/>
              <w:spacing w:before="0" w:line="120" w:lineRule="exact"/>
            </w:pPr>
          </w:p>
        </w:tc>
      </w:tr>
      <w:tr w:rsidR="00CE5DC6" w:rsidRPr="000863A5" w14:paraId="1DD8B22C" w14:textId="77777777" w:rsidTr="00CE5DC6">
        <w:tc>
          <w:tcPr>
            <w:tcW w:w="8771" w:type="dxa"/>
            <w:tcBorders>
              <w:top w:val="single" w:sz="6" w:space="0" w:color="78A22F"/>
              <w:left w:val="nil"/>
              <w:bottom w:val="nil"/>
              <w:right w:val="nil"/>
            </w:tcBorders>
          </w:tcPr>
          <w:p w14:paraId="275FB613" w14:textId="2AAFD8A5" w:rsidR="00CE5DC6" w:rsidRPr="00626D32" w:rsidRDefault="00CE5DC6" w:rsidP="00CE5DC6">
            <w:pPr>
              <w:pStyle w:val="BoxSpaceBelow"/>
            </w:pPr>
          </w:p>
        </w:tc>
      </w:tr>
    </w:tbl>
    <w:p w14:paraId="0177EC96" w14:textId="3716EC80" w:rsidR="00CE5DC6" w:rsidRPr="004E3B94" w:rsidRDefault="00CE5DC6" w:rsidP="00CE5DC6">
      <w:pPr>
        <w:pStyle w:val="BoxSpaceAboveElement"/>
        <w:rPr>
          <w:vanish w:val="0"/>
          <w:color w:val="auto"/>
        </w:rPr>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CE5DC6" w14:paraId="4A545A8F" w14:textId="77777777" w:rsidTr="00CE5DC6">
        <w:tc>
          <w:tcPr>
            <w:tcW w:w="8770" w:type="dxa"/>
            <w:tcBorders>
              <w:top w:val="single" w:sz="6" w:space="0" w:color="78A22F"/>
              <w:left w:val="nil"/>
              <w:bottom w:val="nil"/>
              <w:right w:val="nil"/>
            </w:tcBorders>
            <w:shd w:val="clear" w:color="auto" w:fill="auto"/>
          </w:tcPr>
          <w:p w14:paraId="70BBED43" w14:textId="77777777" w:rsidR="00CE5DC6" w:rsidRDefault="00CE5DC6" w:rsidP="00CE5DC6">
            <w:pPr>
              <w:pStyle w:val="InformationRequest"/>
            </w:pPr>
            <w:r>
              <w:t>The Commission is seeking information and evidence on:</w:t>
            </w:r>
          </w:p>
          <w:p w14:paraId="713D9751" w14:textId="77777777" w:rsidR="00CE5DC6" w:rsidRDefault="00CE5DC6" w:rsidP="00CE5DC6">
            <w:pPr>
              <w:pStyle w:val="InformationRequestBullet"/>
            </w:pPr>
            <w:r>
              <w:t>the role of government in providing assistance to services exporters, including in relation to the provision of:</w:t>
            </w:r>
          </w:p>
          <w:p w14:paraId="62E30286" w14:textId="77777777" w:rsidR="00CE5DC6" w:rsidRPr="0089060C" w:rsidRDefault="00CE5DC6" w:rsidP="00CE5DC6">
            <w:pPr>
              <w:pStyle w:val="BoxListBullet2"/>
              <w:spacing w:line="200" w:lineRule="atLeast"/>
              <w:ind w:left="568" w:hanging="284"/>
              <w:rPr>
                <w:i/>
                <w:sz w:val="22"/>
                <w:szCs w:val="22"/>
              </w:rPr>
            </w:pPr>
            <w:r>
              <w:rPr>
                <w:i/>
                <w:sz w:val="22"/>
                <w:szCs w:val="22"/>
              </w:rPr>
              <w:t xml:space="preserve">insurance services and </w:t>
            </w:r>
            <w:r w:rsidRPr="0089060C">
              <w:rPr>
                <w:i/>
                <w:sz w:val="22"/>
                <w:szCs w:val="22"/>
              </w:rPr>
              <w:t>financial assistance for exporters</w:t>
            </w:r>
          </w:p>
          <w:p w14:paraId="39E4B183" w14:textId="2AFD9028" w:rsidR="00CE5DC6" w:rsidRPr="0089060C" w:rsidRDefault="00CE5DC6" w:rsidP="00CE5DC6">
            <w:pPr>
              <w:pStyle w:val="BoxListBullet2"/>
              <w:spacing w:line="200" w:lineRule="atLeast"/>
              <w:ind w:left="568" w:hanging="284"/>
              <w:rPr>
                <w:i/>
                <w:sz w:val="22"/>
                <w:szCs w:val="22"/>
              </w:rPr>
            </w:pPr>
            <w:r>
              <w:rPr>
                <w:i/>
                <w:sz w:val="22"/>
                <w:szCs w:val="22"/>
              </w:rPr>
              <w:t xml:space="preserve">information and </w:t>
            </w:r>
            <w:r w:rsidRPr="0089060C">
              <w:rPr>
                <w:i/>
                <w:sz w:val="22"/>
                <w:szCs w:val="22"/>
              </w:rPr>
              <w:t>advice to exporters</w:t>
            </w:r>
            <w:r w:rsidR="0054480F">
              <w:rPr>
                <w:i/>
                <w:sz w:val="22"/>
                <w:szCs w:val="22"/>
              </w:rPr>
              <w:t xml:space="preserve"> (accessed in Australia or overseas)</w:t>
            </w:r>
          </w:p>
          <w:p w14:paraId="157AB879" w14:textId="429780EC" w:rsidR="00CE5DC6" w:rsidRPr="0089060C" w:rsidRDefault="00CE5DC6" w:rsidP="00CE5DC6">
            <w:pPr>
              <w:pStyle w:val="BoxListBullet2"/>
              <w:spacing w:line="200" w:lineRule="atLeast"/>
              <w:ind w:left="568" w:hanging="284"/>
              <w:rPr>
                <w:i/>
                <w:sz w:val="22"/>
                <w:szCs w:val="22"/>
              </w:rPr>
            </w:pPr>
            <w:r w:rsidRPr="0089060C">
              <w:rPr>
                <w:i/>
                <w:sz w:val="22"/>
                <w:szCs w:val="22"/>
              </w:rPr>
              <w:t xml:space="preserve">funding </w:t>
            </w:r>
            <w:r w:rsidR="000111F3">
              <w:rPr>
                <w:i/>
                <w:sz w:val="22"/>
                <w:szCs w:val="22"/>
              </w:rPr>
              <w:t>for</w:t>
            </w:r>
            <w:r w:rsidRPr="0089060C">
              <w:rPr>
                <w:i/>
                <w:sz w:val="22"/>
                <w:szCs w:val="22"/>
              </w:rPr>
              <w:t xml:space="preserve"> destination marketing and major events</w:t>
            </w:r>
          </w:p>
          <w:p w14:paraId="2003B12E" w14:textId="77777777" w:rsidR="00CE5DC6" w:rsidRDefault="00CE5DC6" w:rsidP="00CE5DC6">
            <w:pPr>
              <w:pStyle w:val="InformationRequestBullet"/>
            </w:pPr>
            <w:r>
              <w:t>whether current export assistance programs best meet the needs of services exporters or whether they could be improved, and if so, how</w:t>
            </w:r>
          </w:p>
          <w:p w14:paraId="48B10688" w14:textId="77777777" w:rsidR="00CE5DC6" w:rsidRPr="002D5570" w:rsidRDefault="00CE5DC6" w:rsidP="00CE5DC6">
            <w:pPr>
              <w:pStyle w:val="InformationRequestBullet"/>
            </w:pPr>
            <w:proofErr w:type="gramStart"/>
            <w:r>
              <w:t>whether</w:t>
            </w:r>
            <w:proofErr w:type="gramEnd"/>
            <w:r>
              <w:t xml:space="preserve"> there are any (perverse or positive) consequences associated with cost recovery of some export support.</w:t>
            </w:r>
          </w:p>
        </w:tc>
      </w:tr>
      <w:tr w:rsidR="00CE5DC6" w14:paraId="56E69FC5" w14:textId="77777777" w:rsidTr="00CE5DC6">
        <w:tc>
          <w:tcPr>
            <w:tcW w:w="8770" w:type="dxa"/>
            <w:tcBorders>
              <w:top w:val="nil"/>
              <w:left w:val="nil"/>
              <w:bottom w:val="single" w:sz="6" w:space="0" w:color="78A22F"/>
              <w:right w:val="nil"/>
            </w:tcBorders>
            <w:shd w:val="clear" w:color="auto" w:fill="auto"/>
          </w:tcPr>
          <w:p w14:paraId="212300E9" w14:textId="77777777" w:rsidR="00CE5DC6" w:rsidRDefault="00CE5DC6" w:rsidP="00CE5DC6">
            <w:pPr>
              <w:pStyle w:val="Space"/>
              <w:keepNext w:val="0"/>
              <w:keepLines/>
            </w:pPr>
          </w:p>
        </w:tc>
      </w:tr>
      <w:tr w:rsidR="00CE5DC6" w:rsidRPr="000863A5" w14:paraId="61D1AFCE" w14:textId="77777777" w:rsidTr="00CE5DC6">
        <w:tc>
          <w:tcPr>
            <w:tcW w:w="8770" w:type="dxa"/>
            <w:tcBorders>
              <w:top w:val="single" w:sz="6" w:space="0" w:color="78A22F"/>
              <w:left w:val="nil"/>
              <w:bottom w:val="nil"/>
              <w:right w:val="nil"/>
            </w:tcBorders>
          </w:tcPr>
          <w:p w14:paraId="688C1A16" w14:textId="057BAF53" w:rsidR="00CE5DC6" w:rsidRPr="00626D32" w:rsidRDefault="00CE5DC6" w:rsidP="00CE5DC6">
            <w:pPr>
              <w:pStyle w:val="BoxSpaceBelow"/>
              <w:keepLines/>
            </w:pPr>
          </w:p>
        </w:tc>
      </w:tr>
    </w:tbl>
    <w:p w14:paraId="44526EAB" w14:textId="77777777" w:rsidR="00391500" w:rsidRPr="00FC4267" w:rsidRDefault="00CE5DC6" w:rsidP="000D0575">
      <w:pPr>
        <w:pStyle w:val="Heading2"/>
      </w:pPr>
      <w:r>
        <w:br w:type="page"/>
      </w:r>
      <w:bookmarkStart w:id="27" w:name="_Toc415487507"/>
      <w:bookmarkStart w:id="28" w:name="_Toc415493833"/>
      <w:bookmarkStart w:id="29" w:name="_Toc415494275"/>
      <w:bookmarkStart w:id="30" w:name="_Toc415664547"/>
      <w:r w:rsidR="00391500">
        <w:lastRenderedPageBreak/>
        <w:t>Attachment A</w:t>
      </w:r>
      <w:bookmarkEnd w:id="27"/>
      <w:bookmarkEnd w:id="28"/>
      <w:bookmarkEnd w:id="29"/>
      <w:bookmarkEnd w:id="30"/>
      <w:r w:rsidR="00391500">
        <w:t xml:space="preserve"> </w:t>
      </w:r>
    </w:p>
    <w:p w14:paraId="296C6120" w14:textId="77777777" w:rsidR="00391500" w:rsidRPr="00391500" w:rsidRDefault="00391500" w:rsidP="007A3512">
      <w:pPr>
        <w:pStyle w:val="Heading3"/>
        <w:spacing w:before="360"/>
      </w:pPr>
      <w:r>
        <w:t>H</w:t>
      </w:r>
      <w:r w:rsidRPr="00391500">
        <w:t>ow to make a submission</w:t>
      </w:r>
    </w:p>
    <w:p w14:paraId="3DD6DBA5" w14:textId="77777777" w:rsidR="00391500" w:rsidRDefault="00391500" w:rsidP="00391500">
      <w:pPr>
        <w:pStyle w:val="BodyText"/>
      </w:pPr>
      <w:r>
        <w:t>This Commission invites interested people and organisations to make a written submission.</w:t>
      </w:r>
    </w:p>
    <w:p w14:paraId="76B52CAB" w14:textId="77777777" w:rsidR="00BD0197" w:rsidRDefault="00391500" w:rsidP="00BD0197">
      <w:pPr>
        <w:pStyle w:val="BodyText"/>
      </w:pPr>
      <w:r>
        <w:t xml:space="preserve">Each submission, except for any information supplied in confidence (see below), will be published on the Commission’s website shortly after receipt, and will remain there indefinitely as a public document. </w:t>
      </w:r>
      <w:r w:rsidR="00BD0197">
        <w:t>The Commission reserves the right to not publish material on its website that is offensive, potentially defamatory, or clearly out of scope for the inquiry or study in question.</w:t>
      </w:r>
    </w:p>
    <w:p w14:paraId="1F7F9342" w14:textId="77777777" w:rsidR="00BD0197" w:rsidRDefault="00BD0197" w:rsidP="00BD0197">
      <w:pPr>
        <w:pStyle w:val="BodyText"/>
      </w:pPr>
      <w:r>
        <w:t>When providing a submission to the Commission, you may wish to remain anonymous or use a pseudonym. Please note that, if you choose to remain anonymous or use a pseudonym, the Commission may place less weight on your submission.</w:t>
      </w:r>
    </w:p>
    <w:p w14:paraId="7C411D9E" w14:textId="77777777" w:rsidR="00391500" w:rsidRDefault="00BD0197" w:rsidP="00BD0197">
      <w:pPr>
        <w:pStyle w:val="BodyText"/>
      </w:pPr>
      <w:r>
        <w:t>Copyright in submissions sent to the Commission resides with the author(s), not with the Commission. Submitters should ensure that they hold copyright in any submitted documents, or that the copyright holder has authorised the publication of any relevant documents on the Commission’s website.</w:t>
      </w:r>
    </w:p>
    <w:p w14:paraId="691A4403" w14:textId="77777777" w:rsidR="00391500" w:rsidRDefault="00391500" w:rsidP="00391500">
      <w:pPr>
        <w:pStyle w:val="Heading4"/>
      </w:pPr>
      <w:r>
        <w:t>How to prepare a submission</w:t>
      </w:r>
    </w:p>
    <w:p w14:paraId="2FB00C9E" w14:textId="77777777" w:rsidR="00391500" w:rsidRDefault="00391500" w:rsidP="00391500">
      <w:pPr>
        <w:pStyle w:val="BodyText"/>
      </w:pPr>
      <w:r>
        <w:t>Submissions may range from a short letter outlining your views on a particular topic to a much more substantial document covering a range of issues. Where possible, you should provide evidence, such as relevant data and documentation, to support your views.</w:t>
      </w:r>
    </w:p>
    <w:p w14:paraId="0FE0E7F6" w14:textId="77777777" w:rsidR="00391500" w:rsidRDefault="00391500" w:rsidP="00391500">
      <w:pPr>
        <w:pStyle w:val="BodyText"/>
      </w:pPr>
      <w:r>
        <w:t>This is a public review and all submissions should be provided as public documents that can be placed on the Commission’s website for others to read and comment on.</w:t>
      </w:r>
      <w:r w:rsidR="00BD0197" w:rsidRPr="00BD0197">
        <w:t xml:space="preserve"> However, information which is of a confidential nature or which is submitted in confidence can be treated as such by the Commission, provided the cause for such treatment is shown. The Commission may also request a non-confidential summary of the confidential material it is given, or the reasons why a summary cannot be provided. You are encouraged to contact the Commission for further information and advice before submitting such material. Material supplied in confidence should be provided under separate cover and clearly marked 'IN CONFIDENCE'.</w:t>
      </w:r>
    </w:p>
    <w:p w14:paraId="422F84AF" w14:textId="77777777" w:rsidR="00391500" w:rsidRDefault="00391500" w:rsidP="007A3512">
      <w:pPr>
        <w:pStyle w:val="Heading4"/>
        <w:keepNext w:val="0"/>
      </w:pPr>
      <w:r>
        <w:t xml:space="preserve">How to </w:t>
      </w:r>
      <w:r w:rsidR="00AA4178">
        <w:t>lodge</w:t>
      </w:r>
      <w:r>
        <w:t xml:space="preserve"> a submission</w:t>
      </w:r>
    </w:p>
    <w:p w14:paraId="34020FE2" w14:textId="77777777" w:rsidR="005C5E19" w:rsidRDefault="005C5E19" w:rsidP="007A3512">
      <w:pPr>
        <w:pStyle w:val="BodyText"/>
      </w:pPr>
      <w:r w:rsidRPr="005C5E19">
        <w:t xml:space="preserve">Each submission should be accompanied by a submission cover sheet. The submission cover sheet is available on the </w:t>
      </w:r>
      <w:r w:rsidR="0043164A">
        <w:t>study</w:t>
      </w:r>
      <w:r w:rsidRPr="005C5E19">
        <w:t xml:space="preserve"> web page. For submissions received from individuals, </w:t>
      </w:r>
      <w:r w:rsidRPr="005C5E19">
        <w:lastRenderedPageBreak/>
        <w:t xml:space="preserve">all </w:t>
      </w:r>
      <w:r w:rsidRPr="005C5E19">
        <w:rPr>
          <w:b/>
        </w:rPr>
        <w:t>personal</w:t>
      </w:r>
      <w:r w:rsidRPr="005C5E19">
        <w:t xml:space="preserve"> details (eg home and email </w:t>
      </w:r>
      <w:proofErr w:type="gramStart"/>
      <w:r w:rsidRPr="005C5E19">
        <w:t>address,</w:t>
      </w:r>
      <w:proofErr w:type="gramEnd"/>
      <w:r w:rsidRPr="005C5E19">
        <w:t xml:space="preserve"> signatures, phone, mobile and fax numbers) will be removed before </w:t>
      </w:r>
      <w:r w:rsidR="00BD0197">
        <w:t xml:space="preserve">they are </w:t>
      </w:r>
      <w:r w:rsidRPr="005C5E19">
        <w:t>published on the website for privacy reasons.</w:t>
      </w:r>
    </w:p>
    <w:p w14:paraId="4E281091" w14:textId="01DD2C65" w:rsidR="005C5E19" w:rsidRDefault="005C5E19" w:rsidP="007A3512">
      <w:pPr>
        <w:pStyle w:val="BodyText"/>
      </w:pPr>
      <w:r>
        <w:t>The Commission prefers to receive submissions as a Microsoft Word (.</w:t>
      </w:r>
      <w:proofErr w:type="spellStart"/>
      <w:r>
        <w:t>docx</w:t>
      </w:r>
      <w:proofErr w:type="spellEnd"/>
      <w:r>
        <w:t xml:space="preserve">) files. PDF files are acceptable if produced from a Word document or similar text based software. You may wish to research the </w:t>
      </w:r>
      <w:proofErr w:type="spellStart"/>
      <w:r>
        <w:t>Internet</w:t>
      </w:r>
      <w:proofErr w:type="spellEnd"/>
      <w:r>
        <w:t xml:space="preserve"> on how to make your documents more accessible or for the more technical, follow advice from </w:t>
      </w:r>
      <w:hyperlink r:id="rId30" w:history="1">
        <w:r w:rsidRPr="00C738C7">
          <w:t>Web Content Accessibility Guidelines (WCAG) 2.0</w:t>
        </w:r>
      </w:hyperlink>
      <w:r w:rsidR="00C738C7" w:rsidRPr="00C738C7">
        <w:t xml:space="preserve"> </w:t>
      </w:r>
      <w:r w:rsidR="00C738C7">
        <w:t>&lt;</w:t>
      </w:r>
      <w:r w:rsidR="00C738C7" w:rsidRPr="00C738C7">
        <w:t>http://www.w3.org/TR/WCAG20/</w:t>
      </w:r>
      <w:r w:rsidR="00C738C7">
        <w:t>&gt;</w:t>
      </w:r>
      <w:r>
        <w:t>.</w:t>
      </w:r>
    </w:p>
    <w:p w14:paraId="72105EBE" w14:textId="77777777" w:rsidR="005C5E19" w:rsidRDefault="005C5E19" w:rsidP="007A3512">
      <w:pPr>
        <w:pStyle w:val="BodyText"/>
      </w:pPr>
      <w:r>
        <w:t xml:space="preserve">Do not send password protected files. Do not send us material for which you are not the copyright owner </w:t>
      </w:r>
      <w:r w:rsidR="0045244F">
        <w:t xml:space="preserve">— </w:t>
      </w:r>
      <w:r>
        <w:t xml:space="preserve">such as newspaper articles </w:t>
      </w:r>
      <w:r w:rsidR="0045244F">
        <w:t>—</w:t>
      </w:r>
      <w:r>
        <w:t xml:space="preserve"> you should just reference or link to this material in your submission.</w:t>
      </w:r>
    </w:p>
    <w:p w14:paraId="790F9794" w14:textId="77777777" w:rsidR="00391500" w:rsidRDefault="00391500" w:rsidP="007A3512">
      <w:pPr>
        <w:pStyle w:val="BodyText"/>
      </w:pPr>
      <w:r>
        <w:t>Track changes, editing marks, hidden text and internal links should be removed from submissions before sending to the Commission. To ensure hyperlinks work in your submission, the Commission recommends that you type the full web address (</w:t>
      </w:r>
      <w:proofErr w:type="spellStart"/>
      <w:r>
        <w:t>eg</w:t>
      </w:r>
      <w:proofErr w:type="spellEnd"/>
      <w:r>
        <w:t xml:space="preserve"> http://www.referred-website.com/folder/file-name.html).</w:t>
      </w:r>
    </w:p>
    <w:p w14:paraId="66371302" w14:textId="77777777" w:rsidR="00AA4178" w:rsidRPr="00AA4178" w:rsidRDefault="00AA4178" w:rsidP="00AA4178">
      <w:pPr>
        <w:pStyle w:val="BodyText"/>
      </w:pPr>
      <w:r w:rsidRPr="00AA4178">
        <w:t>Submissions sent by email must not exceed 20 megabytes in size as our email system cannot accept anything larger. If your submission is greater than 20</w:t>
      </w:r>
      <w:r>
        <w:t xml:space="preserve"> </w:t>
      </w:r>
      <w:proofErr w:type="spellStart"/>
      <w:r w:rsidRPr="00AA4178">
        <w:t>mb</w:t>
      </w:r>
      <w:proofErr w:type="spellEnd"/>
      <w:r w:rsidRPr="00AA4178">
        <w:t xml:space="preserve"> in size, please contact the Administrative Officer for the relevant project to organise another method of sending your submission to the Commission.</w:t>
      </w:r>
    </w:p>
    <w:p w14:paraId="69E11282" w14:textId="77777777" w:rsidR="00391500" w:rsidRDefault="00AA4178" w:rsidP="00AA4178">
      <w:pPr>
        <w:pStyle w:val="BodyText"/>
      </w:pPr>
      <w:r>
        <w:t>Submissions can be accepted by email or post: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7621"/>
      </w:tblGrid>
      <w:tr w:rsidR="00AA4178" w14:paraId="0E5B74E5" w14:textId="77777777" w:rsidTr="00AA4178">
        <w:tc>
          <w:tcPr>
            <w:tcW w:w="1384" w:type="dxa"/>
          </w:tcPr>
          <w:p w14:paraId="7A8FFCCF" w14:textId="77777777" w:rsidR="00AA4178" w:rsidRDefault="00AA4178" w:rsidP="00AA4178">
            <w:pPr>
              <w:pStyle w:val="BodyText"/>
              <w:tabs>
                <w:tab w:val="left" w:pos="1701"/>
              </w:tabs>
              <w:spacing w:before="120"/>
            </w:pPr>
            <w:r>
              <w:t>Email*</w:t>
            </w:r>
          </w:p>
        </w:tc>
        <w:tc>
          <w:tcPr>
            <w:tcW w:w="7621" w:type="dxa"/>
          </w:tcPr>
          <w:p w14:paraId="00E28D82" w14:textId="77777777" w:rsidR="00AA4178" w:rsidRDefault="0043164A" w:rsidP="00391500">
            <w:pPr>
              <w:pStyle w:val="BodyText"/>
              <w:tabs>
                <w:tab w:val="left" w:pos="1701"/>
              </w:tabs>
              <w:spacing w:before="120"/>
            </w:pPr>
            <w:r>
              <w:t>services.exports@pc.gov.au</w:t>
            </w:r>
          </w:p>
        </w:tc>
      </w:tr>
      <w:tr w:rsidR="00AA4178" w14:paraId="368741FD" w14:textId="77777777" w:rsidTr="00AA4178">
        <w:tc>
          <w:tcPr>
            <w:tcW w:w="1384" w:type="dxa"/>
          </w:tcPr>
          <w:p w14:paraId="65A01F4D" w14:textId="77777777" w:rsidR="00AA4178" w:rsidRDefault="00AA4178" w:rsidP="00AA4178">
            <w:pPr>
              <w:pStyle w:val="BodyText"/>
              <w:tabs>
                <w:tab w:val="left" w:pos="1701"/>
              </w:tabs>
              <w:spacing w:before="120"/>
            </w:pPr>
            <w:r>
              <w:t>Post</w:t>
            </w:r>
          </w:p>
        </w:tc>
        <w:tc>
          <w:tcPr>
            <w:tcW w:w="7621" w:type="dxa"/>
          </w:tcPr>
          <w:p w14:paraId="4ADDB576" w14:textId="77777777" w:rsidR="00AA4178" w:rsidRDefault="0043164A" w:rsidP="00AA4178">
            <w:pPr>
              <w:pStyle w:val="BodyText"/>
              <w:tabs>
                <w:tab w:val="left" w:pos="1701"/>
              </w:tabs>
              <w:spacing w:before="120"/>
              <w:jc w:val="left"/>
            </w:pPr>
            <w:r>
              <w:t>Australian Services Exports</w:t>
            </w:r>
            <w:r>
              <w:br/>
              <w:t>Productivity Commission</w:t>
            </w:r>
            <w:r>
              <w:br/>
              <w:t>Locked Bag 2, Collins Street</w:t>
            </w:r>
            <w:r>
              <w:br/>
              <w:t>Melbourne, VIC, 8003</w:t>
            </w:r>
          </w:p>
        </w:tc>
      </w:tr>
    </w:tbl>
    <w:p w14:paraId="7DFB63BE" w14:textId="77777777" w:rsidR="00391500" w:rsidRDefault="00391500" w:rsidP="00391500">
      <w:pPr>
        <w:pStyle w:val="BodyText"/>
      </w:pPr>
      <w:r>
        <w:t>*</w:t>
      </w:r>
      <w:r w:rsidRPr="007354B8">
        <w:t xml:space="preserve"> </w:t>
      </w:r>
      <w:r>
        <w:t>If you do not receive notification of receipt of an email message you have sent to the Commission within two working days of sending, please contact the Administrative Officer.</w:t>
      </w:r>
    </w:p>
    <w:p w14:paraId="302E7240" w14:textId="77777777" w:rsidR="00391500" w:rsidRPr="00391500" w:rsidRDefault="00391500" w:rsidP="00391500">
      <w:pPr>
        <w:pStyle w:val="Heading4"/>
      </w:pPr>
      <w:r w:rsidRPr="00391500">
        <w:t>Due date for submissions</w:t>
      </w:r>
    </w:p>
    <w:p w14:paraId="00E1CF68" w14:textId="2A40D20D" w:rsidR="00391500" w:rsidRDefault="00391500" w:rsidP="00391500">
      <w:pPr>
        <w:pStyle w:val="BodyText"/>
        <w:rPr>
          <w:b/>
        </w:rPr>
      </w:pPr>
      <w:r>
        <w:t xml:space="preserve">Please </w:t>
      </w:r>
      <w:r w:rsidR="00A529B3">
        <w:t xml:space="preserve">provide </w:t>
      </w:r>
      <w:r>
        <w:t xml:space="preserve">submissions to the Commission by </w:t>
      </w:r>
      <w:r w:rsidR="0043164A">
        <w:rPr>
          <w:b/>
        </w:rPr>
        <w:t xml:space="preserve">Friday </w:t>
      </w:r>
      <w:r w:rsidR="00657F05">
        <w:rPr>
          <w:b/>
        </w:rPr>
        <w:t>15</w:t>
      </w:r>
      <w:r w:rsidR="0043164A">
        <w:rPr>
          <w:b/>
        </w:rPr>
        <w:t xml:space="preserve"> May 2015</w:t>
      </w:r>
      <w:r w:rsidR="00E33360">
        <w:rPr>
          <w:b/>
        </w:rPr>
        <w:t>.</w:t>
      </w:r>
    </w:p>
    <w:p w14:paraId="023B24D1" w14:textId="77777777" w:rsidR="00754106" w:rsidRDefault="00754106">
      <w:pPr>
        <w:rPr>
          <w:szCs w:val="20"/>
        </w:rPr>
      </w:pPr>
      <w:r>
        <w:br w:type="page"/>
      </w:r>
    </w:p>
    <w:p w14:paraId="77F125F7" w14:textId="3F0C3A00" w:rsidR="00754106" w:rsidRDefault="00754106" w:rsidP="00483A35">
      <w:pPr>
        <w:pStyle w:val="Heading2"/>
      </w:pPr>
      <w:bookmarkStart w:id="31" w:name="_Toc415487508"/>
      <w:bookmarkStart w:id="32" w:name="_Toc415493834"/>
      <w:bookmarkStart w:id="33" w:name="_Toc415494276"/>
      <w:bookmarkStart w:id="34" w:name="_Toc415664548"/>
      <w:r>
        <w:lastRenderedPageBreak/>
        <w:t>References</w:t>
      </w:r>
      <w:bookmarkEnd w:id="31"/>
      <w:bookmarkEnd w:id="32"/>
      <w:bookmarkEnd w:id="33"/>
      <w:bookmarkEnd w:id="34"/>
    </w:p>
    <w:p w14:paraId="2B38D3B6" w14:textId="69455E09" w:rsidR="00E349B1" w:rsidRPr="00F3343E" w:rsidRDefault="00E349B1" w:rsidP="00B75C7D">
      <w:pPr>
        <w:pStyle w:val="Reference"/>
      </w:pPr>
      <w:r w:rsidRPr="00E349B1">
        <w:t xml:space="preserve">ABS (Australian Bureau of Statistics) 2004, </w:t>
      </w:r>
      <w:r w:rsidRPr="00F3343E">
        <w:t xml:space="preserve">Australian Outward Foreign Affiliates Trade, Experimental Estimates, 2002-03, cat. </w:t>
      </w:r>
      <w:proofErr w:type="gramStart"/>
      <w:r w:rsidRPr="00F3343E">
        <w:t>no., 5495.0, Canberra.</w:t>
      </w:r>
      <w:proofErr w:type="gramEnd"/>
    </w:p>
    <w:p w14:paraId="3E1EC229" w14:textId="77777777" w:rsidR="00E349B1" w:rsidRPr="00F3343E" w:rsidRDefault="00E349B1" w:rsidP="00B75C7D">
      <w:pPr>
        <w:pStyle w:val="Reference"/>
      </w:pPr>
      <w:r w:rsidRPr="00F3343E">
        <w:t xml:space="preserve">—— (Australian Bureau of Statistics) 2015a, Balance of Payments and International Investment Position, Australia, Dec 2014, cat. </w:t>
      </w:r>
      <w:proofErr w:type="gramStart"/>
      <w:r w:rsidRPr="00F3343E">
        <w:t>no., 5302.0, http://www.abs.gov.au/AUSSTATS/abs@.nsf/DetailsPage/5302.0Dec%202014?OpenDocument (accessed 13 March 2015).</w:t>
      </w:r>
      <w:proofErr w:type="gramEnd"/>
    </w:p>
    <w:p w14:paraId="3D0B7EF4" w14:textId="77777777" w:rsidR="00E349B1" w:rsidRPr="00F3343E" w:rsidRDefault="00E349B1" w:rsidP="00B75C7D">
      <w:pPr>
        <w:pStyle w:val="Reference"/>
      </w:pPr>
      <w:r w:rsidRPr="00F3343E">
        <w:t xml:space="preserve">—— (Australian Bureau of Statistics) 2015b, International Trade in Goods and Services, Australia, Jan 2015, cat. </w:t>
      </w:r>
      <w:proofErr w:type="gramStart"/>
      <w:r w:rsidRPr="00F3343E">
        <w:t>no., March, 5368.0, Canberra.</w:t>
      </w:r>
      <w:proofErr w:type="gramEnd"/>
    </w:p>
    <w:p w14:paraId="7D122B3B" w14:textId="77777777" w:rsidR="00E349B1" w:rsidRPr="00F3343E" w:rsidRDefault="00E349B1" w:rsidP="00B75C7D">
      <w:pPr>
        <w:pStyle w:val="Reference"/>
      </w:pPr>
      <w:proofErr w:type="gramStart"/>
      <w:r w:rsidRPr="00F3343E">
        <w:t>AFCF (Australian Financial Centre Forum) 2009, Australia as a Financial Centre - Building on our Strengths, November.</w:t>
      </w:r>
      <w:proofErr w:type="gramEnd"/>
    </w:p>
    <w:p w14:paraId="3D117969" w14:textId="77777777" w:rsidR="00E349B1" w:rsidRPr="00F3343E" w:rsidRDefault="00E349B1" w:rsidP="00B75C7D">
      <w:pPr>
        <w:pStyle w:val="Reference"/>
      </w:pPr>
      <w:r w:rsidRPr="00F3343E">
        <w:t xml:space="preserve">ASIC (Australian Securities and Investment Commission) 2008, 08-152 Australia and Hong Kong sign deal to allow cross-border marketing of retail funds. </w:t>
      </w:r>
      <w:proofErr w:type="gramStart"/>
      <w:r w:rsidRPr="00F3343E">
        <w:t>7 July 2008, http://asic.gov.au/about-asic/media-centre/find-a-media-release/2008-releases/08-152-australia-and-hong-kong-sign-deal-to-allow-cross-border-marketing-of-retail-funds/ (accessed 24 March 2015).</w:t>
      </w:r>
      <w:proofErr w:type="gramEnd"/>
    </w:p>
    <w:p w14:paraId="626B781A" w14:textId="77777777" w:rsidR="00E349B1" w:rsidRPr="00F3343E" w:rsidRDefault="00E349B1" w:rsidP="00B75C7D">
      <w:pPr>
        <w:pStyle w:val="Reference"/>
      </w:pPr>
      <w:proofErr w:type="gramStart"/>
      <w:r w:rsidRPr="00F3343E">
        <w:t>Australian Government 2015a, Asia Region Funds Passport, Asia Region Funds Passport, http://fundspassport.apec.org/background/ (accessed 30 March 2015).</w:t>
      </w:r>
      <w:proofErr w:type="gramEnd"/>
    </w:p>
    <w:p w14:paraId="4FEB57CF" w14:textId="77777777" w:rsidR="00E349B1" w:rsidRPr="00F3343E" w:rsidRDefault="00E349B1" w:rsidP="00B75C7D">
      <w:pPr>
        <w:pStyle w:val="Reference"/>
      </w:pPr>
      <w:r w:rsidRPr="00F3343E">
        <w:t>—— 2015b, Tax Discussion Paper, March, http://bettertax.gov.au/files/2015/03/TWP_combined-online.pdf (accessed 30 March 2015).</w:t>
      </w:r>
    </w:p>
    <w:p w14:paraId="12947C4A" w14:textId="77777777" w:rsidR="00E349B1" w:rsidRPr="00F3343E" w:rsidRDefault="00E349B1" w:rsidP="00B75C7D">
      <w:pPr>
        <w:pStyle w:val="Reference"/>
      </w:pPr>
      <w:proofErr w:type="gramStart"/>
      <w:r w:rsidRPr="00F3343E">
        <w:t>DFAT (Department of Foreign Affairs and Trade) 2015a, Australia’s direction of goods &amp; services trade - financial year (from 1986-87 to present), http://www.dfat.gov.au/trade/resources/trade-statistics/Pages/trade-time-series-data.aspx (accessed 13 March 2015).</w:t>
      </w:r>
      <w:proofErr w:type="gramEnd"/>
    </w:p>
    <w:p w14:paraId="6570DF6C" w14:textId="77777777" w:rsidR="00E349B1" w:rsidRPr="00F3343E" w:rsidRDefault="00E349B1" w:rsidP="00B75C7D">
      <w:pPr>
        <w:pStyle w:val="Reference"/>
      </w:pPr>
      <w:r w:rsidRPr="00F3343E">
        <w:t>—— (Department of Foreign Affairs and Trade) 2015b, Trade agreements, http://www.dfat.gov.au/trade/agreements/pages/trade-agreements.aspx (accessed 13 March 2015).</w:t>
      </w:r>
    </w:p>
    <w:p w14:paraId="36382972" w14:textId="77777777" w:rsidR="00E349B1" w:rsidRPr="00F3343E" w:rsidRDefault="00E349B1" w:rsidP="00B75C7D">
      <w:pPr>
        <w:pStyle w:val="Reference"/>
      </w:pPr>
      <w:r w:rsidRPr="00F3343E">
        <w:t>DRET (Department of Resources, Energy and Tourism) 2010, 2020: Tourism Industry Potential ... a scenario for growth, November.</w:t>
      </w:r>
    </w:p>
    <w:p w14:paraId="239AD3E1" w14:textId="77777777" w:rsidR="00E349B1" w:rsidRPr="00F3343E" w:rsidRDefault="00E349B1" w:rsidP="00B75C7D">
      <w:pPr>
        <w:pStyle w:val="Reference"/>
      </w:pPr>
      <w:proofErr w:type="gramStart"/>
      <w:r w:rsidRPr="00F3343E">
        <w:t>Engineers Australia 2009, Trade in Engineering Services.</w:t>
      </w:r>
      <w:proofErr w:type="gramEnd"/>
      <w:r w:rsidRPr="00F3343E">
        <w:t xml:space="preserve"> </w:t>
      </w:r>
      <w:proofErr w:type="gramStart"/>
      <w:r w:rsidRPr="00F3343E">
        <w:t>Australia and the European Union.</w:t>
      </w:r>
      <w:proofErr w:type="gramEnd"/>
      <w:r w:rsidRPr="00F3343E">
        <w:t xml:space="preserve"> </w:t>
      </w:r>
      <w:proofErr w:type="gramStart"/>
      <w:r w:rsidRPr="00F3343E">
        <w:t>Submission to the Department of Foreign Affairs and Trade.</w:t>
      </w:r>
      <w:proofErr w:type="gramEnd"/>
    </w:p>
    <w:p w14:paraId="05BF33F0" w14:textId="77777777" w:rsidR="00E349B1" w:rsidRPr="00F3343E" w:rsidRDefault="00E349B1" w:rsidP="00B75C7D">
      <w:pPr>
        <w:pStyle w:val="Reference"/>
      </w:pPr>
      <w:r w:rsidRPr="00F3343E">
        <w:t>FSI (Financial System Inquiry) 2014, Interim Report, July, http://fsi.gov.au/files/2014/07/FSI_Report_Final_Reduced20140715.pdf (accessed 23 March 2015).</w:t>
      </w:r>
    </w:p>
    <w:p w14:paraId="13381F75" w14:textId="77777777" w:rsidR="00E349B1" w:rsidRPr="00F3343E" w:rsidRDefault="00E349B1" w:rsidP="00B75C7D">
      <w:pPr>
        <w:pStyle w:val="Reference"/>
      </w:pPr>
      <w:r w:rsidRPr="00F3343E">
        <w:t xml:space="preserve">HRSCEFPA (House of Representatives Standing Committee on Economics, Finance and Public Administration) 2007, </w:t>
      </w:r>
      <w:proofErr w:type="gramStart"/>
      <w:r w:rsidRPr="00F3343E">
        <w:t>Servicing</w:t>
      </w:r>
      <w:proofErr w:type="gramEnd"/>
      <w:r w:rsidRPr="00F3343E">
        <w:t xml:space="preserve"> our future: Inquiry into the current and future directions of Australia’s services export sector, May, Canberra, </w:t>
      </w:r>
      <w:r w:rsidRPr="00F3343E">
        <w:lastRenderedPageBreak/>
        <w:t>http://www.aph.gov.au/parliamentary_business/committees/house_of_representatives_committees?url=efpa/services/report.htm (accessed 17 March 2015).</w:t>
      </w:r>
    </w:p>
    <w:p w14:paraId="6B1B97DB" w14:textId="77777777" w:rsidR="00E349B1" w:rsidRPr="00F3343E" w:rsidRDefault="00E349B1" w:rsidP="00B75C7D">
      <w:pPr>
        <w:pStyle w:val="Reference"/>
      </w:pPr>
      <w:proofErr w:type="gramStart"/>
      <w:r w:rsidRPr="00F3343E">
        <w:t>IEAC (International Education Advisory Council) 2013, Australia - Educating Globally, February.</w:t>
      </w:r>
      <w:proofErr w:type="gramEnd"/>
    </w:p>
    <w:p w14:paraId="1C9D89EC" w14:textId="77777777" w:rsidR="00E349B1" w:rsidRPr="00F3343E" w:rsidRDefault="00E349B1" w:rsidP="00B75C7D">
      <w:pPr>
        <w:pStyle w:val="Reference"/>
      </w:pPr>
      <w:r w:rsidRPr="00F3343E">
        <w:t xml:space="preserve">IIS (Information Integrity Solutions) 2015, Success </w:t>
      </w:r>
      <w:proofErr w:type="gramStart"/>
      <w:r w:rsidRPr="00F3343E">
        <w:t>Through</w:t>
      </w:r>
      <w:proofErr w:type="gramEnd"/>
      <w:r w:rsidRPr="00F3343E">
        <w:t xml:space="preserve"> Stewardship: Best Practice in Cross-Border Data Flows, January.</w:t>
      </w:r>
    </w:p>
    <w:p w14:paraId="62C0E2A5" w14:textId="77777777" w:rsidR="00E349B1" w:rsidRPr="00F3343E" w:rsidRDefault="00E349B1" w:rsidP="00B75C7D">
      <w:pPr>
        <w:pStyle w:val="Reference"/>
      </w:pPr>
      <w:proofErr w:type="gramStart"/>
      <w:r w:rsidRPr="00F3343E">
        <w:t>PC (Productivity Commission) 2015, Australia’s International Tourism Industry, Canberra.</w:t>
      </w:r>
      <w:proofErr w:type="gramEnd"/>
    </w:p>
    <w:p w14:paraId="1CC3D1D3" w14:textId="77777777" w:rsidR="00E349B1" w:rsidRPr="00F3343E" w:rsidRDefault="00E349B1" w:rsidP="00B75C7D">
      <w:pPr>
        <w:pStyle w:val="Reference"/>
      </w:pPr>
      <w:proofErr w:type="spellStart"/>
      <w:r w:rsidRPr="00F3343E">
        <w:t>Raychaudhuri</w:t>
      </w:r>
      <w:proofErr w:type="spellEnd"/>
      <w:r w:rsidRPr="00F3343E">
        <w:t>, A. and De, P. 2007, ‘Assessing Barriers to Trade in Education Services in Developing Asia-Pacific Countries: An Empirical Exercise’, Asia-Pacific Trade and Investment Review, vol. 3, no. 2, pp. 67–84.</w:t>
      </w:r>
    </w:p>
    <w:p w14:paraId="58D002E7" w14:textId="64E5CB12" w:rsidR="00391500" w:rsidRPr="00754106" w:rsidRDefault="00E349B1" w:rsidP="00005FB8">
      <w:pPr>
        <w:pStyle w:val="Reference"/>
      </w:pPr>
      <w:r w:rsidRPr="00F3343E">
        <w:t>WTO (World Trade Organization) 2014, International Trade Statistics 2014, Geneva, https://www.wto.org/english/res_e/statis_e/its2014_e/its2014_</w:t>
      </w:r>
      <w:r w:rsidR="00005FB8">
        <w:t>e.pdf (accessed 30 March 2015).</w:t>
      </w:r>
    </w:p>
    <w:sectPr w:rsidR="00391500" w:rsidRPr="00754106" w:rsidSect="0025142E">
      <w:headerReference w:type="even" r:id="rId31"/>
      <w:headerReference w:type="default" r:id="rId32"/>
      <w:footerReference w:type="even" r:id="rId33"/>
      <w:footerReference w:type="default" r:id="rId34"/>
      <w:pgSz w:w="11907" w:h="16840" w:code="9"/>
      <w:pgMar w:top="1985" w:right="1304" w:bottom="1247" w:left="1814" w:header="1701" w:footer="397" w:gutter="0"/>
      <w:pgNumType w:start="1" w:chapSep="period"/>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C8D5C0" w14:textId="77777777" w:rsidR="00231A25" w:rsidRDefault="00231A25">
      <w:r>
        <w:separator/>
      </w:r>
    </w:p>
  </w:endnote>
  <w:endnote w:type="continuationSeparator" w:id="0">
    <w:p w14:paraId="78CC7286" w14:textId="77777777" w:rsidR="00231A25" w:rsidRDefault="00231A25">
      <w:r>
        <w:continuationSeparator/>
      </w:r>
    </w:p>
  </w:endnote>
  <w:endnote w:type="continuationNotice" w:id="1">
    <w:p w14:paraId="35C936A0" w14:textId="77777777" w:rsidR="00231A25" w:rsidRDefault="00231A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aramondITCbyBT-Light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231A25" w14:paraId="5B9291B7" w14:textId="77777777" w:rsidTr="005F48ED">
      <w:trPr>
        <w:trHeight w:hRule="exact" w:val="567"/>
      </w:trPr>
      <w:tc>
        <w:tcPr>
          <w:tcW w:w="510" w:type="dxa"/>
        </w:tcPr>
        <w:p w14:paraId="4ED90E1D" w14:textId="77777777" w:rsidR="00231A25" w:rsidRDefault="00231A25">
          <w:pPr>
            <w:pStyle w:val="Footer"/>
            <w:ind w:right="360" w:firstLine="360"/>
          </w:pPr>
        </w:p>
      </w:tc>
      <w:tc>
        <w:tcPr>
          <w:tcW w:w="7767" w:type="dxa"/>
        </w:tcPr>
        <w:p w14:paraId="77FF44A0" w14:textId="77777777" w:rsidR="00231A25" w:rsidRPr="00BA5B14" w:rsidRDefault="00000152" w:rsidP="0013739A">
          <w:pPr>
            <w:pStyle w:val="Footer"/>
            <w:jc w:val="right"/>
            <w:rPr>
              <w:rFonts w:cs="Arial"/>
            </w:rPr>
          </w:pPr>
          <w:fldSimple w:instr=" TITLE  \* MERGEFORMAT ">
            <w:r w:rsidR="002B546F" w:rsidRPr="002B546F">
              <w:rPr>
                <w:rFonts w:cs="Arial"/>
              </w:rPr>
              <w:t>Issues Paper</w:t>
            </w:r>
          </w:fldSimple>
        </w:p>
      </w:tc>
      <w:tc>
        <w:tcPr>
          <w:tcW w:w="510" w:type="dxa"/>
        </w:tcPr>
        <w:p w14:paraId="16F8A304" w14:textId="77777777" w:rsidR="00231A25" w:rsidRPr="00A24443" w:rsidRDefault="00231A25">
          <w:pPr>
            <w:pStyle w:val="Footer"/>
            <w:jc w:val="right"/>
            <w:rPr>
              <w:caps w:val="0"/>
            </w:rPr>
          </w:pPr>
          <w:r w:rsidRPr="0045783B">
            <w:rPr>
              <w:rStyle w:val="PageNumber"/>
              <w:caps w:val="0"/>
            </w:rPr>
            <w:fldChar w:fldCharType="begin"/>
          </w:r>
          <w:r w:rsidRPr="0045783B">
            <w:rPr>
              <w:rStyle w:val="PageNumber"/>
              <w:caps w:val="0"/>
            </w:rPr>
            <w:instrText xml:space="preserve">PAGE  </w:instrText>
          </w:r>
          <w:r w:rsidRPr="0045783B">
            <w:rPr>
              <w:rStyle w:val="PageNumber"/>
              <w:caps w:val="0"/>
            </w:rPr>
            <w:fldChar w:fldCharType="separate"/>
          </w:r>
          <w:r>
            <w:rPr>
              <w:rStyle w:val="PageNumber"/>
              <w:caps w:val="0"/>
              <w:noProof/>
            </w:rPr>
            <w:t>iii</w:t>
          </w:r>
          <w:r w:rsidRPr="0045783B">
            <w:rPr>
              <w:rStyle w:val="PageNumber"/>
              <w:caps w:val="0"/>
            </w:rPr>
            <w:fldChar w:fldCharType="end"/>
          </w:r>
        </w:p>
      </w:tc>
    </w:tr>
  </w:tbl>
  <w:p w14:paraId="20ECFB57" w14:textId="77777777" w:rsidR="00231A25" w:rsidRDefault="00231A25">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231A25" w14:paraId="4A5EB72C" w14:textId="77777777" w:rsidTr="007D27F7">
      <w:trPr>
        <w:trHeight w:hRule="exact" w:val="567"/>
      </w:trPr>
      <w:tc>
        <w:tcPr>
          <w:tcW w:w="510" w:type="dxa"/>
        </w:tcPr>
        <w:p w14:paraId="3E1FE78E" w14:textId="77777777" w:rsidR="00231A25" w:rsidRPr="00A24443" w:rsidRDefault="00231A25" w:rsidP="007D27F7">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054E6E">
            <w:rPr>
              <w:rStyle w:val="PageNumber"/>
              <w:caps w:val="0"/>
              <w:noProof/>
            </w:rPr>
            <w:t>iv</w:t>
          </w:r>
          <w:r w:rsidRPr="00A24443">
            <w:rPr>
              <w:rStyle w:val="PageNumber"/>
              <w:caps w:val="0"/>
            </w:rPr>
            <w:fldChar w:fldCharType="end"/>
          </w:r>
        </w:p>
      </w:tc>
      <w:tc>
        <w:tcPr>
          <w:tcW w:w="7767" w:type="dxa"/>
        </w:tcPr>
        <w:p w14:paraId="690309E0" w14:textId="34BA8475" w:rsidR="00231A25" w:rsidRPr="0013739A" w:rsidRDefault="00231A25" w:rsidP="002B546F">
          <w:pPr>
            <w:pStyle w:val="Footer"/>
            <w:rPr>
              <w:rFonts w:cs="Arial"/>
            </w:rPr>
          </w:pPr>
          <w:r>
            <w:rPr>
              <w:rFonts w:cs="Arial"/>
            </w:rPr>
            <w:t>Barriers to Services exports</w:t>
          </w:r>
        </w:p>
      </w:tc>
      <w:tc>
        <w:tcPr>
          <w:tcW w:w="510" w:type="dxa"/>
        </w:tcPr>
        <w:p w14:paraId="349EC7AB" w14:textId="77777777" w:rsidR="00231A25" w:rsidRDefault="00231A25" w:rsidP="007D27F7">
          <w:pPr>
            <w:pStyle w:val="Footer"/>
          </w:pPr>
        </w:p>
      </w:tc>
    </w:tr>
  </w:tbl>
  <w:p w14:paraId="2EA5FAD6" w14:textId="77777777" w:rsidR="00231A25" w:rsidRDefault="00231A25" w:rsidP="009F6FCD">
    <w:pPr>
      <w:pStyle w:val="FooterEn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231A25" w14:paraId="540007D9" w14:textId="77777777" w:rsidTr="005F48ED">
      <w:trPr>
        <w:trHeight w:hRule="exact" w:val="567"/>
      </w:trPr>
      <w:tc>
        <w:tcPr>
          <w:tcW w:w="510" w:type="dxa"/>
        </w:tcPr>
        <w:p w14:paraId="53CF9F18" w14:textId="77777777" w:rsidR="00231A25" w:rsidRDefault="00231A25">
          <w:pPr>
            <w:pStyle w:val="Footer"/>
            <w:ind w:right="360" w:firstLine="360"/>
          </w:pPr>
        </w:p>
      </w:tc>
      <w:tc>
        <w:tcPr>
          <w:tcW w:w="7767" w:type="dxa"/>
        </w:tcPr>
        <w:p w14:paraId="5F1749A3" w14:textId="77777777" w:rsidR="00231A25" w:rsidRPr="00BA5B14" w:rsidRDefault="00000152" w:rsidP="0013739A">
          <w:pPr>
            <w:pStyle w:val="Footer"/>
            <w:jc w:val="right"/>
            <w:rPr>
              <w:rFonts w:cs="Arial"/>
            </w:rPr>
          </w:pPr>
          <w:fldSimple w:instr=" TITLE  \* MERGEFORMAT ">
            <w:r w:rsidR="002B546F" w:rsidRPr="002B546F">
              <w:rPr>
                <w:rFonts w:cs="Arial"/>
              </w:rPr>
              <w:t>Issues Paper</w:t>
            </w:r>
          </w:fldSimple>
        </w:p>
      </w:tc>
      <w:tc>
        <w:tcPr>
          <w:tcW w:w="510" w:type="dxa"/>
        </w:tcPr>
        <w:p w14:paraId="1B70DDF7" w14:textId="77777777" w:rsidR="00231A25" w:rsidRPr="00A24443" w:rsidRDefault="00231A25">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054E6E">
            <w:rPr>
              <w:rStyle w:val="PageNumber"/>
              <w:caps w:val="0"/>
              <w:noProof/>
            </w:rPr>
            <w:t>iii</w:t>
          </w:r>
          <w:r w:rsidRPr="00A24443">
            <w:rPr>
              <w:rStyle w:val="PageNumber"/>
              <w:caps w:val="0"/>
            </w:rPr>
            <w:fldChar w:fldCharType="end"/>
          </w:r>
        </w:p>
      </w:tc>
    </w:tr>
  </w:tbl>
  <w:p w14:paraId="2039F5BD" w14:textId="77777777" w:rsidR="00231A25" w:rsidRDefault="00231A25">
    <w:pPr>
      <w:pStyle w:val="FooterEn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231A25" w14:paraId="7613A546" w14:textId="77777777" w:rsidTr="005F48ED">
      <w:trPr>
        <w:trHeight w:hRule="exact" w:val="567"/>
      </w:trPr>
      <w:tc>
        <w:tcPr>
          <w:tcW w:w="510" w:type="dxa"/>
        </w:tcPr>
        <w:p w14:paraId="2DFC5619" w14:textId="77777777" w:rsidR="00231A25" w:rsidRPr="00A24443" w:rsidRDefault="00231A25"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6</w:t>
          </w:r>
          <w:r w:rsidRPr="00A24443">
            <w:rPr>
              <w:rStyle w:val="PageNumber"/>
              <w:caps w:val="0"/>
            </w:rPr>
            <w:fldChar w:fldCharType="end"/>
          </w:r>
        </w:p>
      </w:tc>
      <w:tc>
        <w:tcPr>
          <w:tcW w:w="7767" w:type="dxa"/>
        </w:tcPr>
        <w:p w14:paraId="447FD20D" w14:textId="77777777" w:rsidR="00231A25" w:rsidRPr="0013739A" w:rsidRDefault="00231A25" w:rsidP="0013739A">
          <w:pPr>
            <w:pStyle w:val="Footer"/>
            <w:rPr>
              <w:rFonts w:cs="Arial"/>
            </w:rPr>
          </w:pPr>
          <w:r>
            <w:rPr>
              <w:rFonts w:cs="Arial"/>
            </w:rPr>
            <w:t>Barriers to Growth in Australia’s Services exports</w:t>
          </w:r>
        </w:p>
      </w:tc>
      <w:tc>
        <w:tcPr>
          <w:tcW w:w="510" w:type="dxa"/>
        </w:tcPr>
        <w:p w14:paraId="76AA15CF" w14:textId="77777777" w:rsidR="00231A25" w:rsidRDefault="00231A25" w:rsidP="0019293B">
          <w:pPr>
            <w:pStyle w:val="Footer"/>
          </w:pPr>
        </w:p>
      </w:tc>
    </w:tr>
  </w:tbl>
  <w:p w14:paraId="6AB87107" w14:textId="77777777" w:rsidR="00231A25" w:rsidRDefault="00231A25" w:rsidP="0019293B">
    <w:pPr>
      <w:pStyle w:val="FooterEn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231A25" w14:paraId="02DE8D5C" w14:textId="77777777" w:rsidTr="005F48ED">
      <w:trPr>
        <w:trHeight w:hRule="exact" w:val="567"/>
      </w:trPr>
      <w:tc>
        <w:tcPr>
          <w:tcW w:w="510" w:type="dxa"/>
        </w:tcPr>
        <w:p w14:paraId="47FF2071" w14:textId="77777777" w:rsidR="00231A25" w:rsidRDefault="00231A25">
          <w:pPr>
            <w:pStyle w:val="Footer"/>
            <w:ind w:right="360" w:firstLine="360"/>
          </w:pPr>
        </w:p>
      </w:tc>
      <w:tc>
        <w:tcPr>
          <w:tcW w:w="7767" w:type="dxa"/>
        </w:tcPr>
        <w:p w14:paraId="218C6525" w14:textId="77777777" w:rsidR="00231A25" w:rsidRPr="00BA5B14" w:rsidRDefault="00000152" w:rsidP="0013739A">
          <w:pPr>
            <w:pStyle w:val="Footer"/>
            <w:jc w:val="right"/>
            <w:rPr>
              <w:rFonts w:cs="Arial"/>
            </w:rPr>
          </w:pPr>
          <w:fldSimple w:instr=" TITLE  \* MERGEFORMAT ">
            <w:r w:rsidR="002B546F" w:rsidRPr="002B546F">
              <w:rPr>
                <w:rFonts w:cs="Arial"/>
              </w:rPr>
              <w:t>Issues Paper</w:t>
            </w:r>
          </w:fldSimple>
        </w:p>
      </w:tc>
      <w:tc>
        <w:tcPr>
          <w:tcW w:w="510" w:type="dxa"/>
        </w:tcPr>
        <w:p w14:paraId="22110AF8" w14:textId="77777777" w:rsidR="00231A25" w:rsidRPr="00A24443" w:rsidRDefault="00231A25">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054E6E">
            <w:rPr>
              <w:rStyle w:val="PageNumber"/>
              <w:caps w:val="0"/>
              <w:noProof/>
            </w:rPr>
            <w:t>v</w:t>
          </w:r>
          <w:r w:rsidRPr="00A24443">
            <w:rPr>
              <w:rStyle w:val="PageNumber"/>
              <w:caps w:val="0"/>
            </w:rPr>
            <w:fldChar w:fldCharType="end"/>
          </w:r>
        </w:p>
      </w:tc>
    </w:tr>
  </w:tbl>
  <w:p w14:paraId="2EE1BDEB" w14:textId="77777777" w:rsidR="00231A25" w:rsidRDefault="00231A25">
    <w:pPr>
      <w:pStyle w:val="FooterEn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231A25" w14:paraId="45DA7FDA" w14:textId="77777777" w:rsidTr="005F48ED">
      <w:trPr>
        <w:trHeight w:hRule="exact" w:val="567"/>
      </w:trPr>
      <w:tc>
        <w:tcPr>
          <w:tcW w:w="510" w:type="dxa"/>
        </w:tcPr>
        <w:p w14:paraId="40872FC5" w14:textId="77777777" w:rsidR="00231A25" w:rsidRPr="00A24443" w:rsidRDefault="00231A25"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054E6E">
            <w:rPr>
              <w:rStyle w:val="PageNumber"/>
              <w:caps w:val="0"/>
              <w:noProof/>
            </w:rPr>
            <w:t>20</w:t>
          </w:r>
          <w:r w:rsidRPr="00A24443">
            <w:rPr>
              <w:rStyle w:val="PageNumber"/>
              <w:caps w:val="0"/>
            </w:rPr>
            <w:fldChar w:fldCharType="end"/>
          </w:r>
        </w:p>
      </w:tc>
      <w:tc>
        <w:tcPr>
          <w:tcW w:w="7767" w:type="dxa"/>
        </w:tcPr>
        <w:p w14:paraId="1D4063CC" w14:textId="60C2EED2" w:rsidR="00231A25" w:rsidRPr="0013739A" w:rsidRDefault="00231A25" w:rsidP="002B546F">
          <w:pPr>
            <w:pStyle w:val="Footer"/>
            <w:rPr>
              <w:rFonts w:cs="Arial"/>
            </w:rPr>
          </w:pPr>
          <w:r>
            <w:rPr>
              <w:rFonts w:cs="Arial"/>
            </w:rPr>
            <w:t>Barriers to services exports</w:t>
          </w:r>
        </w:p>
      </w:tc>
      <w:tc>
        <w:tcPr>
          <w:tcW w:w="510" w:type="dxa"/>
        </w:tcPr>
        <w:p w14:paraId="4A414AAC" w14:textId="77777777" w:rsidR="00231A25" w:rsidRDefault="00231A25" w:rsidP="0019293B">
          <w:pPr>
            <w:pStyle w:val="Footer"/>
          </w:pPr>
        </w:p>
      </w:tc>
    </w:tr>
  </w:tbl>
  <w:p w14:paraId="6A67A017" w14:textId="77777777" w:rsidR="00231A25" w:rsidRDefault="00231A25" w:rsidP="0019293B">
    <w:pPr>
      <w:pStyle w:val="FooterEnd"/>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231A25" w14:paraId="037F6D55" w14:textId="77777777" w:rsidTr="005F48ED">
      <w:trPr>
        <w:trHeight w:hRule="exact" w:val="567"/>
      </w:trPr>
      <w:tc>
        <w:tcPr>
          <w:tcW w:w="510" w:type="dxa"/>
        </w:tcPr>
        <w:p w14:paraId="4AD54888" w14:textId="77777777" w:rsidR="00231A25" w:rsidRDefault="00231A25">
          <w:pPr>
            <w:pStyle w:val="Footer"/>
            <w:ind w:right="360" w:firstLine="360"/>
          </w:pPr>
        </w:p>
      </w:tc>
      <w:tc>
        <w:tcPr>
          <w:tcW w:w="7767" w:type="dxa"/>
        </w:tcPr>
        <w:p w14:paraId="734C5648" w14:textId="77777777" w:rsidR="00231A25" w:rsidRPr="00BA5B14" w:rsidRDefault="00000152" w:rsidP="0013739A">
          <w:pPr>
            <w:pStyle w:val="Footer"/>
            <w:jc w:val="right"/>
            <w:rPr>
              <w:rFonts w:cs="Arial"/>
            </w:rPr>
          </w:pPr>
          <w:fldSimple w:instr=" TITLE  \* MERGEFORMAT ">
            <w:r w:rsidR="002B546F" w:rsidRPr="002B546F">
              <w:rPr>
                <w:rFonts w:cs="Arial"/>
              </w:rPr>
              <w:t>Issues Paper</w:t>
            </w:r>
          </w:fldSimple>
        </w:p>
      </w:tc>
      <w:tc>
        <w:tcPr>
          <w:tcW w:w="510" w:type="dxa"/>
        </w:tcPr>
        <w:p w14:paraId="5296EFEE" w14:textId="77777777" w:rsidR="00231A25" w:rsidRPr="00A24443" w:rsidRDefault="00231A25">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054E6E">
            <w:rPr>
              <w:rStyle w:val="PageNumber"/>
              <w:caps w:val="0"/>
              <w:noProof/>
            </w:rPr>
            <w:t>21</w:t>
          </w:r>
          <w:r w:rsidRPr="00A24443">
            <w:rPr>
              <w:rStyle w:val="PageNumber"/>
              <w:caps w:val="0"/>
            </w:rPr>
            <w:fldChar w:fldCharType="end"/>
          </w:r>
        </w:p>
      </w:tc>
    </w:tr>
  </w:tbl>
  <w:p w14:paraId="4A92109F" w14:textId="77777777" w:rsidR="00231A25" w:rsidRDefault="00231A25">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1E6570" w14:textId="77777777" w:rsidR="00231A25" w:rsidRDefault="00231A25">
      <w:r>
        <w:separator/>
      </w:r>
    </w:p>
  </w:footnote>
  <w:footnote w:type="continuationSeparator" w:id="0">
    <w:p w14:paraId="6BAA1BDC" w14:textId="77777777" w:rsidR="00231A25" w:rsidRDefault="00231A25">
      <w:r>
        <w:continuationSeparator/>
      </w:r>
    </w:p>
  </w:footnote>
  <w:footnote w:type="continuationNotice" w:id="1">
    <w:p w14:paraId="0FAB9877" w14:textId="77777777" w:rsidR="00231A25" w:rsidRDefault="00231A25"/>
  </w:footnote>
  <w:footnote w:id="2">
    <w:p w14:paraId="1C41E60C" w14:textId="6A06DC75" w:rsidR="00231A25" w:rsidRDefault="00231A25" w:rsidP="00BB6C97">
      <w:pPr>
        <w:pStyle w:val="FootnoteText"/>
      </w:pPr>
      <w:r w:rsidRPr="0060692F">
        <w:rPr>
          <w:rStyle w:val="FootnoteReference"/>
        </w:rPr>
        <w:footnoteRef/>
      </w:r>
      <w:r>
        <w:tab/>
        <w:t>Services exports statistics are in gross value terms, unless specified. While measures of gross exports are widely used, they attribute all of the export value to the final industry in the production chain, and do not account for inputs that are used to produce exports.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231A25" w14:paraId="186498F3" w14:textId="77777777">
      <w:tc>
        <w:tcPr>
          <w:tcW w:w="6634" w:type="dxa"/>
          <w:tcBorders>
            <w:top w:val="single" w:sz="6" w:space="0" w:color="auto"/>
          </w:tcBorders>
        </w:tcPr>
        <w:p w14:paraId="3D7B8DCC" w14:textId="77777777" w:rsidR="00231A25" w:rsidRDefault="00231A25" w:rsidP="00E669E2">
          <w:pPr>
            <w:pStyle w:val="HeaderOdd"/>
          </w:pPr>
        </w:p>
      </w:tc>
      <w:tc>
        <w:tcPr>
          <w:tcW w:w="2155" w:type="dxa"/>
          <w:tcBorders>
            <w:top w:val="single" w:sz="24" w:space="0" w:color="auto"/>
          </w:tcBorders>
        </w:tcPr>
        <w:p w14:paraId="47FB8D32" w14:textId="77777777" w:rsidR="00231A25" w:rsidRDefault="00231A25" w:rsidP="00E669E2">
          <w:pPr>
            <w:pStyle w:val="HeaderOdd"/>
          </w:pPr>
        </w:p>
      </w:tc>
    </w:tr>
  </w:tbl>
  <w:p w14:paraId="664C5753" w14:textId="77777777" w:rsidR="00231A25" w:rsidRDefault="00231A25" w:rsidP="00E669E2">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231A25" w14:paraId="6026F720" w14:textId="77777777" w:rsidTr="007D27F7">
      <w:tc>
        <w:tcPr>
          <w:tcW w:w="2155" w:type="dxa"/>
          <w:tcBorders>
            <w:top w:val="single" w:sz="24" w:space="0" w:color="auto"/>
          </w:tcBorders>
        </w:tcPr>
        <w:p w14:paraId="5B1F648E" w14:textId="77777777" w:rsidR="00231A25" w:rsidRDefault="00231A25" w:rsidP="007D27F7">
          <w:pPr>
            <w:pStyle w:val="HeaderEven"/>
          </w:pPr>
        </w:p>
      </w:tc>
      <w:tc>
        <w:tcPr>
          <w:tcW w:w="6634" w:type="dxa"/>
          <w:tcBorders>
            <w:top w:val="single" w:sz="6" w:space="0" w:color="auto"/>
          </w:tcBorders>
        </w:tcPr>
        <w:p w14:paraId="5E6191E5" w14:textId="77777777" w:rsidR="00231A25" w:rsidRDefault="00231A25" w:rsidP="007D27F7">
          <w:pPr>
            <w:pStyle w:val="HeaderEven"/>
          </w:pPr>
        </w:p>
      </w:tc>
    </w:tr>
  </w:tbl>
  <w:p w14:paraId="51E366E8" w14:textId="77777777" w:rsidR="00231A25" w:rsidRDefault="00231A25" w:rsidP="009F6FCD">
    <w:pPr>
      <w:pStyle w:val="HeaderEn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231A25" w14:paraId="232E4A96" w14:textId="77777777">
      <w:tc>
        <w:tcPr>
          <w:tcW w:w="6634" w:type="dxa"/>
          <w:tcBorders>
            <w:top w:val="single" w:sz="6" w:space="0" w:color="auto"/>
          </w:tcBorders>
        </w:tcPr>
        <w:p w14:paraId="5703B7E7" w14:textId="77777777" w:rsidR="00231A25" w:rsidRDefault="00231A25" w:rsidP="00E669E2">
          <w:pPr>
            <w:pStyle w:val="HeaderOdd"/>
          </w:pPr>
        </w:p>
      </w:tc>
      <w:tc>
        <w:tcPr>
          <w:tcW w:w="2155" w:type="dxa"/>
          <w:tcBorders>
            <w:top w:val="single" w:sz="24" w:space="0" w:color="auto"/>
          </w:tcBorders>
        </w:tcPr>
        <w:p w14:paraId="44B3075D" w14:textId="77777777" w:rsidR="00231A25" w:rsidRDefault="00231A25" w:rsidP="00E669E2">
          <w:pPr>
            <w:pStyle w:val="HeaderOdd"/>
          </w:pPr>
        </w:p>
      </w:tc>
    </w:tr>
  </w:tbl>
  <w:p w14:paraId="41F02120" w14:textId="77777777" w:rsidR="00231A25" w:rsidRDefault="00231A25" w:rsidP="00E669E2">
    <w:pPr>
      <w:pStyle w:val="HeaderEn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231A25" w14:paraId="1347BA9B" w14:textId="77777777">
      <w:tc>
        <w:tcPr>
          <w:tcW w:w="2155" w:type="dxa"/>
          <w:tcBorders>
            <w:top w:val="single" w:sz="24" w:space="0" w:color="auto"/>
          </w:tcBorders>
        </w:tcPr>
        <w:p w14:paraId="726D9951" w14:textId="77777777" w:rsidR="00231A25" w:rsidRDefault="00231A25" w:rsidP="0019293B">
          <w:pPr>
            <w:pStyle w:val="HeaderEven"/>
          </w:pPr>
        </w:p>
      </w:tc>
      <w:tc>
        <w:tcPr>
          <w:tcW w:w="6634" w:type="dxa"/>
          <w:tcBorders>
            <w:top w:val="single" w:sz="6" w:space="0" w:color="auto"/>
          </w:tcBorders>
        </w:tcPr>
        <w:p w14:paraId="719F9C9A" w14:textId="77777777" w:rsidR="00231A25" w:rsidRDefault="00231A25" w:rsidP="0019293B">
          <w:pPr>
            <w:pStyle w:val="HeaderEven"/>
          </w:pPr>
        </w:p>
      </w:tc>
    </w:tr>
  </w:tbl>
  <w:p w14:paraId="41CE8D1F" w14:textId="77777777" w:rsidR="00231A25" w:rsidRDefault="00231A25" w:rsidP="0019293B">
    <w:pPr>
      <w:pStyle w:val="HeaderEn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231A25" w14:paraId="40CA407A" w14:textId="77777777">
      <w:tc>
        <w:tcPr>
          <w:tcW w:w="6634" w:type="dxa"/>
          <w:tcBorders>
            <w:top w:val="single" w:sz="6" w:space="0" w:color="auto"/>
          </w:tcBorders>
        </w:tcPr>
        <w:p w14:paraId="663AE73A" w14:textId="77777777" w:rsidR="00231A25" w:rsidRDefault="00231A25" w:rsidP="00E669E2">
          <w:pPr>
            <w:pStyle w:val="HeaderOdd"/>
          </w:pPr>
        </w:p>
      </w:tc>
      <w:tc>
        <w:tcPr>
          <w:tcW w:w="2155" w:type="dxa"/>
          <w:tcBorders>
            <w:top w:val="single" w:sz="24" w:space="0" w:color="auto"/>
          </w:tcBorders>
        </w:tcPr>
        <w:p w14:paraId="7CC5869D" w14:textId="77777777" w:rsidR="00231A25" w:rsidRDefault="00231A25" w:rsidP="00E669E2">
          <w:pPr>
            <w:pStyle w:val="HeaderOdd"/>
          </w:pPr>
        </w:p>
      </w:tc>
    </w:tr>
  </w:tbl>
  <w:p w14:paraId="2A186382" w14:textId="77777777" w:rsidR="00231A25" w:rsidRDefault="00231A25" w:rsidP="00E669E2">
    <w:pPr>
      <w:pStyle w:val="HeaderEn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231A25" w14:paraId="7A345A62" w14:textId="77777777">
      <w:tc>
        <w:tcPr>
          <w:tcW w:w="2155" w:type="dxa"/>
          <w:tcBorders>
            <w:top w:val="single" w:sz="24" w:space="0" w:color="auto"/>
          </w:tcBorders>
        </w:tcPr>
        <w:p w14:paraId="145F85C4" w14:textId="77777777" w:rsidR="00231A25" w:rsidRDefault="00231A25" w:rsidP="0019293B">
          <w:pPr>
            <w:pStyle w:val="HeaderEven"/>
          </w:pPr>
        </w:p>
      </w:tc>
      <w:tc>
        <w:tcPr>
          <w:tcW w:w="6634" w:type="dxa"/>
          <w:tcBorders>
            <w:top w:val="single" w:sz="6" w:space="0" w:color="auto"/>
          </w:tcBorders>
        </w:tcPr>
        <w:p w14:paraId="2F9B7716" w14:textId="77777777" w:rsidR="00231A25" w:rsidRDefault="00231A25" w:rsidP="0019293B">
          <w:pPr>
            <w:pStyle w:val="HeaderEven"/>
          </w:pPr>
        </w:p>
      </w:tc>
    </w:tr>
  </w:tbl>
  <w:p w14:paraId="457C682C" w14:textId="77777777" w:rsidR="00231A25" w:rsidRDefault="00231A25" w:rsidP="0019293B">
    <w:pPr>
      <w:pStyle w:val="HeaderEnd"/>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231A25" w14:paraId="0A618C3F" w14:textId="77777777">
      <w:tc>
        <w:tcPr>
          <w:tcW w:w="6634" w:type="dxa"/>
          <w:tcBorders>
            <w:top w:val="single" w:sz="6" w:space="0" w:color="auto"/>
          </w:tcBorders>
        </w:tcPr>
        <w:p w14:paraId="54C59652" w14:textId="77777777" w:rsidR="00231A25" w:rsidRDefault="00231A25" w:rsidP="00E669E2">
          <w:pPr>
            <w:pStyle w:val="HeaderOdd"/>
          </w:pPr>
        </w:p>
      </w:tc>
      <w:tc>
        <w:tcPr>
          <w:tcW w:w="2155" w:type="dxa"/>
          <w:tcBorders>
            <w:top w:val="single" w:sz="24" w:space="0" w:color="auto"/>
          </w:tcBorders>
        </w:tcPr>
        <w:p w14:paraId="3B24B5DC" w14:textId="77777777" w:rsidR="00231A25" w:rsidRDefault="00231A25" w:rsidP="00E669E2">
          <w:pPr>
            <w:pStyle w:val="HeaderOdd"/>
          </w:pPr>
        </w:p>
      </w:tc>
    </w:tr>
  </w:tbl>
  <w:p w14:paraId="5B4DFFC3" w14:textId="77777777" w:rsidR="00231A25" w:rsidRDefault="00231A25"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FEC6F90"/>
    <w:lvl w:ilvl="0">
      <w:start w:val="1"/>
      <w:numFmt w:val="decimal"/>
      <w:lvlText w:val="%1."/>
      <w:lvlJc w:val="left"/>
      <w:pPr>
        <w:tabs>
          <w:tab w:val="num" w:pos="1492"/>
        </w:tabs>
        <w:ind w:left="1492" w:hanging="360"/>
      </w:pPr>
    </w:lvl>
  </w:abstractNum>
  <w:abstractNum w:abstractNumId="1">
    <w:nsid w:val="FFFFFF7D"/>
    <w:multiLevelType w:val="singleLevel"/>
    <w:tmpl w:val="90744332"/>
    <w:lvl w:ilvl="0">
      <w:start w:val="1"/>
      <w:numFmt w:val="decimal"/>
      <w:lvlText w:val="%1."/>
      <w:lvlJc w:val="left"/>
      <w:pPr>
        <w:tabs>
          <w:tab w:val="num" w:pos="1209"/>
        </w:tabs>
        <w:ind w:left="1209" w:hanging="360"/>
      </w:pPr>
    </w:lvl>
  </w:abstractNum>
  <w:abstractNum w:abstractNumId="2">
    <w:nsid w:val="FFFFFF80"/>
    <w:multiLevelType w:val="singleLevel"/>
    <w:tmpl w:val="F85C7518"/>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14E4D100"/>
    <w:lvl w:ilvl="0">
      <w:start w:val="1"/>
      <w:numFmt w:val="bullet"/>
      <w:lvlText w:val=""/>
      <w:lvlJc w:val="left"/>
      <w:pPr>
        <w:tabs>
          <w:tab w:val="num" w:pos="1209"/>
        </w:tabs>
        <w:ind w:left="1209" w:hanging="360"/>
      </w:pPr>
      <w:rPr>
        <w:rFonts w:ascii="Symbol" w:hAnsi="Symbol" w:hint="default"/>
      </w:rPr>
    </w:lvl>
  </w:abstractNum>
  <w:abstractNum w:abstractNumId="4">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5">
    <w:nsid w:val="FFFFFFFE"/>
    <w:multiLevelType w:val="singleLevel"/>
    <w:tmpl w:val="FFFFFFFF"/>
    <w:lvl w:ilvl="0">
      <w:numFmt w:val="decimal"/>
      <w:lvlText w:val="*"/>
      <w:lvlJc w:val="left"/>
    </w:lvl>
  </w:abstractNum>
  <w:abstractNum w:abstractNumId="6">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8">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9">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12">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4">
    <w:nsid w:val="24417976"/>
    <w:multiLevelType w:val="multilevel"/>
    <w:tmpl w:val="2B6C5450"/>
    <w:name w:val="StandardNumberedList"/>
    <w:lvl w:ilvl="0">
      <w:start w:val="1"/>
      <w:numFmt w:val="decimal"/>
      <w:pStyle w:val="OutlineNumbered1"/>
      <w:lvlText w:val="%1."/>
      <w:lvlJc w:val="left"/>
      <w:pPr>
        <w:tabs>
          <w:tab w:val="num" w:pos="520"/>
        </w:tabs>
        <w:ind w:left="520" w:hanging="520"/>
      </w:pPr>
      <w:rPr>
        <w:rFonts w:cs="Times New Roman"/>
      </w:rPr>
    </w:lvl>
    <w:lvl w:ilvl="1">
      <w:start w:val="1"/>
      <w:numFmt w:val="decimal"/>
      <w:pStyle w:val="OutlineNumbered2"/>
      <w:lvlText w:val="%1.%2."/>
      <w:lvlJc w:val="left"/>
      <w:pPr>
        <w:tabs>
          <w:tab w:val="num" w:pos="1040"/>
        </w:tabs>
        <w:ind w:left="1040" w:hanging="520"/>
      </w:pPr>
      <w:rPr>
        <w:rFonts w:cs="Times New Roman"/>
      </w:rPr>
    </w:lvl>
    <w:lvl w:ilvl="2">
      <w:start w:val="1"/>
      <w:numFmt w:val="decimal"/>
      <w:pStyle w:val="OutlineNumbered3"/>
      <w:lvlText w:val="%1.%2.%3."/>
      <w:lvlJc w:val="left"/>
      <w:pPr>
        <w:tabs>
          <w:tab w:val="num" w:pos="1560"/>
        </w:tabs>
        <w:ind w:left="1560" w:hanging="52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7">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9">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2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21">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nsid w:val="5E0C3190"/>
    <w:multiLevelType w:val="multilevel"/>
    <w:tmpl w:val="F1FE5FFE"/>
    <w:lvl w:ilvl="0">
      <w:start w:val="1"/>
      <w:numFmt w:val="decimal"/>
      <w:lvlText w:val="%1."/>
      <w:lvlJc w:val="left"/>
      <w:pPr>
        <w:tabs>
          <w:tab w:val="num" w:pos="520"/>
        </w:tabs>
        <w:ind w:left="520" w:hanging="520"/>
      </w:pPr>
    </w:lvl>
    <w:lvl w:ilvl="1">
      <w:start w:val="1"/>
      <w:numFmt w:val="decimal"/>
      <w:lvlText w:val="%1.%2."/>
      <w:lvlJc w:val="left"/>
      <w:pPr>
        <w:tabs>
          <w:tab w:val="num" w:pos="1040"/>
        </w:tabs>
        <w:ind w:left="1040" w:hanging="520"/>
      </w:pPr>
    </w:lvl>
    <w:lvl w:ilvl="2">
      <w:start w:val="1"/>
      <w:numFmt w:val="decimal"/>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5">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6">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6"/>
  </w:num>
  <w:num w:numId="2">
    <w:abstractNumId w:val="6"/>
  </w:num>
  <w:num w:numId="3">
    <w:abstractNumId w:val="18"/>
  </w:num>
  <w:num w:numId="4">
    <w:abstractNumId w:val="7"/>
  </w:num>
  <w:num w:numId="5">
    <w:abstractNumId w:val="24"/>
  </w:num>
  <w:num w:numId="6">
    <w:abstractNumId w:val="20"/>
  </w:num>
  <w:num w:numId="7">
    <w:abstractNumId w:val="11"/>
  </w:num>
  <w:num w:numId="8">
    <w:abstractNumId w:val="19"/>
  </w:num>
  <w:num w:numId="9">
    <w:abstractNumId w:val="10"/>
  </w:num>
  <w:num w:numId="10">
    <w:abstractNumId w:val="9"/>
  </w:num>
  <w:num w:numId="11">
    <w:abstractNumId w:val="13"/>
  </w:num>
  <w:num w:numId="12">
    <w:abstractNumId w:val="15"/>
  </w:num>
  <w:num w:numId="13">
    <w:abstractNumId w:val="8"/>
  </w:num>
  <w:num w:numId="14">
    <w:abstractNumId w:val="21"/>
  </w:num>
  <w:num w:numId="15">
    <w:abstractNumId w:val="25"/>
  </w:num>
  <w:num w:numId="16">
    <w:abstractNumId w:val="17"/>
  </w:num>
  <w:num w:numId="17">
    <w:abstractNumId w:val="26"/>
  </w:num>
  <w:num w:numId="18">
    <w:abstractNumId w:val="4"/>
  </w:num>
  <w:num w:numId="19">
    <w:abstractNumId w:val="5"/>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23"/>
  </w:num>
  <w:num w:numId="21">
    <w:abstractNumId w:val="12"/>
  </w:num>
  <w:num w:numId="22">
    <w:abstractNumId w:val="3"/>
  </w:num>
  <w:num w:numId="23">
    <w:abstractNumId w:val="2"/>
  </w:num>
  <w:num w:numId="24">
    <w:abstractNumId w:val="1"/>
  </w:num>
  <w:num w:numId="25">
    <w:abstractNumId w:val="0"/>
  </w:num>
  <w:num w:numId="26">
    <w:abstractNumId w:val="14"/>
  </w:num>
  <w:num w:numId="27">
    <w:abstractNumId w:val="22"/>
  </w:num>
  <w:num w:numId="28">
    <w:abstractNumId w:val="17"/>
  </w:num>
  <w:num w:numId="29">
    <w:abstractNumId w:val="18"/>
  </w:num>
  <w:num w:numId="30">
    <w:abstractNumId w:val="18"/>
  </w:num>
  <w:num w:numId="31">
    <w:abstractNumId w:val="17"/>
  </w:num>
  <w:num w:numId="32">
    <w:abstractNumId w:val="8"/>
  </w:num>
  <w:num w:numId="33">
    <w:abstractNumId w:val="8"/>
  </w:num>
  <w:num w:numId="34">
    <w:abstractNumId w:val="17"/>
  </w:num>
  <w:num w:numId="35">
    <w:abstractNumId w:val="17"/>
  </w:num>
  <w:num w:numId="36">
    <w:abstractNumId w:val="8"/>
  </w:num>
  <w:num w:numId="37">
    <w:abstractNumId w:val="17"/>
  </w:num>
  <w:num w:numId="38">
    <w:abstractNumId w:val="18"/>
  </w:num>
  <w:num w:numId="39">
    <w:abstractNumId w:val="18"/>
  </w:num>
  <w:num w:numId="40">
    <w:abstractNumId w:val="18"/>
  </w:num>
  <w:num w:numId="41">
    <w:abstractNumId w:val="8"/>
  </w:num>
  <w:num w:numId="42">
    <w:abstractNumId w:val="18"/>
  </w:num>
  <w:num w:numId="43">
    <w:abstractNumId w:val="8"/>
  </w:num>
  <w:num w:numId="44">
    <w:abstractNumId w:val="17"/>
  </w:num>
  <w:num w:numId="45">
    <w:abstractNumId w:val="8"/>
  </w:num>
  <w:num w:numId="46">
    <w:abstractNumId w:val="17"/>
  </w:num>
  <w:num w:numId="47">
    <w:abstractNumId w:val="8"/>
  </w:num>
  <w:num w:numId="48">
    <w:abstractNumId w:val="17"/>
  </w:num>
  <w:num w:numId="49">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clickAndTypeStyle w:val="BodyText"/>
  <w:evenAndOddHeaders/>
  <w:characterSpacingControl w:val="doNotCompress"/>
  <w:hdrShapeDefaults>
    <o:shapedefaults v:ext="edit" spidmax="7475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indingOptions" w:val="1"/>
    <w:docVar w:name="RecOptions" w:val="111"/>
    <w:docVar w:name="ShortChapterTitle" w:val="Chapter"/>
    <w:docVar w:name="ShortReportTitle" w:val="Report"/>
  </w:docVars>
  <w:rsids>
    <w:rsidRoot w:val="00B51FDF"/>
    <w:rsid w:val="00000152"/>
    <w:rsid w:val="000007E5"/>
    <w:rsid w:val="0000231F"/>
    <w:rsid w:val="0000302A"/>
    <w:rsid w:val="00003A95"/>
    <w:rsid w:val="00003FAF"/>
    <w:rsid w:val="0000427F"/>
    <w:rsid w:val="00004813"/>
    <w:rsid w:val="00004831"/>
    <w:rsid w:val="00004E39"/>
    <w:rsid w:val="00005FB8"/>
    <w:rsid w:val="000070A2"/>
    <w:rsid w:val="00007B14"/>
    <w:rsid w:val="00007C47"/>
    <w:rsid w:val="000106BC"/>
    <w:rsid w:val="000111F3"/>
    <w:rsid w:val="0001127F"/>
    <w:rsid w:val="00011F2C"/>
    <w:rsid w:val="00013A09"/>
    <w:rsid w:val="0001497A"/>
    <w:rsid w:val="00014A80"/>
    <w:rsid w:val="00015CF3"/>
    <w:rsid w:val="000164AC"/>
    <w:rsid w:val="00016AD2"/>
    <w:rsid w:val="00016E68"/>
    <w:rsid w:val="000172A2"/>
    <w:rsid w:val="0001778B"/>
    <w:rsid w:val="000208EF"/>
    <w:rsid w:val="00020965"/>
    <w:rsid w:val="00021A95"/>
    <w:rsid w:val="000227D5"/>
    <w:rsid w:val="00024181"/>
    <w:rsid w:val="000245AA"/>
    <w:rsid w:val="000263E7"/>
    <w:rsid w:val="00026F19"/>
    <w:rsid w:val="00027086"/>
    <w:rsid w:val="00027A9E"/>
    <w:rsid w:val="000312B7"/>
    <w:rsid w:val="00031A28"/>
    <w:rsid w:val="00031C52"/>
    <w:rsid w:val="00031D20"/>
    <w:rsid w:val="0003292E"/>
    <w:rsid w:val="000352F9"/>
    <w:rsid w:val="00035B86"/>
    <w:rsid w:val="0003664B"/>
    <w:rsid w:val="00037BC8"/>
    <w:rsid w:val="00037F8B"/>
    <w:rsid w:val="000407CE"/>
    <w:rsid w:val="00040CA3"/>
    <w:rsid w:val="00040DA5"/>
    <w:rsid w:val="00040E37"/>
    <w:rsid w:val="0004111F"/>
    <w:rsid w:val="00041945"/>
    <w:rsid w:val="00042910"/>
    <w:rsid w:val="00042E3A"/>
    <w:rsid w:val="000451CE"/>
    <w:rsid w:val="000454BB"/>
    <w:rsid w:val="0004571B"/>
    <w:rsid w:val="00045F50"/>
    <w:rsid w:val="00046E08"/>
    <w:rsid w:val="00046FFC"/>
    <w:rsid w:val="00047D5C"/>
    <w:rsid w:val="00047E4C"/>
    <w:rsid w:val="00047E61"/>
    <w:rsid w:val="000510AC"/>
    <w:rsid w:val="00054E6E"/>
    <w:rsid w:val="00054FD1"/>
    <w:rsid w:val="00055077"/>
    <w:rsid w:val="00055C37"/>
    <w:rsid w:val="000565B3"/>
    <w:rsid w:val="000565C3"/>
    <w:rsid w:val="000567BE"/>
    <w:rsid w:val="00056880"/>
    <w:rsid w:val="00057652"/>
    <w:rsid w:val="00057942"/>
    <w:rsid w:val="00057A48"/>
    <w:rsid w:val="00057E77"/>
    <w:rsid w:val="00062A27"/>
    <w:rsid w:val="000661A6"/>
    <w:rsid w:val="00066C7A"/>
    <w:rsid w:val="00067308"/>
    <w:rsid w:val="00067796"/>
    <w:rsid w:val="00067CA4"/>
    <w:rsid w:val="00070E7A"/>
    <w:rsid w:val="0007150B"/>
    <w:rsid w:val="0007259A"/>
    <w:rsid w:val="00072D33"/>
    <w:rsid w:val="000749F8"/>
    <w:rsid w:val="00075233"/>
    <w:rsid w:val="00075656"/>
    <w:rsid w:val="00075BEE"/>
    <w:rsid w:val="000772A1"/>
    <w:rsid w:val="00083F7F"/>
    <w:rsid w:val="00084CE3"/>
    <w:rsid w:val="00084E77"/>
    <w:rsid w:val="00087067"/>
    <w:rsid w:val="0008744D"/>
    <w:rsid w:val="00087460"/>
    <w:rsid w:val="000876E1"/>
    <w:rsid w:val="000901E9"/>
    <w:rsid w:val="00091F96"/>
    <w:rsid w:val="00092D95"/>
    <w:rsid w:val="000938F5"/>
    <w:rsid w:val="00093AEC"/>
    <w:rsid w:val="0009433C"/>
    <w:rsid w:val="0009503C"/>
    <w:rsid w:val="0009561A"/>
    <w:rsid w:val="00095663"/>
    <w:rsid w:val="00095816"/>
    <w:rsid w:val="00096E55"/>
    <w:rsid w:val="00096FEF"/>
    <w:rsid w:val="0009783E"/>
    <w:rsid w:val="000A05A7"/>
    <w:rsid w:val="000A1259"/>
    <w:rsid w:val="000A15B6"/>
    <w:rsid w:val="000A1F4D"/>
    <w:rsid w:val="000A20C7"/>
    <w:rsid w:val="000A2606"/>
    <w:rsid w:val="000A2A0B"/>
    <w:rsid w:val="000A2BA5"/>
    <w:rsid w:val="000A4F7C"/>
    <w:rsid w:val="000A6959"/>
    <w:rsid w:val="000A72CD"/>
    <w:rsid w:val="000A73C9"/>
    <w:rsid w:val="000A7569"/>
    <w:rsid w:val="000A789C"/>
    <w:rsid w:val="000B076F"/>
    <w:rsid w:val="000B1022"/>
    <w:rsid w:val="000B1BD4"/>
    <w:rsid w:val="000B1CD8"/>
    <w:rsid w:val="000B29C9"/>
    <w:rsid w:val="000B2F1C"/>
    <w:rsid w:val="000B3F73"/>
    <w:rsid w:val="000B428C"/>
    <w:rsid w:val="000B4F3F"/>
    <w:rsid w:val="000B55DE"/>
    <w:rsid w:val="000B5AC2"/>
    <w:rsid w:val="000B601B"/>
    <w:rsid w:val="000B66F9"/>
    <w:rsid w:val="000B7575"/>
    <w:rsid w:val="000C207E"/>
    <w:rsid w:val="000C2C47"/>
    <w:rsid w:val="000C3D01"/>
    <w:rsid w:val="000C48F4"/>
    <w:rsid w:val="000C5675"/>
    <w:rsid w:val="000C57AF"/>
    <w:rsid w:val="000C60C6"/>
    <w:rsid w:val="000C6AD7"/>
    <w:rsid w:val="000C7672"/>
    <w:rsid w:val="000C77F9"/>
    <w:rsid w:val="000D02B3"/>
    <w:rsid w:val="000D0575"/>
    <w:rsid w:val="000D0B63"/>
    <w:rsid w:val="000D117D"/>
    <w:rsid w:val="000D33FC"/>
    <w:rsid w:val="000D41E9"/>
    <w:rsid w:val="000D4ED8"/>
    <w:rsid w:val="000D4F73"/>
    <w:rsid w:val="000D55AF"/>
    <w:rsid w:val="000D6000"/>
    <w:rsid w:val="000D6286"/>
    <w:rsid w:val="000D74A1"/>
    <w:rsid w:val="000D7A66"/>
    <w:rsid w:val="000D7B3E"/>
    <w:rsid w:val="000E003E"/>
    <w:rsid w:val="000E05FE"/>
    <w:rsid w:val="000E0686"/>
    <w:rsid w:val="000E0720"/>
    <w:rsid w:val="000E0F8E"/>
    <w:rsid w:val="000E1061"/>
    <w:rsid w:val="000E1CDF"/>
    <w:rsid w:val="000E2FB6"/>
    <w:rsid w:val="000E3660"/>
    <w:rsid w:val="000E6FAB"/>
    <w:rsid w:val="000E6FE7"/>
    <w:rsid w:val="000F0035"/>
    <w:rsid w:val="000F00D1"/>
    <w:rsid w:val="000F00E5"/>
    <w:rsid w:val="000F0BCE"/>
    <w:rsid w:val="000F420B"/>
    <w:rsid w:val="000F43FE"/>
    <w:rsid w:val="000F4567"/>
    <w:rsid w:val="000F5345"/>
    <w:rsid w:val="000F5454"/>
    <w:rsid w:val="000F6FBC"/>
    <w:rsid w:val="000F70FA"/>
    <w:rsid w:val="000F7CA2"/>
    <w:rsid w:val="001001CD"/>
    <w:rsid w:val="00101376"/>
    <w:rsid w:val="001014CE"/>
    <w:rsid w:val="00101B41"/>
    <w:rsid w:val="001022AB"/>
    <w:rsid w:val="00102CD4"/>
    <w:rsid w:val="001030A9"/>
    <w:rsid w:val="00105AF4"/>
    <w:rsid w:val="00105F97"/>
    <w:rsid w:val="001066B7"/>
    <w:rsid w:val="00106A86"/>
    <w:rsid w:val="00107EEF"/>
    <w:rsid w:val="00110116"/>
    <w:rsid w:val="001102CB"/>
    <w:rsid w:val="00111BF8"/>
    <w:rsid w:val="00112FCE"/>
    <w:rsid w:val="00113893"/>
    <w:rsid w:val="00114354"/>
    <w:rsid w:val="0011487D"/>
    <w:rsid w:val="00114BDE"/>
    <w:rsid w:val="001152D4"/>
    <w:rsid w:val="00116793"/>
    <w:rsid w:val="00116AE7"/>
    <w:rsid w:val="001173FF"/>
    <w:rsid w:val="00117605"/>
    <w:rsid w:val="00117ED3"/>
    <w:rsid w:val="00120045"/>
    <w:rsid w:val="00120072"/>
    <w:rsid w:val="001214CF"/>
    <w:rsid w:val="001236B0"/>
    <w:rsid w:val="00124629"/>
    <w:rsid w:val="00124E58"/>
    <w:rsid w:val="001262A8"/>
    <w:rsid w:val="0012654F"/>
    <w:rsid w:val="001266C5"/>
    <w:rsid w:val="00126EB8"/>
    <w:rsid w:val="001274D4"/>
    <w:rsid w:val="001313B7"/>
    <w:rsid w:val="0013157B"/>
    <w:rsid w:val="00131CEA"/>
    <w:rsid w:val="001321D6"/>
    <w:rsid w:val="00132336"/>
    <w:rsid w:val="00132FAA"/>
    <w:rsid w:val="001331C7"/>
    <w:rsid w:val="00133780"/>
    <w:rsid w:val="001363AA"/>
    <w:rsid w:val="00136810"/>
    <w:rsid w:val="0013739A"/>
    <w:rsid w:val="00140CBC"/>
    <w:rsid w:val="00141C7D"/>
    <w:rsid w:val="00141D20"/>
    <w:rsid w:val="00141FF8"/>
    <w:rsid w:val="0014249B"/>
    <w:rsid w:val="00144898"/>
    <w:rsid w:val="00144CE4"/>
    <w:rsid w:val="00144EB6"/>
    <w:rsid w:val="001453BE"/>
    <w:rsid w:val="00145851"/>
    <w:rsid w:val="00146F37"/>
    <w:rsid w:val="001477F5"/>
    <w:rsid w:val="00150DBF"/>
    <w:rsid w:val="0015109C"/>
    <w:rsid w:val="00151832"/>
    <w:rsid w:val="00151A1B"/>
    <w:rsid w:val="001522FC"/>
    <w:rsid w:val="00152C8F"/>
    <w:rsid w:val="00155602"/>
    <w:rsid w:val="00155CCC"/>
    <w:rsid w:val="00156CB6"/>
    <w:rsid w:val="00161859"/>
    <w:rsid w:val="001621F5"/>
    <w:rsid w:val="00163AF1"/>
    <w:rsid w:val="00165E87"/>
    <w:rsid w:val="001673EF"/>
    <w:rsid w:val="001674FE"/>
    <w:rsid w:val="00167CAA"/>
    <w:rsid w:val="00171174"/>
    <w:rsid w:val="001716B4"/>
    <w:rsid w:val="00173791"/>
    <w:rsid w:val="00173D8C"/>
    <w:rsid w:val="00174A48"/>
    <w:rsid w:val="00177F3C"/>
    <w:rsid w:val="001800F8"/>
    <w:rsid w:val="00180524"/>
    <w:rsid w:val="00180AC4"/>
    <w:rsid w:val="00180F70"/>
    <w:rsid w:val="00182C2C"/>
    <w:rsid w:val="00182D01"/>
    <w:rsid w:val="0018395E"/>
    <w:rsid w:val="00183E82"/>
    <w:rsid w:val="00185144"/>
    <w:rsid w:val="001854AE"/>
    <w:rsid w:val="001868D4"/>
    <w:rsid w:val="00187551"/>
    <w:rsid w:val="001878BB"/>
    <w:rsid w:val="00187E1C"/>
    <w:rsid w:val="00190267"/>
    <w:rsid w:val="00191096"/>
    <w:rsid w:val="00191512"/>
    <w:rsid w:val="00191AE0"/>
    <w:rsid w:val="00191B2F"/>
    <w:rsid w:val="0019293B"/>
    <w:rsid w:val="00193493"/>
    <w:rsid w:val="0019426B"/>
    <w:rsid w:val="00195E86"/>
    <w:rsid w:val="001962FD"/>
    <w:rsid w:val="001A064A"/>
    <w:rsid w:val="001A0A6F"/>
    <w:rsid w:val="001A1E40"/>
    <w:rsid w:val="001A2E5A"/>
    <w:rsid w:val="001A3CA8"/>
    <w:rsid w:val="001A5665"/>
    <w:rsid w:val="001A6234"/>
    <w:rsid w:val="001A777C"/>
    <w:rsid w:val="001A7858"/>
    <w:rsid w:val="001A7B19"/>
    <w:rsid w:val="001B168A"/>
    <w:rsid w:val="001B2275"/>
    <w:rsid w:val="001B30F0"/>
    <w:rsid w:val="001B3485"/>
    <w:rsid w:val="001B3E10"/>
    <w:rsid w:val="001B4EC4"/>
    <w:rsid w:val="001B527D"/>
    <w:rsid w:val="001B5662"/>
    <w:rsid w:val="001B5A97"/>
    <w:rsid w:val="001B7505"/>
    <w:rsid w:val="001C0865"/>
    <w:rsid w:val="001C31FF"/>
    <w:rsid w:val="001C3267"/>
    <w:rsid w:val="001C3981"/>
    <w:rsid w:val="001C3ABA"/>
    <w:rsid w:val="001C3DD0"/>
    <w:rsid w:val="001C499E"/>
    <w:rsid w:val="001C5090"/>
    <w:rsid w:val="001C5111"/>
    <w:rsid w:val="001C56A3"/>
    <w:rsid w:val="001C573E"/>
    <w:rsid w:val="001C6767"/>
    <w:rsid w:val="001C69FB"/>
    <w:rsid w:val="001C73C6"/>
    <w:rsid w:val="001D04AF"/>
    <w:rsid w:val="001D052D"/>
    <w:rsid w:val="001D2F39"/>
    <w:rsid w:val="001D3997"/>
    <w:rsid w:val="001D6303"/>
    <w:rsid w:val="001D79F3"/>
    <w:rsid w:val="001E0029"/>
    <w:rsid w:val="001E0B7C"/>
    <w:rsid w:val="001E2849"/>
    <w:rsid w:val="001E34BA"/>
    <w:rsid w:val="001E37A8"/>
    <w:rsid w:val="001E3AA6"/>
    <w:rsid w:val="001E3D8D"/>
    <w:rsid w:val="001E5089"/>
    <w:rsid w:val="001E7BE8"/>
    <w:rsid w:val="001F0248"/>
    <w:rsid w:val="001F219D"/>
    <w:rsid w:val="001F260E"/>
    <w:rsid w:val="001F3EB3"/>
    <w:rsid w:val="001F4540"/>
    <w:rsid w:val="001F49AE"/>
    <w:rsid w:val="001F4F86"/>
    <w:rsid w:val="001F6892"/>
    <w:rsid w:val="00200185"/>
    <w:rsid w:val="00201270"/>
    <w:rsid w:val="00201B60"/>
    <w:rsid w:val="00201C40"/>
    <w:rsid w:val="00202C2C"/>
    <w:rsid w:val="00203168"/>
    <w:rsid w:val="00203C43"/>
    <w:rsid w:val="00204D8C"/>
    <w:rsid w:val="00205024"/>
    <w:rsid w:val="00205EA2"/>
    <w:rsid w:val="00206197"/>
    <w:rsid w:val="00206F7A"/>
    <w:rsid w:val="00207E5D"/>
    <w:rsid w:val="00210254"/>
    <w:rsid w:val="002109A3"/>
    <w:rsid w:val="00211132"/>
    <w:rsid w:val="00211C76"/>
    <w:rsid w:val="0021213E"/>
    <w:rsid w:val="002127B6"/>
    <w:rsid w:val="0021304F"/>
    <w:rsid w:val="002130D4"/>
    <w:rsid w:val="002131D8"/>
    <w:rsid w:val="002135AB"/>
    <w:rsid w:val="002137BA"/>
    <w:rsid w:val="0021405E"/>
    <w:rsid w:val="002144BE"/>
    <w:rsid w:val="00214FBD"/>
    <w:rsid w:val="00215A46"/>
    <w:rsid w:val="00216A0B"/>
    <w:rsid w:val="00217CEA"/>
    <w:rsid w:val="002200AE"/>
    <w:rsid w:val="00222BAA"/>
    <w:rsid w:val="00223348"/>
    <w:rsid w:val="00223D8A"/>
    <w:rsid w:val="00225637"/>
    <w:rsid w:val="00225A4A"/>
    <w:rsid w:val="00226B66"/>
    <w:rsid w:val="0022730F"/>
    <w:rsid w:val="002276E9"/>
    <w:rsid w:val="0022772F"/>
    <w:rsid w:val="00231433"/>
    <w:rsid w:val="00231A25"/>
    <w:rsid w:val="0023570D"/>
    <w:rsid w:val="00235793"/>
    <w:rsid w:val="002408A0"/>
    <w:rsid w:val="00242279"/>
    <w:rsid w:val="00242CFF"/>
    <w:rsid w:val="00243727"/>
    <w:rsid w:val="00243997"/>
    <w:rsid w:val="0024516C"/>
    <w:rsid w:val="00245C82"/>
    <w:rsid w:val="00246B32"/>
    <w:rsid w:val="00246B65"/>
    <w:rsid w:val="0024760D"/>
    <w:rsid w:val="00247953"/>
    <w:rsid w:val="0025142E"/>
    <w:rsid w:val="0025227B"/>
    <w:rsid w:val="00252713"/>
    <w:rsid w:val="0025290F"/>
    <w:rsid w:val="002541B5"/>
    <w:rsid w:val="002541EA"/>
    <w:rsid w:val="0025617E"/>
    <w:rsid w:val="00256381"/>
    <w:rsid w:val="00256EFB"/>
    <w:rsid w:val="0025708B"/>
    <w:rsid w:val="0025784B"/>
    <w:rsid w:val="00257D14"/>
    <w:rsid w:val="00260C68"/>
    <w:rsid w:val="00261D31"/>
    <w:rsid w:val="00263181"/>
    <w:rsid w:val="00263AA8"/>
    <w:rsid w:val="00264F6E"/>
    <w:rsid w:val="00264FE5"/>
    <w:rsid w:val="0026602F"/>
    <w:rsid w:val="00266FB4"/>
    <w:rsid w:val="00266FE8"/>
    <w:rsid w:val="002676D2"/>
    <w:rsid w:val="00267D69"/>
    <w:rsid w:val="00270583"/>
    <w:rsid w:val="00271447"/>
    <w:rsid w:val="00271FCA"/>
    <w:rsid w:val="002724BA"/>
    <w:rsid w:val="00272830"/>
    <w:rsid w:val="002729BE"/>
    <w:rsid w:val="0027340B"/>
    <w:rsid w:val="00274CEA"/>
    <w:rsid w:val="00275FE5"/>
    <w:rsid w:val="00276A04"/>
    <w:rsid w:val="00276F55"/>
    <w:rsid w:val="00277A7D"/>
    <w:rsid w:val="00277DE1"/>
    <w:rsid w:val="00280236"/>
    <w:rsid w:val="00280AC6"/>
    <w:rsid w:val="00282A6C"/>
    <w:rsid w:val="0028434A"/>
    <w:rsid w:val="00285445"/>
    <w:rsid w:val="00285E76"/>
    <w:rsid w:val="00286C7A"/>
    <w:rsid w:val="00287CA2"/>
    <w:rsid w:val="00287EE9"/>
    <w:rsid w:val="002900CC"/>
    <w:rsid w:val="00290F58"/>
    <w:rsid w:val="00291B40"/>
    <w:rsid w:val="00292911"/>
    <w:rsid w:val="00293EE4"/>
    <w:rsid w:val="0029618D"/>
    <w:rsid w:val="00296364"/>
    <w:rsid w:val="00296B66"/>
    <w:rsid w:val="002A11A9"/>
    <w:rsid w:val="002A14B9"/>
    <w:rsid w:val="002A2173"/>
    <w:rsid w:val="002A2522"/>
    <w:rsid w:val="002A399D"/>
    <w:rsid w:val="002A4669"/>
    <w:rsid w:val="002A47C7"/>
    <w:rsid w:val="002A68A9"/>
    <w:rsid w:val="002B0234"/>
    <w:rsid w:val="002B08DB"/>
    <w:rsid w:val="002B0954"/>
    <w:rsid w:val="002B4008"/>
    <w:rsid w:val="002B5164"/>
    <w:rsid w:val="002B52D3"/>
    <w:rsid w:val="002B5430"/>
    <w:rsid w:val="002B546F"/>
    <w:rsid w:val="002B7E87"/>
    <w:rsid w:val="002C042B"/>
    <w:rsid w:val="002C2F4C"/>
    <w:rsid w:val="002C36A4"/>
    <w:rsid w:val="002C3E7A"/>
    <w:rsid w:val="002C439F"/>
    <w:rsid w:val="002C4B08"/>
    <w:rsid w:val="002C68FA"/>
    <w:rsid w:val="002D079E"/>
    <w:rsid w:val="002D0E8E"/>
    <w:rsid w:val="002D1B14"/>
    <w:rsid w:val="002D1F94"/>
    <w:rsid w:val="002D3487"/>
    <w:rsid w:val="002D3935"/>
    <w:rsid w:val="002D39DB"/>
    <w:rsid w:val="002D7089"/>
    <w:rsid w:val="002D7575"/>
    <w:rsid w:val="002E099A"/>
    <w:rsid w:val="002E1153"/>
    <w:rsid w:val="002E14D0"/>
    <w:rsid w:val="002E2508"/>
    <w:rsid w:val="002E2FA5"/>
    <w:rsid w:val="002E4988"/>
    <w:rsid w:val="002E52B0"/>
    <w:rsid w:val="002E5592"/>
    <w:rsid w:val="002E64E9"/>
    <w:rsid w:val="002E736D"/>
    <w:rsid w:val="002E7D0B"/>
    <w:rsid w:val="002E7FDF"/>
    <w:rsid w:val="002F00AF"/>
    <w:rsid w:val="002F08B7"/>
    <w:rsid w:val="002F0C6B"/>
    <w:rsid w:val="002F401E"/>
    <w:rsid w:val="002F413D"/>
    <w:rsid w:val="002F4D6E"/>
    <w:rsid w:val="002F5411"/>
    <w:rsid w:val="002F5682"/>
    <w:rsid w:val="002F57D9"/>
    <w:rsid w:val="002F605F"/>
    <w:rsid w:val="002F6487"/>
    <w:rsid w:val="002F679A"/>
    <w:rsid w:val="002F71CB"/>
    <w:rsid w:val="00300ADA"/>
    <w:rsid w:val="00301189"/>
    <w:rsid w:val="003017A6"/>
    <w:rsid w:val="00301E4A"/>
    <w:rsid w:val="00303B68"/>
    <w:rsid w:val="00304DF2"/>
    <w:rsid w:val="00304ED7"/>
    <w:rsid w:val="0030549B"/>
    <w:rsid w:val="003061EB"/>
    <w:rsid w:val="00307331"/>
    <w:rsid w:val="00307AE2"/>
    <w:rsid w:val="00310DBE"/>
    <w:rsid w:val="00310F89"/>
    <w:rsid w:val="00311671"/>
    <w:rsid w:val="0031319B"/>
    <w:rsid w:val="00313E52"/>
    <w:rsid w:val="003150F8"/>
    <w:rsid w:val="0031516B"/>
    <w:rsid w:val="00315CFC"/>
    <w:rsid w:val="0031614F"/>
    <w:rsid w:val="003161C0"/>
    <w:rsid w:val="003162B4"/>
    <w:rsid w:val="00316749"/>
    <w:rsid w:val="003168B8"/>
    <w:rsid w:val="0032013B"/>
    <w:rsid w:val="00320886"/>
    <w:rsid w:val="003211BA"/>
    <w:rsid w:val="0032121C"/>
    <w:rsid w:val="00321DBD"/>
    <w:rsid w:val="00323A00"/>
    <w:rsid w:val="00323E09"/>
    <w:rsid w:val="0032495E"/>
    <w:rsid w:val="00324D64"/>
    <w:rsid w:val="00324DB9"/>
    <w:rsid w:val="00326658"/>
    <w:rsid w:val="00330E9F"/>
    <w:rsid w:val="00331495"/>
    <w:rsid w:val="00331DF1"/>
    <w:rsid w:val="00331EC3"/>
    <w:rsid w:val="0033215D"/>
    <w:rsid w:val="00332AF2"/>
    <w:rsid w:val="00332E03"/>
    <w:rsid w:val="00333932"/>
    <w:rsid w:val="00333BD0"/>
    <w:rsid w:val="00334855"/>
    <w:rsid w:val="003349BB"/>
    <w:rsid w:val="00335195"/>
    <w:rsid w:val="00336C25"/>
    <w:rsid w:val="00336CE5"/>
    <w:rsid w:val="00341721"/>
    <w:rsid w:val="00342A0D"/>
    <w:rsid w:val="0034330A"/>
    <w:rsid w:val="003437A4"/>
    <w:rsid w:val="00343EFA"/>
    <w:rsid w:val="00344021"/>
    <w:rsid w:val="00344630"/>
    <w:rsid w:val="00347E5E"/>
    <w:rsid w:val="00350506"/>
    <w:rsid w:val="003514C4"/>
    <w:rsid w:val="003518AA"/>
    <w:rsid w:val="00352165"/>
    <w:rsid w:val="00353182"/>
    <w:rsid w:val="0035382A"/>
    <w:rsid w:val="003540E6"/>
    <w:rsid w:val="003544C1"/>
    <w:rsid w:val="00355167"/>
    <w:rsid w:val="0035548F"/>
    <w:rsid w:val="00355D3C"/>
    <w:rsid w:val="003565D9"/>
    <w:rsid w:val="00357105"/>
    <w:rsid w:val="003600E9"/>
    <w:rsid w:val="003602E1"/>
    <w:rsid w:val="00362270"/>
    <w:rsid w:val="00362E12"/>
    <w:rsid w:val="00366E0F"/>
    <w:rsid w:val="0037006A"/>
    <w:rsid w:val="0037026F"/>
    <w:rsid w:val="00370CCC"/>
    <w:rsid w:val="00370D39"/>
    <w:rsid w:val="00371240"/>
    <w:rsid w:val="003715E7"/>
    <w:rsid w:val="003716C5"/>
    <w:rsid w:val="003717CE"/>
    <w:rsid w:val="00372B1D"/>
    <w:rsid w:val="00372C4D"/>
    <w:rsid w:val="00372D60"/>
    <w:rsid w:val="00374731"/>
    <w:rsid w:val="003750A7"/>
    <w:rsid w:val="003751E5"/>
    <w:rsid w:val="00375412"/>
    <w:rsid w:val="00375491"/>
    <w:rsid w:val="00376E59"/>
    <w:rsid w:val="00376EE2"/>
    <w:rsid w:val="0037749E"/>
    <w:rsid w:val="00380340"/>
    <w:rsid w:val="00381126"/>
    <w:rsid w:val="00381643"/>
    <w:rsid w:val="0038311D"/>
    <w:rsid w:val="00383204"/>
    <w:rsid w:val="0038423C"/>
    <w:rsid w:val="0038442F"/>
    <w:rsid w:val="00387B08"/>
    <w:rsid w:val="00387F92"/>
    <w:rsid w:val="00390735"/>
    <w:rsid w:val="003912DF"/>
    <w:rsid w:val="00391500"/>
    <w:rsid w:val="003919F9"/>
    <w:rsid w:val="0039341D"/>
    <w:rsid w:val="00393429"/>
    <w:rsid w:val="003937F9"/>
    <w:rsid w:val="00394A6E"/>
    <w:rsid w:val="00395708"/>
    <w:rsid w:val="00395A50"/>
    <w:rsid w:val="00397534"/>
    <w:rsid w:val="003A155B"/>
    <w:rsid w:val="003A16B2"/>
    <w:rsid w:val="003A3883"/>
    <w:rsid w:val="003A5D94"/>
    <w:rsid w:val="003A6273"/>
    <w:rsid w:val="003A6A08"/>
    <w:rsid w:val="003A6B78"/>
    <w:rsid w:val="003A7F22"/>
    <w:rsid w:val="003B078E"/>
    <w:rsid w:val="003B0FBC"/>
    <w:rsid w:val="003B1BAC"/>
    <w:rsid w:val="003B23C2"/>
    <w:rsid w:val="003B2BCD"/>
    <w:rsid w:val="003B3B3E"/>
    <w:rsid w:val="003B4021"/>
    <w:rsid w:val="003B40C5"/>
    <w:rsid w:val="003B4EE8"/>
    <w:rsid w:val="003B6AE9"/>
    <w:rsid w:val="003B715C"/>
    <w:rsid w:val="003B767C"/>
    <w:rsid w:val="003B7703"/>
    <w:rsid w:val="003C012B"/>
    <w:rsid w:val="003C01CE"/>
    <w:rsid w:val="003C07E0"/>
    <w:rsid w:val="003C0BCD"/>
    <w:rsid w:val="003C232E"/>
    <w:rsid w:val="003C2D12"/>
    <w:rsid w:val="003C38B5"/>
    <w:rsid w:val="003C5CBB"/>
    <w:rsid w:val="003C5D99"/>
    <w:rsid w:val="003C6723"/>
    <w:rsid w:val="003C6CA3"/>
    <w:rsid w:val="003C6D6F"/>
    <w:rsid w:val="003C6FE0"/>
    <w:rsid w:val="003C7797"/>
    <w:rsid w:val="003C785C"/>
    <w:rsid w:val="003D08EF"/>
    <w:rsid w:val="003D1087"/>
    <w:rsid w:val="003D1149"/>
    <w:rsid w:val="003D16FA"/>
    <w:rsid w:val="003D2703"/>
    <w:rsid w:val="003D2B0F"/>
    <w:rsid w:val="003D2FFC"/>
    <w:rsid w:val="003D31F1"/>
    <w:rsid w:val="003D337E"/>
    <w:rsid w:val="003D3941"/>
    <w:rsid w:val="003D7EB7"/>
    <w:rsid w:val="003E01F0"/>
    <w:rsid w:val="003E0946"/>
    <w:rsid w:val="003E16ED"/>
    <w:rsid w:val="003E1DA9"/>
    <w:rsid w:val="003E2F59"/>
    <w:rsid w:val="003E51DA"/>
    <w:rsid w:val="003E6474"/>
    <w:rsid w:val="003E6B47"/>
    <w:rsid w:val="003E7177"/>
    <w:rsid w:val="003E746B"/>
    <w:rsid w:val="003E7DFC"/>
    <w:rsid w:val="003F064E"/>
    <w:rsid w:val="003F0789"/>
    <w:rsid w:val="003F0925"/>
    <w:rsid w:val="003F1B0D"/>
    <w:rsid w:val="003F1FC9"/>
    <w:rsid w:val="003F20FC"/>
    <w:rsid w:val="003F3BAF"/>
    <w:rsid w:val="003F3E49"/>
    <w:rsid w:val="003F404F"/>
    <w:rsid w:val="003F458B"/>
    <w:rsid w:val="003F4738"/>
    <w:rsid w:val="003F4746"/>
    <w:rsid w:val="003F4A3A"/>
    <w:rsid w:val="003F4BE0"/>
    <w:rsid w:val="003F4DF7"/>
    <w:rsid w:val="003F4E0B"/>
    <w:rsid w:val="003F4EA2"/>
    <w:rsid w:val="003F565D"/>
    <w:rsid w:val="003F56B4"/>
    <w:rsid w:val="003F61D2"/>
    <w:rsid w:val="003F6E38"/>
    <w:rsid w:val="003F6F34"/>
    <w:rsid w:val="00400269"/>
    <w:rsid w:val="004015EE"/>
    <w:rsid w:val="00401882"/>
    <w:rsid w:val="004038FA"/>
    <w:rsid w:val="00403C89"/>
    <w:rsid w:val="00403FC7"/>
    <w:rsid w:val="00406CE4"/>
    <w:rsid w:val="00407DBA"/>
    <w:rsid w:val="004100C8"/>
    <w:rsid w:val="0041029E"/>
    <w:rsid w:val="00410BDF"/>
    <w:rsid w:val="00411C85"/>
    <w:rsid w:val="00411DBD"/>
    <w:rsid w:val="004120C3"/>
    <w:rsid w:val="00412179"/>
    <w:rsid w:val="00412434"/>
    <w:rsid w:val="00412ACE"/>
    <w:rsid w:val="00412B39"/>
    <w:rsid w:val="0041307D"/>
    <w:rsid w:val="004139C4"/>
    <w:rsid w:val="00413EC4"/>
    <w:rsid w:val="004142E4"/>
    <w:rsid w:val="004145D2"/>
    <w:rsid w:val="00414D7F"/>
    <w:rsid w:val="0041511D"/>
    <w:rsid w:val="00415F39"/>
    <w:rsid w:val="00417AB8"/>
    <w:rsid w:val="00417BC9"/>
    <w:rsid w:val="00417C32"/>
    <w:rsid w:val="00421D28"/>
    <w:rsid w:val="00422754"/>
    <w:rsid w:val="00423584"/>
    <w:rsid w:val="00423952"/>
    <w:rsid w:val="00423DE2"/>
    <w:rsid w:val="00424BBA"/>
    <w:rsid w:val="00425A80"/>
    <w:rsid w:val="00426150"/>
    <w:rsid w:val="00426828"/>
    <w:rsid w:val="00426988"/>
    <w:rsid w:val="00426CB4"/>
    <w:rsid w:val="00427ACF"/>
    <w:rsid w:val="00427BC3"/>
    <w:rsid w:val="00427FA8"/>
    <w:rsid w:val="00431249"/>
    <w:rsid w:val="004313ED"/>
    <w:rsid w:val="0043164A"/>
    <w:rsid w:val="004316B7"/>
    <w:rsid w:val="00431AB1"/>
    <w:rsid w:val="004340E6"/>
    <w:rsid w:val="004349D4"/>
    <w:rsid w:val="00434C19"/>
    <w:rsid w:val="00435A7B"/>
    <w:rsid w:val="0043663B"/>
    <w:rsid w:val="00436EC6"/>
    <w:rsid w:val="00436F4D"/>
    <w:rsid w:val="0043792B"/>
    <w:rsid w:val="00437934"/>
    <w:rsid w:val="00437B5C"/>
    <w:rsid w:val="00440BE3"/>
    <w:rsid w:val="00440C8C"/>
    <w:rsid w:val="004419A3"/>
    <w:rsid w:val="00441CEF"/>
    <w:rsid w:val="00441DCE"/>
    <w:rsid w:val="00441E1B"/>
    <w:rsid w:val="004424B3"/>
    <w:rsid w:val="004434DC"/>
    <w:rsid w:val="004446F1"/>
    <w:rsid w:val="00445D7A"/>
    <w:rsid w:val="004475CA"/>
    <w:rsid w:val="00447C76"/>
    <w:rsid w:val="00450505"/>
    <w:rsid w:val="00450810"/>
    <w:rsid w:val="00450E3A"/>
    <w:rsid w:val="004510A0"/>
    <w:rsid w:val="00451A9F"/>
    <w:rsid w:val="0045244F"/>
    <w:rsid w:val="0045274E"/>
    <w:rsid w:val="00453E13"/>
    <w:rsid w:val="004547D4"/>
    <w:rsid w:val="00455B58"/>
    <w:rsid w:val="004562DF"/>
    <w:rsid w:val="0045657F"/>
    <w:rsid w:val="00457896"/>
    <w:rsid w:val="00457D61"/>
    <w:rsid w:val="00462176"/>
    <w:rsid w:val="0046228F"/>
    <w:rsid w:val="00462CEB"/>
    <w:rsid w:val="00462D93"/>
    <w:rsid w:val="00462DF9"/>
    <w:rsid w:val="00462E82"/>
    <w:rsid w:val="004635A0"/>
    <w:rsid w:val="0046432F"/>
    <w:rsid w:val="00464B55"/>
    <w:rsid w:val="00464BC1"/>
    <w:rsid w:val="00465D0B"/>
    <w:rsid w:val="0046637F"/>
    <w:rsid w:val="004665B7"/>
    <w:rsid w:val="00467038"/>
    <w:rsid w:val="00470737"/>
    <w:rsid w:val="004723EC"/>
    <w:rsid w:val="004726C4"/>
    <w:rsid w:val="004736D2"/>
    <w:rsid w:val="00473B43"/>
    <w:rsid w:val="00473F00"/>
    <w:rsid w:val="00473F66"/>
    <w:rsid w:val="00474065"/>
    <w:rsid w:val="0047583F"/>
    <w:rsid w:val="00476366"/>
    <w:rsid w:val="00476B55"/>
    <w:rsid w:val="00477144"/>
    <w:rsid w:val="004771E2"/>
    <w:rsid w:val="00477332"/>
    <w:rsid w:val="00477552"/>
    <w:rsid w:val="0048022B"/>
    <w:rsid w:val="00480F3E"/>
    <w:rsid w:val="004818D6"/>
    <w:rsid w:val="00482C5F"/>
    <w:rsid w:val="00482E77"/>
    <w:rsid w:val="00483A35"/>
    <w:rsid w:val="0048409E"/>
    <w:rsid w:val="004847BC"/>
    <w:rsid w:val="0048491F"/>
    <w:rsid w:val="00484C51"/>
    <w:rsid w:val="00485610"/>
    <w:rsid w:val="00486827"/>
    <w:rsid w:val="0048683F"/>
    <w:rsid w:val="00487077"/>
    <w:rsid w:val="00487B81"/>
    <w:rsid w:val="00487D51"/>
    <w:rsid w:val="00487FF3"/>
    <w:rsid w:val="00490595"/>
    <w:rsid w:val="00490D9A"/>
    <w:rsid w:val="00491380"/>
    <w:rsid w:val="00491410"/>
    <w:rsid w:val="0049180F"/>
    <w:rsid w:val="0049194D"/>
    <w:rsid w:val="00492467"/>
    <w:rsid w:val="004926CA"/>
    <w:rsid w:val="004928D1"/>
    <w:rsid w:val="004943DE"/>
    <w:rsid w:val="0049459F"/>
    <w:rsid w:val="004954CE"/>
    <w:rsid w:val="00495EB0"/>
    <w:rsid w:val="00497559"/>
    <w:rsid w:val="004A0564"/>
    <w:rsid w:val="004A10F4"/>
    <w:rsid w:val="004A324D"/>
    <w:rsid w:val="004A3553"/>
    <w:rsid w:val="004A35E4"/>
    <w:rsid w:val="004A387D"/>
    <w:rsid w:val="004A38DD"/>
    <w:rsid w:val="004A58C0"/>
    <w:rsid w:val="004A66F3"/>
    <w:rsid w:val="004A6A54"/>
    <w:rsid w:val="004A6F96"/>
    <w:rsid w:val="004A7025"/>
    <w:rsid w:val="004B006D"/>
    <w:rsid w:val="004B0D37"/>
    <w:rsid w:val="004B2340"/>
    <w:rsid w:val="004B2B76"/>
    <w:rsid w:val="004B3383"/>
    <w:rsid w:val="004B37A4"/>
    <w:rsid w:val="004B43AE"/>
    <w:rsid w:val="004B4537"/>
    <w:rsid w:val="004B47F0"/>
    <w:rsid w:val="004B5838"/>
    <w:rsid w:val="004B612A"/>
    <w:rsid w:val="004B7A49"/>
    <w:rsid w:val="004C0C23"/>
    <w:rsid w:val="004C1312"/>
    <w:rsid w:val="004C1915"/>
    <w:rsid w:val="004C1BB6"/>
    <w:rsid w:val="004C2896"/>
    <w:rsid w:val="004C2CEF"/>
    <w:rsid w:val="004C30ED"/>
    <w:rsid w:val="004C3F88"/>
    <w:rsid w:val="004C4446"/>
    <w:rsid w:val="004C4AE7"/>
    <w:rsid w:val="004C54A0"/>
    <w:rsid w:val="004C62B3"/>
    <w:rsid w:val="004C6783"/>
    <w:rsid w:val="004C6CAE"/>
    <w:rsid w:val="004D275E"/>
    <w:rsid w:val="004D2DAE"/>
    <w:rsid w:val="004D2DE0"/>
    <w:rsid w:val="004D37C9"/>
    <w:rsid w:val="004D49C0"/>
    <w:rsid w:val="004D4A15"/>
    <w:rsid w:val="004D5675"/>
    <w:rsid w:val="004D5B0A"/>
    <w:rsid w:val="004D6217"/>
    <w:rsid w:val="004D6D64"/>
    <w:rsid w:val="004E0167"/>
    <w:rsid w:val="004E078D"/>
    <w:rsid w:val="004E1E67"/>
    <w:rsid w:val="004E44A1"/>
    <w:rsid w:val="004E4B17"/>
    <w:rsid w:val="004E4BDA"/>
    <w:rsid w:val="004E4C70"/>
    <w:rsid w:val="004E5D39"/>
    <w:rsid w:val="004E7D91"/>
    <w:rsid w:val="004F0296"/>
    <w:rsid w:val="004F040E"/>
    <w:rsid w:val="004F0BA8"/>
    <w:rsid w:val="004F1A93"/>
    <w:rsid w:val="004F3396"/>
    <w:rsid w:val="004F3B9C"/>
    <w:rsid w:val="004F3C68"/>
    <w:rsid w:val="004F5A78"/>
    <w:rsid w:val="004F7582"/>
    <w:rsid w:val="004F7A08"/>
    <w:rsid w:val="005003ED"/>
    <w:rsid w:val="00503EFF"/>
    <w:rsid w:val="00505288"/>
    <w:rsid w:val="005070D2"/>
    <w:rsid w:val="0050725E"/>
    <w:rsid w:val="00507356"/>
    <w:rsid w:val="0051178F"/>
    <w:rsid w:val="00511BDC"/>
    <w:rsid w:val="0051211B"/>
    <w:rsid w:val="00512463"/>
    <w:rsid w:val="00512B59"/>
    <w:rsid w:val="00512BE3"/>
    <w:rsid w:val="005145AF"/>
    <w:rsid w:val="00514667"/>
    <w:rsid w:val="00514FF8"/>
    <w:rsid w:val="00516CF6"/>
    <w:rsid w:val="0051733A"/>
    <w:rsid w:val="00517449"/>
    <w:rsid w:val="00517795"/>
    <w:rsid w:val="00520A5D"/>
    <w:rsid w:val="0052168F"/>
    <w:rsid w:val="00521D3B"/>
    <w:rsid w:val="0052265E"/>
    <w:rsid w:val="0052324A"/>
    <w:rsid w:val="00523270"/>
    <w:rsid w:val="00523639"/>
    <w:rsid w:val="00525340"/>
    <w:rsid w:val="005253A3"/>
    <w:rsid w:val="00525D48"/>
    <w:rsid w:val="0052700F"/>
    <w:rsid w:val="00527203"/>
    <w:rsid w:val="0052786D"/>
    <w:rsid w:val="00527C7F"/>
    <w:rsid w:val="00527E82"/>
    <w:rsid w:val="00531FE5"/>
    <w:rsid w:val="005322D0"/>
    <w:rsid w:val="005324D0"/>
    <w:rsid w:val="005327EE"/>
    <w:rsid w:val="00532D68"/>
    <w:rsid w:val="005331C0"/>
    <w:rsid w:val="00533DD0"/>
    <w:rsid w:val="00534708"/>
    <w:rsid w:val="00534D7A"/>
    <w:rsid w:val="0053538D"/>
    <w:rsid w:val="00535D25"/>
    <w:rsid w:val="005402FA"/>
    <w:rsid w:val="005404F9"/>
    <w:rsid w:val="005407E4"/>
    <w:rsid w:val="0054098D"/>
    <w:rsid w:val="00540B37"/>
    <w:rsid w:val="0054121F"/>
    <w:rsid w:val="00541913"/>
    <w:rsid w:val="0054194A"/>
    <w:rsid w:val="00541D97"/>
    <w:rsid w:val="00543517"/>
    <w:rsid w:val="00543DBB"/>
    <w:rsid w:val="0054480F"/>
    <w:rsid w:val="00544A2E"/>
    <w:rsid w:val="005454CA"/>
    <w:rsid w:val="005469FB"/>
    <w:rsid w:val="00547071"/>
    <w:rsid w:val="0054760F"/>
    <w:rsid w:val="00547B87"/>
    <w:rsid w:val="00550055"/>
    <w:rsid w:val="00552CC6"/>
    <w:rsid w:val="005535AF"/>
    <w:rsid w:val="00553C13"/>
    <w:rsid w:val="00554180"/>
    <w:rsid w:val="00555C05"/>
    <w:rsid w:val="005574B4"/>
    <w:rsid w:val="00557891"/>
    <w:rsid w:val="00560109"/>
    <w:rsid w:val="00562DBD"/>
    <w:rsid w:val="00562E58"/>
    <w:rsid w:val="0056395C"/>
    <w:rsid w:val="00563F46"/>
    <w:rsid w:val="00564FD2"/>
    <w:rsid w:val="005653A2"/>
    <w:rsid w:val="005700A0"/>
    <w:rsid w:val="00571375"/>
    <w:rsid w:val="00572215"/>
    <w:rsid w:val="005729BD"/>
    <w:rsid w:val="005743F0"/>
    <w:rsid w:val="005748A1"/>
    <w:rsid w:val="00574B02"/>
    <w:rsid w:val="00574CCE"/>
    <w:rsid w:val="00575169"/>
    <w:rsid w:val="0057520A"/>
    <w:rsid w:val="005778AB"/>
    <w:rsid w:val="00577FE3"/>
    <w:rsid w:val="0058013B"/>
    <w:rsid w:val="0058019E"/>
    <w:rsid w:val="0058077E"/>
    <w:rsid w:val="00580C69"/>
    <w:rsid w:val="005811E6"/>
    <w:rsid w:val="0058166A"/>
    <w:rsid w:val="0058189F"/>
    <w:rsid w:val="00582B0D"/>
    <w:rsid w:val="005834C4"/>
    <w:rsid w:val="00583C39"/>
    <w:rsid w:val="00583EF5"/>
    <w:rsid w:val="00584239"/>
    <w:rsid w:val="005848F3"/>
    <w:rsid w:val="00587F28"/>
    <w:rsid w:val="00590011"/>
    <w:rsid w:val="005909CF"/>
    <w:rsid w:val="00591D88"/>
    <w:rsid w:val="00591E71"/>
    <w:rsid w:val="00592866"/>
    <w:rsid w:val="00592E44"/>
    <w:rsid w:val="0059425D"/>
    <w:rsid w:val="0059518D"/>
    <w:rsid w:val="00595459"/>
    <w:rsid w:val="00596251"/>
    <w:rsid w:val="00596E78"/>
    <w:rsid w:val="00597C97"/>
    <w:rsid w:val="005A0D41"/>
    <w:rsid w:val="005A3235"/>
    <w:rsid w:val="005A4809"/>
    <w:rsid w:val="005A5C36"/>
    <w:rsid w:val="005A605F"/>
    <w:rsid w:val="005A7210"/>
    <w:rsid w:val="005B3796"/>
    <w:rsid w:val="005B3A2F"/>
    <w:rsid w:val="005B4424"/>
    <w:rsid w:val="005B5CFF"/>
    <w:rsid w:val="005B7833"/>
    <w:rsid w:val="005B7E03"/>
    <w:rsid w:val="005C2014"/>
    <w:rsid w:val="005C3960"/>
    <w:rsid w:val="005C53CA"/>
    <w:rsid w:val="005C5934"/>
    <w:rsid w:val="005C5E19"/>
    <w:rsid w:val="005C6117"/>
    <w:rsid w:val="005C69F5"/>
    <w:rsid w:val="005C6F7A"/>
    <w:rsid w:val="005C7829"/>
    <w:rsid w:val="005C7E41"/>
    <w:rsid w:val="005D021D"/>
    <w:rsid w:val="005D0BD4"/>
    <w:rsid w:val="005D11AC"/>
    <w:rsid w:val="005D1352"/>
    <w:rsid w:val="005D1A97"/>
    <w:rsid w:val="005D2CE3"/>
    <w:rsid w:val="005D489C"/>
    <w:rsid w:val="005D4F9F"/>
    <w:rsid w:val="005D637D"/>
    <w:rsid w:val="005D69AA"/>
    <w:rsid w:val="005D7116"/>
    <w:rsid w:val="005D729C"/>
    <w:rsid w:val="005D7A5A"/>
    <w:rsid w:val="005E029F"/>
    <w:rsid w:val="005E15A9"/>
    <w:rsid w:val="005E15DD"/>
    <w:rsid w:val="005E1652"/>
    <w:rsid w:val="005E2595"/>
    <w:rsid w:val="005E2C99"/>
    <w:rsid w:val="005E63FD"/>
    <w:rsid w:val="005E76FF"/>
    <w:rsid w:val="005F195D"/>
    <w:rsid w:val="005F2872"/>
    <w:rsid w:val="005F303F"/>
    <w:rsid w:val="005F3BEB"/>
    <w:rsid w:val="005F4661"/>
    <w:rsid w:val="005F48ED"/>
    <w:rsid w:val="006001BB"/>
    <w:rsid w:val="0060023A"/>
    <w:rsid w:val="006005A8"/>
    <w:rsid w:val="00600C96"/>
    <w:rsid w:val="006012D0"/>
    <w:rsid w:val="006016F6"/>
    <w:rsid w:val="00603E2C"/>
    <w:rsid w:val="00604531"/>
    <w:rsid w:val="00604FAA"/>
    <w:rsid w:val="00605001"/>
    <w:rsid w:val="0060503B"/>
    <w:rsid w:val="006068FA"/>
    <w:rsid w:val="0060692F"/>
    <w:rsid w:val="00606A80"/>
    <w:rsid w:val="00606E78"/>
    <w:rsid w:val="0060701B"/>
    <w:rsid w:val="0060725C"/>
    <w:rsid w:val="00607363"/>
    <w:rsid w:val="00607381"/>
    <w:rsid w:val="006074D8"/>
    <w:rsid w:val="00607BF1"/>
    <w:rsid w:val="00610F2D"/>
    <w:rsid w:val="00611A3F"/>
    <w:rsid w:val="00611C12"/>
    <w:rsid w:val="00613622"/>
    <w:rsid w:val="00613CD1"/>
    <w:rsid w:val="00614678"/>
    <w:rsid w:val="00621440"/>
    <w:rsid w:val="006224BB"/>
    <w:rsid w:val="006244B3"/>
    <w:rsid w:val="00624646"/>
    <w:rsid w:val="006250E6"/>
    <w:rsid w:val="00626D93"/>
    <w:rsid w:val="00627A3D"/>
    <w:rsid w:val="00630243"/>
    <w:rsid w:val="00630D4D"/>
    <w:rsid w:val="006319BD"/>
    <w:rsid w:val="00632A74"/>
    <w:rsid w:val="00634A80"/>
    <w:rsid w:val="00635285"/>
    <w:rsid w:val="0063613C"/>
    <w:rsid w:val="0063630C"/>
    <w:rsid w:val="00637664"/>
    <w:rsid w:val="00642012"/>
    <w:rsid w:val="00642458"/>
    <w:rsid w:val="00643580"/>
    <w:rsid w:val="00643BF9"/>
    <w:rsid w:val="0064466F"/>
    <w:rsid w:val="006446EE"/>
    <w:rsid w:val="00644859"/>
    <w:rsid w:val="00644951"/>
    <w:rsid w:val="006453EE"/>
    <w:rsid w:val="00645A30"/>
    <w:rsid w:val="006470C8"/>
    <w:rsid w:val="006473AC"/>
    <w:rsid w:val="00647A4C"/>
    <w:rsid w:val="00650919"/>
    <w:rsid w:val="00650F44"/>
    <w:rsid w:val="00651315"/>
    <w:rsid w:val="00651732"/>
    <w:rsid w:val="006525C8"/>
    <w:rsid w:val="00652AC5"/>
    <w:rsid w:val="00654D42"/>
    <w:rsid w:val="0065503B"/>
    <w:rsid w:val="00655C29"/>
    <w:rsid w:val="00655E78"/>
    <w:rsid w:val="0065606A"/>
    <w:rsid w:val="0065693E"/>
    <w:rsid w:val="00656C5C"/>
    <w:rsid w:val="00656CC1"/>
    <w:rsid w:val="006572A1"/>
    <w:rsid w:val="0065779B"/>
    <w:rsid w:val="00657CA3"/>
    <w:rsid w:val="00657F05"/>
    <w:rsid w:val="00660A66"/>
    <w:rsid w:val="00660CEF"/>
    <w:rsid w:val="0066172B"/>
    <w:rsid w:val="0066323E"/>
    <w:rsid w:val="00663289"/>
    <w:rsid w:val="006642A8"/>
    <w:rsid w:val="006660DE"/>
    <w:rsid w:val="00670143"/>
    <w:rsid w:val="00670252"/>
    <w:rsid w:val="0067148C"/>
    <w:rsid w:val="00671A83"/>
    <w:rsid w:val="00672EFC"/>
    <w:rsid w:val="006740B1"/>
    <w:rsid w:val="0067471F"/>
    <w:rsid w:val="00675896"/>
    <w:rsid w:val="006758AD"/>
    <w:rsid w:val="006772FB"/>
    <w:rsid w:val="00677A84"/>
    <w:rsid w:val="0068002E"/>
    <w:rsid w:val="00680578"/>
    <w:rsid w:val="00680BF4"/>
    <w:rsid w:val="00681E92"/>
    <w:rsid w:val="006838AB"/>
    <w:rsid w:val="006838B5"/>
    <w:rsid w:val="00683F31"/>
    <w:rsid w:val="00684432"/>
    <w:rsid w:val="00685D46"/>
    <w:rsid w:val="00686672"/>
    <w:rsid w:val="006904FF"/>
    <w:rsid w:val="006906D1"/>
    <w:rsid w:val="00690ED1"/>
    <w:rsid w:val="00691DF4"/>
    <w:rsid w:val="00692571"/>
    <w:rsid w:val="00692CCB"/>
    <w:rsid w:val="00693BEE"/>
    <w:rsid w:val="006943FB"/>
    <w:rsid w:val="00694BB4"/>
    <w:rsid w:val="00694CBC"/>
    <w:rsid w:val="00695BD6"/>
    <w:rsid w:val="0069628B"/>
    <w:rsid w:val="00696660"/>
    <w:rsid w:val="006976C6"/>
    <w:rsid w:val="006A0B2A"/>
    <w:rsid w:val="006A1B0A"/>
    <w:rsid w:val="006A2777"/>
    <w:rsid w:val="006A27A1"/>
    <w:rsid w:val="006A301A"/>
    <w:rsid w:val="006A40C8"/>
    <w:rsid w:val="006A4655"/>
    <w:rsid w:val="006A6800"/>
    <w:rsid w:val="006B155E"/>
    <w:rsid w:val="006B2B3C"/>
    <w:rsid w:val="006B30C9"/>
    <w:rsid w:val="006B3CF1"/>
    <w:rsid w:val="006B4164"/>
    <w:rsid w:val="006B4FF9"/>
    <w:rsid w:val="006B595C"/>
    <w:rsid w:val="006B66B2"/>
    <w:rsid w:val="006B69D4"/>
    <w:rsid w:val="006B733F"/>
    <w:rsid w:val="006C0E55"/>
    <w:rsid w:val="006C1D81"/>
    <w:rsid w:val="006C213D"/>
    <w:rsid w:val="006C2481"/>
    <w:rsid w:val="006C2F76"/>
    <w:rsid w:val="006C42F3"/>
    <w:rsid w:val="006C69D5"/>
    <w:rsid w:val="006C6E84"/>
    <w:rsid w:val="006C7038"/>
    <w:rsid w:val="006C7A79"/>
    <w:rsid w:val="006C7CA9"/>
    <w:rsid w:val="006D08C0"/>
    <w:rsid w:val="006D0D92"/>
    <w:rsid w:val="006D14C7"/>
    <w:rsid w:val="006D1513"/>
    <w:rsid w:val="006D1AAF"/>
    <w:rsid w:val="006D207E"/>
    <w:rsid w:val="006D3460"/>
    <w:rsid w:val="006D3DDF"/>
    <w:rsid w:val="006D53F8"/>
    <w:rsid w:val="006D5657"/>
    <w:rsid w:val="006D601D"/>
    <w:rsid w:val="006D6D09"/>
    <w:rsid w:val="006D7923"/>
    <w:rsid w:val="006D7C92"/>
    <w:rsid w:val="006D7F98"/>
    <w:rsid w:val="006E02D4"/>
    <w:rsid w:val="006E1905"/>
    <w:rsid w:val="006E2944"/>
    <w:rsid w:val="006E4C48"/>
    <w:rsid w:val="006E7025"/>
    <w:rsid w:val="006E73EF"/>
    <w:rsid w:val="006F0AC3"/>
    <w:rsid w:val="006F1143"/>
    <w:rsid w:val="006F2BA0"/>
    <w:rsid w:val="006F2C89"/>
    <w:rsid w:val="006F2F5F"/>
    <w:rsid w:val="006F4E66"/>
    <w:rsid w:val="00700F7D"/>
    <w:rsid w:val="007015EE"/>
    <w:rsid w:val="00701C67"/>
    <w:rsid w:val="00702C12"/>
    <w:rsid w:val="00703091"/>
    <w:rsid w:val="00705335"/>
    <w:rsid w:val="00705411"/>
    <w:rsid w:val="00705824"/>
    <w:rsid w:val="00705BA4"/>
    <w:rsid w:val="00706FD8"/>
    <w:rsid w:val="007079C9"/>
    <w:rsid w:val="0071016A"/>
    <w:rsid w:val="00710D7D"/>
    <w:rsid w:val="00711DCE"/>
    <w:rsid w:val="007121F5"/>
    <w:rsid w:val="0071274F"/>
    <w:rsid w:val="0071280B"/>
    <w:rsid w:val="00714D4D"/>
    <w:rsid w:val="00714DDE"/>
    <w:rsid w:val="00715126"/>
    <w:rsid w:val="007153DC"/>
    <w:rsid w:val="0072012B"/>
    <w:rsid w:val="0072086B"/>
    <w:rsid w:val="00720920"/>
    <w:rsid w:val="00722191"/>
    <w:rsid w:val="00722739"/>
    <w:rsid w:val="00722BA6"/>
    <w:rsid w:val="00722BA9"/>
    <w:rsid w:val="00722E8A"/>
    <w:rsid w:val="007231C5"/>
    <w:rsid w:val="00723220"/>
    <w:rsid w:val="0072388A"/>
    <w:rsid w:val="00723FCA"/>
    <w:rsid w:val="00724881"/>
    <w:rsid w:val="007248C2"/>
    <w:rsid w:val="00724B6F"/>
    <w:rsid w:val="00724E27"/>
    <w:rsid w:val="00725C64"/>
    <w:rsid w:val="007266D3"/>
    <w:rsid w:val="00726750"/>
    <w:rsid w:val="00726E6D"/>
    <w:rsid w:val="00730167"/>
    <w:rsid w:val="00732029"/>
    <w:rsid w:val="00732F5E"/>
    <w:rsid w:val="0073323B"/>
    <w:rsid w:val="00733345"/>
    <w:rsid w:val="00735420"/>
    <w:rsid w:val="00735C04"/>
    <w:rsid w:val="007369DC"/>
    <w:rsid w:val="00740DE3"/>
    <w:rsid w:val="007422AF"/>
    <w:rsid w:val="007439BE"/>
    <w:rsid w:val="00743FC8"/>
    <w:rsid w:val="007442D2"/>
    <w:rsid w:val="00744D8E"/>
    <w:rsid w:val="00745243"/>
    <w:rsid w:val="007456D9"/>
    <w:rsid w:val="0074594A"/>
    <w:rsid w:val="00745AEA"/>
    <w:rsid w:val="007466BA"/>
    <w:rsid w:val="0075070D"/>
    <w:rsid w:val="00750CE8"/>
    <w:rsid w:val="00751958"/>
    <w:rsid w:val="00752262"/>
    <w:rsid w:val="0075260F"/>
    <w:rsid w:val="00752B47"/>
    <w:rsid w:val="00753B31"/>
    <w:rsid w:val="00754106"/>
    <w:rsid w:val="007549E4"/>
    <w:rsid w:val="0075554D"/>
    <w:rsid w:val="007558A0"/>
    <w:rsid w:val="00756375"/>
    <w:rsid w:val="007564D8"/>
    <w:rsid w:val="00756D7F"/>
    <w:rsid w:val="0075720F"/>
    <w:rsid w:val="0075751B"/>
    <w:rsid w:val="007604BB"/>
    <w:rsid w:val="007610CA"/>
    <w:rsid w:val="0076167F"/>
    <w:rsid w:val="00761D0D"/>
    <w:rsid w:val="007640D4"/>
    <w:rsid w:val="00764476"/>
    <w:rsid w:val="007649A8"/>
    <w:rsid w:val="00766448"/>
    <w:rsid w:val="0076672B"/>
    <w:rsid w:val="00766C18"/>
    <w:rsid w:val="00766CE7"/>
    <w:rsid w:val="00767107"/>
    <w:rsid w:val="00767846"/>
    <w:rsid w:val="00771028"/>
    <w:rsid w:val="00771A20"/>
    <w:rsid w:val="00772035"/>
    <w:rsid w:val="00772B69"/>
    <w:rsid w:val="00772F88"/>
    <w:rsid w:val="0077422E"/>
    <w:rsid w:val="00774C89"/>
    <w:rsid w:val="00774E30"/>
    <w:rsid w:val="0077558B"/>
    <w:rsid w:val="00775655"/>
    <w:rsid w:val="00775786"/>
    <w:rsid w:val="00775A2D"/>
    <w:rsid w:val="00775B61"/>
    <w:rsid w:val="007764C6"/>
    <w:rsid w:val="00776E7E"/>
    <w:rsid w:val="00780D1C"/>
    <w:rsid w:val="007812A6"/>
    <w:rsid w:val="00781A86"/>
    <w:rsid w:val="00781E45"/>
    <w:rsid w:val="00782966"/>
    <w:rsid w:val="00782E84"/>
    <w:rsid w:val="007832E9"/>
    <w:rsid w:val="007838D6"/>
    <w:rsid w:val="00783A5A"/>
    <w:rsid w:val="00783F61"/>
    <w:rsid w:val="00785232"/>
    <w:rsid w:val="00787F1B"/>
    <w:rsid w:val="00787F56"/>
    <w:rsid w:val="007907F9"/>
    <w:rsid w:val="007908AC"/>
    <w:rsid w:val="00791743"/>
    <w:rsid w:val="007928FC"/>
    <w:rsid w:val="007932BF"/>
    <w:rsid w:val="00793C84"/>
    <w:rsid w:val="007947C7"/>
    <w:rsid w:val="00795D2D"/>
    <w:rsid w:val="00795FCB"/>
    <w:rsid w:val="00796043"/>
    <w:rsid w:val="00796F81"/>
    <w:rsid w:val="0079701E"/>
    <w:rsid w:val="0079720C"/>
    <w:rsid w:val="00797754"/>
    <w:rsid w:val="007A052C"/>
    <w:rsid w:val="007A1F78"/>
    <w:rsid w:val="007A21EB"/>
    <w:rsid w:val="007A3020"/>
    <w:rsid w:val="007A3512"/>
    <w:rsid w:val="007A3801"/>
    <w:rsid w:val="007A3B94"/>
    <w:rsid w:val="007A3E4C"/>
    <w:rsid w:val="007A44A6"/>
    <w:rsid w:val="007A49AA"/>
    <w:rsid w:val="007A50F0"/>
    <w:rsid w:val="007A5928"/>
    <w:rsid w:val="007A5A7B"/>
    <w:rsid w:val="007A5C00"/>
    <w:rsid w:val="007A6255"/>
    <w:rsid w:val="007A74AE"/>
    <w:rsid w:val="007A78DF"/>
    <w:rsid w:val="007A7E0A"/>
    <w:rsid w:val="007A7FB0"/>
    <w:rsid w:val="007B0073"/>
    <w:rsid w:val="007B02E5"/>
    <w:rsid w:val="007B1A93"/>
    <w:rsid w:val="007B2E4E"/>
    <w:rsid w:val="007B35F8"/>
    <w:rsid w:val="007B3F0C"/>
    <w:rsid w:val="007B3FB0"/>
    <w:rsid w:val="007B40E8"/>
    <w:rsid w:val="007B42A9"/>
    <w:rsid w:val="007B4DCA"/>
    <w:rsid w:val="007B4F64"/>
    <w:rsid w:val="007B5C81"/>
    <w:rsid w:val="007B7062"/>
    <w:rsid w:val="007B7323"/>
    <w:rsid w:val="007B7DD8"/>
    <w:rsid w:val="007C02EC"/>
    <w:rsid w:val="007C1806"/>
    <w:rsid w:val="007C1A03"/>
    <w:rsid w:val="007C23A0"/>
    <w:rsid w:val="007C36C9"/>
    <w:rsid w:val="007C4281"/>
    <w:rsid w:val="007C45B5"/>
    <w:rsid w:val="007C5B0C"/>
    <w:rsid w:val="007C5BAD"/>
    <w:rsid w:val="007C6D32"/>
    <w:rsid w:val="007C7319"/>
    <w:rsid w:val="007D09F3"/>
    <w:rsid w:val="007D23EB"/>
    <w:rsid w:val="007D27F7"/>
    <w:rsid w:val="007D43EF"/>
    <w:rsid w:val="007D5178"/>
    <w:rsid w:val="007D6401"/>
    <w:rsid w:val="007D6656"/>
    <w:rsid w:val="007D6DA6"/>
    <w:rsid w:val="007D7741"/>
    <w:rsid w:val="007D7DCD"/>
    <w:rsid w:val="007D7DE2"/>
    <w:rsid w:val="007E01E4"/>
    <w:rsid w:val="007E09C5"/>
    <w:rsid w:val="007E107D"/>
    <w:rsid w:val="007E1FE7"/>
    <w:rsid w:val="007E21A2"/>
    <w:rsid w:val="007E282E"/>
    <w:rsid w:val="007E285B"/>
    <w:rsid w:val="007E3A2C"/>
    <w:rsid w:val="007E3C04"/>
    <w:rsid w:val="007E3C85"/>
    <w:rsid w:val="007E4139"/>
    <w:rsid w:val="007E5436"/>
    <w:rsid w:val="007E69A4"/>
    <w:rsid w:val="007E6ED8"/>
    <w:rsid w:val="007E7A12"/>
    <w:rsid w:val="007F1E9D"/>
    <w:rsid w:val="007F2944"/>
    <w:rsid w:val="007F3C96"/>
    <w:rsid w:val="007F53AE"/>
    <w:rsid w:val="007F70EB"/>
    <w:rsid w:val="007F7107"/>
    <w:rsid w:val="007F7CF6"/>
    <w:rsid w:val="007F7DA6"/>
    <w:rsid w:val="00800D4C"/>
    <w:rsid w:val="00801480"/>
    <w:rsid w:val="00801E16"/>
    <w:rsid w:val="00803787"/>
    <w:rsid w:val="00804407"/>
    <w:rsid w:val="0080528D"/>
    <w:rsid w:val="00806341"/>
    <w:rsid w:val="00807667"/>
    <w:rsid w:val="00807F66"/>
    <w:rsid w:val="0081030F"/>
    <w:rsid w:val="00810823"/>
    <w:rsid w:val="00810DCC"/>
    <w:rsid w:val="008112DA"/>
    <w:rsid w:val="008120F2"/>
    <w:rsid w:val="00812F4A"/>
    <w:rsid w:val="0081359A"/>
    <w:rsid w:val="008135CF"/>
    <w:rsid w:val="00814365"/>
    <w:rsid w:val="00814EB2"/>
    <w:rsid w:val="00815292"/>
    <w:rsid w:val="00815BFB"/>
    <w:rsid w:val="0081633B"/>
    <w:rsid w:val="008163BE"/>
    <w:rsid w:val="008177B2"/>
    <w:rsid w:val="008178D3"/>
    <w:rsid w:val="0082087D"/>
    <w:rsid w:val="00820F0D"/>
    <w:rsid w:val="00821BC5"/>
    <w:rsid w:val="008220A8"/>
    <w:rsid w:val="00822C53"/>
    <w:rsid w:val="00822CC5"/>
    <w:rsid w:val="0082521D"/>
    <w:rsid w:val="0082591D"/>
    <w:rsid w:val="00826AB6"/>
    <w:rsid w:val="00826F56"/>
    <w:rsid w:val="00827033"/>
    <w:rsid w:val="0082711D"/>
    <w:rsid w:val="00831715"/>
    <w:rsid w:val="00832381"/>
    <w:rsid w:val="00832980"/>
    <w:rsid w:val="0083312A"/>
    <w:rsid w:val="00833278"/>
    <w:rsid w:val="0083361B"/>
    <w:rsid w:val="00834B72"/>
    <w:rsid w:val="00834CAF"/>
    <w:rsid w:val="00835771"/>
    <w:rsid w:val="00835AAC"/>
    <w:rsid w:val="008363FE"/>
    <w:rsid w:val="00837E13"/>
    <w:rsid w:val="00837E51"/>
    <w:rsid w:val="00841465"/>
    <w:rsid w:val="00841B91"/>
    <w:rsid w:val="00841C65"/>
    <w:rsid w:val="00841D88"/>
    <w:rsid w:val="008428CF"/>
    <w:rsid w:val="00842933"/>
    <w:rsid w:val="008429DC"/>
    <w:rsid w:val="00842A41"/>
    <w:rsid w:val="008434BB"/>
    <w:rsid w:val="00843CF3"/>
    <w:rsid w:val="008443A2"/>
    <w:rsid w:val="00845456"/>
    <w:rsid w:val="0084548A"/>
    <w:rsid w:val="0084663A"/>
    <w:rsid w:val="00846B8B"/>
    <w:rsid w:val="00850CE1"/>
    <w:rsid w:val="00850E6C"/>
    <w:rsid w:val="00851317"/>
    <w:rsid w:val="00852A61"/>
    <w:rsid w:val="00853046"/>
    <w:rsid w:val="00853CDF"/>
    <w:rsid w:val="00853EEE"/>
    <w:rsid w:val="008543B0"/>
    <w:rsid w:val="008543F2"/>
    <w:rsid w:val="0085515B"/>
    <w:rsid w:val="00856123"/>
    <w:rsid w:val="008564EA"/>
    <w:rsid w:val="00856828"/>
    <w:rsid w:val="008578A7"/>
    <w:rsid w:val="0086082C"/>
    <w:rsid w:val="008617FA"/>
    <w:rsid w:val="00862566"/>
    <w:rsid w:val="008631D6"/>
    <w:rsid w:val="008636E6"/>
    <w:rsid w:val="00863AEF"/>
    <w:rsid w:val="008643D9"/>
    <w:rsid w:val="008649B5"/>
    <w:rsid w:val="00864ADC"/>
    <w:rsid w:val="00864FFA"/>
    <w:rsid w:val="0086555D"/>
    <w:rsid w:val="0086674D"/>
    <w:rsid w:val="00866CB0"/>
    <w:rsid w:val="0087015A"/>
    <w:rsid w:val="0087036F"/>
    <w:rsid w:val="00870775"/>
    <w:rsid w:val="0087236A"/>
    <w:rsid w:val="0087279D"/>
    <w:rsid w:val="00874A7C"/>
    <w:rsid w:val="00874C90"/>
    <w:rsid w:val="00875F18"/>
    <w:rsid w:val="008767A4"/>
    <w:rsid w:val="008767D2"/>
    <w:rsid w:val="00876C8C"/>
    <w:rsid w:val="00880153"/>
    <w:rsid w:val="00880904"/>
    <w:rsid w:val="00880F97"/>
    <w:rsid w:val="0088133A"/>
    <w:rsid w:val="00881FB7"/>
    <w:rsid w:val="008830CF"/>
    <w:rsid w:val="00883B29"/>
    <w:rsid w:val="00883E32"/>
    <w:rsid w:val="00884837"/>
    <w:rsid w:val="008849D0"/>
    <w:rsid w:val="0088550F"/>
    <w:rsid w:val="008867FD"/>
    <w:rsid w:val="00887195"/>
    <w:rsid w:val="008878D7"/>
    <w:rsid w:val="008908DD"/>
    <w:rsid w:val="00890E6F"/>
    <w:rsid w:val="0089285E"/>
    <w:rsid w:val="00893362"/>
    <w:rsid w:val="008939F2"/>
    <w:rsid w:val="0089436C"/>
    <w:rsid w:val="008950A5"/>
    <w:rsid w:val="00895A18"/>
    <w:rsid w:val="0089601B"/>
    <w:rsid w:val="00896A87"/>
    <w:rsid w:val="0089713A"/>
    <w:rsid w:val="008973DC"/>
    <w:rsid w:val="0089754B"/>
    <w:rsid w:val="0089759C"/>
    <w:rsid w:val="008977DF"/>
    <w:rsid w:val="008A00F2"/>
    <w:rsid w:val="008A11D8"/>
    <w:rsid w:val="008A11F2"/>
    <w:rsid w:val="008A14BD"/>
    <w:rsid w:val="008A2493"/>
    <w:rsid w:val="008A2D0F"/>
    <w:rsid w:val="008A4F73"/>
    <w:rsid w:val="008A67BA"/>
    <w:rsid w:val="008A7A16"/>
    <w:rsid w:val="008B0088"/>
    <w:rsid w:val="008B1727"/>
    <w:rsid w:val="008B3A76"/>
    <w:rsid w:val="008B3C05"/>
    <w:rsid w:val="008B449D"/>
    <w:rsid w:val="008B4C1D"/>
    <w:rsid w:val="008B5141"/>
    <w:rsid w:val="008B63BD"/>
    <w:rsid w:val="008B7D2A"/>
    <w:rsid w:val="008C26DC"/>
    <w:rsid w:val="008C3207"/>
    <w:rsid w:val="008C356F"/>
    <w:rsid w:val="008C6B85"/>
    <w:rsid w:val="008C728B"/>
    <w:rsid w:val="008D0DFC"/>
    <w:rsid w:val="008D1C66"/>
    <w:rsid w:val="008D2425"/>
    <w:rsid w:val="008D267F"/>
    <w:rsid w:val="008D365C"/>
    <w:rsid w:val="008D38F0"/>
    <w:rsid w:val="008D3B1E"/>
    <w:rsid w:val="008D42E1"/>
    <w:rsid w:val="008D5BAC"/>
    <w:rsid w:val="008D5CA3"/>
    <w:rsid w:val="008D6004"/>
    <w:rsid w:val="008D6299"/>
    <w:rsid w:val="008D63DD"/>
    <w:rsid w:val="008D6A87"/>
    <w:rsid w:val="008E0CED"/>
    <w:rsid w:val="008E10E4"/>
    <w:rsid w:val="008E20CC"/>
    <w:rsid w:val="008E2A13"/>
    <w:rsid w:val="008E2C3A"/>
    <w:rsid w:val="008E2E2D"/>
    <w:rsid w:val="008E329B"/>
    <w:rsid w:val="008E3561"/>
    <w:rsid w:val="008E4020"/>
    <w:rsid w:val="008E4465"/>
    <w:rsid w:val="008E53D1"/>
    <w:rsid w:val="008E77CE"/>
    <w:rsid w:val="008E7834"/>
    <w:rsid w:val="008E7E36"/>
    <w:rsid w:val="008F12C0"/>
    <w:rsid w:val="008F428F"/>
    <w:rsid w:val="008F5011"/>
    <w:rsid w:val="008F54D2"/>
    <w:rsid w:val="008F5588"/>
    <w:rsid w:val="008F5D53"/>
    <w:rsid w:val="008F6235"/>
    <w:rsid w:val="008F6383"/>
    <w:rsid w:val="008F70B7"/>
    <w:rsid w:val="008F7255"/>
    <w:rsid w:val="008F7510"/>
    <w:rsid w:val="00900161"/>
    <w:rsid w:val="009017A6"/>
    <w:rsid w:val="00901F21"/>
    <w:rsid w:val="00902292"/>
    <w:rsid w:val="009030BF"/>
    <w:rsid w:val="009036EF"/>
    <w:rsid w:val="00903B52"/>
    <w:rsid w:val="00904FE2"/>
    <w:rsid w:val="00905446"/>
    <w:rsid w:val="00905FCA"/>
    <w:rsid w:val="0090690E"/>
    <w:rsid w:val="00906C7B"/>
    <w:rsid w:val="00907594"/>
    <w:rsid w:val="00907624"/>
    <w:rsid w:val="00907794"/>
    <w:rsid w:val="0091001C"/>
    <w:rsid w:val="0091032F"/>
    <w:rsid w:val="00910A29"/>
    <w:rsid w:val="009123EA"/>
    <w:rsid w:val="00912B83"/>
    <w:rsid w:val="00914368"/>
    <w:rsid w:val="00914FD8"/>
    <w:rsid w:val="00915511"/>
    <w:rsid w:val="0091659E"/>
    <w:rsid w:val="0091715F"/>
    <w:rsid w:val="009172FC"/>
    <w:rsid w:val="009174A9"/>
    <w:rsid w:val="009175A5"/>
    <w:rsid w:val="00917AE6"/>
    <w:rsid w:val="00920DA5"/>
    <w:rsid w:val="0092154C"/>
    <w:rsid w:val="00921A85"/>
    <w:rsid w:val="00922DA7"/>
    <w:rsid w:val="0092338C"/>
    <w:rsid w:val="00923DD9"/>
    <w:rsid w:val="00924A17"/>
    <w:rsid w:val="00924AA1"/>
    <w:rsid w:val="0092558B"/>
    <w:rsid w:val="009256F2"/>
    <w:rsid w:val="0092614A"/>
    <w:rsid w:val="009279D5"/>
    <w:rsid w:val="00930B35"/>
    <w:rsid w:val="00931076"/>
    <w:rsid w:val="009314C3"/>
    <w:rsid w:val="009315D7"/>
    <w:rsid w:val="00931715"/>
    <w:rsid w:val="00931BE8"/>
    <w:rsid w:val="00932857"/>
    <w:rsid w:val="00932FB1"/>
    <w:rsid w:val="009345D9"/>
    <w:rsid w:val="00934B15"/>
    <w:rsid w:val="00934CF0"/>
    <w:rsid w:val="009375F0"/>
    <w:rsid w:val="0094019B"/>
    <w:rsid w:val="00940368"/>
    <w:rsid w:val="00940839"/>
    <w:rsid w:val="00940C87"/>
    <w:rsid w:val="0094149C"/>
    <w:rsid w:val="00941753"/>
    <w:rsid w:val="00942862"/>
    <w:rsid w:val="00942B62"/>
    <w:rsid w:val="009436AB"/>
    <w:rsid w:val="00943A4F"/>
    <w:rsid w:val="00944363"/>
    <w:rsid w:val="009445E2"/>
    <w:rsid w:val="00945506"/>
    <w:rsid w:val="00945648"/>
    <w:rsid w:val="00946465"/>
    <w:rsid w:val="00946F3D"/>
    <w:rsid w:val="00947201"/>
    <w:rsid w:val="00951373"/>
    <w:rsid w:val="00951A50"/>
    <w:rsid w:val="00951B0D"/>
    <w:rsid w:val="00953104"/>
    <w:rsid w:val="0095323B"/>
    <w:rsid w:val="00953DAC"/>
    <w:rsid w:val="009545A8"/>
    <w:rsid w:val="00954999"/>
    <w:rsid w:val="009550D3"/>
    <w:rsid w:val="009550DC"/>
    <w:rsid w:val="00956A0C"/>
    <w:rsid w:val="00956BD9"/>
    <w:rsid w:val="00956CDE"/>
    <w:rsid w:val="009579AA"/>
    <w:rsid w:val="00960658"/>
    <w:rsid w:val="00960973"/>
    <w:rsid w:val="00961218"/>
    <w:rsid w:val="0096198C"/>
    <w:rsid w:val="009620D4"/>
    <w:rsid w:val="00962489"/>
    <w:rsid w:val="009629B0"/>
    <w:rsid w:val="00963048"/>
    <w:rsid w:val="009639F7"/>
    <w:rsid w:val="0096526B"/>
    <w:rsid w:val="00965A92"/>
    <w:rsid w:val="009667CF"/>
    <w:rsid w:val="00966D5E"/>
    <w:rsid w:val="00967094"/>
    <w:rsid w:val="00967CD3"/>
    <w:rsid w:val="009701AC"/>
    <w:rsid w:val="00972285"/>
    <w:rsid w:val="009729E4"/>
    <w:rsid w:val="00972C57"/>
    <w:rsid w:val="00972E33"/>
    <w:rsid w:val="00975759"/>
    <w:rsid w:val="00975990"/>
    <w:rsid w:val="009759E8"/>
    <w:rsid w:val="00976A52"/>
    <w:rsid w:val="009771DC"/>
    <w:rsid w:val="00977EF2"/>
    <w:rsid w:val="00980678"/>
    <w:rsid w:val="00982CD0"/>
    <w:rsid w:val="00984729"/>
    <w:rsid w:val="009875D6"/>
    <w:rsid w:val="00990779"/>
    <w:rsid w:val="00990C2C"/>
    <w:rsid w:val="00990C69"/>
    <w:rsid w:val="009918BD"/>
    <w:rsid w:val="00992C62"/>
    <w:rsid w:val="00993802"/>
    <w:rsid w:val="0099435D"/>
    <w:rsid w:val="009944DC"/>
    <w:rsid w:val="009957D3"/>
    <w:rsid w:val="009958E9"/>
    <w:rsid w:val="00996083"/>
    <w:rsid w:val="009966FB"/>
    <w:rsid w:val="00997AEB"/>
    <w:rsid w:val="009A011B"/>
    <w:rsid w:val="009A0911"/>
    <w:rsid w:val="009A0D10"/>
    <w:rsid w:val="009A132E"/>
    <w:rsid w:val="009A1480"/>
    <w:rsid w:val="009A4104"/>
    <w:rsid w:val="009A46B2"/>
    <w:rsid w:val="009A47AC"/>
    <w:rsid w:val="009A4867"/>
    <w:rsid w:val="009A55F5"/>
    <w:rsid w:val="009A66A1"/>
    <w:rsid w:val="009A6DC7"/>
    <w:rsid w:val="009B1CCF"/>
    <w:rsid w:val="009B1D0C"/>
    <w:rsid w:val="009B2D9A"/>
    <w:rsid w:val="009B482C"/>
    <w:rsid w:val="009B5AFF"/>
    <w:rsid w:val="009B7655"/>
    <w:rsid w:val="009C0647"/>
    <w:rsid w:val="009C0E88"/>
    <w:rsid w:val="009C215D"/>
    <w:rsid w:val="009C2321"/>
    <w:rsid w:val="009C405A"/>
    <w:rsid w:val="009C5024"/>
    <w:rsid w:val="009D0481"/>
    <w:rsid w:val="009D0909"/>
    <w:rsid w:val="009D202B"/>
    <w:rsid w:val="009D538C"/>
    <w:rsid w:val="009D5928"/>
    <w:rsid w:val="009D5D75"/>
    <w:rsid w:val="009D6508"/>
    <w:rsid w:val="009D7971"/>
    <w:rsid w:val="009D7A2B"/>
    <w:rsid w:val="009E0787"/>
    <w:rsid w:val="009E1844"/>
    <w:rsid w:val="009E18CD"/>
    <w:rsid w:val="009E2C22"/>
    <w:rsid w:val="009E2E30"/>
    <w:rsid w:val="009E3D6B"/>
    <w:rsid w:val="009E3F5A"/>
    <w:rsid w:val="009E5D52"/>
    <w:rsid w:val="009E5DAA"/>
    <w:rsid w:val="009E69C7"/>
    <w:rsid w:val="009E7980"/>
    <w:rsid w:val="009E7ED7"/>
    <w:rsid w:val="009F00AF"/>
    <w:rsid w:val="009F0D1B"/>
    <w:rsid w:val="009F1127"/>
    <w:rsid w:val="009F160C"/>
    <w:rsid w:val="009F190B"/>
    <w:rsid w:val="009F1FCB"/>
    <w:rsid w:val="009F2600"/>
    <w:rsid w:val="009F32D0"/>
    <w:rsid w:val="009F3B20"/>
    <w:rsid w:val="009F3E26"/>
    <w:rsid w:val="009F3FEC"/>
    <w:rsid w:val="009F4585"/>
    <w:rsid w:val="009F51B8"/>
    <w:rsid w:val="009F5B6A"/>
    <w:rsid w:val="009F5BBD"/>
    <w:rsid w:val="009F5C9A"/>
    <w:rsid w:val="009F696D"/>
    <w:rsid w:val="009F6BC6"/>
    <w:rsid w:val="009F6FCD"/>
    <w:rsid w:val="009F74EF"/>
    <w:rsid w:val="009F7981"/>
    <w:rsid w:val="00A018A9"/>
    <w:rsid w:val="00A038EE"/>
    <w:rsid w:val="00A03E76"/>
    <w:rsid w:val="00A04F93"/>
    <w:rsid w:val="00A05853"/>
    <w:rsid w:val="00A06F27"/>
    <w:rsid w:val="00A0776D"/>
    <w:rsid w:val="00A1079D"/>
    <w:rsid w:val="00A10CDA"/>
    <w:rsid w:val="00A11728"/>
    <w:rsid w:val="00A11D79"/>
    <w:rsid w:val="00A1222E"/>
    <w:rsid w:val="00A128EF"/>
    <w:rsid w:val="00A12979"/>
    <w:rsid w:val="00A130C6"/>
    <w:rsid w:val="00A13E96"/>
    <w:rsid w:val="00A140F9"/>
    <w:rsid w:val="00A146F1"/>
    <w:rsid w:val="00A14933"/>
    <w:rsid w:val="00A15D5A"/>
    <w:rsid w:val="00A16D1A"/>
    <w:rsid w:val="00A17328"/>
    <w:rsid w:val="00A17E78"/>
    <w:rsid w:val="00A214C5"/>
    <w:rsid w:val="00A22CDE"/>
    <w:rsid w:val="00A22FD6"/>
    <w:rsid w:val="00A23A20"/>
    <w:rsid w:val="00A24173"/>
    <w:rsid w:val="00A24362"/>
    <w:rsid w:val="00A24423"/>
    <w:rsid w:val="00A24443"/>
    <w:rsid w:val="00A24EFD"/>
    <w:rsid w:val="00A2627B"/>
    <w:rsid w:val="00A268B9"/>
    <w:rsid w:val="00A2703A"/>
    <w:rsid w:val="00A27D7A"/>
    <w:rsid w:val="00A27DC5"/>
    <w:rsid w:val="00A31014"/>
    <w:rsid w:val="00A31231"/>
    <w:rsid w:val="00A31A47"/>
    <w:rsid w:val="00A322AF"/>
    <w:rsid w:val="00A330C7"/>
    <w:rsid w:val="00A33A1D"/>
    <w:rsid w:val="00A33DFF"/>
    <w:rsid w:val="00A345C7"/>
    <w:rsid w:val="00A34CD4"/>
    <w:rsid w:val="00A35115"/>
    <w:rsid w:val="00A368BC"/>
    <w:rsid w:val="00A368E8"/>
    <w:rsid w:val="00A36D9A"/>
    <w:rsid w:val="00A379AD"/>
    <w:rsid w:val="00A4146C"/>
    <w:rsid w:val="00A41C69"/>
    <w:rsid w:val="00A42E86"/>
    <w:rsid w:val="00A432B5"/>
    <w:rsid w:val="00A447E1"/>
    <w:rsid w:val="00A4512C"/>
    <w:rsid w:val="00A45BDC"/>
    <w:rsid w:val="00A4669F"/>
    <w:rsid w:val="00A51ADD"/>
    <w:rsid w:val="00A529B3"/>
    <w:rsid w:val="00A52AF0"/>
    <w:rsid w:val="00A5335F"/>
    <w:rsid w:val="00A53415"/>
    <w:rsid w:val="00A53881"/>
    <w:rsid w:val="00A5440A"/>
    <w:rsid w:val="00A554AB"/>
    <w:rsid w:val="00A56C92"/>
    <w:rsid w:val="00A57062"/>
    <w:rsid w:val="00A61282"/>
    <w:rsid w:val="00A624A8"/>
    <w:rsid w:val="00A637F1"/>
    <w:rsid w:val="00A64897"/>
    <w:rsid w:val="00A6622C"/>
    <w:rsid w:val="00A663C5"/>
    <w:rsid w:val="00A67098"/>
    <w:rsid w:val="00A6712A"/>
    <w:rsid w:val="00A67181"/>
    <w:rsid w:val="00A67781"/>
    <w:rsid w:val="00A70A81"/>
    <w:rsid w:val="00A71E27"/>
    <w:rsid w:val="00A72A20"/>
    <w:rsid w:val="00A72BAA"/>
    <w:rsid w:val="00A72C78"/>
    <w:rsid w:val="00A73327"/>
    <w:rsid w:val="00A74A12"/>
    <w:rsid w:val="00A753F3"/>
    <w:rsid w:val="00A75621"/>
    <w:rsid w:val="00A75B29"/>
    <w:rsid w:val="00A761F9"/>
    <w:rsid w:val="00A77B71"/>
    <w:rsid w:val="00A810A4"/>
    <w:rsid w:val="00A81142"/>
    <w:rsid w:val="00A81497"/>
    <w:rsid w:val="00A81629"/>
    <w:rsid w:val="00A821D9"/>
    <w:rsid w:val="00A832B2"/>
    <w:rsid w:val="00A83A25"/>
    <w:rsid w:val="00A8400C"/>
    <w:rsid w:val="00A84A6C"/>
    <w:rsid w:val="00A84C2A"/>
    <w:rsid w:val="00A856A9"/>
    <w:rsid w:val="00A856EA"/>
    <w:rsid w:val="00A872BB"/>
    <w:rsid w:val="00A87502"/>
    <w:rsid w:val="00A875D3"/>
    <w:rsid w:val="00A90470"/>
    <w:rsid w:val="00A9072E"/>
    <w:rsid w:val="00A9116E"/>
    <w:rsid w:val="00A928C6"/>
    <w:rsid w:val="00A92B53"/>
    <w:rsid w:val="00A94B51"/>
    <w:rsid w:val="00A94FA6"/>
    <w:rsid w:val="00A96FA4"/>
    <w:rsid w:val="00A979E4"/>
    <w:rsid w:val="00A97ED5"/>
    <w:rsid w:val="00AA0CD9"/>
    <w:rsid w:val="00AA382E"/>
    <w:rsid w:val="00AA3879"/>
    <w:rsid w:val="00AA4178"/>
    <w:rsid w:val="00AA4840"/>
    <w:rsid w:val="00AA49A0"/>
    <w:rsid w:val="00AA58BD"/>
    <w:rsid w:val="00AA622E"/>
    <w:rsid w:val="00AA6710"/>
    <w:rsid w:val="00AA6A1B"/>
    <w:rsid w:val="00AA6CF3"/>
    <w:rsid w:val="00AA76A7"/>
    <w:rsid w:val="00AB0681"/>
    <w:rsid w:val="00AB1266"/>
    <w:rsid w:val="00AB25E4"/>
    <w:rsid w:val="00AB26A4"/>
    <w:rsid w:val="00AB3EA0"/>
    <w:rsid w:val="00AB3F0D"/>
    <w:rsid w:val="00AB4B6A"/>
    <w:rsid w:val="00AB5DF8"/>
    <w:rsid w:val="00AB656D"/>
    <w:rsid w:val="00AB6D76"/>
    <w:rsid w:val="00AB7E08"/>
    <w:rsid w:val="00AC0D2D"/>
    <w:rsid w:val="00AC110E"/>
    <w:rsid w:val="00AC1E27"/>
    <w:rsid w:val="00AC37D0"/>
    <w:rsid w:val="00AC429F"/>
    <w:rsid w:val="00AC4472"/>
    <w:rsid w:val="00AC557F"/>
    <w:rsid w:val="00AC6B4C"/>
    <w:rsid w:val="00AC7FA3"/>
    <w:rsid w:val="00AD17F0"/>
    <w:rsid w:val="00AD1ECE"/>
    <w:rsid w:val="00AD2A39"/>
    <w:rsid w:val="00AD33C3"/>
    <w:rsid w:val="00AD44A8"/>
    <w:rsid w:val="00AD520B"/>
    <w:rsid w:val="00AD59A9"/>
    <w:rsid w:val="00AD6324"/>
    <w:rsid w:val="00AD7A63"/>
    <w:rsid w:val="00AE19C9"/>
    <w:rsid w:val="00AE24D4"/>
    <w:rsid w:val="00AE3008"/>
    <w:rsid w:val="00AE3BCC"/>
    <w:rsid w:val="00AE432C"/>
    <w:rsid w:val="00AE45D6"/>
    <w:rsid w:val="00AE4790"/>
    <w:rsid w:val="00AE48EF"/>
    <w:rsid w:val="00AE6487"/>
    <w:rsid w:val="00AE67B6"/>
    <w:rsid w:val="00AF0168"/>
    <w:rsid w:val="00AF1B9C"/>
    <w:rsid w:val="00AF2E3F"/>
    <w:rsid w:val="00AF4D13"/>
    <w:rsid w:val="00AF7024"/>
    <w:rsid w:val="00AF70DC"/>
    <w:rsid w:val="00AF747C"/>
    <w:rsid w:val="00AF7566"/>
    <w:rsid w:val="00B0154E"/>
    <w:rsid w:val="00B01B00"/>
    <w:rsid w:val="00B03353"/>
    <w:rsid w:val="00B04BE7"/>
    <w:rsid w:val="00B05210"/>
    <w:rsid w:val="00B0591F"/>
    <w:rsid w:val="00B06D34"/>
    <w:rsid w:val="00B10449"/>
    <w:rsid w:val="00B116F6"/>
    <w:rsid w:val="00B1211F"/>
    <w:rsid w:val="00B12D50"/>
    <w:rsid w:val="00B133CF"/>
    <w:rsid w:val="00B15F09"/>
    <w:rsid w:val="00B16331"/>
    <w:rsid w:val="00B16684"/>
    <w:rsid w:val="00B16EF8"/>
    <w:rsid w:val="00B22D0C"/>
    <w:rsid w:val="00B25D6A"/>
    <w:rsid w:val="00B26355"/>
    <w:rsid w:val="00B26BDB"/>
    <w:rsid w:val="00B30690"/>
    <w:rsid w:val="00B312C5"/>
    <w:rsid w:val="00B31D7B"/>
    <w:rsid w:val="00B31DD1"/>
    <w:rsid w:val="00B3367E"/>
    <w:rsid w:val="00B33A33"/>
    <w:rsid w:val="00B3464D"/>
    <w:rsid w:val="00B34CC3"/>
    <w:rsid w:val="00B35B47"/>
    <w:rsid w:val="00B36821"/>
    <w:rsid w:val="00B36C3C"/>
    <w:rsid w:val="00B37801"/>
    <w:rsid w:val="00B404C4"/>
    <w:rsid w:val="00B4248E"/>
    <w:rsid w:val="00B425C3"/>
    <w:rsid w:val="00B42624"/>
    <w:rsid w:val="00B43398"/>
    <w:rsid w:val="00B440AD"/>
    <w:rsid w:val="00B448E2"/>
    <w:rsid w:val="00B46AA4"/>
    <w:rsid w:val="00B479BB"/>
    <w:rsid w:val="00B47B32"/>
    <w:rsid w:val="00B47BDA"/>
    <w:rsid w:val="00B5016E"/>
    <w:rsid w:val="00B51FDF"/>
    <w:rsid w:val="00B53384"/>
    <w:rsid w:val="00B5338D"/>
    <w:rsid w:val="00B535A9"/>
    <w:rsid w:val="00B536BE"/>
    <w:rsid w:val="00B53B9B"/>
    <w:rsid w:val="00B53C8B"/>
    <w:rsid w:val="00B53E7E"/>
    <w:rsid w:val="00B542F9"/>
    <w:rsid w:val="00B54B73"/>
    <w:rsid w:val="00B55619"/>
    <w:rsid w:val="00B57CE0"/>
    <w:rsid w:val="00B60E90"/>
    <w:rsid w:val="00B615ED"/>
    <w:rsid w:val="00B6184F"/>
    <w:rsid w:val="00B61AB4"/>
    <w:rsid w:val="00B627E2"/>
    <w:rsid w:val="00B6342E"/>
    <w:rsid w:val="00B65BFE"/>
    <w:rsid w:val="00B6613A"/>
    <w:rsid w:val="00B6687E"/>
    <w:rsid w:val="00B66B90"/>
    <w:rsid w:val="00B7011C"/>
    <w:rsid w:val="00B707C3"/>
    <w:rsid w:val="00B70A9F"/>
    <w:rsid w:val="00B7113F"/>
    <w:rsid w:val="00B73B82"/>
    <w:rsid w:val="00B74AAD"/>
    <w:rsid w:val="00B753AA"/>
    <w:rsid w:val="00B75C7D"/>
    <w:rsid w:val="00B7631D"/>
    <w:rsid w:val="00B76F6D"/>
    <w:rsid w:val="00B80674"/>
    <w:rsid w:val="00B8163B"/>
    <w:rsid w:val="00B81F2E"/>
    <w:rsid w:val="00B82483"/>
    <w:rsid w:val="00B82F6C"/>
    <w:rsid w:val="00B8391D"/>
    <w:rsid w:val="00B83DD1"/>
    <w:rsid w:val="00B8455B"/>
    <w:rsid w:val="00B847C9"/>
    <w:rsid w:val="00B848BF"/>
    <w:rsid w:val="00B84923"/>
    <w:rsid w:val="00B84A47"/>
    <w:rsid w:val="00B84AC0"/>
    <w:rsid w:val="00B85272"/>
    <w:rsid w:val="00B85389"/>
    <w:rsid w:val="00B85AF4"/>
    <w:rsid w:val="00B8697E"/>
    <w:rsid w:val="00B8740F"/>
    <w:rsid w:val="00B8789C"/>
    <w:rsid w:val="00B90750"/>
    <w:rsid w:val="00B91F90"/>
    <w:rsid w:val="00B926F2"/>
    <w:rsid w:val="00B92DB5"/>
    <w:rsid w:val="00B938D3"/>
    <w:rsid w:val="00B941ED"/>
    <w:rsid w:val="00B94DC3"/>
    <w:rsid w:val="00B95659"/>
    <w:rsid w:val="00B95A3B"/>
    <w:rsid w:val="00B979DD"/>
    <w:rsid w:val="00BA1A32"/>
    <w:rsid w:val="00BA23BE"/>
    <w:rsid w:val="00BA2BCF"/>
    <w:rsid w:val="00BA3C53"/>
    <w:rsid w:val="00BA475C"/>
    <w:rsid w:val="00BA5848"/>
    <w:rsid w:val="00BA5B14"/>
    <w:rsid w:val="00BA73B6"/>
    <w:rsid w:val="00BA76A1"/>
    <w:rsid w:val="00BA7E27"/>
    <w:rsid w:val="00BA7FB6"/>
    <w:rsid w:val="00BB2449"/>
    <w:rsid w:val="00BB2603"/>
    <w:rsid w:val="00BB2E09"/>
    <w:rsid w:val="00BB335E"/>
    <w:rsid w:val="00BB344F"/>
    <w:rsid w:val="00BB4568"/>
    <w:rsid w:val="00BB4FCD"/>
    <w:rsid w:val="00BB6029"/>
    <w:rsid w:val="00BB62E1"/>
    <w:rsid w:val="00BB6553"/>
    <w:rsid w:val="00BB659A"/>
    <w:rsid w:val="00BB6C97"/>
    <w:rsid w:val="00BB7784"/>
    <w:rsid w:val="00BC04E9"/>
    <w:rsid w:val="00BC0FBD"/>
    <w:rsid w:val="00BC2DEC"/>
    <w:rsid w:val="00BC36EC"/>
    <w:rsid w:val="00BC41C5"/>
    <w:rsid w:val="00BC4EC4"/>
    <w:rsid w:val="00BC56F0"/>
    <w:rsid w:val="00BC599A"/>
    <w:rsid w:val="00BC6094"/>
    <w:rsid w:val="00BC6D70"/>
    <w:rsid w:val="00BC7AF7"/>
    <w:rsid w:val="00BC7D28"/>
    <w:rsid w:val="00BD0197"/>
    <w:rsid w:val="00BD13EA"/>
    <w:rsid w:val="00BD1DF4"/>
    <w:rsid w:val="00BD1E21"/>
    <w:rsid w:val="00BD2D7F"/>
    <w:rsid w:val="00BD4A49"/>
    <w:rsid w:val="00BD4BD4"/>
    <w:rsid w:val="00BD585F"/>
    <w:rsid w:val="00BD5895"/>
    <w:rsid w:val="00BD65E5"/>
    <w:rsid w:val="00BD7054"/>
    <w:rsid w:val="00BD7585"/>
    <w:rsid w:val="00BD7636"/>
    <w:rsid w:val="00BD79D3"/>
    <w:rsid w:val="00BE161F"/>
    <w:rsid w:val="00BE2C60"/>
    <w:rsid w:val="00BE340D"/>
    <w:rsid w:val="00BE3808"/>
    <w:rsid w:val="00BE4DA7"/>
    <w:rsid w:val="00BE584E"/>
    <w:rsid w:val="00BF09E4"/>
    <w:rsid w:val="00BF2A5C"/>
    <w:rsid w:val="00BF37C3"/>
    <w:rsid w:val="00BF3AD9"/>
    <w:rsid w:val="00BF4B03"/>
    <w:rsid w:val="00BF4BE5"/>
    <w:rsid w:val="00BF4CF5"/>
    <w:rsid w:val="00BF5AE2"/>
    <w:rsid w:val="00BF5F85"/>
    <w:rsid w:val="00BF723B"/>
    <w:rsid w:val="00C003B2"/>
    <w:rsid w:val="00C020D5"/>
    <w:rsid w:val="00C02877"/>
    <w:rsid w:val="00C02B90"/>
    <w:rsid w:val="00C0449C"/>
    <w:rsid w:val="00C045A3"/>
    <w:rsid w:val="00C045A9"/>
    <w:rsid w:val="00C05CC6"/>
    <w:rsid w:val="00C062E9"/>
    <w:rsid w:val="00C06B7D"/>
    <w:rsid w:val="00C07685"/>
    <w:rsid w:val="00C07B64"/>
    <w:rsid w:val="00C07CC8"/>
    <w:rsid w:val="00C1088C"/>
    <w:rsid w:val="00C10BF1"/>
    <w:rsid w:val="00C11528"/>
    <w:rsid w:val="00C1169F"/>
    <w:rsid w:val="00C11DE7"/>
    <w:rsid w:val="00C12744"/>
    <w:rsid w:val="00C13237"/>
    <w:rsid w:val="00C13721"/>
    <w:rsid w:val="00C14FE4"/>
    <w:rsid w:val="00C172D4"/>
    <w:rsid w:val="00C17C58"/>
    <w:rsid w:val="00C20A01"/>
    <w:rsid w:val="00C214B6"/>
    <w:rsid w:val="00C230CD"/>
    <w:rsid w:val="00C235C7"/>
    <w:rsid w:val="00C23618"/>
    <w:rsid w:val="00C237D9"/>
    <w:rsid w:val="00C239A6"/>
    <w:rsid w:val="00C2515A"/>
    <w:rsid w:val="00C252FC"/>
    <w:rsid w:val="00C3066D"/>
    <w:rsid w:val="00C3131C"/>
    <w:rsid w:val="00C331B8"/>
    <w:rsid w:val="00C33F6A"/>
    <w:rsid w:val="00C3512A"/>
    <w:rsid w:val="00C35BD1"/>
    <w:rsid w:val="00C3635F"/>
    <w:rsid w:val="00C36772"/>
    <w:rsid w:val="00C36A49"/>
    <w:rsid w:val="00C36DC2"/>
    <w:rsid w:val="00C37B19"/>
    <w:rsid w:val="00C4029D"/>
    <w:rsid w:val="00C40A7C"/>
    <w:rsid w:val="00C40FA4"/>
    <w:rsid w:val="00C41860"/>
    <w:rsid w:val="00C4306A"/>
    <w:rsid w:val="00C43540"/>
    <w:rsid w:val="00C439C1"/>
    <w:rsid w:val="00C43ECA"/>
    <w:rsid w:val="00C44838"/>
    <w:rsid w:val="00C45047"/>
    <w:rsid w:val="00C45914"/>
    <w:rsid w:val="00C4689E"/>
    <w:rsid w:val="00C474DB"/>
    <w:rsid w:val="00C501A5"/>
    <w:rsid w:val="00C50603"/>
    <w:rsid w:val="00C50965"/>
    <w:rsid w:val="00C52033"/>
    <w:rsid w:val="00C52416"/>
    <w:rsid w:val="00C5320E"/>
    <w:rsid w:val="00C53575"/>
    <w:rsid w:val="00C535DD"/>
    <w:rsid w:val="00C5388F"/>
    <w:rsid w:val="00C5393B"/>
    <w:rsid w:val="00C5410C"/>
    <w:rsid w:val="00C543F4"/>
    <w:rsid w:val="00C552F0"/>
    <w:rsid w:val="00C555D2"/>
    <w:rsid w:val="00C5674E"/>
    <w:rsid w:val="00C5784D"/>
    <w:rsid w:val="00C57C24"/>
    <w:rsid w:val="00C613AC"/>
    <w:rsid w:val="00C61ECB"/>
    <w:rsid w:val="00C6291C"/>
    <w:rsid w:val="00C62B5B"/>
    <w:rsid w:val="00C633CB"/>
    <w:rsid w:val="00C637D7"/>
    <w:rsid w:val="00C63982"/>
    <w:rsid w:val="00C64812"/>
    <w:rsid w:val="00C664CD"/>
    <w:rsid w:val="00C675F6"/>
    <w:rsid w:val="00C67BD5"/>
    <w:rsid w:val="00C723A2"/>
    <w:rsid w:val="00C73261"/>
    <w:rsid w:val="00C736B7"/>
    <w:rsid w:val="00C738C7"/>
    <w:rsid w:val="00C74D6F"/>
    <w:rsid w:val="00C74E01"/>
    <w:rsid w:val="00C75042"/>
    <w:rsid w:val="00C75A7D"/>
    <w:rsid w:val="00C75CBE"/>
    <w:rsid w:val="00C76525"/>
    <w:rsid w:val="00C802D1"/>
    <w:rsid w:val="00C81D4A"/>
    <w:rsid w:val="00C838FF"/>
    <w:rsid w:val="00C83F84"/>
    <w:rsid w:val="00C84409"/>
    <w:rsid w:val="00C8534F"/>
    <w:rsid w:val="00C85989"/>
    <w:rsid w:val="00C8762C"/>
    <w:rsid w:val="00C87A21"/>
    <w:rsid w:val="00C9198E"/>
    <w:rsid w:val="00C92691"/>
    <w:rsid w:val="00C93BCB"/>
    <w:rsid w:val="00C94098"/>
    <w:rsid w:val="00C951C8"/>
    <w:rsid w:val="00C965FB"/>
    <w:rsid w:val="00CA00F9"/>
    <w:rsid w:val="00CA01BF"/>
    <w:rsid w:val="00CA0677"/>
    <w:rsid w:val="00CA0A7E"/>
    <w:rsid w:val="00CA0F0F"/>
    <w:rsid w:val="00CA19F0"/>
    <w:rsid w:val="00CA2105"/>
    <w:rsid w:val="00CA2961"/>
    <w:rsid w:val="00CA2ABE"/>
    <w:rsid w:val="00CA34AB"/>
    <w:rsid w:val="00CA381B"/>
    <w:rsid w:val="00CA3CCE"/>
    <w:rsid w:val="00CA4EA6"/>
    <w:rsid w:val="00CA60A7"/>
    <w:rsid w:val="00CA6EB7"/>
    <w:rsid w:val="00CA747A"/>
    <w:rsid w:val="00CB007F"/>
    <w:rsid w:val="00CB0424"/>
    <w:rsid w:val="00CB04DE"/>
    <w:rsid w:val="00CB0F91"/>
    <w:rsid w:val="00CB0FB1"/>
    <w:rsid w:val="00CB4C1A"/>
    <w:rsid w:val="00CB50D7"/>
    <w:rsid w:val="00CB56D5"/>
    <w:rsid w:val="00CB5784"/>
    <w:rsid w:val="00CB6BAD"/>
    <w:rsid w:val="00CB7177"/>
    <w:rsid w:val="00CB7CED"/>
    <w:rsid w:val="00CC070F"/>
    <w:rsid w:val="00CC1998"/>
    <w:rsid w:val="00CC2A18"/>
    <w:rsid w:val="00CC30A8"/>
    <w:rsid w:val="00CC35E9"/>
    <w:rsid w:val="00CC46A8"/>
    <w:rsid w:val="00CC4946"/>
    <w:rsid w:val="00CC64A1"/>
    <w:rsid w:val="00CC6B13"/>
    <w:rsid w:val="00CC6D14"/>
    <w:rsid w:val="00CC72E2"/>
    <w:rsid w:val="00CC7B09"/>
    <w:rsid w:val="00CC7C66"/>
    <w:rsid w:val="00CD043C"/>
    <w:rsid w:val="00CD22A7"/>
    <w:rsid w:val="00CD36B0"/>
    <w:rsid w:val="00CD38BF"/>
    <w:rsid w:val="00CD3F36"/>
    <w:rsid w:val="00CD42AF"/>
    <w:rsid w:val="00CD464A"/>
    <w:rsid w:val="00CD4D11"/>
    <w:rsid w:val="00CD4F7B"/>
    <w:rsid w:val="00CD56DC"/>
    <w:rsid w:val="00CD56F9"/>
    <w:rsid w:val="00CD6205"/>
    <w:rsid w:val="00CD6986"/>
    <w:rsid w:val="00CD6DE7"/>
    <w:rsid w:val="00CD7098"/>
    <w:rsid w:val="00CE0DD8"/>
    <w:rsid w:val="00CE1770"/>
    <w:rsid w:val="00CE18FE"/>
    <w:rsid w:val="00CE21ED"/>
    <w:rsid w:val="00CE2206"/>
    <w:rsid w:val="00CE2A24"/>
    <w:rsid w:val="00CE300D"/>
    <w:rsid w:val="00CE3D00"/>
    <w:rsid w:val="00CE4F22"/>
    <w:rsid w:val="00CE5DC6"/>
    <w:rsid w:val="00CE5FE4"/>
    <w:rsid w:val="00CE7D90"/>
    <w:rsid w:val="00CF022B"/>
    <w:rsid w:val="00CF2C2F"/>
    <w:rsid w:val="00CF3695"/>
    <w:rsid w:val="00CF3B11"/>
    <w:rsid w:val="00CF4DB9"/>
    <w:rsid w:val="00CF679A"/>
    <w:rsid w:val="00D0167E"/>
    <w:rsid w:val="00D01719"/>
    <w:rsid w:val="00D031F3"/>
    <w:rsid w:val="00D0565B"/>
    <w:rsid w:val="00D06345"/>
    <w:rsid w:val="00D066CE"/>
    <w:rsid w:val="00D067DE"/>
    <w:rsid w:val="00D07C8C"/>
    <w:rsid w:val="00D11B45"/>
    <w:rsid w:val="00D13934"/>
    <w:rsid w:val="00D13F05"/>
    <w:rsid w:val="00D13FAB"/>
    <w:rsid w:val="00D1414F"/>
    <w:rsid w:val="00D153CA"/>
    <w:rsid w:val="00D15631"/>
    <w:rsid w:val="00D15F99"/>
    <w:rsid w:val="00D1650C"/>
    <w:rsid w:val="00D1671F"/>
    <w:rsid w:val="00D167FD"/>
    <w:rsid w:val="00D20840"/>
    <w:rsid w:val="00D21544"/>
    <w:rsid w:val="00D21EF7"/>
    <w:rsid w:val="00D22583"/>
    <w:rsid w:val="00D22C93"/>
    <w:rsid w:val="00D230FB"/>
    <w:rsid w:val="00D23687"/>
    <w:rsid w:val="00D23FF0"/>
    <w:rsid w:val="00D2582A"/>
    <w:rsid w:val="00D25CBD"/>
    <w:rsid w:val="00D26A53"/>
    <w:rsid w:val="00D270A4"/>
    <w:rsid w:val="00D31AA9"/>
    <w:rsid w:val="00D31FE9"/>
    <w:rsid w:val="00D32A04"/>
    <w:rsid w:val="00D32D57"/>
    <w:rsid w:val="00D33F66"/>
    <w:rsid w:val="00D341F1"/>
    <w:rsid w:val="00D34D35"/>
    <w:rsid w:val="00D34E1B"/>
    <w:rsid w:val="00D35548"/>
    <w:rsid w:val="00D35F1B"/>
    <w:rsid w:val="00D36029"/>
    <w:rsid w:val="00D36839"/>
    <w:rsid w:val="00D376BA"/>
    <w:rsid w:val="00D4038D"/>
    <w:rsid w:val="00D40913"/>
    <w:rsid w:val="00D411A3"/>
    <w:rsid w:val="00D41D16"/>
    <w:rsid w:val="00D41FC9"/>
    <w:rsid w:val="00D42F3D"/>
    <w:rsid w:val="00D440BA"/>
    <w:rsid w:val="00D441C6"/>
    <w:rsid w:val="00D442E7"/>
    <w:rsid w:val="00D45499"/>
    <w:rsid w:val="00D454DF"/>
    <w:rsid w:val="00D45634"/>
    <w:rsid w:val="00D45BE9"/>
    <w:rsid w:val="00D4618B"/>
    <w:rsid w:val="00D4671A"/>
    <w:rsid w:val="00D50B54"/>
    <w:rsid w:val="00D52F8E"/>
    <w:rsid w:val="00D533E5"/>
    <w:rsid w:val="00D53E41"/>
    <w:rsid w:val="00D54582"/>
    <w:rsid w:val="00D54B3B"/>
    <w:rsid w:val="00D55360"/>
    <w:rsid w:val="00D55569"/>
    <w:rsid w:val="00D5562B"/>
    <w:rsid w:val="00D5568A"/>
    <w:rsid w:val="00D606B8"/>
    <w:rsid w:val="00D61376"/>
    <w:rsid w:val="00D62653"/>
    <w:rsid w:val="00D6324C"/>
    <w:rsid w:val="00D63D73"/>
    <w:rsid w:val="00D6424C"/>
    <w:rsid w:val="00D64452"/>
    <w:rsid w:val="00D646C9"/>
    <w:rsid w:val="00D65CED"/>
    <w:rsid w:val="00D66E1E"/>
    <w:rsid w:val="00D67D9A"/>
    <w:rsid w:val="00D70038"/>
    <w:rsid w:val="00D70382"/>
    <w:rsid w:val="00D70696"/>
    <w:rsid w:val="00D72570"/>
    <w:rsid w:val="00D749C8"/>
    <w:rsid w:val="00D75722"/>
    <w:rsid w:val="00D7619F"/>
    <w:rsid w:val="00D764DB"/>
    <w:rsid w:val="00D765C8"/>
    <w:rsid w:val="00D7743F"/>
    <w:rsid w:val="00D8070A"/>
    <w:rsid w:val="00D80CF5"/>
    <w:rsid w:val="00D8114A"/>
    <w:rsid w:val="00D81E0C"/>
    <w:rsid w:val="00D8202C"/>
    <w:rsid w:val="00D825B2"/>
    <w:rsid w:val="00D83154"/>
    <w:rsid w:val="00D83DE4"/>
    <w:rsid w:val="00D84EAD"/>
    <w:rsid w:val="00D85203"/>
    <w:rsid w:val="00D8568F"/>
    <w:rsid w:val="00D856FD"/>
    <w:rsid w:val="00D85745"/>
    <w:rsid w:val="00D868CA"/>
    <w:rsid w:val="00D8759E"/>
    <w:rsid w:val="00D91241"/>
    <w:rsid w:val="00D91F9F"/>
    <w:rsid w:val="00D929D4"/>
    <w:rsid w:val="00D92B0A"/>
    <w:rsid w:val="00D92ED8"/>
    <w:rsid w:val="00D94BD4"/>
    <w:rsid w:val="00D94D2A"/>
    <w:rsid w:val="00D97804"/>
    <w:rsid w:val="00D978CF"/>
    <w:rsid w:val="00DA03A3"/>
    <w:rsid w:val="00DA0D6C"/>
    <w:rsid w:val="00DA0EAB"/>
    <w:rsid w:val="00DA133A"/>
    <w:rsid w:val="00DA3EB4"/>
    <w:rsid w:val="00DA4CD3"/>
    <w:rsid w:val="00DA54E5"/>
    <w:rsid w:val="00DA5BBA"/>
    <w:rsid w:val="00DA71B2"/>
    <w:rsid w:val="00DA75DA"/>
    <w:rsid w:val="00DB14AC"/>
    <w:rsid w:val="00DB1A1D"/>
    <w:rsid w:val="00DB2569"/>
    <w:rsid w:val="00DB26D2"/>
    <w:rsid w:val="00DB2AE0"/>
    <w:rsid w:val="00DB2E54"/>
    <w:rsid w:val="00DB4133"/>
    <w:rsid w:val="00DB5365"/>
    <w:rsid w:val="00DB551D"/>
    <w:rsid w:val="00DB67C9"/>
    <w:rsid w:val="00DB7EDE"/>
    <w:rsid w:val="00DC0BA4"/>
    <w:rsid w:val="00DC0C95"/>
    <w:rsid w:val="00DC1317"/>
    <w:rsid w:val="00DC245B"/>
    <w:rsid w:val="00DC2DCF"/>
    <w:rsid w:val="00DC4CF6"/>
    <w:rsid w:val="00DC5AC7"/>
    <w:rsid w:val="00DC5DFC"/>
    <w:rsid w:val="00DC6AEB"/>
    <w:rsid w:val="00DC7740"/>
    <w:rsid w:val="00DC78B1"/>
    <w:rsid w:val="00DC7B90"/>
    <w:rsid w:val="00DD0A7B"/>
    <w:rsid w:val="00DD1281"/>
    <w:rsid w:val="00DD1FAC"/>
    <w:rsid w:val="00DD4619"/>
    <w:rsid w:val="00DD4765"/>
    <w:rsid w:val="00DD4C29"/>
    <w:rsid w:val="00DD4EF6"/>
    <w:rsid w:val="00DD649F"/>
    <w:rsid w:val="00DD6580"/>
    <w:rsid w:val="00DD6A24"/>
    <w:rsid w:val="00DD70E9"/>
    <w:rsid w:val="00DD72DF"/>
    <w:rsid w:val="00DD73AE"/>
    <w:rsid w:val="00DE2547"/>
    <w:rsid w:val="00DE2C03"/>
    <w:rsid w:val="00DE39FF"/>
    <w:rsid w:val="00DE3C45"/>
    <w:rsid w:val="00DE41D4"/>
    <w:rsid w:val="00DE4F34"/>
    <w:rsid w:val="00DE5345"/>
    <w:rsid w:val="00DE5735"/>
    <w:rsid w:val="00DF03D4"/>
    <w:rsid w:val="00DF18BC"/>
    <w:rsid w:val="00DF2BC1"/>
    <w:rsid w:val="00DF6810"/>
    <w:rsid w:val="00DF6D7B"/>
    <w:rsid w:val="00DF7026"/>
    <w:rsid w:val="00E00301"/>
    <w:rsid w:val="00E0057C"/>
    <w:rsid w:val="00E00A24"/>
    <w:rsid w:val="00E011E8"/>
    <w:rsid w:val="00E01D7F"/>
    <w:rsid w:val="00E026AA"/>
    <w:rsid w:val="00E042F3"/>
    <w:rsid w:val="00E05272"/>
    <w:rsid w:val="00E05766"/>
    <w:rsid w:val="00E05D11"/>
    <w:rsid w:val="00E06270"/>
    <w:rsid w:val="00E06B2E"/>
    <w:rsid w:val="00E12F76"/>
    <w:rsid w:val="00E13010"/>
    <w:rsid w:val="00E1323D"/>
    <w:rsid w:val="00E17502"/>
    <w:rsid w:val="00E17B00"/>
    <w:rsid w:val="00E17C72"/>
    <w:rsid w:val="00E2079B"/>
    <w:rsid w:val="00E20E68"/>
    <w:rsid w:val="00E21FC6"/>
    <w:rsid w:val="00E22667"/>
    <w:rsid w:val="00E23743"/>
    <w:rsid w:val="00E250B3"/>
    <w:rsid w:val="00E2611A"/>
    <w:rsid w:val="00E2681C"/>
    <w:rsid w:val="00E26C2D"/>
    <w:rsid w:val="00E27C51"/>
    <w:rsid w:val="00E3070E"/>
    <w:rsid w:val="00E309A8"/>
    <w:rsid w:val="00E30B81"/>
    <w:rsid w:val="00E31277"/>
    <w:rsid w:val="00E31872"/>
    <w:rsid w:val="00E32546"/>
    <w:rsid w:val="00E3271F"/>
    <w:rsid w:val="00E33360"/>
    <w:rsid w:val="00E33C57"/>
    <w:rsid w:val="00E3411E"/>
    <w:rsid w:val="00E349B1"/>
    <w:rsid w:val="00E3656F"/>
    <w:rsid w:val="00E369E7"/>
    <w:rsid w:val="00E403E7"/>
    <w:rsid w:val="00E40893"/>
    <w:rsid w:val="00E431A9"/>
    <w:rsid w:val="00E443AE"/>
    <w:rsid w:val="00E45E87"/>
    <w:rsid w:val="00E4692F"/>
    <w:rsid w:val="00E50623"/>
    <w:rsid w:val="00E523E7"/>
    <w:rsid w:val="00E52E85"/>
    <w:rsid w:val="00E532B0"/>
    <w:rsid w:val="00E56867"/>
    <w:rsid w:val="00E56CDE"/>
    <w:rsid w:val="00E57E78"/>
    <w:rsid w:val="00E60733"/>
    <w:rsid w:val="00E609DF"/>
    <w:rsid w:val="00E609F1"/>
    <w:rsid w:val="00E60C52"/>
    <w:rsid w:val="00E611EA"/>
    <w:rsid w:val="00E61727"/>
    <w:rsid w:val="00E61E44"/>
    <w:rsid w:val="00E62793"/>
    <w:rsid w:val="00E64EA4"/>
    <w:rsid w:val="00E65FDF"/>
    <w:rsid w:val="00E66878"/>
    <w:rsid w:val="00E669E2"/>
    <w:rsid w:val="00E66EAA"/>
    <w:rsid w:val="00E67A22"/>
    <w:rsid w:val="00E70293"/>
    <w:rsid w:val="00E7344A"/>
    <w:rsid w:val="00E73BD8"/>
    <w:rsid w:val="00E74491"/>
    <w:rsid w:val="00E7593A"/>
    <w:rsid w:val="00E75F76"/>
    <w:rsid w:val="00E76135"/>
    <w:rsid w:val="00E76F65"/>
    <w:rsid w:val="00E801D8"/>
    <w:rsid w:val="00E8086B"/>
    <w:rsid w:val="00E8117B"/>
    <w:rsid w:val="00E81566"/>
    <w:rsid w:val="00E819B8"/>
    <w:rsid w:val="00E82403"/>
    <w:rsid w:val="00E82C04"/>
    <w:rsid w:val="00E82C37"/>
    <w:rsid w:val="00E82F4F"/>
    <w:rsid w:val="00E836C0"/>
    <w:rsid w:val="00E844B4"/>
    <w:rsid w:val="00E85142"/>
    <w:rsid w:val="00E85E50"/>
    <w:rsid w:val="00E86416"/>
    <w:rsid w:val="00E864DF"/>
    <w:rsid w:val="00E86DD2"/>
    <w:rsid w:val="00E87EBA"/>
    <w:rsid w:val="00E909AB"/>
    <w:rsid w:val="00E90E61"/>
    <w:rsid w:val="00E91813"/>
    <w:rsid w:val="00E91A5E"/>
    <w:rsid w:val="00E92278"/>
    <w:rsid w:val="00E926AC"/>
    <w:rsid w:val="00E92CE4"/>
    <w:rsid w:val="00E935D5"/>
    <w:rsid w:val="00E94F99"/>
    <w:rsid w:val="00E95976"/>
    <w:rsid w:val="00E95BE9"/>
    <w:rsid w:val="00E96B58"/>
    <w:rsid w:val="00E97353"/>
    <w:rsid w:val="00E97639"/>
    <w:rsid w:val="00EA1159"/>
    <w:rsid w:val="00EA234E"/>
    <w:rsid w:val="00EA2F04"/>
    <w:rsid w:val="00EA51F3"/>
    <w:rsid w:val="00EA6BA5"/>
    <w:rsid w:val="00EB1BB1"/>
    <w:rsid w:val="00EB483C"/>
    <w:rsid w:val="00EB5160"/>
    <w:rsid w:val="00EB57ED"/>
    <w:rsid w:val="00EB79A3"/>
    <w:rsid w:val="00EC0324"/>
    <w:rsid w:val="00EC0A05"/>
    <w:rsid w:val="00EC12B3"/>
    <w:rsid w:val="00EC257C"/>
    <w:rsid w:val="00EC2844"/>
    <w:rsid w:val="00EC43F4"/>
    <w:rsid w:val="00EC542F"/>
    <w:rsid w:val="00EC5500"/>
    <w:rsid w:val="00EC7ACE"/>
    <w:rsid w:val="00ED1603"/>
    <w:rsid w:val="00ED18F8"/>
    <w:rsid w:val="00ED1A44"/>
    <w:rsid w:val="00ED2855"/>
    <w:rsid w:val="00ED29F0"/>
    <w:rsid w:val="00ED62D0"/>
    <w:rsid w:val="00ED6790"/>
    <w:rsid w:val="00ED7E9D"/>
    <w:rsid w:val="00EE0469"/>
    <w:rsid w:val="00EE099E"/>
    <w:rsid w:val="00EE0D51"/>
    <w:rsid w:val="00EE1059"/>
    <w:rsid w:val="00EE18E5"/>
    <w:rsid w:val="00EE237F"/>
    <w:rsid w:val="00EE2A80"/>
    <w:rsid w:val="00EE35A2"/>
    <w:rsid w:val="00EE36C4"/>
    <w:rsid w:val="00EE46FD"/>
    <w:rsid w:val="00EE4EFD"/>
    <w:rsid w:val="00EE6EDA"/>
    <w:rsid w:val="00EF03C3"/>
    <w:rsid w:val="00EF0414"/>
    <w:rsid w:val="00EF102A"/>
    <w:rsid w:val="00EF13B6"/>
    <w:rsid w:val="00EF4E8E"/>
    <w:rsid w:val="00EF60D3"/>
    <w:rsid w:val="00EF6C6C"/>
    <w:rsid w:val="00EF70E3"/>
    <w:rsid w:val="00EF76B6"/>
    <w:rsid w:val="00EF7A99"/>
    <w:rsid w:val="00EF7E89"/>
    <w:rsid w:val="00F0012A"/>
    <w:rsid w:val="00F00171"/>
    <w:rsid w:val="00F00CD5"/>
    <w:rsid w:val="00F01D42"/>
    <w:rsid w:val="00F0201F"/>
    <w:rsid w:val="00F03758"/>
    <w:rsid w:val="00F0380E"/>
    <w:rsid w:val="00F038F9"/>
    <w:rsid w:val="00F056FC"/>
    <w:rsid w:val="00F05BB9"/>
    <w:rsid w:val="00F0632F"/>
    <w:rsid w:val="00F069AE"/>
    <w:rsid w:val="00F07210"/>
    <w:rsid w:val="00F07BA1"/>
    <w:rsid w:val="00F10476"/>
    <w:rsid w:val="00F10C40"/>
    <w:rsid w:val="00F110AD"/>
    <w:rsid w:val="00F11266"/>
    <w:rsid w:val="00F1145E"/>
    <w:rsid w:val="00F135D8"/>
    <w:rsid w:val="00F13D8B"/>
    <w:rsid w:val="00F14835"/>
    <w:rsid w:val="00F1535C"/>
    <w:rsid w:val="00F15E0C"/>
    <w:rsid w:val="00F1687B"/>
    <w:rsid w:val="00F16B60"/>
    <w:rsid w:val="00F1706C"/>
    <w:rsid w:val="00F171D0"/>
    <w:rsid w:val="00F20285"/>
    <w:rsid w:val="00F20CD6"/>
    <w:rsid w:val="00F20D92"/>
    <w:rsid w:val="00F20DEC"/>
    <w:rsid w:val="00F22A00"/>
    <w:rsid w:val="00F22AAF"/>
    <w:rsid w:val="00F22BA5"/>
    <w:rsid w:val="00F232B5"/>
    <w:rsid w:val="00F234B4"/>
    <w:rsid w:val="00F238AA"/>
    <w:rsid w:val="00F24117"/>
    <w:rsid w:val="00F2445A"/>
    <w:rsid w:val="00F24D43"/>
    <w:rsid w:val="00F25DC9"/>
    <w:rsid w:val="00F30F2A"/>
    <w:rsid w:val="00F31299"/>
    <w:rsid w:val="00F321CE"/>
    <w:rsid w:val="00F3343E"/>
    <w:rsid w:val="00F33FCE"/>
    <w:rsid w:val="00F34045"/>
    <w:rsid w:val="00F3438F"/>
    <w:rsid w:val="00F346D2"/>
    <w:rsid w:val="00F3534A"/>
    <w:rsid w:val="00F36CA3"/>
    <w:rsid w:val="00F370BB"/>
    <w:rsid w:val="00F432F6"/>
    <w:rsid w:val="00F438CA"/>
    <w:rsid w:val="00F43B51"/>
    <w:rsid w:val="00F4601A"/>
    <w:rsid w:val="00F46493"/>
    <w:rsid w:val="00F46C61"/>
    <w:rsid w:val="00F50880"/>
    <w:rsid w:val="00F51609"/>
    <w:rsid w:val="00F5206F"/>
    <w:rsid w:val="00F52C62"/>
    <w:rsid w:val="00F52CAD"/>
    <w:rsid w:val="00F53256"/>
    <w:rsid w:val="00F54957"/>
    <w:rsid w:val="00F54F17"/>
    <w:rsid w:val="00F55C25"/>
    <w:rsid w:val="00F56B25"/>
    <w:rsid w:val="00F56D4C"/>
    <w:rsid w:val="00F5715E"/>
    <w:rsid w:val="00F5781B"/>
    <w:rsid w:val="00F603CD"/>
    <w:rsid w:val="00F608EA"/>
    <w:rsid w:val="00F60C09"/>
    <w:rsid w:val="00F614FE"/>
    <w:rsid w:val="00F62F98"/>
    <w:rsid w:val="00F630B0"/>
    <w:rsid w:val="00F65270"/>
    <w:rsid w:val="00F6528F"/>
    <w:rsid w:val="00F66456"/>
    <w:rsid w:val="00F668B2"/>
    <w:rsid w:val="00F67549"/>
    <w:rsid w:val="00F676BE"/>
    <w:rsid w:val="00F67F3A"/>
    <w:rsid w:val="00F707F9"/>
    <w:rsid w:val="00F70A7A"/>
    <w:rsid w:val="00F712AC"/>
    <w:rsid w:val="00F718B6"/>
    <w:rsid w:val="00F71A3F"/>
    <w:rsid w:val="00F722B9"/>
    <w:rsid w:val="00F7279A"/>
    <w:rsid w:val="00F73CAC"/>
    <w:rsid w:val="00F74124"/>
    <w:rsid w:val="00F7438B"/>
    <w:rsid w:val="00F74E62"/>
    <w:rsid w:val="00F75266"/>
    <w:rsid w:val="00F766A7"/>
    <w:rsid w:val="00F76BA1"/>
    <w:rsid w:val="00F76C0B"/>
    <w:rsid w:val="00F76E02"/>
    <w:rsid w:val="00F77145"/>
    <w:rsid w:val="00F80557"/>
    <w:rsid w:val="00F80FA8"/>
    <w:rsid w:val="00F81006"/>
    <w:rsid w:val="00F81EF7"/>
    <w:rsid w:val="00F81FCE"/>
    <w:rsid w:val="00F823FB"/>
    <w:rsid w:val="00F82BE0"/>
    <w:rsid w:val="00F82E85"/>
    <w:rsid w:val="00F8364C"/>
    <w:rsid w:val="00F85325"/>
    <w:rsid w:val="00F85DAF"/>
    <w:rsid w:val="00F862E8"/>
    <w:rsid w:val="00F86BB0"/>
    <w:rsid w:val="00F8730E"/>
    <w:rsid w:val="00F878D0"/>
    <w:rsid w:val="00F87EB4"/>
    <w:rsid w:val="00F936A4"/>
    <w:rsid w:val="00F95276"/>
    <w:rsid w:val="00F957D0"/>
    <w:rsid w:val="00F95C75"/>
    <w:rsid w:val="00F9632F"/>
    <w:rsid w:val="00F9701A"/>
    <w:rsid w:val="00FA0858"/>
    <w:rsid w:val="00FA13B1"/>
    <w:rsid w:val="00FA329F"/>
    <w:rsid w:val="00FA39FA"/>
    <w:rsid w:val="00FA44A4"/>
    <w:rsid w:val="00FA7036"/>
    <w:rsid w:val="00FA7E5E"/>
    <w:rsid w:val="00FB05DF"/>
    <w:rsid w:val="00FB06FE"/>
    <w:rsid w:val="00FB23A2"/>
    <w:rsid w:val="00FB375E"/>
    <w:rsid w:val="00FB4AF0"/>
    <w:rsid w:val="00FB50CF"/>
    <w:rsid w:val="00FB51E3"/>
    <w:rsid w:val="00FB641D"/>
    <w:rsid w:val="00FB69DE"/>
    <w:rsid w:val="00FB7A71"/>
    <w:rsid w:val="00FC04BF"/>
    <w:rsid w:val="00FC106A"/>
    <w:rsid w:val="00FC10B4"/>
    <w:rsid w:val="00FC3E8C"/>
    <w:rsid w:val="00FC4267"/>
    <w:rsid w:val="00FC4422"/>
    <w:rsid w:val="00FC4FB3"/>
    <w:rsid w:val="00FC59D3"/>
    <w:rsid w:val="00FC615E"/>
    <w:rsid w:val="00FC6477"/>
    <w:rsid w:val="00FC6826"/>
    <w:rsid w:val="00FC6DF9"/>
    <w:rsid w:val="00FC71A8"/>
    <w:rsid w:val="00FC79C9"/>
    <w:rsid w:val="00FC7E8A"/>
    <w:rsid w:val="00FD030B"/>
    <w:rsid w:val="00FD031F"/>
    <w:rsid w:val="00FD03FA"/>
    <w:rsid w:val="00FD1F4C"/>
    <w:rsid w:val="00FD22B1"/>
    <w:rsid w:val="00FD258C"/>
    <w:rsid w:val="00FD33F1"/>
    <w:rsid w:val="00FD3566"/>
    <w:rsid w:val="00FD440B"/>
    <w:rsid w:val="00FD4ED9"/>
    <w:rsid w:val="00FD532A"/>
    <w:rsid w:val="00FD55EC"/>
    <w:rsid w:val="00FD6DC2"/>
    <w:rsid w:val="00FE00C7"/>
    <w:rsid w:val="00FE05F9"/>
    <w:rsid w:val="00FE18DA"/>
    <w:rsid w:val="00FE2714"/>
    <w:rsid w:val="00FE414B"/>
    <w:rsid w:val="00FE4E30"/>
    <w:rsid w:val="00FE5397"/>
    <w:rsid w:val="00FE5B57"/>
    <w:rsid w:val="00FE5D16"/>
    <w:rsid w:val="00FF2C51"/>
    <w:rsid w:val="00FF42D3"/>
    <w:rsid w:val="00FF49A1"/>
    <w:rsid w:val="00FF5881"/>
    <w:rsid w:val="00FF61A9"/>
    <w:rsid w:val="00FF79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o:shapelayout v:ext="edit">
      <o:idmap v:ext="edit" data="1"/>
    </o:shapelayout>
  </w:shapeDefaults>
  <w:decimalSymbol w:val="."/>
  <w:listSeparator w:val=","/>
  <w14:docId w14:val="1ED3B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qFormat="1"/>
    <w:lsdException w:name="heading 5" w:qFormat="1"/>
    <w:lsdException w:name="toc 2" w:uiPriority="39"/>
    <w:lsdException w:name="Default Paragraph Font" w:uiPriority="1"/>
    <w:lsdException w:name="Body Text" w:qFormat="1"/>
    <w:lsdException w:name="Subtitle" w:qFormat="1"/>
    <w:lsdException w:name="Emphasis" w:uiPriority="99" w:qFormat="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0D0B63"/>
    <w:rPr>
      <w:sz w:val="24"/>
      <w:szCs w:val="24"/>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link w:val="Heading4Char"/>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semiHidden/>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301E4A"/>
    <w:pPr>
      <w:framePr w:wrap="notBeside" w:hAnchor="text"/>
    </w:pPr>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link w:val="FootnoteTextChar"/>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BodyText"/>
    <w:uiPriority w:val="39"/>
    <w:rsid w:val="005C5E19"/>
    <w:pPr>
      <w:tabs>
        <w:tab w:val="right" w:pos="8789"/>
      </w:tabs>
      <w:ind w:left="510" w:right="851" w:hanging="510"/>
      <w:jc w:val="left"/>
    </w:pPr>
    <w:rPr>
      <w:rFonts w:ascii="Arial" w:hAnsi="Arial"/>
      <w:b/>
    </w:rPr>
  </w:style>
  <w:style w:type="paragraph" w:styleId="TOC3">
    <w:name w:val="toc 3"/>
    <w:basedOn w:val="TOC2"/>
    <w:rsid w:val="00A17328"/>
    <w:pPr>
      <w:spacing w:before="60"/>
      <w:ind w:left="1190" w:hanging="680"/>
    </w:pPr>
    <w:rPr>
      <w:b w:val="0"/>
    </w:r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D80CF5"/>
  </w:style>
  <w:style w:type="paragraph" w:customStyle="1" w:styleId="TableUnitsRow">
    <w:name w:val="Table Units Row"/>
    <w:basedOn w:val="TableBodyText"/>
    <w:rsid w:val="00812F4A"/>
    <w:pPr>
      <w:spacing w:before="80" w:after="80"/>
    </w:pPr>
  </w:style>
  <w:style w:type="paragraph" w:styleId="TOC1">
    <w:name w:val="toc 1"/>
    <w:basedOn w:val="Normal"/>
    <w:next w:val="TOC2"/>
    <w:link w:val="TOC1Char"/>
    <w:rsid w:val="005C5E19"/>
    <w:pPr>
      <w:tabs>
        <w:tab w:val="right" w:pos="8789"/>
      </w:tabs>
      <w:spacing w:before="480" w:after="60" w:line="320" w:lineRule="exact"/>
      <w:ind w:left="1191" w:right="851" w:hanging="1191"/>
    </w:pPr>
    <w:rPr>
      <w:rFonts w:ascii="Arial" w:hAnsi="Arial"/>
      <w:b/>
      <w:cap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uiPriority w:val="99"/>
    <w:qForma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pPr>
      <w:framePr w:wrap="auto"/>
    </w:pPr>
    <w:rPr>
      <w:i/>
    </w:rPr>
  </w:style>
  <w:style w:type="paragraph" w:customStyle="1" w:styleId="Space">
    <w:name w:val="Space"/>
    <w:basedOn w:val="Normal"/>
    <w:rsid w:val="00967CD3"/>
    <w:pPr>
      <w:keepNext/>
      <w:spacing w:line="120" w:lineRule="exact"/>
      <w:jc w:val="both"/>
    </w:pPr>
    <w:rPr>
      <w:rFonts w:ascii="Arial" w:hAnsi="Arial"/>
      <w:sz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rsid w:val="0013739A"/>
    <w:pPr>
      <w:spacing w:before="40"/>
    </w:pPr>
    <w:rPr>
      <w:rFonts w:cs="Arial"/>
      <w:color w:val="000000" w:themeColor="text1"/>
    </w:rPr>
  </w:style>
  <w:style w:type="character" w:customStyle="1" w:styleId="Heading2Char">
    <w:name w:val="Heading 2 Char"/>
    <w:basedOn w:val="DefaultParagraphFont"/>
    <w:link w:val="Heading2"/>
    <w:rsid w:val="00415F39"/>
    <w:rPr>
      <w:rFonts w:ascii="Arial" w:hAnsi="Arial"/>
      <w:b/>
      <w:sz w:val="32"/>
    </w:rPr>
  </w:style>
  <w:style w:type="character" w:styleId="Hyperlink">
    <w:name w:val="Hyperlink"/>
    <w:basedOn w:val="DefaultParagraphFont"/>
    <w:rsid w:val="00415F39"/>
    <w:rPr>
      <w:color w:val="78A22F" w:themeColor="hyperlink"/>
      <w:u w:val="single"/>
    </w:rPr>
  </w:style>
  <w:style w:type="table" w:styleId="TableGrid">
    <w:name w:val="Table Grid"/>
    <w:basedOn w:val="TableNormal"/>
    <w:rsid w:val="009F3E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391500"/>
    <w:rPr>
      <w:rFonts w:ascii="Arial" w:hAnsi="Arial"/>
      <w:b/>
      <w:sz w:val="26"/>
    </w:rPr>
  </w:style>
  <w:style w:type="character" w:customStyle="1" w:styleId="FooterChar">
    <w:name w:val="Footer Char"/>
    <w:basedOn w:val="DefaultParagraphFont"/>
    <w:link w:val="Footer"/>
    <w:semiHidden/>
    <w:rsid w:val="009F6FCD"/>
    <w:rPr>
      <w:rFonts w:ascii="Arial" w:hAnsi="Arial"/>
      <w:caps/>
      <w:spacing w:val="-4"/>
      <w:sz w:val="16"/>
    </w:rPr>
  </w:style>
  <w:style w:type="character" w:customStyle="1" w:styleId="BodyTextChar">
    <w:name w:val="Body Text Char"/>
    <w:basedOn w:val="DefaultParagraphFont"/>
    <w:link w:val="BodyText"/>
    <w:rsid w:val="001F49AE"/>
    <w:rPr>
      <w:sz w:val="24"/>
    </w:rPr>
  </w:style>
  <w:style w:type="character" w:customStyle="1" w:styleId="CommentTextChar">
    <w:name w:val="Comment Text Char"/>
    <w:basedOn w:val="DefaultParagraphFont"/>
    <w:link w:val="CommentText"/>
    <w:semiHidden/>
    <w:rsid w:val="001F49AE"/>
    <w:rPr>
      <w:lang w:eastAsia="en-US"/>
    </w:rPr>
  </w:style>
  <w:style w:type="paragraph" w:customStyle="1" w:styleId="BoxSpaceAboveElement">
    <w:name w:val="Box Space Above Element"/>
    <w:basedOn w:val="BoxSpaceAbove"/>
    <w:link w:val="BoxSpaceAboveElementChar"/>
    <w:qFormat/>
    <w:rsid w:val="000D0B63"/>
    <w:pPr>
      <w:spacing w:before="240"/>
    </w:pPr>
    <w:rPr>
      <w:b/>
      <w:vanish/>
      <w:color w:val="FF00FF"/>
      <w:sz w:val="14"/>
    </w:rPr>
  </w:style>
  <w:style w:type="character" w:customStyle="1" w:styleId="BoxSpaceAboveElementChar">
    <w:name w:val="Box Space Above Element Char"/>
    <w:basedOn w:val="DefaultParagraphFont"/>
    <w:link w:val="BoxSpaceAboveElement"/>
    <w:rsid w:val="000D0B63"/>
    <w:rPr>
      <w:b/>
      <w:vanish/>
      <w:color w:val="FF00FF"/>
      <w:sz w:val="14"/>
    </w:rPr>
  </w:style>
  <w:style w:type="paragraph" w:customStyle="1" w:styleId="OutlineNumbered1">
    <w:name w:val="Outline Numbered 1"/>
    <w:basedOn w:val="Normal"/>
    <w:link w:val="OutlineNumbered1Char"/>
    <w:rsid w:val="000D0B63"/>
    <w:pPr>
      <w:numPr>
        <w:numId w:val="26"/>
      </w:numPr>
      <w:spacing w:after="240"/>
    </w:pPr>
    <w:rPr>
      <w:rFonts w:ascii="Calibri" w:eastAsia="Calibri" w:hAnsi="Calibri"/>
      <w:sz w:val="22"/>
      <w:szCs w:val="22"/>
      <w:lang w:eastAsia="en-US"/>
    </w:rPr>
  </w:style>
  <w:style w:type="character" w:customStyle="1" w:styleId="OutlineNumbered1Char">
    <w:name w:val="Outline Numbered 1 Char"/>
    <w:basedOn w:val="DefaultParagraphFont"/>
    <w:link w:val="OutlineNumbered1"/>
    <w:locked/>
    <w:rsid w:val="000D0B63"/>
    <w:rPr>
      <w:rFonts w:ascii="Calibri" w:eastAsia="Calibri" w:hAnsi="Calibri"/>
      <w:sz w:val="22"/>
      <w:szCs w:val="22"/>
      <w:lang w:eastAsia="en-US"/>
    </w:rPr>
  </w:style>
  <w:style w:type="paragraph" w:customStyle="1" w:styleId="OutlineNumbered2">
    <w:name w:val="Outline Numbered 2"/>
    <w:basedOn w:val="Normal"/>
    <w:rsid w:val="000D0B63"/>
    <w:pPr>
      <w:numPr>
        <w:ilvl w:val="1"/>
        <w:numId w:val="26"/>
      </w:numPr>
      <w:spacing w:after="240"/>
    </w:pPr>
    <w:rPr>
      <w:rFonts w:ascii="Calibri" w:eastAsia="Calibri" w:hAnsi="Calibri"/>
      <w:sz w:val="22"/>
      <w:szCs w:val="22"/>
      <w:lang w:eastAsia="en-US"/>
    </w:rPr>
  </w:style>
  <w:style w:type="paragraph" w:customStyle="1" w:styleId="OutlineNumbered3">
    <w:name w:val="Outline Numbered 3"/>
    <w:basedOn w:val="Normal"/>
    <w:rsid w:val="000D0B63"/>
    <w:pPr>
      <w:numPr>
        <w:ilvl w:val="2"/>
        <w:numId w:val="26"/>
      </w:numPr>
      <w:spacing w:after="240"/>
    </w:pPr>
    <w:rPr>
      <w:rFonts w:ascii="Calibri" w:eastAsia="Calibri" w:hAnsi="Calibri"/>
      <w:sz w:val="22"/>
      <w:szCs w:val="22"/>
      <w:lang w:eastAsia="en-US"/>
    </w:rPr>
  </w:style>
  <w:style w:type="paragraph" w:styleId="CommentSubject">
    <w:name w:val="annotation subject"/>
    <w:basedOn w:val="CommentText"/>
    <w:next w:val="CommentText"/>
    <w:link w:val="CommentSubjectChar"/>
    <w:rsid w:val="007D27F7"/>
    <w:pPr>
      <w:spacing w:before="0" w:line="240" w:lineRule="auto"/>
      <w:ind w:left="0" w:firstLine="0"/>
    </w:pPr>
    <w:rPr>
      <w:b/>
      <w:bCs/>
      <w:szCs w:val="20"/>
    </w:rPr>
  </w:style>
  <w:style w:type="character" w:customStyle="1" w:styleId="CommentSubjectChar">
    <w:name w:val="Comment Subject Char"/>
    <w:basedOn w:val="CommentTextChar"/>
    <w:link w:val="CommentSubject"/>
    <w:rsid w:val="007D27F7"/>
    <w:rPr>
      <w:b/>
      <w:bCs/>
      <w:lang w:eastAsia="en-US"/>
    </w:rPr>
  </w:style>
  <w:style w:type="character" w:customStyle="1" w:styleId="Heading4Char">
    <w:name w:val="Heading 4 Char"/>
    <w:basedOn w:val="DefaultParagraphFont"/>
    <w:link w:val="Heading4"/>
    <w:rsid w:val="00E011E8"/>
    <w:rPr>
      <w:rFonts w:ascii="Arial" w:hAnsi="Arial"/>
      <w:sz w:val="24"/>
    </w:rPr>
  </w:style>
  <w:style w:type="character" w:customStyle="1" w:styleId="FootnoteTextChar">
    <w:name w:val="Footnote Text Char"/>
    <w:basedOn w:val="DefaultParagraphFont"/>
    <w:link w:val="FootnoteText"/>
    <w:rsid w:val="0046637F"/>
  </w:style>
  <w:style w:type="character" w:styleId="EndnoteReference">
    <w:name w:val="endnote reference"/>
    <w:basedOn w:val="DefaultParagraphFont"/>
    <w:rsid w:val="00E523E7"/>
    <w:rPr>
      <w:vertAlign w:val="superscript"/>
    </w:rPr>
  </w:style>
  <w:style w:type="paragraph" w:styleId="Revision">
    <w:name w:val="Revision"/>
    <w:hidden/>
    <w:uiPriority w:val="99"/>
    <w:semiHidden/>
    <w:rsid w:val="00207E5D"/>
    <w:rPr>
      <w:sz w:val="24"/>
      <w:szCs w:val="24"/>
    </w:rPr>
  </w:style>
  <w:style w:type="paragraph" w:customStyle="1" w:styleId="Heading1NotTOC">
    <w:name w:val="Heading 1 Not TOC"/>
    <w:basedOn w:val="Heading1"/>
    <w:next w:val="BodyText"/>
    <w:rsid w:val="007369DC"/>
    <w:rPr>
      <w:kern w:val="28"/>
      <w:szCs w:val="26"/>
      <w:lang w:eastAsia="en-US"/>
    </w:rPr>
  </w:style>
  <w:style w:type="character" w:customStyle="1" w:styleId="TOC1Char">
    <w:name w:val="TOC 1 Char"/>
    <w:basedOn w:val="DefaultParagraphFont"/>
    <w:link w:val="TOC1"/>
    <w:rsid w:val="007369DC"/>
    <w:rPr>
      <w:rFonts w:ascii="Arial" w:hAnsi="Arial"/>
      <w:b/>
      <w:caps/>
      <w:sz w:val="24"/>
      <w:szCs w:val="24"/>
    </w:rPr>
  </w:style>
  <w:style w:type="paragraph" w:styleId="Bibliography">
    <w:name w:val="Bibliography"/>
    <w:basedOn w:val="Normal"/>
    <w:next w:val="Normal"/>
    <w:uiPriority w:val="37"/>
    <w:unhideWhenUsed/>
    <w:rsid w:val="00F614FE"/>
    <w:pPr>
      <w:spacing w:after="240"/>
      <w:ind w:left="72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qFormat="1"/>
    <w:lsdException w:name="heading 5" w:qFormat="1"/>
    <w:lsdException w:name="toc 2" w:uiPriority="39"/>
    <w:lsdException w:name="Default Paragraph Font" w:uiPriority="1"/>
    <w:lsdException w:name="Body Text" w:qFormat="1"/>
    <w:lsdException w:name="Subtitle" w:qFormat="1"/>
    <w:lsdException w:name="Emphasis" w:uiPriority="99" w:qFormat="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0D0B63"/>
    <w:rPr>
      <w:sz w:val="24"/>
      <w:szCs w:val="24"/>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link w:val="Heading4Char"/>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semiHidden/>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301E4A"/>
    <w:pPr>
      <w:framePr w:wrap="notBeside" w:hAnchor="text"/>
    </w:pPr>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link w:val="FootnoteTextChar"/>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BodyText"/>
    <w:uiPriority w:val="39"/>
    <w:rsid w:val="005C5E19"/>
    <w:pPr>
      <w:tabs>
        <w:tab w:val="right" w:pos="8789"/>
      </w:tabs>
      <w:ind w:left="510" w:right="851" w:hanging="510"/>
      <w:jc w:val="left"/>
    </w:pPr>
    <w:rPr>
      <w:rFonts w:ascii="Arial" w:hAnsi="Arial"/>
      <w:b/>
    </w:rPr>
  </w:style>
  <w:style w:type="paragraph" w:styleId="TOC3">
    <w:name w:val="toc 3"/>
    <w:basedOn w:val="TOC2"/>
    <w:rsid w:val="00A17328"/>
    <w:pPr>
      <w:spacing w:before="60"/>
      <w:ind w:left="1190" w:hanging="680"/>
    </w:pPr>
    <w:rPr>
      <w:b w:val="0"/>
    </w:r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D80CF5"/>
  </w:style>
  <w:style w:type="paragraph" w:customStyle="1" w:styleId="TableUnitsRow">
    <w:name w:val="Table Units Row"/>
    <w:basedOn w:val="TableBodyText"/>
    <w:rsid w:val="00812F4A"/>
    <w:pPr>
      <w:spacing w:before="80" w:after="80"/>
    </w:pPr>
  </w:style>
  <w:style w:type="paragraph" w:styleId="TOC1">
    <w:name w:val="toc 1"/>
    <w:basedOn w:val="Normal"/>
    <w:next w:val="TOC2"/>
    <w:link w:val="TOC1Char"/>
    <w:rsid w:val="005C5E19"/>
    <w:pPr>
      <w:tabs>
        <w:tab w:val="right" w:pos="8789"/>
      </w:tabs>
      <w:spacing w:before="480" w:after="60" w:line="320" w:lineRule="exact"/>
      <w:ind w:left="1191" w:right="851" w:hanging="1191"/>
    </w:pPr>
    <w:rPr>
      <w:rFonts w:ascii="Arial" w:hAnsi="Arial"/>
      <w:b/>
      <w:cap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uiPriority w:val="99"/>
    <w:qForma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pPr>
      <w:framePr w:wrap="auto"/>
    </w:pPr>
    <w:rPr>
      <w:i/>
    </w:rPr>
  </w:style>
  <w:style w:type="paragraph" w:customStyle="1" w:styleId="Space">
    <w:name w:val="Space"/>
    <w:basedOn w:val="Normal"/>
    <w:rsid w:val="00967CD3"/>
    <w:pPr>
      <w:keepNext/>
      <w:spacing w:line="120" w:lineRule="exact"/>
      <w:jc w:val="both"/>
    </w:pPr>
    <w:rPr>
      <w:rFonts w:ascii="Arial" w:hAnsi="Arial"/>
      <w:sz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rsid w:val="0013739A"/>
    <w:pPr>
      <w:spacing w:before="40"/>
    </w:pPr>
    <w:rPr>
      <w:rFonts w:cs="Arial"/>
      <w:color w:val="000000" w:themeColor="text1"/>
    </w:rPr>
  </w:style>
  <w:style w:type="character" w:customStyle="1" w:styleId="Heading2Char">
    <w:name w:val="Heading 2 Char"/>
    <w:basedOn w:val="DefaultParagraphFont"/>
    <w:link w:val="Heading2"/>
    <w:rsid w:val="00415F39"/>
    <w:rPr>
      <w:rFonts w:ascii="Arial" w:hAnsi="Arial"/>
      <w:b/>
      <w:sz w:val="32"/>
    </w:rPr>
  </w:style>
  <w:style w:type="character" w:styleId="Hyperlink">
    <w:name w:val="Hyperlink"/>
    <w:basedOn w:val="DefaultParagraphFont"/>
    <w:rsid w:val="00415F39"/>
    <w:rPr>
      <w:color w:val="78A22F" w:themeColor="hyperlink"/>
      <w:u w:val="single"/>
    </w:rPr>
  </w:style>
  <w:style w:type="table" w:styleId="TableGrid">
    <w:name w:val="Table Grid"/>
    <w:basedOn w:val="TableNormal"/>
    <w:rsid w:val="009F3E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391500"/>
    <w:rPr>
      <w:rFonts w:ascii="Arial" w:hAnsi="Arial"/>
      <w:b/>
      <w:sz w:val="26"/>
    </w:rPr>
  </w:style>
  <w:style w:type="character" w:customStyle="1" w:styleId="FooterChar">
    <w:name w:val="Footer Char"/>
    <w:basedOn w:val="DefaultParagraphFont"/>
    <w:link w:val="Footer"/>
    <w:semiHidden/>
    <w:rsid w:val="009F6FCD"/>
    <w:rPr>
      <w:rFonts w:ascii="Arial" w:hAnsi="Arial"/>
      <w:caps/>
      <w:spacing w:val="-4"/>
      <w:sz w:val="16"/>
    </w:rPr>
  </w:style>
  <w:style w:type="character" w:customStyle="1" w:styleId="BodyTextChar">
    <w:name w:val="Body Text Char"/>
    <w:basedOn w:val="DefaultParagraphFont"/>
    <w:link w:val="BodyText"/>
    <w:rsid w:val="001F49AE"/>
    <w:rPr>
      <w:sz w:val="24"/>
    </w:rPr>
  </w:style>
  <w:style w:type="character" w:customStyle="1" w:styleId="CommentTextChar">
    <w:name w:val="Comment Text Char"/>
    <w:basedOn w:val="DefaultParagraphFont"/>
    <w:link w:val="CommentText"/>
    <w:semiHidden/>
    <w:rsid w:val="001F49AE"/>
    <w:rPr>
      <w:lang w:eastAsia="en-US"/>
    </w:rPr>
  </w:style>
  <w:style w:type="paragraph" w:customStyle="1" w:styleId="BoxSpaceAboveElement">
    <w:name w:val="Box Space Above Element"/>
    <w:basedOn w:val="BoxSpaceAbove"/>
    <w:link w:val="BoxSpaceAboveElementChar"/>
    <w:qFormat/>
    <w:rsid w:val="000D0B63"/>
    <w:pPr>
      <w:spacing w:before="240"/>
    </w:pPr>
    <w:rPr>
      <w:b/>
      <w:vanish/>
      <w:color w:val="FF00FF"/>
      <w:sz w:val="14"/>
    </w:rPr>
  </w:style>
  <w:style w:type="character" w:customStyle="1" w:styleId="BoxSpaceAboveElementChar">
    <w:name w:val="Box Space Above Element Char"/>
    <w:basedOn w:val="DefaultParagraphFont"/>
    <w:link w:val="BoxSpaceAboveElement"/>
    <w:rsid w:val="000D0B63"/>
    <w:rPr>
      <w:b/>
      <w:vanish/>
      <w:color w:val="FF00FF"/>
      <w:sz w:val="14"/>
    </w:rPr>
  </w:style>
  <w:style w:type="paragraph" w:customStyle="1" w:styleId="OutlineNumbered1">
    <w:name w:val="Outline Numbered 1"/>
    <w:basedOn w:val="Normal"/>
    <w:link w:val="OutlineNumbered1Char"/>
    <w:rsid w:val="000D0B63"/>
    <w:pPr>
      <w:numPr>
        <w:numId w:val="26"/>
      </w:numPr>
      <w:spacing w:after="240"/>
    </w:pPr>
    <w:rPr>
      <w:rFonts w:ascii="Calibri" w:eastAsia="Calibri" w:hAnsi="Calibri"/>
      <w:sz w:val="22"/>
      <w:szCs w:val="22"/>
      <w:lang w:eastAsia="en-US"/>
    </w:rPr>
  </w:style>
  <w:style w:type="character" w:customStyle="1" w:styleId="OutlineNumbered1Char">
    <w:name w:val="Outline Numbered 1 Char"/>
    <w:basedOn w:val="DefaultParagraphFont"/>
    <w:link w:val="OutlineNumbered1"/>
    <w:locked/>
    <w:rsid w:val="000D0B63"/>
    <w:rPr>
      <w:rFonts w:ascii="Calibri" w:eastAsia="Calibri" w:hAnsi="Calibri"/>
      <w:sz w:val="22"/>
      <w:szCs w:val="22"/>
      <w:lang w:eastAsia="en-US"/>
    </w:rPr>
  </w:style>
  <w:style w:type="paragraph" w:customStyle="1" w:styleId="OutlineNumbered2">
    <w:name w:val="Outline Numbered 2"/>
    <w:basedOn w:val="Normal"/>
    <w:rsid w:val="000D0B63"/>
    <w:pPr>
      <w:numPr>
        <w:ilvl w:val="1"/>
        <w:numId w:val="26"/>
      </w:numPr>
      <w:spacing w:after="240"/>
    </w:pPr>
    <w:rPr>
      <w:rFonts w:ascii="Calibri" w:eastAsia="Calibri" w:hAnsi="Calibri"/>
      <w:sz w:val="22"/>
      <w:szCs w:val="22"/>
      <w:lang w:eastAsia="en-US"/>
    </w:rPr>
  </w:style>
  <w:style w:type="paragraph" w:customStyle="1" w:styleId="OutlineNumbered3">
    <w:name w:val="Outline Numbered 3"/>
    <w:basedOn w:val="Normal"/>
    <w:rsid w:val="000D0B63"/>
    <w:pPr>
      <w:numPr>
        <w:ilvl w:val="2"/>
        <w:numId w:val="26"/>
      </w:numPr>
      <w:spacing w:after="240"/>
    </w:pPr>
    <w:rPr>
      <w:rFonts w:ascii="Calibri" w:eastAsia="Calibri" w:hAnsi="Calibri"/>
      <w:sz w:val="22"/>
      <w:szCs w:val="22"/>
      <w:lang w:eastAsia="en-US"/>
    </w:rPr>
  </w:style>
  <w:style w:type="paragraph" w:styleId="CommentSubject">
    <w:name w:val="annotation subject"/>
    <w:basedOn w:val="CommentText"/>
    <w:next w:val="CommentText"/>
    <w:link w:val="CommentSubjectChar"/>
    <w:rsid w:val="007D27F7"/>
    <w:pPr>
      <w:spacing w:before="0" w:line="240" w:lineRule="auto"/>
      <w:ind w:left="0" w:firstLine="0"/>
    </w:pPr>
    <w:rPr>
      <w:b/>
      <w:bCs/>
      <w:szCs w:val="20"/>
    </w:rPr>
  </w:style>
  <w:style w:type="character" w:customStyle="1" w:styleId="CommentSubjectChar">
    <w:name w:val="Comment Subject Char"/>
    <w:basedOn w:val="CommentTextChar"/>
    <w:link w:val="CommentSubject"/>
    <w:rsid w:val="007D27F7"/>
    <w:rPr>
      <w:b/>
      <w:bCs/>
      <w:lang w:eastAsia="en-US"/>
    </w:rPr>
  </w:style>
  <w:style w:type="character" w:customStyle="1" w:styleId="Heading4Char">
    <w:name w:val="Heading 4 Char"/>
    <w:basedOn w:val="DefaultParagraphFont"/>
    <w:link w:val="Heading4"/>
    <w:rsid w:val="00E011E8"/>
    <w:rPr>
      <w:rFonts w:ascii="Arial" w:hAnsi="Arial"/>
      <w:sz w:val="24"/>
    </w:rPr>
  </w:style>
  <w:style w:type="character" w:customStyle="1" w:styleId="FootnoteTextChar">
    <w:name w:val="Footnote Text Char"/>
    <w:basedOn w:val="DefaultParagraphFont"/>
    <w:link w:val="FootnoteText"/>
    <w:rsid w:val="0046637F"/>
  </w:style>
  <w:style w:type="character" w:styleId="EndnoteReference">
    <w:name w:val="endnote reference"/>
    <w:basedOn w:val="DefaultParagraphFont"/>
    <w:rsid w:val="00E523E7"/>
    <w:rPr>
      <w:vertAlign w:val="superscript"/>
    </w:rPr>
  </w:style>
  <w:style w:type="paragraph" w:styleId="Revision">
    <w:name w:val="Revision"/>
    <w:hidden/>
    <w:uiPriority w:val="99"/>
    <w:semiHidden/>
    <w:rsid w:val="00207E5D"/>
    <w:rPr>
      <w:sz w:val="24"/>
      <w:szCs w:val="24"/>
    </w:rPr>
  </w:style>
  <w:style w:type="paragraph" w:customStyle="1" w:styleId="Heading1NotTOC">
    <w:name w:val="Heading 1 Not TOC"/>
    <w:basedOn w:val="Heading1"/>
    <w:next w:val="BodyText"/>
    <w:rsid w:val="007369DC"/>
    <w:rPr>
      <w:kern w:val="28"/>
      <w:szCs w:val="26"/>
      <w:lang w:eastAsia="en-US"/>
    </w:rPr>
  </w:style>
  <w:style w:type="character" w:customStyle="1" w:styleId="TOC1Char">
    <w:name w:val="TOC 1 Char"/>
    <w:basedOn w:val="DefaultParagraphFont"/>
    <w:link w:val="TOC1"/>
    <w:rsid w:val="007369DC"/>
    <w:rPr>
      <w:rFonts w:ascii="Arial" w:hAnsi="Arial"/>
      <w:b/>
      <w:caps/>
      <w:sz w:val="24"/>
      <w:szCs w:val="24"/>
    </w:rPr>
  </w:style>
  <w:style w:type="paragraph" w:styleId="Bibliography">
    <w:name w:val="Bibliography"/>
    <w:basedOn w:val="Normal"/>
    <w:next w:val="Normal"/>
    <w:uiPriority w:val="37"/>
    <w:unhideWhenUsed/>
    <w:rsid w:val="00F614FE"/>
    <w:pPr>
      <w:spacing w:after="240"/>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66939">
      <w:bodyDiv w:val="1"/>
      <w:marLeft w:val="0"/>
      <w:marRight w:val="0"/>
      <w:marTop w:val="0"/>
      <w:marBottom w:val="0"/>
      <w:divBdr>
        <w:top w:val="none" w:sz="0" w:space="0" w:color="auto"/>
        <w:left w:val="none" w:sz="0" w:space="0" w:color="auto"/>
        <w:bottom w:val="none" w:sz="0" w:space="0" w:color="auto"/>
        <w:right w:val="none" w:sz="0" w:space="0" w:color="auto"/>
      </w:divBdr>
    </w:div>
    <w:div w:id="362902060">
      <w:bodyDiv w:val="1"/>
      <w:marLeft w:val="0"/>
      <w:marRight w:val="0"/>
      <w:marTop w:val="0"/>
      <w:marBottom w:val="0"/>
      <w:divBdr>
        <w:top w:val="none" w:sz="0" w:space="0" w:color="auto"/>
        <w:left w:val="none" w:sz="0" w:space="0" w:color="auto"/>
        <w:bottom w:val="none" w:sz="0" w:space="0" w:color="auto"/>
        <w:right w:val="none" w:sz="0" w:space="0" w:color="auto"/>
      </w:divBdr>
    </w:div>
    <w:div w:id="429860580">
      <w:bodyDiv w:val="1"/>
      <w:marLeft w:val="0"/>
      <w:marRight w:val="0"/>
      <w:marTop w:val="0"/>
      <w:marBottom w:val="0"/>
      <w:divBdr>
        <w:top w:val="none" w:sz="0" w:space="0" w:color="auto"/>
        <w:left w:val="none" w:sz="0" w:space="0" w:color="auto"/>
        <w:bottom w:val="none" w:sz="0" w:space="0" w:color="auto"/>
        <w:right w:val="none" w:sz="0" w:space="0" w:color="auto"/>
      </w:divBdr>
    </w:div>
    <w:div w:id="1598250675">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 w:id="195266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eader" Target="header2.xml"/><Relationship Id="rId26" Type="http://schemas.openxmlformats.org/officeDocument/2006/relationships/hyperlink" Target="mailto:services.exports@pc.gov.au" TargetMode="Externa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footer" Target="footer7.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5.xml"/><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29"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4.xml"/><Relationship Id="rId32"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eader" Target="header5.xml"/><Relationship Id="rId28" Type="http://schemas.openxmlformats.org/officeDocument/2006/relationships/image" Target="media/image3.emf"/><Relationship Id="rId36" Type="http://schemas.openxmlformats.org/officeDocument/2006/relationships/theme" Target="theme/theme1.xml"/><Relationship Id="rId10" Type="http://schemas.microsoft.com/office/2007/relationships/stylesWithEffects" Target="stylesWithEffects.xml"/><Relationship Id="rId19" Type="http://schemas.openxmlformats.org/officeDocument/2006/relationships/header" Target="header3.xm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eader" Target="header4.xml"/><Relationship Id="rId27" Type="http://schemas.openxmlformats.org/officeDocument/2006/relationships/image" Target="media/image2.emf"/><Relationship Id="rId30" Type="http://schemas.openxmlformats.org/officeDocument/2006/relationships/hyperlink" Target="http://www.w3.org/TR/WCAG20/" TargetMode="Externa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0\issues-paper-template.dotm" TargetMode="External"/></Relationships>
</file>

<file path=word/theme/theme1.xml><?xml version="1.0" encoding="utf-8"?>
<a:theme xmlns:a="http://schemas.openxmlformats.org/drawingml/2006/main" name="ProdCommTheme">
  <a:themeElements>
    <a:clrScheme name="PC colour scheme">
      <a:dk1>
        <a:sysClr val="windowText" lastClr="000000"/>
      </a:dk1>
      <a:lt1>
        <a:sysClr val="window" lastClr="FFFFFF"/>
      </a:lt1>
      <a:dk2>
        <a:srgbClr val="000000"/>
      </a:dk2>
      <a:lt2>
        <a:srgbClr val="BFBFBF"/>
      </a:lt2>
      <a:accent1>
        <a:srgbClr val="78A22F"/>
      </a:accent1>
      <a:accent2>
        <a:srgbClr val="265A9A"/>
      </a:accent2>
      <a:accent3>
        <a:srgbClr val="B2D673"/>
      </a:accent3>
      <a:accent4>
        <a:srgbClr val="F2F2F2"/>
      </a:accent4>
      <a:accent5>
        <a:srgbClr val="387DD2"/>
      </a:accent5>
      <a:accent6>
        <a:srgbClr val="C00000"/>
      </a:accent6>
      <a:hlink>
        <a:srgbClr val="78A22F"/>
      </a:hlink>
      <a:folHlink>
        <a:srgbClr val="387DD2"/>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Issues Papers" ma:contentTypeID="0x01010066EDC8E18BFE9C418F00295EA55D44EA00BD537A4F54390A4AA8AA9F79F25DC64E006336A97B32222D44B0222B187FD0D467" ma:contentTypeVersion="0" ma:contentTypeDescription="" ma:contentTypeScope="" ma:versionID="69578b26a89d2390b4fba461b3cc6487">
  <xsd:schema xmlns:xsd="http://www.w3.org/2001/XMLSchema" xmlns:xs="http://www.w3.org/2001/XMLSchema" xmlns:p="http://schemas.microsoft.com/office/2006/metadata/properties" targetNamespace="http://schemas.microsoft.com/office/2006/metadata/properties" ma:root="true" ma:fieldsID="35d2ceaebb5480c207606bbce77fe67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DF54D-2DE4-4E20-A92D-DC00BEABD548}">
  <ds:schemaRefs>
    <ds:schemaRef ds:uri="http://schemas.openxmlformats.org/package/2006/metadata/core-properties"/>
    <ds:schemaRef ds:uri="http://schemas.microsoft.com/office/2006/documentManagement/types"/>
    <ds:schemaRef ds:uri="http://purl.org/dc/terms/"/>
    <ds:schemaRef ds:uri="http://purl.org/dc/elements/1.1/"/>
    <ds:schemaRef ds:uri="http://www.w3.org/XML/1998/namespace"/>
    <ds:schemaRef ds:uri="http://purl.org/dc/dcmityp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12FFB393-629E-4E5D-B1AE-25B0FB2E02DA}">
  <ds:schemaRefs>
    <ds:schemaRef ds:uri="http://schemas.microsoft.com/sharepoint/events"/>
  </ds:schemaRefs>
</ds:datastoreItem>
</file>

<file path=customXml/itemProps3.xml><?xml version="1.0" encoding="utf-8"?>
<ds:datastoreItem xmlns:ds="http://schemas.openxmlformats.org/officeDocument/2006/customXml" ds:itemID="{DCE8EC6F-52B7-4E77-9501-79C675005177}">
  <ds:schemaRefs>
    <ds:schemaRef ds:uri="http://schemas.microsoft.com/office/2006/metadata/customXsn"/>
  </ds:schemaRefs>
</ds:datastoreItem>
</file>

<file path=customXml/itemProps4.xml><?xml version="1.0" encoding="utf-8"?>
<ds:datastoreItem xmlns:ds="http://schemas.openxmlformats.org/officeDocument/2006/customXml" ds:itemID="{DAAEA070-865A-4940-85BA-A9025239DE09}">
  <ds:schemaRefs>
    <ds:schemaRef ds:uri="http://schemas.microsoft.com/sharepoint/v3/contenttype/forms"/>
  </ds:schemaRefs>
</ds:datastoreItem>
</file>

<file path=customXml/itemProps5.xml><?xml version="1.0" encoding="utf-8"?>
<ds:datastoreItem xmlns:ds="http://schemas.openxmlformats.org/officeDocument/2006/customXml" ds:itemID="{C56B0CE0-9F19-4696-996A-8CAE6C044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09CC2943-51C5-40E0-B56D-6F3350BCDA24}">
  <ds:schemaRefs>
    <ds:schemaRef ds:uri="http://schemas.openxmlformats.org/officeDocument/2006/bibliography"/>
  </ds:schemaRefs>
</ds:datastoreItem>
</file>

<file path=customXml/itemProps7.xml><?xml version="1.0" encoding="utf-8"?>
<ds:datastoreItem xmlns:ds="http://schemas.openxmlformats.org/officeDocument/2006/customXml" ds:itemID="{74554A39-35A0-4011-809B-C83B78AD1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issues-paper-template.dotm</Template>
  <TotalTime>257</TotalTime>
  <Pages>27</Pages>
  <Words>7189</Words>
  <Characters>42810</Characters>
  <Application>Microsoft Office Word</Application>
  <DocSecurity>0</DocSecurity>
  <Lines>356</Lines>
  <Paragraphs>99</Paragraphs>
  <ScaleCrop>false</ScaleCrop>
  <HeadingPairs>
    <vt:vector size="2" baseType="variant">
      <vt:variant>
        <vt:lpstr>Title</vt:lpstr>
      </vt:variant>
      <vt:variant>
        <vt:i4>1</vt:i4>
      </vt:variant>
    </vt:vector>
  </HeadingPairs>
  <TitlesOfParts>
    <vt:vector size="1" baseType="lpstr">
      <vt:lpstr>Issues Paper</vt:lpstr>
    </vt:vector>
  </TitlesOfParts>
  <Company>Productivity Commission</Company>
  <LinksUpToDate>false</LinksUpToDate>
  <CharactersWithSpaces>49900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Issues Paper</dc:title>
  <dc:subject>Report</dc:subject>
  <dc:creator>Productivity Commission</dc:creator>
  <dc:description>1.</dc:description>
  <cp:lastModifiedBy>Productivity Commission</cp:lastModifiedBy>
  <cp:revision>88</cp:revision>
  <cp:lastPrinted>2015-04-01T04:09:00Z</cp:lastPrinted>
  <dcterms:created xsi:type="dcterms:W3CDTF">2015-03-31T01:54:00Z</dcterms:created>
  <dcterms:modified xsi:type="dcterms:W3CDTF">2015-04-01T22:50:00Z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0x01010066EDC8E18BFE9C418F00295EA55D44EA00BD537A4F54390A4AA8AA9F79F25DC64E006336A97B32222D44B0222B187FD0D467</vt:lpwstr>
  </property>
  <property fmtid="{D5CDD505-2E9C-101B-9397-08002B2CF9AE}" pid="3" name="RecordPoint_WorkflowType">
    <vt:lpwstr>ActiveSubmitStub</vt:lpwstr>
  </property>
  <property fmtid="{D5CDD505-2E9C-101B-9397-08002B2CF9AE}" pid="4" name="RecordPoint_ActiveItemSiteId">
    <vt:lpwstr>{5750d626-0aa0-474c-a55f-8063909d4906}</vt:lpwstr>
  </property>
  <property fmtid="{D5CDD505-2E9C-101B-9397-08002B2CF9AE}" pid="5" name="RecordPoint_ActiveItemListId">
    <vt:lpwstr>{73b5e88b-c83d-4fc7-b614-e3f2747475b2}</vt:lpwstr>
  </property>
  <property fmtid="{D5CDD505-2E9C-101B-9397-08002B2CF9AE}" pid="6" name="RecordPoint_ActiveItemWebId">
    <vt:lpwstr>{0ee705b5-f2fd-4cac-b1c0-37fb413973cf}</vt:lpwstr>
  </property>
  <property fmtid="{D5CDD505-2E9C-101B-9397-08002B2CF9AE}" pid="7" name="ZOTERO_PREF_2">
    <vt:lpwstr>lue="true"/&gt;&lt;pref name="automaticJournalAbbreviations" value="true"/&gt;&lt;pref name="noteType" value="0"/&gt;&lt;/prefs&gt;&lt;/data&gt;</vt:lpwstr>
  </property>
  <property fmtid="{D5CDD505-2E9C-101B-9397-08002B2CF9AE}" pid="8" name="IconOverlay">
    <vt:lpwstr/>
  </property>
  <property fmtid="{D5CDD505-2E9C-101B-9397-08002B2CF9AE}" pid="9" name="RecordPoint_SubmissionDate">
    <vt:lpwstr/>
  </property>
  <property fmtid="{D5CDD505-2E9C-101B-9397-08002B2CF9AE}" pid="10" name="RecordPoint_ActiveItemMoved">
    <vt:lpwstr/>
  </property>
  <property fmtid="{D5CDD505-2E9C-101B-9397-08002B2CF9AE}" pid="11" name="RecordPoint_RecordFormat">
    <vt:lpwstr/>
  </property>
  <property fmtid="{D5CDD505-2E9C-101B-9397-08002B2CF9AE}" pid="12" name="RecordPoint_ActiveItemUniqueId">
    <vt:lpwstr>{757bf8ea-fc5f-4f11-ad8a-c312ad037e96}</vt:lpwstr>
  </property>
  <property fmtid="{D5CDD505-2E9C-101B-9397-08002B2CF9AE}" pid="13" name="RecordPoint_RecordNumberSubmitted">
    <vt:lpwstr>R0000011462</vt:lpwstr>
  </property>
  <property fmtid="{D5CDD505-2E9C-101B-9397-08002B2CF9AE}" pid="14" name="ZOTERO_PREF_1">
    <vt:lpwstr>&lt;data data-version="3" zotero-version="4.0.20"&gt;&lt;session id="BkmY3EKh"/&gt;&lt;style id="http://www.zotero.org/styles/unisa-harvard" hasBibliography="1" bibliographyStyleHasBeenSet="1"/&gt;&lt;prefs&gt;&lt;pref name="fieldType" value="Field"/&gt;&lt;pref name="storeReferences" va</vt:lpwstr>
  </property>
  <property fmtid="{D5CDD505-2E9C-101B-9397-08002B2CF9AE}" pid="15" name="RecordPoint_SubmissionCompleted">
    <vt:lpwstr>2015-04-01T15:16:55.5741037+11:00</vt:lpwstr>
  </property>
</Properties>
</file>