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DD" w:rsidRDefault="00092FDD">
      <w:pPr>
        <w:rPr>
          <w:b/>
          <w:sz w:val="24"/>
          <w:szCs w:val="24"/>
        </w:rPr>
      </w:pPr>
      <w:r>
        <w:rPr>
          <w:b/>
          <w:noProof/>
          <w:sz w:val="24"/>
          <w:szCs w:val="24"/>
        </w:rPr>
        <w:drawing>
          <wp:anchor distT="0" distB="0" distL="114300" distR="114300" simplePos="0" relativeHeight="251659264" behindDoc="1" locked="0" layoutInCell="1" allowOverlap="1">
            <wp:simplePos x="1155940" y="1259457"/>
            <wp:positionH relativeFrom="page">
              <wp:align>center</wp:align>
            </wp:positionH>
            <wp:positionV relativeFrom="page">
              <wp:align>center</wp:align>
            </wp:positionV>
            <wp:extent cx="7560000" cy="7693200"/>
            <wp:effectExtent l="0" t="0" r="3175" b="3175"/>
            <wp:wrapNone/>
            <wp:docPr id="4" name="Picture 4" descr="Cover image for&quot; Regulator Engagement with Small Business&quot;. An Australian Government, Productivity Commission Issues Paper. Published Januar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small-busine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7693200"/>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br w:type="page"/>
      </w:r>
    </w:p>
    <w:p w:rsidR="00A516A2" w:rsidRPr="00E93DA3" w:rsidRDefault="00A516A2" w:rsidP="00A516A2">
      <w:pPr>
        <w:pStyle w:val="BodyText"/>
        <w:pBdr>
          <w:top w:val="single" w:sz="4" w:space="1" w:color="auto"/>
          <w:left w:val="single" w:sz="4" w:space="4" w:color="auto"/>
          <w:bottom w:val="single" w:sz="4" w:space="1" w:color="auto"/>
          <w:right w:val="single" w:sz="4" w:space="4" w:color="auto"/>
        </w:pBdr>
        <w:spacing w:before="0" w:after="120" w:line="240" w:lineRule="auto"/>
        <w:ind w:left="142" w:right="142"/>
        <w:rPr>
          <w:sz w:val="24"/>
          <w:szCs w:val="24"/>
        </w:rPr>
      </w:pPr>
      <w:r w:rsidRPr="00E93DA3">
        <w:rPr>
          <w:b/>
          <w:sz w:val="24"/>
          <w:szCs w:val="24"/>
        </w:rPr>
        <w:lastRenderedPageBreak/>
        <w:t>The Issues Paper</w:t>
      </w:r>
    </w:p>
    <w:p w:rsidR="001440C1" w:rsidRPr="00015113" w:rsidRDefault="001440C1" w:rsidP="001440C1">
      <w:pPr>
        <w:pStyle w:val="BodyText"/>
        <w:pBdr>
          <w:top w:val="single" w:sz="4" w:space="1" w:color="auto"/>
          <w:left w:val="single" w:sz="4" w:space="4" w:color="auto"/>
          <w:bottom w:val="single" w:sz="4" w:space="1" w:color="auto"/>
          <w:right w:val="single" w:sz="4" w:space="4" w:color="auto"/>
        </w:pBdr>
        <w:spacing w:before="0" w:line="240" w:lineRule="auto"/>
        <w:ind w:left="142" w:right="142"/>
        <w:rPr>
          <w:sz w:val="22"/>
          <w:szCs w:val="22"/>
        </w:rPr>
      </w:pPr>
      <w:r w:rsidRPr="00015113">
        <w:rPr>
          <w:sz w:val="22"/>
          <w:szCs w:val="22"/>
        </w:rPr>
        <w:t xml:space="preserve">The Commission has released this issues paper to assist individuals and organisations to prepare submissions to the </w:t>
      </w:r>
      <w:r>
        <w:rPr>
          <w:sz w:val="22"/>
          <w:szCs w:val="22"/>
        </w:rPr>
        <w:t>study</w:t>
      </w:r>
      <w:r w:rsidRPr="00015113">
        <w:rPr>
          <w:sz w:val="22"/>
          <w:szCs w:val="22"/>
        </w:rPr>
        <w:t>. It contains and outlines:</w:t>
      </w:r>
    </w:p>
    <w:p w:rsidR="001440C1" w:rsidRPr="00015113" w:rsidRDefault="001440C1" w:rsidP="001440C1">
      <w:pPr>
        <w:pStyle w:val="ListBullet"/>
        <w:numPr>
          <w:ilvl w:val="0"/>
          <w:numId w:val="41"/>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the scope of the </w:t>
      </w:r>
      <w:bookmarkStart w:id="0" w:name="OLE_LINK1"/>
      <w:bookmarkStart w:id="1" w:name="OLE_LINK2"/>
      <w:r>
        <w:rPr>
          <w:sz w:val="22"/>
          <w:szCs w:val="22"/>
        </w:rPr>
        <w:t>study</w:t>
      </w:r>
      <w:bookmarkEnd w:id="0"/>
      <w:bookmarkEnd w:id="1"/>
    </w:p>
    <w:p w:rsidR="001440C1" w:rsidRPr="00015113" w:rsidRDefault="001440C1" w:rsidP="001440C1">
      <w:pPr>
        <w:pStyle w:val="ListBullet"/>
        <w:numPr>
          <w:ilvl w:val="0"/>
          <w:numId w:val="41"/>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the Commission’s procedures</w:t>
      </w:r>
    </w:p>
    <w:p w:rsidR="001440C1" w:rsidRPr="00015113" w:rsidRDefault="001440C1" w:rsidP="001440C1">
      <w:pPr>
        <w:pStyle w:val="ListBullet"/>
        <w:numPr>
          <w:ilvl w:val="0"/>
          <w:numId w:val="41"/>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matters about which the Commission is seeking comment and information, and </w:t>
      </w:r>
    </w:p>
    <w:p w:rsidR="001440C1" w:rsidRPr="00015113" w:rsidRDefault="001440C1" w:rsidP="001440C1">
      <w:pPr>
        <w:pStyle w:val="ListBullet"/>
        <w:numPr>
          <w:ilvl w:val="0"/>
          <w:numId w:val="41"/>
        </w:numPr>
        <w:pBdr>
          <w:top w:val="single" w:sz="4" w:space="1" w:color="auto"/>
          <w:left w:val="single" w:sz="4" w:space="4" w:color="auto"/>
          <w:bottom w:val="single" w:sz="4" w:space="1" w:color="auto"/>
          <w:right w:val="single" w:sz="4" w:space="4" w:color="auto"/>
        </w:pBdr>
        <w:spacing w:before="60" w:after="120"/>
        <w:ind w:left="142" w:right="142" w:firstLine="0"/>
        <w:rPr>
          <w:sz w:val="22"/>
          <w:szCs w:val="22"/>
        </w:rPr>
      </w:pPr>
      <w:r w:rsidRPr="00015113">
        <w:rPr>
          <w:sz w:val="22"/>
          <w:szCs w:val="22"/>
        </w:rPr>
        <w:t>how to make a submission.</w:t>
      </w:r>
    </w:p>
    <w:p w:rsidR="001440C1" w:rsidRPr="00015113" w:rsidRDefault="001440C1" w:rsidP="001440C1">
      <w:pPr>
        <w:pStyle w:val="BodyText"/>
        <w:pBdr>
          <w:top w:val="single" w:sz="4" w:space="1" w:color="auto"/>
          <w:left w:val="single" w:sz="4" w:space="4" w:color="auto"/>
          <w:bottom w:val="single" w:sz="4" w:space="1" w:color="auto"/>
          <w:right w:val="single" w:sz="4" w:space="4" w:color="auto"/>
        </w:pBdr>
        <w:spacing w:before="60" w:after="120" w:line="240" w:lineRule="auto"/>
        <w:ind w:left="142" w:right="142"/>
        <w:rPr>
          <w:sz w:val="22"/>
          <w:szCs w:val="22"/>
        </w:rPr>
      </w:pPr>
      <w:r w:rsidRPr="00015113">
        <w:rPr>
          <w:sz w:val="22"/>
          <w:szCs w:val="22"/>
        </w:rPr>
        <w:t>Participants should not feel that they are restricted to comment only on matters raised in the issues paper. The Commission wishes to receive information and comment on issues which participants consider relevant to the</w:t>
      </w:r>
      <w:r>
        <w:rPr>
          <w:sz w:val="22"/>
          <w:szCs w:val="22"/>
        </w:rPr>
        <w:t xml:space="preserve"> study</w:t>
      </w:r>
      <w:r w:rsidRPr="00015113">
        <w:rPr>
          <w:sz w:val="22"/>
          <w:szCs w:val="22"/>
        </w:rPr>
        <w:t>’s ter</w:t>
      </w:r>
      <w:bookmarkStart w:id="2" w:name="_GoBack"/>
      <w:bookmarkEnd w:id="2"/>
      <w:r w:rsidRPr="00015113">
        <w:rPr>
          <w:sz w:val="22"/>
          <w:szCs w:val="22"/>
        </w:rPr>
        <w:t>ms of reference.</w:t>
      </w:r>
    </w:p>
    <w:p w:rsidR="00A516A2" w:rsidRPr="0001799A" w:rsidRDefault="00A516A2" w:rsidP="00A516A2">
      <w:pPr>
        <w:pStyle w:val="BodyText"/>
        <w:pBdr>
          <w:top w:val="single" w:sz="4" w:space="1" w:color="auto"/>
          <w:left w:val="single" w:sz="4" w:space="4" w:color="auto"/>
          <w:bottom w:val="single" w:sz="4" w:space="1" w:color="auto"/>
          <w:right w:val="single" w:sz="4" w:space="4" w:color="auto"/>
        </w:pBdr>
        <w:spacing w:after="120" w:line="240" w:lineRule="auto"/>
        <w:ind w:left="142" w:right="142"/>
        <w:rPr>
          <w:sz w:val="24"/>
          <w:szCs w:val="24"/>
        </w:rPr>
      </w:pPr>
      <w:r w:rsidRPr="0001799A">
        <w:rPr>
          <w:b/>
          <w:sz w:val="24"/>
          <w:szCs w:val="24"/>
        </w:rPr>
        <w:t>K</w:t>
      </w:r>
      <w:r w:rsidR="00E93DA3">
        <w:rPr>
          <w:b/>
          <w:sz w:val="24"/>
          <w:szCs w:val="24"/>
        </w:rPr>
        <w:t>ey dates</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Receipt of terms of reference</w:t>
      </w:r>
      <w:r w:rsidRPr="00015113">
        <w:rPr>
          <w:sz w:val="22"/>
          <w:szCs w:val="22"/>
        </w:rPr>
        <w:tab/>
      </w:r>
      <w:r w:rsidR="00AD014F">
        <w:rPr>
          <w:sz w:val="22"/>
          <w:szCs w:val="22"/>
        </w:rPr>
        <w:t>7 December 2012</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Due date for submissions</w:t>
      </w:r>
      <w:r>
        <w:rPr>
          <w:sz w:val="22"/>
          <w:szCs w:val="22"/>
        </w:rPr>
        <w:tab/>
        <w:t>15 March 2013</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Release of draft report</w:t>
      </w:r>
      <w:r w:rsidRPr="00015113">
        <w:rPr>
          <w:sz w:val="22"/>
          <w:szCs w:val="22"/>
        </w:rPr>
        <w:tab/>
      </w:r>
      <w:r>
        <w:rPr>
          <w:sz w:val="22"/>
          <w:szCs w:val="22"/>
        </w:rPr>
        <w:t>June 2013</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Pr>
          <w:sz w:val="22"/>
          <w:szCs w:val="22"/>
        </w:rPr>
        <w:t>Due date for draft report submissions</w:t>
      </w:r>
      <w:r w:rsidRPr="00015113">
        <w:rPr>
          <w:sz w:val="22"/>
          <w:szCs w:val="22"/>
        </w:rPr>
        <w:tab/>
      </w:r>
      <w:r>
        <w:rPr>
          <w:sz w:val="22"/>
          <w:szCs w:val="22"/>
        </w:rPr>
        <w:t>End July 2013</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015113">
        <w:rPr>
          <w:sz w:val="22"/>
          <w:szCs w:val="22"/>
        </w:rPr>
        <w:t>Final report to Government</w:t>
      </w:r>
      <w:r w:rsidRPr="00015113">
        <w:rPr>
          <w:sz w:val="22"/>
          <w:szCs w:val="22"/>
        </w:rPr>
        <w:tab/>
      </w:r>
      <w:r>
        <w:rPr>
          <w:sz w:val="22"/>
          <w:szCs w:val="22"/>
        </w:rPr>
        <w:t>September 2013</w:t>
      </w:r>
    </w:p>
    <w:p w:rsidR="00A516A2" w:rsidRDefault="00E93DA3" w:rsidP="00A516A2">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b/>
          <w:sz w:val="24"/>
          <w:szCs w:val="24"/>
        </w:rPr>
      </w:pPr>
      <w:r>
        <w:rPr>
          <w:b/>
          <w:sz w:val="24"/>
          <w:szCs w:val="24"/>
        </w:rPr>
        <w:t>Submissions can be made</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1701"/>
          <w:tab w:val="left" w:pos="5040"/>
          <w:tab w:val="left" w:pos="6480"/>
        </w:tabs>
        <w:spacing w:before="0" w:line="240" w:lineRule="auto"/>
        <w:ind w:left="142" w:right="142"/>
        <w:rPr>
          <w:sz w:val="22"/>
          <w:szCs w:val="22"/>
        </w:rPr>
      </w:pPr>
      <w:r>
        <w:rPr>
          <w:sz w:val="22"/>
          <w:szCs w:val="22"/>
        </w:rPr>
        <w:t>By email:</w:t>
      </w:r>
      <w:r>
        <w:rPr>
          <w:sz w:val="22"/>
          <w:szCs w:val="22"/>
        </w:rPr>
        <w:tab/>
      </w:r>
      <w:proofErr w:type="spellStart"/>
      <w:r>
        <w:rPr>
          <w:sz w:val="22"/>
          <w:szCs w:val="22"/>
        </w:rPr>
        <w:t>small.business</w:t>
      </w:r>
      <w:r w:rsidRPr="00015113">
        <w:rPr>
          <w:sz w:val="22"/>
          <w:szCs w:val="22"/>
        </w:rPr>
        <w:t>@pc.gov.au</w:t>
      </w:r>
      <w:proofErr w:type="spellEnd"/>
      <w:r w:rsidRPr="00015113">
        <w:rPr>
          <w:sz w:val="22"/>
          <w:szCs w:val="22"/>
        </w:rPr>
        <w:tab/>
      </w:r>
      <w:r>
        <w:rPr>
          <w:sz w:val="22"/>
          <w:szCs w:val="22"/>
        </w:rPr>
        <w:t>By fax:</w:t>
      </w:r>
      <w:r>
        <w:rPr>
          <w:sz w:val="22"/>
          <w:szCs w:val="22"/>
        </w:rPr>
        <w:tab/>
        <w:t>02 6240 3311</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Pr>
          <w:sz w:val="22"/>
          <w:szCs w:val="22"/>
        </w:rPr>
        <w:t>By post:</w:t>
      </w:r>
      <w:r>
        <w:rPr>
          <w:sz w:val="22"/>
          <w:szCs w:val="22"/>
        </w:rPr>
        <w:tab/>
        <w:t>Small Business Study</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015113">
        <w:rPr>
          <w:sz w:val="22"/>
          <w:szCs w:val="22"/>
        </w:rPr>
        <w:tab/>
        <w:t>Productivity Commission</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Pr>
          <w:sz w:val="22"/>
          <w:szCs w:val="22"/>
        </w:rPr>
        <w:tab/>
        <w:t>GPO Box 1428</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Pr>
          <w:sz w:val="22"/>
          <w:szCs w:val="22"/>
        </w:rPr>
        <w:tab/>
        <w:t>Canberra City ACT 2601</w:t>
      </w:r>
    </w:p>
    <w:p w:rsidR="00AD014F" w:rsidRPr="00A853FD" w:rsidRDefault="00AD014F" w:rsidP="00AD014F">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sz w:val="24"/>
          <w:szCs w:val="24"/>
        </w:rPr>
      </w:pPr>
      <w:r w:rsidRPr="00A853FD">
        <w:rPr>
          <w:b/>
          <w:sz w:val="24"/>
          <w:szCs w:val="24"/>
        </w:rPr>
        <w:t>Contacts</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Pr>
          <w:sz w:val="22"/>
          <w:szCs w:val="22"/>
        </w:rPr>
        <w:t xml:space="preserve">Administrative matters: </w:t>
      </w:r>
      <w:r>
        <w:rPr>
          <w:sz w:val="22"/>
          <w:szCs w:val="22"/>
        </w:rPr>
        <w:tab/>
        <w:t>Christine Underwood</w:t>
      </w:r>
      <w:r w:rsidRPr="00015113">
        <w:rPr>
          <w:sz w:val="22"/>
          <w:szCs w:val="22"/>
        </w:rPr>
        <w:tab/>
      </w:r>
      <w:proofErr w:type="spellStart"/>
      <w:r w:rsidRPr="00015113">
        <w:rPr>
          <w:sz w:val="22"/>
          <w:szCs w:val="22"/>
        </w:rPr>
        <w:t>Ph</w:t>
      </w:r>
      <w:proofErr w:type="spellEnd"/>
      <w:r w:rsidRPr="00015113">
        <w:rPr>
          <w:sz w:val="22"/>
          <w:szCs w:val="22"/>
        </w:rPr>
        <w:t>:</w:t>
      </w:r>
      <w:r w:rsidRPr="00015113">
        <w:rPr>
          <w:sz w:val="22"/>
          <w:szCs w:val="22"/>
        </w:rPr>
        <w:tab/>
      </w:r>
      <w:r>
        <w:rPr>
          <w:sz w:val="22"/>
          <w:szCs w:val="22"/>
        </w:rPr>
        <w:t>02 6240 3262</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Pr>
          <w:sz w:val="22"/>
          <w:szCs w:val="22"/>
        </w:rPr>
        <w:t>Other matters:</w:t>
      </w:r>
      <w:r>
        <w:rPr>
          <w:sz w:val="22"/>
          <w:szCs w:val="22"/>
        </w:rPr>
        <w:tab/>
        <w:t>Ineke Redmond</w:t>
      </w:r>
      <w:r>
        <w:rPr>
          <w:sz w:val="22"/>
          <w:szCs w:val="22"/>
        </w:rPr>
        <w:tab/>
      </w:r>
      <w:proofErr w:type="spellStart"/>
      <w:r>
        <w:rPr>
          <w:sz w:val="22"/>
          <w:szCs w:val="22"/>
        </w:rPr>
        <w:t>Ph</w:t>
      </w:r>
      <w:proofErr w:type="spellEnd"/>
      <w:r>
        <w:rPr>
          <w:sz w:val="22"/>
          <w:szCs w:val="22"/>
        </w:rPr>
        <w:t>:</w:t>
      </w:r>
      <w:r>
        <w:rPr>
          <w:sz w:val="22"/>
          <w:szCs w:val="22"/>
        </w:rPr>
        <w:tab/>
        <w:t>02 6240 3310</w:t>
      </w:r>
    </w:p>
    <w:p w:rsidR="00AD014F" w:rsidRPr="00015113" w:rsidRDefault="00AD014F" w:rsidP="00AD014F">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sz w:val="22"/>
          <w:szCs w:val="22"/>
        </w:rPr>
      </w:pPr>
      <w:proofErr w:type="spellStart"/>
      <w:r w:rsidRPr="00015113">
        <w:rPr>
          <w:sz w:val="22"/>
          <w:szCs w:val="22"/>
        </w:rPr>
        <w:t>Freecall</w:t>
      </w:r>
      <w:proofErr w:type="spellEnd"/>
      <w:r w:rsidRPr="00015113">
        <w:rPr>
          <w:sz w:val="22"/>
          <w:szCs w:val="22"/>
        </w:rPr>
        <w:t xml:space="preserve"> number for regional areas:</w:t>
      </w:r>
      <w:r w:rsidRPr="00015113">
        <w:rPr>
          <w:sz w:val="22"/>
          <w:szCs w:val="22"/>
        </w:rPr>
        <w:tab/>
        <w:t>1800 020 083</w:t>
      </w:r>
    </w:p>
    <w:p w:rsidR="00A516A2" w:rsidRPr="00A853FD"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b/>
          <w:sz w:val="24"/>
          <w:szCs w:val="24"/>
        </w:rPr>
      </w:pPr>
      <w:r w:rsidRPr="00A853FD">
        <w:rPr>
          <w:b/>
          <w:sz w:val="24"/>
          <w:szCs w:val="24"/>
        </w:rPr>
        <w:t>Website</w:t>
      </w:r>
      <w:r w:rsidRPr="00A853FD">
        <w:rPr>
          <w:b/>
          <w:sz w:val="24"/>
          <w:szCs w:val="24"/>
        </w:rPr>
        <w:tab/>
        <w:t>www.pc.gov.au</w:t>
      </w:r>
    </w:p>
    <w:p w:rsidR="00A516A2" w:rsidRDefault="00A516A2" w:rsidP="00A516A2">
      <w:pPr>
        <w:pStyle w:val="BodyText"/>
        <w:spacing w:before="0" w:line="240" w:lineRule="auto"/>
        <w:rPr>
          <w:sz w:val="24"/>
          <w:szCs w:val="24"/>
        </w:rPr>
      </w:pP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line="240" w:lineRule="auto"/>
        <w:ind w:left="142" w:right="142"/>
        <w:rPr>
          <w:b/>
          <w:i/>
          <w:sz w:val="24"/>
          <w:szCs w:val="24"/>
        </w:rPr>
      </w:pPr>
      <w:r w:rsidRPr="00A516A2">
        <w:rPr>
          <w:b/>
          <w:i/>
          <w:sz w:val="24"/>
          <w:szCs w:val="24"/>
        </w:rPr>
        <w:t>The Productivity Commission</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Commission’s independence is underpinned by an Act of Parliament. Its processes and outputs are open to public scrutiny and are driven by concern for the wellbeing of the community as a whole.</w:t>
      </w:r>
    </w:p>
    <w:p w:rsidR="00632A74"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 xml:space="preserve">Further information on the Productivity Commission can be obtained from the Commission’s website (www.pc.gov.au) or by contacting Media and Publications on (03) 9653 2244 or email: </w:t>
      </w:r>
      <w:proofErr w:type="spellStart"/>
      <w:r w:rsidRPr="00A516A2">
        <w:rPr>
          <w:sz w:val="22"/>
          <w:szCs w:val="22"/>
        </w:rPr>
        <w:t>maps@pc.gov.au</w:t>
      </w:r>
      <w:proofErr w:type="spellEnd"/>
      <w:r w:rsidR="00601AB5">
        <w:rPr>
          <w:sz w:val="22"/>
          <w:szCs w:val="22"/>
        </w:rPr>
        <w:t>.</w:t>
      </w:r>
    </w:p>
    <w:p w:rsidR="00A516A2" w:rsidRDefault="00A516A2" w:rsidP="00A35115">
      <w:pPr>
        <w:pStyle w:val="BodyText"/>
        <w:sectPr w:rsidR="00A516A2" w:rsidSect="00092FDD">
          <w:type w:val="oddPage"/>
          <w:pgSz w:w="11907" w:h="16840" w:code="9"/>
          <w:pgMar w:top="1985" w:right="1304" w:bottom="1077" w:left="1814" w:header="1701" w:footer="567" w:gutter="0"/>
          <w:pgNumType w:start="1" w:chapSep="period"/>
          <w:cols w:space="720"/>
        </w:sectPr>
      </w:pPr>
    </w:p>
    <w:p w:rsidR="00603B98" w:rsidRDefault="00603B98" w:rsidP="00D35EDD">
      <w:pPr>
        <w:pStyle w:val="Heading2"/>
      </w:pPr>
      <w:bookmarkStart w:id="3" w:name="_Toc346708107"/>
      <w:r>
        <w:lastRenderedPageBreak/>
        <w:t>Terms of reference</w:t>
      </w:r>
      <w:bookmarkEnd w:id="3"/>
    </w:p>
    <w:p w:rsidR="00AD014F" w:rsidRPr="003D1FA4" w:rsidRDefault="00AD014F" w:rsidP="00AD014F">
      <w:pPr>
        <w:pStyle w:val="BodyText"/>
        <w:jc w:val="center"/>
      </w:pPr>
      <w:r w:rsidRPr="003D1FA4">
        <w:rPr>
          <w:bCs/>
        </w:rPr>
        <w:t>BENCHMARKING STUDY ON REGULATOR ENGAGEMENT WITH SMALL BUSINESS TERMS OF REFERENCE</w:t>
      </w:r>
    </w:p>
    <w:p w:rsidR="00AD014F" w:rsidRDefault="00AD014F" w:rsidP="00AD014F">
      <w:pPr>
        <w:pStyle w:val="BodyText"/>
        <w:jc w:val="center"/>
        <w:rPr>
          <w:b/>
          <w:bCs/>
          <w:i/>
          <w:iCs/>
          <w:szCs w:val="24"/>
        </w:rPr>
      </w:pPr>
      <w:r>
        <w:rPr>
          <w:b/>
          <w:bCs/>
          <w:i/>
          <w:iCs/>
          <w:szCs w:val="24"/>
        </w:rPr>
        <w:t>Productivity Commission Act 1998</w:t>
      </w:r>
    </w:p>
    <w:p w:rsidR="00AD014F" w:rsidRDefault="00AD014F" w:rsidP="00AD014F">
      <w:pPr>
        <w:pStyle w:val="BodyText"/>
        <w:jc w:val="center"/>
      </w:pPr>
    </w:p>
    <w:p w:rsidR="00AD014F" w:rsidRDefault="00AD014F" w:rsidP="00AD014F">
      <w:pPr>
        <w:pStyle w:val="Default"/>
        <w:tabs>
          <w:tab w:val="left" w:pos="567"/>
        </w:tabs>
        <w:spacing w:after="240"/>
        <w:rPr>
          <w:rFonts w:ascii="Times New Roman" w:hAnsi="Times New Roman" w:cs="Times New Roman"/>
          <w:bCs/>
          <w:lang w:eastAsia="en-AU"/>
        </w:rPr>
      </w:pPr>
      <w:r>
        <w:rPr>
          <w:rFonts w:ascii="Times New Roman" w:eastAsiaTheme="minorHAnsi" w:hAnsi="Times New Roman" w:cs="Times New Roman"/>
        </w:rPr>
        <w:t xml:space="preserve">I, David Bradbury, Assistant Treasurer, pursuant to Parts 2 and 4 of the </w:t>
      </w:r>
      <w:r>
        <w:rPr>
          <w:rFonts w:ascii="Times New Roman" w:eastAsiaTheme="minorHAnsi" w:hAnsi="Times New Roman" w:cs="Times New Roman"/>
          <w:i/>
          <w:iCs/>
        </w:rPr>
        <w:t xml:space="preserve">Productivity Commission Act 1998 </w:t>
      </w:r>
      <w:r>
        <w:rPr>
          <w:rFonts w:ascii="Times New Roman" w:eastAsiaTheme="minorHAnsi" w:hAnsi="Times New Roman" w:cs="Times New Roman"/>
        </w:rPr>
        <w:t xml:space="preserve">hereby request that the Productivity Commission undertake a research study to </w:t>
      </w:r>
      <w:r>
        <w:rPr>
          <w:rFonts w:ascii="Times New Roman" w:hAnsi="Times New Roman" w:cs="Times New Roman"/>
          <w:bCs/>
          <w:lang w:eastAsia="en-AU"/>
        </w:rPr>
        <w:t xml:space="preserve">benchmark the extent to which the different approaches to regulator engagement with small business have the potential to affect the costs (including time and effort) incurred by these businesses.  This request follows agreement by </w:t>
      </w:r>
      <w:proofErr w:type="spellStart"/>
      <w:r>
        <w:rPr>
          <w:rFonts w:ascii="Times New Roman" w:hAnsi="Times New Roman" w:cs="Times New Roman"/>
          <w:bCs/>
          <w:lang w:eastAsia="en-AU"/>
        </w:rPr>
        <w:t>COAG's</w:t>
      </w:r>
      <w:proofErr w:type="spellEnd"/>
      <w:r>
        <w:rPr>
          <w:rFonts w:ascii="Times New Roman" w:hAnsi="Times New Roman" w:cs="Times New Roman"/>
          <w:bCs/>
          <w:lang w:eastAsia="en-AU"/>
        </w:rPr>
        <w:t xml:space="preserve"> Business Regulation and Competition Working Group that the Productivity Commission undertake a study of this type.</w:t>
      </w:r>
    </w:p>
    <w:p w:rsidR="00AD014F" w:rsidRDefault="00AD014F" w:rsidP="00AD014F">
      <w:pPr>
        <w:pStyle w:val="Default"/>
        <w:tabs>
          <w:tab w:val="left" w:pos="567"/>
        </w:tabs>
        <w:spacing w:after="240"/>
        <w:rPr>
          <w:rFonts w:ascii="Times New Roman" w:hAnsi="Times New Roman" w:cs="Times New Roman"/>
          <w:bCs/>
          <w:lang w:eastAsia="en-AU"/>
        </w:rPr>
      </w:pPr>
      <w:r>
        <w:rPr>
          <w:rFonts w:ascii="Times New Roman" w:hAnsi="Times New Roman" w:cs="Times New Roman"/>
          <w:lang w:eastAsia="en-AU"/>
        </w:rPr>
        <w:t>Small business stakeholders consistently raise with Governments their view that compliance approaches and the regulatory posture adopted by regulators with respect to small business, and the degree to which regulators recognise and accommodate the particular circumstances of small business, can have a significant impact on regulatory burden</w:t>
      </w:r>
      <w:r>
        <w:rPr>
          <w:rFonts w:ascii="Times New Roman" w:hAnsi="Times New Roman" w:cs="Times New Roman"/>
          <w:bCs/>
          <w:lang w:eastAsia="en-AU"/>
        </w:rPr>
        <w:t>.</w:t>
      </w:r>
    </w:p>
    <w:p w:rsidR="00AD014F" w:rsidRDefault="00AD014F" w:rsidP="00AD014F">
      <w:pPr>
        <w:pStyle w:val="Default"/>
        <w:tabs>
          <w:tab w:val="left" w:pos="567"/>
        </w:tabs>
        <w:spacing w:after="240"/>
        <w:rPr>
          <w:rFonts w:ascii="Times New Roman" w:hAnsi="Times New Roman" w:cs="Times New Roman"/>
          <w:bCs/>
          <w:lang w:eastAsia="en-AU"/>
        </w:rPr>
      </w:pPr>
      <w:r>
        <w:rPr>
          <w:rFonts w:ascii="Times New Roman" w:hAnsi="Times New Roman" w:cs="Times New Roman"/>
          <w:bCs/>
          <w:lang w:eastAsia="en-AU"/>
        </w:rPr>
        <w:t xml:space="preserve">Approaches to the regulation of small business can be wide ranging, with some regulators adopting a facilitative role, assisting small businesses to meet their compliance responsibilities, recognising that regulatory compliance activities impose a disproportionate cost on smaller firms.  Other regulators adopt a more traditional compliance based regulatory posture.  </w:t>
      </w:r>
    </w:p>
    <w:p w:rsidR="00AD014F" w:rsidRDefault="00AD014F" w:rsidP="00AD014F">
      <w:pPr>
        <w:pStyle w:val="Default"/>
        <w:tabs>
          <w:tab w:val="left" w:pos="567"/>
        </w:tabs>
        <w:spacing w:after="240"/>
        <w:rPr>
          <w:rFonts w:ascii="Times New Roman" w:hAnsi="Times New Roman" w:cs="Times New Roman"/>
          <w:bCs/>
          <w:lang w:eastAsia="en-AU"/>
        </w:rPr>
      </w:pPr>
      <w:r>
        <w:rPr>
          <w:rFonts w:ascii="Times New Roman" w:hAnsi="Times New Roman" w:cs="Times New Roman"/>
          <w:bCs/>
          <w:lang w:eastAsia="en-AU"/>
        </w:rPr>
        <w:t>In undertaking this study, the Productivity Commission is asked to:</w:t>
      </w:r>
    </w:p>
    <w:p w:rsidR="00AD014F" w:rsidRDefault="00AD014F" w:rsidP="00AD014F">
      <w:pPr>
        <w:pStyle w:val="Default"/>
        <w:numPr>
          <w:ilvl w:val="0"/>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t>identify the nature of the regulatory posture of Commonwealth and state and territory regulators with respect to small business, including the extent to which facilitative and educative approaches are appropriately combined with compliance based approaches, and the extent to which approaches vary according to the nature and objectives of the regulations;</w:t>
      </w:r>
    </w:p>
    <w:p w:rsidR="00AD014F" w:rsidRDefault="00AD014F" w:rsidP="00AD014F">
      <w:pPr>
        <w:pStyle w:val="Default"/>
        <w:numPr>
          <w:ilvl w:val="1"/>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t>In doing so, the Commission should draw where appropriate on examples of the various approaches that are used in shaping regulatory culture (including by incorporating regulatory objectives into legislative instruments).</w:t>
      </w:r>
    </w:p>
    <w:p w:rsidR="00AD014F" w:rsidRDefault="00AD014F" w:rsidP="00AD014F">
      <w:pPr>
        <w:pStyle w:val="Default"/>
        <w:numPr>
          <w:ilvl w:val="0"/>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t xml:space="preserve">identify the levels of assistance and education that jurisdictions provide to small business and consider whether this could be better targeted; </w:t>
      </w:r>
    </w:p>
    <w:p w:rsidR="00AD014F" w:rsidRDefault="00AD014F" w:rsidP="00AD014F">
      <w:pPr>
        <w:pStyle w:val="Default"/>
        <w:numPr>
          <w:ilvl w:val="0"/>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lastRenderedPageBreak/>
        <w:t xml:space="preserve">identify the extent to which regulators apply a risk based approach to enforcement and compliance, including the mandating of information requirements, in regulating small business; </w:t>
      </w:r>
    </w:p>
    <w:p w:rsidR="00AD014F" w:rsidRDefault="00AD014F" w:rsidP="00AD014F">
      <w:pPr>
        <w:pStyle w:val="Default"/>
        <w:numPr>
          <w:ilvl w:val="0"/>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t xml:space="preserve">clarify the extent to which regulators consider the size and nature of a business when undertaking compliance and enforcement and compliance based information-gathering activities; </w:t>
      </w:r>
    </w:p>
    <w:p w:rsidR="00AD014F" w:rsidRDefault="00AD014F" w:rsidP="00AD014F">
      <w:pPr>
        <w:pStyle w:val="Default"/>
        <w:numPr>
          <w:ilvl w:val="0"/>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t xml:space="preserve">identify whether particular approaches to the exercise of regulatory roles have the capacity to reduce unnecessary compliance costs incurred by small business, while sustaining good regulatory outcomes, and could therefore be described as best practice; and </w:t>
      </w:r>
    </w:p>
    <w:p w:rsidR="00AD014F" w:rsidRDefault="00AD014F" w:rsidP="00AD014F">
      <w:pPr>
        <w:pStyle w:val="Default"/>
        <w:numPr>
          <w:ilvl w:val="0"/>
          <w:numId w:val="43"/>
        </w:numPr>
        <w:tabs>
          <w:tab w:val="left" w:pos="567"/>
        </w:tabs>
        <w:spacing w:after="240"/>
        <w:rPr>
          <w:rFonts w:ascii="Times New Roman" w:hAnsi="Times New Roman" w:cs="Times New Roman"/>
          <w:bCs/>
          <w:lang w:eastAsia="en-AU"/>
        </w:rPr>
      </w:pPr>
      <w:r>
        <w:rPr>
          <w:rFonts w:ascii="Times New Roman" w:hAnsi="Times New Roman" w:cs="Times New Roman"/>
          <w:bCs/>
          <w:lang w:eastAsia="en-AU"/>
        </w:rPr>
        <w:t>have regard to leading practices in overseas jurisdictions.</w:t>
      </w:r>
    </w:p>
    <w:p w:rsidR="00AD014F" w:rsidRDefault="00AD014F" w:rsidP="00AD014F">
      <w:pPr>
        <w:pStyle w:val="Default"/>
        <w:tabs>
          <w:tab w:val="left" w:pos="567"/>
        </w:tabs>
        <w:spacing w:after="240"/>
        <w:rPr>
          <w:rFonts w:ascii="Times New Roman" w:hAnsi="Times New Roman" w:cs="Times New Roman"/>
          <w:lang w:eastAsia="en-AU"/>
        </w:rPr>
      </w:pPr>
      <w:r>
        <w:rPr>
          <w:rFonts w:ascii="Times New Roman" w:hAnsi="Times New Roman" w:cs="Times New Roman"/>
          <w:lang w:eastAsia="en-AU"/>
        </w:rPr>
        <w:t>In order to undertake this study, the Commission will also need to consider and determine a definition of what constitutes a small business, noting that different regulators and jurisdictions use different definitions.  As a starting point, the Commission may wish to consider whether there would be benefit in broader adoption of the Australian Bureau of Statistics (ABS) definition of a small business to provide for ease of comparison with ABS data.</w:t>
      </w:r>
    </w:p>
    <w:p w:rsidR="00AD014F" w:rsidRDefault="00AD014F" w:rsidP="00AD014F">
      <w:pPr>
        <w:pStyle w:val="Default"/>
        <w:tabs>
          <w:tab w:val="left" w:pos="567"/>
        </w:tabs>
        <w:spacing w:after="240"/>
        <w:rPr>
          <w:rFonts w:ascii="Times New Roman" w:hAnsi="Times New Roman"/>
          <w:lang w:eastAsia="en-AU"/>
        </w:rPr>
      </w:pPr>
      <w:r>
        <w:rPr>
          <w:rFonts w:ascii="Times New Roman" w:hAnsi="Times New Roman" w:cs="Times New Roman"/>
          <w:lang w:eastAsia="en-AU"/>
        </w:rPr>
        <w:t>A report is to be completed within nine months of the receipt of this Terms of Reference.  The Commission is to provide both a draft and final report, and the reports will be published.</w:t>
      </w:r>
    </w:p>
    <w:p w:rsidR="00AD014F" w:rsidRDefault="00AD014F" w:rsidP="00AD014F">
      <w:pPr>
        <w:pStyle w:val="Default"/>
        <w:tabs>
          <w:tab w:val="left" w:pos="567"/>
        </w:tabs>
        <w:spacing w:after="240"/>
        <w:rPr>
          <w:rFonts w:ascii="Times New Roman" w:hAnsi="Times New Roman" w:cs="Times New Roman"/>
          <w:lang w:eastAsia="en-AU"/>
        </w:rPr>
      </w:pPr>
    </w:p>
    <w:p w:rsidR="00AD014F" w:rsidRDefault="00AD014F" w:rsidP="00AD014F">
      <w:pPr>
        <w:pStyle w:val="Default"/>
        <w:tabs>
          <w:tab w:val="left" w:pos="567"/>
        </w:tabs>
        <w:spacing w:after="240"/>
        <w:rPr>
          <w:rFonts w:ascii="Times New Roman" w:hAnsi="Times New Roman" w:cs="Times New Roman"/>
          <w:lang w:eastAsia="en-AU"/>
        </w:rPr>
      </w:pPr>
    </w:p>
    <w:p w:rsidR="00AD014F" w:rsidRDefault="00AD014F" w:rsidP="00AD014F">
      <w:pPr>
        <w:pStyle w:val="BodyText"/>
        <w:rPr>
          <w:b/>
        </w:rPr>
      </w:pPr>
      <w:r>
        <w:rPr>
          <w:b/>
        </w:rPr>
        <w:t>DAVID BRADBURY</w:t>
      </w:r>
    </w:p>
    <w:p w:rsidR="00AD014F" w:rsidRDefault="00AD014F" w:rsidP="00AD014F">
      <w:pPr>
        <w:pStyle w:val="BodyText"/>
        <w:rPr>
          <w:b/>
        </w:rPr>
      </w:pPr>
      <w:r>
        <w:rPr>
          <w:b/>
        </w:rPr>
        <w:t>ASSISTANT TREASURER</w:t>
      </w:r>
    </w:p>
    <w:p w:rsidR="00AD014F" w:rsidRDefault="00AD014F" w:rsidP="00AD014F">
      <w:pPr>
        <w:pStyle w:val="BodyText"/>
        <w:rPr>
          <w:b/>
        </w:rPr>
      </w:pPr>
    </w:p>
    <w:p w:rsidR="00AD014F" w:rsidRPr="003D1FA4" w:rsidRDefault="00AD014F" w:rsidP="00AD014F">
      <w:pPr>
        <w:pStyle w:val="Default"/>
        <w:tabs>
          <w:tab w:val="left" w:pos="567"/>
        </w:tabs>
        <w:spacing w:after="240"/>
        <w:rPr>
          <w:rFonts w:ascii="Times New Roman" w:hAnsi="Times New Roman" w:cs="Times New Roman"/>
          <w:lang w:eastAsia="en-AU"/>
        </w:rPr>
      </w:pPr>
      <w:r w:rsidRPr="003D1FA4">
        <w:rPr>
          <w:rFonts w:ascii="Times New Roman" w:hAnsi="Times New Roman" w:cs="Times New Roman"/>
          <w:lang w:eastAsia="en-AU"/>
        </w:rPr>
        <w:t>[rece</w:t>
      </w:r>
      <w:r>
        <w:rPr>
          <w:rFonts w:ascii="Times New Roman" w:hAnsi="Times New Roman" w:cs="Times New Roman"/>
          <w:lang w:eastAsia="en-AU"/>
        </w:rPr>
        <w:t>ived 7 December 2012]</w:t>
      </w:r>
    </w:p>
    <w:p w:rsidR="00603B98" w:rsidRDefault="00603B98" w:rsidP="00603B98">
      <w:pPr>
        <w:pStyle w:val="BodyText"/>
      </w:pPr>
    </w:p>
    <w:p w:rsidR="00603B98" w:rsidRDefault="00603B98" w:rsidP="00603B98">
      <w:pPr>
        <w:pStyle w:val="BodyText"/>
      </w:pPr>
    </w:p>
    <w:p w:rsidR="00603B98" w:rsidRPr="00603B98" w:rsidRDefault="00603B98" w:rsidP="00603B98">
      <w:pPr>
        <w:pStyle w:val="BodyText"/>
      </w:pPr>
    </w:p>
    <w:p w:rsidR="00603B98" w:rsidRDefault="00603B98" w:rsidP="00603B98">
      <w:pPr>
        <w:pStyle w:val="BodyText"/>
        <w:sectPr w:rsidR="00603B98" w:rsidSect="006F6434">
          <w:headerReference w:type="even" r:id="rId10"/>
          <w:headerReference w:type="default" r:id="rId11"/>
          <w:footerReference w:type="even" r:id="rId12"/>
          <w:footerReference w:type="default" r:id="rId13"/>
          <w:type w:val="continuous"/>
          <w:pgSz w:w="11907" w:h="16840" w:code="9"/>
          <w:pgMar w:top="1985" w:right="1304" w:bottom="1418" w:left="1814" w:header="1701" w:footer="567" w:gutter="0"/>
          <w:pgNumType w:fmt="lowerRoman" w:start="3" w:chapSep="period"/>
          <w:cols w:space="720"/>
        </w:sectPr>
      </w:pPr>
    </w:p>
    <w:p w:rsidR="000C3E1C" w:rsidRDefault="000C3E1C" w:rsidP="006F6434">
      <w:pPr>
        <w:pStyle w:val="Heading2"/>
      </w:pPr>
      <w:bookmarkStart w:id="4" w:name="_Toc345513499"/>
      <w:bookmarkStart w:id="5" w:name="_Toc346708108"/>
      <w:r w:rsidRPr="006F6434">
        <w:lastRenderedPageBreak/>
        <w:t>Contents</w:t>
      </w:r>
      <w:bookmarkEnd w:id="4"/>
      <w:bookmarkEnd w:id="5"/>
    </w:p>
    <w:p w:rsidR="00F25854" w:rsidRDefault="00F25854">
      <w:pPr>
        <w:pStyle w:val="TOC2"/>
        <w:rPr>
          <w:rFonts w:asciiTheme="minorHAnsi" w:eastAsiaTheme="minorEastAsia" w:hAnsiTheme="minorHAnsi" w:cstheme="minorBidi"/>
          <w:b w:val="0"/>
          <w:noProof/>
          <w:sz w:val="22"/>
          <w:szCs w:val="22"/>
        </w:rPr>
      </w:pPr>
      <w:r w:rsidRPr="00881AFB">
        <w:rPr>
          <w:noProof/>
        </w:rPr>
        <w:t>Terms of reference</w:t>
      </w:r>
      <w:r>
        <w:rPr>
          <w:noProof/>
          <w:webHidden/>
        </w:rPr>
        <w:tab/>
      </w:r>
      <w:r w:rsidR="0046081A">
        <w:rPr>
          <w:noProof/>
          <w:webHidden/>
        </w:rPr>
        <w:t>iii</w:t>
      </w:r>
    </w:p>
    <w:p w:rsidR="00F25854" w:rsidRDefault="00F25854">
      <w:pPr>
        <w:pStyle w:val="TOC2"/>
        <w:rPr>
          <w:rFonts w:asciiTheme="minorHAnsi" w:eastAsiaTheme="minorEastAsia" w:hAnsiTheme="minorHAnsi" w:cstheme="minorBidi"/>
          <w:b w:val="0"/>
          <w:noProof/>
          <w:sz w:val="22"/>
          <w:szCs w:val="22"/>
        </w:rPr>
      </w:pPr>
      <w:r w:rsidRPr="00881AFB">
        <w:t>1</w:t>
      </w:r>
      <w:r w:rsidRPr="00881AFB">
        <w:rPr>
          <w:rFonts w:eastAsiaTheme="minorEastAsia"/>
        </w:rPr>
        <w:tab/>
      </w:r>
      <w:r w:rsidRPr="00881AFB">
        <w:t>What has the Commission been asked to do?</w:t>
      </w:r>
      <w:r>
        <w:rPr>
          <w:noProof/>
          <w:webHidden/>
        </w:rPr>
        <w:tab/>
      </w:r>
      <w:r w:rsidR="0046081A">
        <w:rPr>
          <w:noProof/>
          <w:webHidden/>
        </w:rPr>
        <w:t>1</w:t>
      </w:r>
    </w:p>
    <w:p w:rsidR="00F25854" w:rsidRDefault="00F25854">
      <w:pPr>
        <w:pStyle w:val="TOC2"/>
        <w:rPr>
          <w:rFonts w:asciiTheme="minorHAnsi" w:eastAsiaTheme="minorEastAsia" w:hAnsiTheme="minorHAnsi" w:cstheme="minorBidi"/>
          <w:b w:val="0"/>
          <w:noProof/>
          <w:sz w:val="22"/>
          <w:szCs w:val="22"/>
        </w:rPr>
      </w:pPr>
      <w:r w:rsidRPr="00881AFB">
        <w:rPr>
          <w:noProof/>
        </w:rPr>
        <w:t>2</w:t>
      </w:r>
      <w:r>
        <w:rPr>
          <w:rFonts w:asciiTheme="minorHAnsi" w:eastAsiaTheme="minorEastAsia" w:hAnsiTheme="minorHAnsi" w:cstheme="minorBidi"/>
          <w:b w:val="0"/>
          <w:noProof/>
          <w:sz w:val="22"/>
          <w:szCs w:val="22"/>
        </w:rPr>
        <w:tab/>
      </w:r>
      <w:r w:rsidRPr="00881AFB">
        <w:rPr>
          <w:noProof/>
        </w:rPr>
        <w:t>Small businesses and their significance</w:t>
      </w:r>
      <w:r>
        <w:rPr>
          <w:noProof/>
          <w:webHidden/>
        </w:rPr>
        <w:tab/>
      </w:r>
      <w:r w:rsidR="0046081A">
        <w:rPr>
          <w:noProof/>
          <w:webHidden/>
        </w:rPr>
        <w:t>2</w:t>
      </w:r>
    </w:p>
    <w:p w:rsidR="00F25854" w:rsidRDefault="00F25854">
      <w:pPr>
        <w:pStyle w:val="TOC2"/>
        <w:rPr>
          <w:rFonts w:asciiTheme="minorHAnsi" w:eastAsiaTheme="minorEastAsia" w:hAnsiTheme="minorHAnsi" w:cstheme="minorBidi"/>
          <w:b w:val="0"/>
          <w:noProof/>
          <w:sz w:val="22"/>
          <w:szCs w:val="22"/>
        </w:rPr>
      </w:pPr>
      <w:r w:rsidRPr="00881AFB">
        <w:rPr>
          <w:noProof/>
        </w:rPr>
        <w:t>3</w:t>
      </w:r>
      <w:r>
        <w:rPr>
          <w:rFonts w:asciiTheme="minorHAnsi" w:eastAsiaTheme="minorEastAsia" w:hAnsiTheme="minorHAnsi" w:cstheme="minorBidi"/>
          <w:b w:val="0"/>
          <w:noProof/>
          <w:sz w:val="22"/>
          <w:szCs w:val="22"/>
        </w:rPr>
        <w:tab/>
      </w:r>
      <w:r w:rsidRPr="00881AFB">
        <w:rPr>
          <w:noProof/>
        </w:rPr>
        <w:t>What key characteristics of regulators influence their posture toward small business?</w:t>
      </w:r>
      <w:r>
        <w:rPr>
          <w:noProof/>
          <w:webHidden/>
        </w:rPr>
        <w:tab/>
      </w:r>
      <w:r w:rsidR="0046081A">
        <w:rPr>
          <w:noProof/>
          <w:webHidden/>
        </w:rPr>
        <w:t>4</w:t>
      </w:r>
    </w:p>
    <w:p w:rsidR="00F25854" w:rsidRDefault="00F25854">
      <w:pPr>
        <w:pStyle w:val="TOC2"/>
        <w:rPr>
          <w:rFonts w:asciiTheme="minorHAnsi" w:eastAsiaTheme="minorEastAsia" w:hAnsiTheme="minorHAnsi" w:cstheme="minorBidi"/>
          <w:b w:val="0"/>
          <w:noProof/>
          <w:sz w:val="22"/>
          <w:szCs w:val="22"/>
        </w:rPr>
      </w:pPr>
      <w:r w:rsidRPr="00881AFB">
        <w:rPr>
          <w:noProof/>
        </w:rPr>
        <w:t>4</w:t>
      </w:r>
      <w:r>
        <w:rPr>
          <w:rFonts w:asciiTheme="minorHAnsi" w:eastAsiaTheme="minorEastAsia" w:hAnsiTheme="minorHAnsi" w:cstheme="minorBidi"/>
          <w:b w:val="0"/>
          <w:noProof/>
          <w:sz w:val="22"/>
          <w:szCs w:val="22"/>
        </w:rPr>
        <w:tab/>
      </w:r>
      <w:r w:rsidRPr="00881AFB">
        <w:rPr>
          <w:noProof/>
        </w:rPr>
        <w:t>Which regulator practices affect engagement with small business?</w:t>
      </w:r>
      <w:r>
        <w:rPr>
          <w:noProof/>
          <w:webHidden/>
        </w:rPr>
        <w:tab/>
      </w:r>
      <w:r w:rsidR="0046081A">
        <w:rPr>
          <w:noProof/>
          <w:webHidden/>
        </w:rPr>
        <w:t>6</w:t>
      </w:r>
    </w:p>
    <w:p w:rsidR="00F25854" w:rsidRDefault="00F25854">
      <w:pPr>
        <w:pStyle w:val="TOC2"/>
        <w:rPr>
          <w:rFonts w:asciiTheme="minorHAnsi" w:eastAsiaTheme="minorEastAsia" w:hAnsiTheme="minorHAnsi" w:cstheme="minorBidi"/>
          <w:b w:val="0"/>
          <w:noProof/>
          <w:sz w:val="22"/>
          <w:szCs w:val="22"/>
        </w:rPr>
      </w:pPr>
      <w:r w:rsidRPr="00881AFB">
        <w:rPr>
          <w:noProof/>
        </w:rPr>
        <w:t>5</w:t>
      </w:r>
      <w:r>
        <w:rPr>
          <w:rFonts w:asciiTheme="minorHAnsi" w:eastAsiaTheme="minorEastAsia" w:hAnsiTheme="minorHAnsi" w:cstheme="minorBidi"/>
          <w:b w:val="0"/>
          <w:noProof/>
          <w:sz w:val="22"/>
          <w:szCs w:val="22"/>
        </w:rPr>
        <w:tab/>
      </w:r>
      <w:r w:rsidRPr="00881AFB">
        <w:rPr>
          <w:noProof/>
        </w:rPr>
        <w:t>How does regulator engagement impact on small business costs?</w:t>
      </w:r>
      <w:r>
        <w:rPr>
          <w:noProof/>
          <w:webHidden/>
        </w:rPr>
        <w:tab/>
      </w:r>
      <w:r w:rsidR="0046081A">
        <w:rPr>
          <w:noProof/>
          <w:webHidden/>
        </w:rPr>
        <w:t>9</w:t>
      </w:r>
    </w:p>
    <w:p w:rsidR="00F25854" w:rsidRDefault="00F25854">
      <w:pPr>
        <w:pStyle w:val="TOC2"/>
        <w:rPr>
          <w:rFonts w:asciiTheme="minorHAnsi" w:eastAsiaTheme="minorEastAsia" w:hAnsiTheme="minorHAnsi" w:cstheme="minorBidi"/>
          <w:b w:val="0"/>
          <w:noProof/>
          <w:sz w:val="22"/>
          <w:szCs w:val="22"/>
        </w:rPr>
      </w:pPr>
      <w:r w:rsidRPr="00881AFB">
        <w:rPr>
          <w:noProof/>
        </w:rPr>
        <w:t>References</w:t>
      </w:r>
      <w:r>
        <w:rPr>
          <w:noProof/>
          <w:webHidden/>
        </w:rPr>
        <w:tab/>
      </w:r>
      <w:r w:rsidR="0046081A">
        <w:rPr>
          <w:noProof/>
          <w:webHidden/>
        </w:rPr>
        <w:t>15</w:t>
      </w:r>
    </w:p>
    <w:p w:rsidR="00F25854" w:rsidRDefault="00F25854">
      <w:pPr>
        <w:pStyle w:val="TOC2"/>
        <w:rPr>
          <w:rFonts w:asciiTheme="minorHAnsi" w:eastAsiaTheme="minorEastAsia" w:hAnsiTheme="minorHAnsi" w:cstheme="minorBidi"/>
          <w:b w:val="0"/>
          <w:noProof/>
          <w:sz w:val="22"/>
          <w:szCs w:val="22"/>
        </w:rPr>
      </w:pPr>
      <w:r w:rsidRPr="00881AFB">
        <w:rPr>
          <w:noProof/>
        </w:rPr>
        <w:t>Attachment A: How to make a submission</w:t>
      </w:r>
      <w:r>
        <w:rPr>
          <w:noProof/>
          <w:webHidden/>
        </w:rPr>
        <w:tab/>
      </w:r>
      <w:r w:rsidR="0046081A">
        <w:rPr>
          <w:noProof/>
          <w:webHidden/>
        </w:rPr>
        <w:t>17</w:t>
      </w:r>
    </w:p>
    <w:p w:rsidR="00F25854" w:rsidRDefault="00F25854">
      <w:pPr>
        <w:pStyle w:val="TOC2"/>
        <w:rPr>
          <w:rFonts w:asciiTheme="minorHAnsi" w:eastAsiaTheme="minorEastAsia" w:hAnsiTheme="minorHAnsi" w:cstheme="minorBidi"/>
          <w:b w:val="0"/>
          <w:noProof/>
          <w:sz w:val="22"/>
          <w:szCs w:val="22"/>
        </w:rPr>
      </w:pPr>
      <w:r w:rsidRPr="00881AFB">
        <w:rPr>
          <w:noProof/>
        </w:rPr>
        <w:t>Attachment B: Submission cover sheet</w:t>
      </w:r>
      <w:r>
        <w:rPr>
          <w:noProof/>
          <w:webHidden/>
        </w:rPr>
        <w:tab/>
      </w:r>
      <w:r w:rsidR="0046081A">
        <w:rPr>
          <w:noProof/>
          <w:webHidden/>
        </w:rPr>
        <w:t>19</w:t>
      </w:r>
    </w:p>
    <w:p w:rsidR="00EA245E" w:rsidRDefault="00EA245E" w:rsidP="00EA245E">
      <w:pPr>
        <w:pStyle w:val="BodyText"/>
      </w:pPr>
    </w:p>
    <w:p w:rsidR="00B36B2D" w:rsidRDefault="00B36B2D" w:rsidP="00EA245E">
      <w:pPr>
        <w:pStyle w:val="BodyText"/>
        <w:sectPr w:rsidR="00B36B2D" w:rsidSect="0029536D">
          <w:headerReference w:type="even" r:id="rId14"/>
          <w:headerReference w:type="default" r:id="rId15"/>
          <w:footerReference w:type="even" r:id="rId16"/>
          <w:footerReference w:type="default" r:id="rId17"/>
          <w:type w:val="oddPage"/>
          <w:pgSz w:w="11907" w:h="16840" w:code="9"/>
          <w:pgMar w:top="1985" w:right="1304" w:bottom="1418" w:left="1814" w:header="1701" w:footer="567" w:gutter="0"/>
          <w:pgNumType w:fmt="lowerRoman" w:start="5" w:chapSep="period"/>
          <w:cols w:space="720"/>
        </w:sectPr>
      </w:pPr>
    </w:p>
    <w:p w:rsidR="00C06307" w:rsidRDefault="00C615CB" w:rsidP="008B13C2">
      <w:pPr>
        <w:pStyle w:val="Heading2"/>
        <w:spacing w:before="480"/>
      </w:pPr>
      <w:bookmarkStart w:id="6" w:name="_Toc346708109"/>
      <w:r>
        <w:rPr>
          <w:noProof/>
        </w:rPr>
        <w:lastRenderedPageBreak/>
        <w:t>1</w:t>
      </w:r>
      <w:r w:rsidR="00C06307">
        <w:tab/>
        <w:t>What has the Commission been asked to do?</w:t>
      </w:r>
      <w:bookmarkEnd w:id="6"/>
    </w:p>
    <w:p w:rsidR="00E47268" w:rsidRDefault="00C06307" w:rsidP="007C53B3">
      <w:pPr>
        <w:pStyle w:val="BodyText"/>
      </w:pPr>
      <w:r>
        <w:t>The Productivity Commission has been asked to undertake a study to benchmark regulator</w:t>
      </w:r>
      <w:r w:rsidR="008A62DC">
        <w:t xml:space="preserve"> approaches</w:t>
      </w:r>
      <w:r w:rsidR="007F7A81">
        <w:t xml:space="preserve"> </w:t>
      </w:r>
      <w:r w:rsidR="0008384E">
        <w:t xml:space="preserve">to engagement with </w:t>
      </w:r>
      <w:r w:rsidR="006D2C4B">
        <w:t>small business</w:t>
      </w:r>
      <w:r>
        <w:t>.</w:t>
      </w:r>
      <w:r w:rsidR="00182A18">
        <w:t xml:space="preserve"> </w:t>
      </w:r>
      <w:r w:rsidR="002A3C81" w:rsidDel="00401C1D">
        <w:t xml:space="preserve">The quality of regulator engagement with business is a major determinant of success in achieving </w:t>
      </w:r>
      <w:r w:rsidR="005E1DDB">
        <w:t xml:space="preserve">regulatory </w:t>
      </w:r>
      <w:r w:rsidR="002A3C81" w:rsidDel="00401C1D">
        <w:t>policy objectives and minimising the administrative and compliance costs imposed on regulated entities, taxpayers and the Australian community (</w:t>
      </w:r>
      <w:proofErr w:type="spellStart"/>
      <w:r w:rsidR="002A3C81" w:rsidDel="00401C1D">
        <w:t>ANAO</w:t>
      </w:r>
      <w:proofErr w:type="spellEnd"/>
      <w:r w:rsidR="002A3C81" w:rsidDel="00401C1D">
        <w:t xml:space="preserve"> 2007).</w:t>
      </w:r>
      <w:r w:rsidR="007C53B3">
        <w:t xml:space="preserve"> Regulators’ actions and their day-to-day, ongoing </w:t>
      </w:r>
      <w:r w:rsidR="00C8366F">
        <w:t>engagement are</w:t>
      </w:r>
      <w:r w:rsidR="007C53B3">
        <w:t xml:space="preserve"> the primary way through which businesses, in particular small businesses, ‘experience’ regulation. Regulator behaviour is </w:t>
      </w:r>
      <w:r w:rsidR="00C8366F">
        <w:t>critical,</w:t>
      </w:r>
      <w:r w:rsidR="007C53B3">
        <w:t xml:space="preserve"> </w:t>
      </w:r>
      <w:r w:rsidR="00826EC4">
        <w:t>as</w:t>
      </w:r>
      <w:r w:rsidR="007C53B3">
        <w:t xml:space="preserve"> in many cases it is difficult to change the underlying regulations, so the ability to improve the way </w:t>
      </w:r>
      <w:r w:rsidR="005E1DDB">
        <w:t>regulat</w:t>
      </w:r>
      <w:r w:rsidR="00242085">
        <w:t>ions</w:t>
      </w:r>
      <w:r w:rsidR="007C53B3">
        <w:t xml:space="preserve"> </w:t>
      </w:r>
      <w:r w:rsidR="00242085">
        <w:t xml:space="preserve">are </w:t>
      </w:r>
      <w:r w:rsidR="007C53B3">
        <w:t>administer</w:t>
      </w:r>
      <w:r w:rsidR="00242085">
        <w:t>ed</w:t>
      </w:r>
      <w:r w:rsidR="005E1DDB">
        <w:t xml:space="preserve"> and</w:t>
      </w:r>
      <w:r w:rsidR="007C53B3">
        <w:t xml:space="preserve"> </w:t>
      </w:r>
      <w:r w:rsidR="003C672E">
        <w:t>enforced</w:t>
      </w:r>
      <w:r w:rsidR="005E1DDB">
        <w:t xml:space="preserve">, in practice, </w:t>
      </w:r>
      <w:r w:rsidR="007C53B3">
        <w:t xml:space="preserve">matters. </w:t>
      </w:r>
    </w:p>
    <w:p w:rsidR="00873566" w:rsidRDefault="008A62DC" w:rsidP="00066312">
      <w:pPr>
        <w:pStyle w:val="BodyText"/>
      </w:pPr>
      <w:r>
        <w:t xml:space="preserve">The term ‘regulator’ is used throughout this issues paper to denote officials, departmental units and independent statutory agencies that </w:t>
      </w:r>
      <w:r w:rsidR="001E7455">
        <w:t>ensure the compliance of business or other groups in the community within an area of the law</w:t>
      </w:r>
      <w:r w:rsidR="00C8366F">
        <w:t xml:space="preserve"> by drawing on </w:t>
      </w:r>
      <w:r w:rsidR="00BC25B4">
        <w:t xml:space="preserve">their authority to undertake </w:t>
      </w:r>
      <w:r w:rsidR="00C8366F">
        <w:t>inspection</w:t>
      </w:r>
      <w:r w:rsidR="00BC25B4">
        <w:t>s</w:t>
      </w:r>
      <w:r w:rsidR="00C8366F">
        <w:t>, licensing and accreditation</w:t>
      </w:r>
      <w:r w:rsidR="00BC25B4">
        <w:t>,</w:t>
      </w:r>
      <w:r w:rsidR="00C8366F">
        <w:t xml:space="preserve"> or </w:t>
      </w:r>
      <w:r w:rsidR="00BC25B4">
        <w:t xml:space="preserve">other </w:t>
      </w:r>
      <w:r w:rsidR="00C8366F">
        <w:t>enforcement</w:t>
      </w:r>
      <w:r w:rsidR="00BC25B4">
        <w:t xml:space="preserve"> activities</w:t>
      </w:r>
      <w:r w:rsidR="00C8366F">
        <w:t xml:space="preserve">. </w:t>
      </w:r>
      <w:r>
        <w:t>T</w:t>
      </w:r>
      <w:r w:rsidR="00066312">
        <w:t xml:space="preserve">here are roughly </w:t>
      </w:r>
      <w:r w:rsidR="0008384E">
        <w:t>1</w:t>
      </w:r>
      <w:r>
        <w:t>1</w:t>
      </w:r>
      <w:r w:rsidR="0008384E">
        <w:t>00</w:t>
      </w:r>
      <w:r w:rsidR="00066312">
        <w:t xml:space="preserve"> regulatory bodies across Australia’s federation</w:t>
      </w:r>
      <w:r w:rsidR="006B28DD">
        <w:t xml:space="preserve"> (</w:t>
      </w:r>
      <w:r w:rsidR="0008384E">
        <w:t>in</w:t>
      </w:r>
      <w:r w:rsidR="006B28DD">
        <w:t xml:space="preserve">cluding more than </w:t>
      </w:r>
      <w:r>
        <w:t>56</w:t>
      </w:r>
      <w:r w:rsidR="006B28DD">
        <w:t xml:space="preserve">0 local </w:t>
      </w:r>
      <w:r w:rsidR="004D0AC1">
        <w:t>governments</w:t>
      </w:r>
      <w:r w:rsidR="006B28DD">
        <w:t>)</w:t>
      </w:r>
      <w:r w:rsidR="00066312">
        <w:t xml:space="preserve">, with around </w:t>
      </w:r>
      <w:r w:rsidR="00A669BA">
        <w:t>75</w:t>
      </w:r>
      <w:r w:rsidR="00066312">
        <w:t xml:space="preserve"> </w:t>
      </w:r>
      <w:r w:rsidR="0008384E">
        <w:t xml:space="preserve">regulators </w:t>
      </w:r>
      <w:r w:rsidR="00066312">
        <w:t xml:space="preserve">operating </w:t>
      </w:r>
      <w:r w:rsidR="005A4F5B">
        <w:t>nationally</w:t>
      </w:r>
      <w:r w:rsidR="00066312">
        <w:t xml:space="preserve">. </w:t>
      </w:r>
      <w:r>
        <w:t xml:space="preserve">Regulators </w:t>
      </w:r>
      <w:r w:rsidR="001E7455">
        <w:t>operate in</w:t>
      </w:r>
      <w:r>
        <w:t xml:space="preserve"> a vast array of regulatory areas including</w:t>
      </w:r>
      <w:r w:rsidR="00873566">
        <w:t>:</w:t>
      </w:r>
    </w:p>
    <w:p w:rsidR="00873566" w:rsidRDefault="008A62DC" w:rsidP="00873566">
      <w:pPr>
        <w:pStyle w:val="ListBullet"/>
      </w:pPr>
      <w:r>
        <w:t>health</w:t>
      </w:r>
      <w:r w:rsidR="004D0AC1">
        <w:t xml:space="preserve"> and safety</w:t>
      </w:r>
    </w:p>
    <w:p w:rsidR="00873566" w:rsidRDefault="008A62DC" w:rsidP="00873566">
      <w:pPr>
        <w:pStyle w:val="ListBullet"/>
      </w:pPr>
      <w:r>
        <w:t>labour market</w:t>
      </w:r>
      <w:r w:rsidR="004D0AC1">
        <w:t>s</w:t>
      </w:r>
    </w:p>
    <w:p w:rsidR="00873566" w:rsidRDefault="008A62DC" w:rsidP="00873566">
      <w:pPr>
        <w:pStyle w:val="ListBullet"/>
      </w:pPr>
      <w:r>
        <w:t>consumer</w:t>
      </w:r>
      <w:r w:rsidR="004D0AC1">
        <w:t xml:space="preserve"> protection</w:t>
      </w:r>
    </w:p>
    <w:p w:rsidR="00873566" w:rsidRDefault="008A62DC" w:rsidP="00873566">
      <w:pPr>
        <w:pStyle w:val="ListBullet"/>
      </w:pPr>
      <w:r>
        <w:t>environment</w:t>
      </w:r>
      <w:r w:rsidR="004D0AC1">
        <w:t xml:space="preserve">, </w:t>
      </w:r>
      <w:r>
        <w:t>building</w:t>
      </w:r>
      <w:r w:rsidR="00873566">
        <w:t xml:space="preserve"> </w:t>
      </w:r>
      <w:r w:rsidR="004D0AC1">
        <w:t>and construction</w:t>
      </w:r>
    </w:p>
    <w:p w:rsidR="00873566" w:rsidRDefault="00873566" w:rsidP="00873566">
      <w:pPr>
        <w:pStyle w:val="ListBullet"/>
      </w:pPr>
      <w:r>
        <w:t>transport</w:t>
      </w:r>
    </w:p>
    <w:p w:rsidR="00B74EC3" w:rsidRDefault="004D0AC1" w:rsidP="00873566">
      <w:pPr>
        <w:pStyle w:val="ListBullet"/>
      </w:pPr>
      <w:r>
        <w:t>fair trading and competition</w:t>
      </w:r>
    </w:p>
    <w:p w:rsidR="00066312" w:rsidRDefault="00B74EC3" w:rsidP="00B74EC3">
      <w:pPr>
        <w:pStyle w:val="ListBullet"/>
      </w:pPr>
      <w:r>
        <w:t>financial</w:t>
      </w:r>
      <w:r w:rsidR="004D0AC1">
        <w:t xml:space="preserve"> services</w:t>
      </w:r>
      <w:r>
        <w:t xml:space="preserve">, superannuation </w:t>
      </w:r>
      <w:r w:rsidR="004D0AC1">
        <w:t>and revenue collection</w:t>
      </w:r>
      <w:r w:rsidR="008A62DC">
        <w:t>.</w:t>
      </w:r>
    </w:p>
    <w:p w:rsidR="008B13C2" w:rsidRDefault="001E7455" w:rsidP="005C0E41">
      <w:pPr>
        <w:pStyle w:val="BodyText"/>
      </w:pPr>
      <w:r>
        <w:t>There are three distinct phases of regulation — desig</w:t>
      </w:r>
      <w:r w:rsidR="00D44628">
        <w:t>n, operation and review</w:t>
      </w:r>
      <w:r>
        <w:t xml:space="preserve">. The Commission has recently undertaken studies into the review and design phases of regulation (PC </w:t>
      </w:r>
      <w:proofErr w:type="spellStart"/>
      <w:r>
        <w:t>2011</w:t>
      </w:r>
      <w:r w:rsidR="00DD2669">
        <w:t>a</w:t>
      </w:r>
      <w:proofErr w:type="spellEnd"/>
      <w:r>
        <w:t xml:space="preserve">, </w:t>
      </w:r>
      <w:proofErr w:type="spellStart"/>
      <w:r>
        <w:t>2012</w:t>
      </w:r>
      <w:r w:rsidR="00FE0FEF">
        <w:t>a</w:t>
      </w:r>
      <w:proofErr w:type="spellEnd"/>
      <w:r>
        <w:t xml:space="preserve">). The focus of this study is on the </w:t>
      </w:r>
      <w:r w:rsidR="004D0AC1">
        <w:t>administration</w:t>
      </w:r>
      <w:r>
        <w:t xml:space="preserve"> and enforcement of regulation by regulators</w:t>
      </w:r>
      <w:r w:rsidR="00401C1D">
        <w:t xml:space="preserve"> at the Commonwealth, state and local government level.</w:t>
      </w:r>
      <w:r w:rsidR="00401C1D" w:rsidRPr="00401C1D">
        <w:t xml:space="preserve"> </w:t>
      </w:r>
      <w:r w:rsidR="00401C1D">
        <w:t>The full terms of reference for the study are included at the front of this issues paper.</w:t>
      </w:r>
      <w:r w:rsidR="008B13C2">
        <w:t xml:space="preserve"> </w:t>
      </w:r>
    </w:p>
    <w:p w:rsidR="00C837F9" w:rsidRPr="005C0E41" w:rsidRDefault="00C837F9" w:rsidP="005C0E41">
      <w:pPr>
        <w:pStyle w:val="BodyText"/>
      </w:pPr>
      <w:r>
        <w:lastRenderedPageBreak/>
        <w:t>This study will aim to identify and assess regulator engagement strategies that seek to improve the delivery of regulat</w:t>
      </w:r>
      <w:r w:rsidR="004D0AC1">
        <w:t>ory objectives</w:t>
      </w:r>
      <w:r>
        <w:t xml:space="preserve"> </w:t>
      </w:r>
      <w:r w:rsidR="00401C1D">
        <w:t xml:space="preserve">and reduce unnecessary compliance costs </w:t>
      </w:r>
      <w:r>
        <w:t xml:space="preserve">to </w:t>
      </w:r>
      <w:r w:rsidR="00873566">
        <w:t xml:space="preserve">small </w:t>
      </w:r>
      <w:r>
        <w:t>business</w:t>
      </w:r>
      <w:r w:rsidR="001E7455">
        <w:t xml:space="preserve">, </w:t>
      </w:r>
      <w:r w:rsidR="00886173">
        <w:t>while sustaining good</w:t>
      </w:r>
      <w:r w:rsidR="00873566">
        <w:t xml:space="preserve"> regulatory outcomes.</w:t>
      </w:r>
    </w:p>
    <w:p w:rsidR="0001205E" w:rsidRDefault="00C615CB" w:rsidP="0001205E">
      <w:pPr>
        <w:pStyle w:val="Heading2"/>
      </w:pPr>
      <w:bookmarkStart w:id="7" w:name="_Toc346708110"/>
      <w:r>
        <w:rPr>
          <w:noProof/>
        </w:rPr>
        <w:t>2</w:t>
      </w:r>
      <w:r w:rsidR="0001205E">
        <w:tab/>
        <w:t>Small business</w:t>
      </w:r>
      <w:r w:rsidR="004236B9">
        <w:t>es</w:t>
      </w:r>
      <w:r w:rsidR="0001205E">
        <w:t xml:space="preserve"> and </w:t>
      </w:r>
      <w:r w:rsidR="004236B9">
        <w:t>their</w:t>
      </w:r>
      <w:r w:rsidR="0001205E">
        <w:t xml:space="preserve"> significance</w:t>
      </w:r>
      <w:bookmarkEnd w:id="7"/>
    </w:p>
    <w:p w:rsidR="00E27CCB" w:rsidRDefault="00E41E15" w:rsidP="001D4A01">
      <w:pPr>
        <w:pStyle w:val="BodyText"/>
      </w:pPr>
      <w:r>
        <w:t xml:space="preserve">The Australian Bureau of Statistics (ABS) </w:t>
      </w:r>
      <w:r w:rsidR="004D0AC1">
        <w:t xml:space="preserve">currently </w:t>
      </w:r>
      <w:r>
        <w:t xml:space="preserve">defines small businesses as those employing </w:t>
      </w:r>
      <w:r w:rsidR="008D5DA9">
        <w:t>fewer</w:t>
      </w:r>
      <w:r>
        <w:t xml:space="preserve"> than 20 people. </w:t>
      </w:r>
      <w:r w:rsidR="004562B6">
        <w:t>T</w:t>
      </w:r>
      <w:r w:rsidR="00E27CCB">
        <w:t>here are also sub-categories of small business</w:t>
      </w:r>
      <w:r w:rsidR="009B6084">
        <w:t xml:space="preserve"> such as </w:t>
      </w:r>
      <w:r w:rsidR="00E27CCB">
        <w:t>micro</w:t>
      </w:r>
      <w:r w:rsidR="005C4F1B">
        <w:t xml:space="preserve"> </w:t>
      </w:r>
      <w:r w:rsidR="00E27CCB">
        <w:t>businesses</w:t>
      </w:r>
      <w:r w:rsidR="009B6084">
        <w:t>, which</w:t>
      </w:r>
      <w:r w:rsidR="00E27CCB">
        <w:t xml:space="preserve"> have </w:t>
      </w:r>
      <w:r w:rsidR="00C14AD0">
        <w:t>fewer</w:t>
      </w:r>
      <w:r w:rsidR="00E27CCB">
        <w:t xml:space="preserve"> than five employees</w:t>
      </w:r>
      <w:r w:rsidR="007C53B3">
        <w:t xml:space="preserve"> (ABS 2000)</w:t>
      </w:r>
      <w:r w:rsidR="00E27CCB">
        <w:t xml:space="preserve">. </w:t>
      </w:r>
      <w:r w:rsidR="00A04B60">
        <w:t>S</w:t>
      </w:r>
      <w:r w:rsidR="009B6084">
        <w:t>ome s</w:t>
      </w:r>
      <w:r w:rsidR="00A04B60">
        <w:t>mall businesses</w:t>
      </w:r>
      <w:r w:rsidR="00E27CCB">
        <w:t xml:space="preserve"> </w:t>
      </w:r>
      <w:r w:rsidR="009B6084">
        <w:t>have employees; some have</w:t>
      </w:r>
      <w:r w:rsidR="00C14AD0">
        <w:t xml:space="preserve"> only</w:t>
      </w:r>
      <w:r w:rsidR="00A04B60">
        <w:t xml:space="preserve"> an owner-manager</w:t>
      </w:r>
      <w:r w:rsidR="007C53B3">
        <w:t>.</w:t>
      </w:r>
      <w:r w:rsidR="00512055">
        <w:t xml:space="preserve"> </w:t>
      </w:r>
    </w:p>
    <w:p w:rsidR="009C2868" w:rsidRDefault="009C2868" w:rsidP="009C2868">
      <w:pPr>
        <w:pStyle w:val="BodyText"/>
      </w:pPr>
      <w:r>
        <w:t>As outlined by Lattimore et al</w:t>
      </w:r>
      <w:r w:rsidR="00B74EC3">
        <w:t>.</w:t>
      </w:r>
      <w:r>
        <w:t xml:space="preserve"> (1998), typically, small businesses differ in a number of respects from larger firms. For example:</w:t>
      </w:r>
    </w:p>
    <w:p w:rsidR="009C2868" w:rsidRDefault="009C2868" w:rsidP="009C2868">
      <w:pPr>
        <w:pStyle w:val="ListBullet"/>
      </w:pPr>
      <w:r>
        <w:t>only a small number of individuals, often members of the same family, own the business</w:t>
      </w:r>
    </w:p>
    <w:p w:rsidR="009C2868" w:rsidRDefault="001D4A01" w:rsidP="009C2868">
      <w:pPr>
        <w:pStyle w:val="ListBullet"/>
      </w:pPr>
      <w:r>
        <w:t>t</w:t>
      </w:r>
      <w:r w:rsidR="009C2868">
        <w:t>he owners, rather than professional managers, manage the business</w:t>
      </w:r>
    </w:p>
    <w:p w:rsidR="009C2868" w:rsidRDefault="009C2868" w:rsidP="009C2868">
      <w:pPr>
        <w:pStyle w:val="ListBullet"/>
      </w:pPr>
      <w:r>
        <w:t>most have rudimentary management structures, with few specialised management functions</w:t>
      </w:r>
    </w:p>
    <w:p w:rsidR="009C2868" w:rsidRDefault="009C2868" w:rsidP="009C2868">
      <w:pPr>
        <w:pStyle w:val="ListBullet"/>
      </w:pPr>
      <w:r>
        <w:t>most operate in only one location and sell to nearby customers</w:t>
      </w:r>
      <w:r w:rsidR="0068765A">
        <w:t xml:space="preserve"> (although this is changing </w:t>
      </w:r>
      <w:r w:rsidR="0026204C">
        <w:t>with</w:t>
      </w:r>
      <w:r w:rsidR="0068765A">
        <w:t xml:space="preserve"> the rise of online </w:t>
      </w:r>
      <w:r w:rsidR="001D4A01">
        <w:t>service provision and shopping</w:t>
      </w:r>
      <w:r w:rsidR="0068765A">
        <w:t>)</w:t>
      </w:r>
    </w:p>
    <w:p w:rsidR="004E70E0" w:rsidRDefault="009C2868" w:rsidP="00E41E15">
      <w:pPr>
        <w:pStyle w:val="ListBullet"/>
      </w:pPr>
      <w:r>
        <w:t>they tend to have limited market power.</w:t>
      </w:r>
    </w:p>
    <w:p w:rsidR="00610B99" w:rsidRDefault="004633B5" w:rsidP="00610B99">
      <w:pPr>
        <w:pStyle w:val="BodyText"/>
      </w:pPr>
      <w:r>
        <w:t>Using the ABS definition of small business, t</w:t>
      </w:r>
      <w:r w:rsidR="002E5182">
        <w:t xml:space="preserve">he vast majority of Australian businesses are small. They comprise nearly 96 per cent of private businesses (table 1). </w:t>
      </w:r>
      <w:r w:rsidR="00610B99">
        <w:t>In 2010-11, small businesses:</w:t>
      </w:r>
    </w:p>
    <w:p w:rsidR="00610B99" w:rsidRDefault="00610B99" w:rsidP="00610B99">
      <w:pPr>
        <w:pStyle w:val="ListBullet"/>
      </w:pPr>
      <w:r>
        <w:t>produced around one-third of GDP</w:t>
      </w:r>
    </w:p>
    <w:p w:rsidR="00610B99" w:rsidRDefault="00610B99" w:rsidP="00610B99">
      <w:pPr>
        <w:pStyle w:val="ListBullet"/>
      </w:pPr>
      <w:r>
        <w:t>accounted for 46 per cent of employment</w:t>
      </w:r>
    </w:p>
    <w:p w:rsidR="00610B99" w:rsidRDefault="00F67AE5" w:rsidP="00610B99">
      <w:pPr>
        <w:pStyle w:val="ListBullet"/>
      </w:pPr>
      <w:r>
        <w:t xml:space="preserve">accounted for 30 </w:t>
      </w:r>
      <w:r w:rsidR="00610B99">
        <w:t>per cent of total wages and salaries</w:t>
      </w:r>
    </w:p>
    <w:p w:rsidR="0014630C" w:rsidRDefault="000F324B" w:rsidP="00610B99">
      <w:pPr>
        <w:pStyle w:val="ListBullet"/>
      </w:pPr>
      <w:r>
        <w:t>operated</w:t>
      </w:r>
      <w:r w:rsidR="000F506B">
        <w:t xml:space="preserve"> </w:t>
      </w:r>
      <w:r w:rsidR="0014630C">
        <w:t xml:space="preserve">predominantly in construction; professional, scientific and technical services; rental, hiring and real estate services; or in </w:t>
      </w:r>
      <w:r w:rsidR="00BF3718">
        <w:t>aquaculture, fruit growing, mixed grain and sheep farming</w:t>
      </w:r>
      <w:r w:rsidR="0014630C">
        <w:t xml:space="preserve"> (ABS </w:t>
      </w:r>
      <w:proofErr w:type="spellStart"/>
      <w:r w:rsidR="0014630C">
        <w:t>2012a</w:t>
      </w:r>
      <w:proofErr w:type="spellEnd"/>
      <w:r w:rsidR="0014630C">
        <w:t>)</w:t>
      </w:r>
    </w:p>
    <w:p w:rsidR="002E5182" w:rsidRDefault="00610B99" w:rsidP="00610B99">
      <w:pPr>
        <w:pStyle w:val="ListBullet"/>
      </w:pPr>
      <w:r>
        <w:t>primarily produced non-traded goods and services, with about 14 per cent of small firms engaging in exporting, compared to 48 per cent of other businesses (ABS 20</w:t>
      </w:r>
      <w:r w:rsidR="0014630C">
        <w:t xml:space="preserve">12b, 2012c). </w:t>
      </w:r>
    </w:p>
    <w:p w:rsidR="002E5182" w:rsidRDefault="002E5182" w:rsidP="002E5182">
      <w:pPr>
        <w:pStyle w:val="TableTitle"/>
      </w:pPr>
      <w:r>
        <w:rPr>
          <w:b w:val="0"/>
        </w:rPr>
        <w:lastRenderedPageBreak/>
        <w:t xml:space="preserve">Table </w:t>
      </w:r>
      <w:r w:rsidR="00C615CB">
        <w:rPr>
          <w:b w:val="0"/>
          <w:noProof/>
        </w:rPr>
        <w:t>1</w:t>
      </w:r>
      <w:r>
        <w:tab/>
        <w:t>Businesses in Australia</w:t>
      </w:r>
    </w:p>
    <w:p w:rsidR="002E5182" w:rsidRDefault="002E5182" w:rsidP="002E5182">
      <w:pPr>
        <w:pStyle w:val="Subtitle"/>
      </w:pPr>
      <w:r>
        <w:t>June 2011</w:t>
      </w:r>
    </w:p>
    <w:tbl>
      <w:tblPr>
        <w:tblW w:w="5000" w:type="pct"/>
        <w:tblCellMar>
          <w:left w:w="0" w:type="dxa"/>
          <w:right w:w="0" w:type="dxa"/>
        </w:tblCellMar>
        <w:tblLook w:val="0000" w:firstRow="0" w:lastRow="0" w:firstColumn="0" w:lastColumn="0" w:noHBand="0" w:noVBand="0"/>
      </w:tblPr>
      <w:tblGrid>
        <w:gridCol w:w="1020"/>
        <w:gridCol w:w="1134"/>
        <w:gridCol w:w="1276"/>
        <w:gridCol w:w="1134"/>
        <w:gridCol w:w="1559"/>
        <w:gridCol w:w="1413"/>
        <w:gridCol w:w="1253"/>
      </w:tblGrid>
      <w:tr w:rsidR="002E5182" w:rsidTr="002E2902">
        <w:trPr>
          <w:trHeight w:val="308"/>
        </w:trPr>
        <w:tc>
          <w:tcPr>
            <w:tcW w:w="580" w:type="pct"/>
            <w:vMerge w:val="restart"/>
            <w:tcBorders>
              <w:top w:val="single" w:sz="6" w:space="0" w:color="auto"/>
            </w:tcBorders>
            <w:shd w:val="clear" w:color="auto" w:fill="auto"/>
          </w:tcPr>
          <w:p w:rsidR="002E5182" w:rsidRDefault="002E5182" w:rsidP="007D0A95">
            <w:pPr>
              <w:pStyle w:val="TableColumnHeading"/>
              <w:jc w:val="left"/>
            </w:pPr>
          </w:p>
        </w:tc>
        <w:tc>
          <w:tcPr>
            <w:tcW w:w="645" w:type="pct"/>
            <w:vMerge w:val="restart"/>
            <w:tcBorders>
              <w:top w:val="single" w:sz="6" w:space="0" w:color="auto"/>
            </w:tcBorders>
            <w:shd w:val="clear" w:color="auto" w:fill="auto"/>
          </w:tcPr>
          <w:p w:rsidR="002E5182" w:rsidRDefault="002E5182" w:rsidP="007D0A95">
            <w:pPr>
              <w:pStyle w:val="TableColumnHeading"/>
            </w:pPr>
            <w:r>
              <w:t>Number of employees</w:t>
            </w:r>
          </w:p>
        </w:tc>
        <w:tc>
          <w:tcPr>
            <w:tcW w:w="1371" w:type="pct"/>
            <w:gridSpan w:val="2"/>
            <w:tcBorders>
              <w:top w:val="single" w:sz="6" w:space="0" w:color="auto"/>
              <w:bottom w:val="single" w:sz="6" w:space="0" w:color="auto"/>
            </w:tcBorders>
            <w:shd w:val="clear" w:color="auto" w:fill="auto"/>
          </w:tcPr>
          <w:p w:rsidR="002E5182" w:rsidRDefault="002E5182" w:rsidP="002E2902">
            <w:pPr>
              <w:pStyle w:val="TableColumnHeading"/>
              <w:jc w:val="center"/>
            </w:pPr>
            <w:r>
              <w:t>Number of businesses</w:t>
            </w:r>
          </w:p>
        </w:tc>
        <w:tc>
          <w:tcPr>
            <w:tcW w:w="887" w:type="pct"/>
            <w:vMerge w:val="restart"/>
            <w:tcBorders>
              <w:top w:val="single" w:sz="6" w:space="0" w:color="auto"/>
            </w:tcBorders>
            <w:shd w:val="clear" w:color="auto" w:fill="auto"/>
          </w:tcPr>
          <w:p w:rsidR="002E5182" w:rsidRDefault="002E5182" w:rsidP="007D0A95">
            <w:pPr>
              <w:pStyle w:val="TableColumnHeading"/>
            </w:pPr>
            <w:r>
              <w:t>Employment</w:t>
            </w:r>
          </w:p>
          <w:p w:rsidR="002E5182" w:rsidRPr="00AF34E8" w:rsidRDefault="002E5182" w:rsidP="007D0A95">
            <w:pPr>
              <w:pStyle w:val="TableColumnHeading"/>
              <w:rPr>
                <w:rStyle w:val="NoteLabel"/>
              </w:rPr>
            </w:pPr>
            <w:r>
              <w:t>Per cent of total</w:t>
            </w:r>
            <w:r w:rsidRPr="00AF34E8">
              <w:rPr>
                <w:rStyle w:val="NoteLabel"/>
                <w:i w:val="0"/>
              </w:rPr>
              <w:t>a</w:t>
            </w:r>
          </w:p>
        </w:tc>
        <w:tc>
          <w:tcPr>
            <w:tcW w:w="1517" w:type="pct"/>
            <w:gridSpan w:val="2"/>
            <w:tcBorders>
              <w:top w:val="single" w:sz="6" w:space="0" w:color="auto"/>
              <w:bottom w:val="single" w:sz="4" w:space="0" w:color="auto"/>
            </w:tcBorders>
            <w:shd w:val="clear" w:color="auto" w:fill="auto"/>
          </w:tcPr>
          <w:p w:rsidR="002E5182" w:rsidRDefault="002E5182" w:rsidP="002E2902">
            <w:pPr>
              <w:pStyle w:val="TableColumnHeading"/>
              <w:ind w:right="28"/>
              <w:jc w:val="center"/>
            </w:pPr>
            <w:r>
              <w:t>Value added</w:t>
            </w:r>
          </w:p>
        </w:tc>
      </w:tr>
      <w:tr w:rsidR="002E5182" w:rsidTr="002E2902">
        <w:trPr>
          <w:trHeight w:val="307"/>
        </w:trPr>
        <w:tc>
          <w:tcPr>
            <w:tcW w:w="580" w:type="pct"/>
            <w:vMerge/>
            <w:tcBorders>
              <w:bottom w:val="single" w:sz="6" w:space="0" w:color="auto"/>
            </w:tcBorders>
            <w:shd w:val="clear" w:color="auto" w:fill="auto"/>
          </w:tcPr>
          <w:p w:rsidR="002E5182" w:rsidRDefault="002E5182" w:rsidP="007D0A95">
            <w:pPr>
              <w:pStyle w:val="TableColumnHeading"/>
              <w:jc w:val="left"/>
            </w:pPr>
          </w:p>
        </w:tc>
        <w:tc>
          <w:tcPr>
            <w:tcW w:w="645" w:type="pct"/>
            <w:vMerge/>
            <w:tcBorders>
              <w:bottom w:val="single" w:sz="6" w:space="0" w:color="auto"/>
            </w:tcBorders>
            <w:shd w:val="clear" w:color="auto" w:fill="auto"/>
          </w:tcPr>
          <w:p w:rsidR="002E5182" w:rsidRDefault="002E5182" w:rsidP="007D0A95">
            <w:pPr>
              <w:pStyle w:val="TableColumnHeading"/>
            </w:pPr>
          </w:p>
        </w:tc>
        <w:tc>
          <w:tcPr>
            <w:tcW w:w="726" w:type="pct"/>
            <w:tcBorders>
              <w:top w:val="single" w:sz="6" w:space="0" w:color="auto"/>
              <w:bottom w:val="single" w:sz="6" w:space="0" w:color="auto"/>
            </w:tcBorders>
            <w:shd w:val="clear" w:color="auto" w:fill="auto"/>
          </w:tcPr>
          <w:p w:rsidR="002E5182" w:rsidRDefault="002E5182" w:rsidP="007D0A95">
            <w:pPr>
              <w:pStyle w:val="TableColumnHeading"/>
            </w:pPr>
            <w:r>
              <w:t>‘000</w:t>
            </w:r>
          </w:p>
        </w:tc>
        <w:tc>
          <w:tcPr>
            <w:tcW w:w="645" w:type="pct"/>
            <w:tcBorders>
              <w:bottom w:val="single" w:sz="6" w:space="0" w:color="auto"/>
            </w:tcBorders>
            <w:shd w:val="clear" w:color="auto" w:fill="auto"/>
          </w:tcPr>
          <w:p w:rsidR="002E5182" w:rsidRDefault="002E5182" w:rsidP="007D0A95">
            <w:pPr>
              <w:pStyle w:val="TableColumnHeading"/>
            </w:pPr>
            <w:r>
              <w:t>Per cent of total</w:t>
            </w:r>
          </w:p>
        </w:tc>
        <w:tc>
          <w:tcPr>
            <w:tcW w:w="887" w:type="pct"/>
            <w:vMerge/>
            <w:tcBorders>
              <w:bottom w:val="single" w:sz="6" w:space="0" w:color="auto"/>
            </w:tcBorders>
            <w:shd w:val="clear" w:color="auto" w:fill="auto"/>
          </w:tcPr>
          <w:p w:rsidR="002E5182" w:rsidRDefault="002E5182" w:rsidP="007D0A95">
            <w:pPr>
              <w:pStyle w:val="TableColumnHeading"/>
            </w:pPr>
          </w:p>
        </w:tc>
        <w:tc>
          <w:tcPr>
            <w:tcW w:w="804" w:type="pct"/>
            <w:tcBorders>
              <w:top w:val="single" w:sz="4" w:space="0" w:color="auto"/>
              <w:bottom w:val="single" w:sz="6" w:space="0" w:color="auto"/>
            </w:tcBorders>
            <w:shd w:val="clear" w:color="auto" w:fill="auto"/>
          </w:tcPr>
          <w:p w:rsidR="002E5182" w:rsidRPr="00AF34E8" w:rsidRDefault="002E5182" w:rsidP="007D0A95">
            <w:pPr>
              <w:pStyle w:val="TableColumnHeading"/>
              <w:rPr>
                <w:rStyle w:val="NoteLabel"/>
                <w:i w:val="0"/>
              </w:rPr>
            </w:pPr>
            <w:r>
              <w:t>$ billion</w:t>
            </w:r>
            <w:r>
              <w:rPr>
                <w:rStyle w:val="NoteLabel"/>
                <w:i w:val="0"/>
              </w:rPr>
              <w:t>a</w:t>
            </w:r>
          </w:p>
        </w:tc>
        <w:tc>
          <w:tcPr>
            <w:tcW w:w="713" w:type="pct"/>
            <w:tcBorders>
              <w:top w:val="single" w:sz="4" w:space="0" w:color="auto"/>
              <w:bottom w:val="single" w:sz="6" w:space="0" w:color="auto"/>
            </w:tcBorders>
            <w:shd w:val="clear" w:color="auto" w:fill="auto"/>
          </w:tcPr>
          <w:p w:rsidR="002E5182" w:rsidRPr="00AF34E8" w:rsidRDefault="002E5182" w:rsidP="007D0A95">
            <w:pPr>
              <w:pStyle w:val="TableColumnHeading"/>
              <w:ind w:right="28"/>
              <w:rPr>
                <w:rStyle w:val="NoteLabel"/>
              </w:rPr>
            </w:pPr>
            <w:r>
              <w:t>Per cent of total</w:t>
            </w:r>
            <w:r w:rsidRPr="00AF34E8">
              <w:rPr>
                <w:rStyle w:val="NoteLabel"/>
                <w:i w:val="0"/>
              </w:rPr>
              <w:t>a</w:t>
            </w:r>
          </w:p>
        </w:tc>
      </w:tr>
      <w:tr w:rsidR="002E5182" w:rsidTr="002E2902">
        <w:tc>
          <w:tcPr>
            <w:tcW w:w="580" w:type="pct"/>
            <w:tcBorders>
              <w:top w:val="single" w:sz="6" w:space="0" w:color="auto"/>
            </w:tcBorders>
          </w:tcPr>
          <w:p w:rsidR="002E5182" w:rsidRDefault="002E5182" w:rsidP="007D0A95">
            <w:pPr>
              <w:pStyle w:val="TableUnitsRow"/>
              <w:jc w:val="left"/>
            </w:pPr>
            <w:r>
              <w:t>Small</w:t>
            </w:r>
          </w:p>
        </w:tc>
        <w:tc>
          <w:tcPr>
            <w:tcW w:w="645" w:type="pct"/>
            <w:tcBorders>
              <w:top w:val="single" w:sz="6" w:space="0" w:color="auto"/>
            </w:tcBorders>
          </w:tcPr>
          <w:p w:rsidR="002E5182" w:rsidRDefault="002E5182" w:rsidP="002E2902">
            <w:pPr>
              <w:pStyle w:val="TableUnitsRow"/>
              <w:ind w:right="222"/>
            </w:pPr>
            <w:r>
              <w:t>0-19</w:t>
            </w:r>
          </w:p>
        </w:tc>
        <w:tc>
          <w:tcPr>
            <w:tcW w:w="726" w:type="pct"/>
            <w:tcBorders>
              <w:top w:val="single" w:sz="6" w:space="0" w:color="auto"/>
            </w:tcBorders>
          </w:tcPr>
          <w:p w:rsidR="002E5182" w:rsidRDefault="002E5182" w:rsidP="007D0A95">
            <w:pPr>
              <w:pStyle w:val="TableUnitsRow"/>
            </w:pPr>
            <w:r>
              <w:t>2046</w:t>
            </w:r>
          </w:p>
        </w:tc>
        <w:tc>
          <w:tcPr>
            <w:tcW w:w="645" w:type="pct"/>
            <w:tcBorders>
              <w:top w:val="single" w:sz="6" w:space="0" w:color="auto"/>
            </w:tcBorders>
          </w:tcPr>
          <w:p w:rsidR="002E5182" w:rsidRDefault="002E2902" w:rsidP="002E2902">
            <w:pPr>
              <w:pStyle w:val="TableUnitsRow"/>
              <w:tabs>
                <w:tab w:val="left" w:pos="1139"/>
              </w:tabs>
              <w:ind w:right="167"/>
            </w:pPr>
            <w:r>
              <w:t>96</w:t>
            </w:r>
          </w:p>
        </w:tc>
        <w:tc>
          <w:tcPr>
            <w:tcW w:w="887" w:type="pct"/>
            <w:tcBorders>
              <w:top w:val="single" w:sz="6" w:space="0" w:color="auto"/>
            </w:tcBorders>
          </w:tcPr>
          <w:p w:rsidR="002E5182" w:rsidRDefault="002E2902" w:rsidP="007D0A95">
            <w:pPr>
              <w:pStyle w:val="TableUnitsRow"/>
            </w:pPr>
            <w:r>
              <w:t>46</w:t>
            </w:r>
          </w:p>
        </w:tc>
        <w:tc>
          <w:tcPr>
            <w:tcW w:w="804" w:type="pct"/>
            <w:tcBorders>
              <w:top w:val="single" w:sz="6" w:space="0" w:color="auto"/>
            </w:tcBorders>
          </w:tcPr>
          <w:p w:rsidR="002E5182" w:rsidRDefault="002E5182" w:rsidP="002E2902">
            <w:pPr>
              <w:pStyle w:val="TableUnitsRow"/>
            </w:pPr>
            <w:r>
              <w:t>31</w:t>
            </w:r>
            <w:r w:rsidR="002E2902">
              <w:t>3</w:t>
            </w:r>
          </w:p>
        </w:tc>
        <w:tc>
          <w:tcPr>
            <w:tcW w:w="713" w:type="pct"/>
            <w:tcBorders>
              <w:top w:val="single" w:sz="6" w:space="0" w:color="auto"/>
            </w:tcBorders>
          </w:tcPr>
          <w:p w:rsidR="002E5182" w:rsidRDefault="002E2902" w:rsidP="007D0A95">
            <w:pPr>
              <w:pStyle w:val="TableUnitsRow"/>
              <w:ind w:right="28"/>
            </w:pPr>
            <w:r>
              <w:t>34</w:t>
            </w:r>
          </w:p>
        </w:tc>
      </w:tr>
      <w:tr w:rsidR="002E5182" w:rsidTr="002E2902">
        <w:tc>
          <w:tcPr>
            <w:tcW w:w="580" w:type="pct"/>
          </w:tcPr>
          <w:p w:rsidR="002E5182" w:rsidRPr="00E05E95" w:rsidRDefault="002E5182" w:rsidP="007D0A95">
            <w:pPr>
              <w:pStyle w:val="TableBodyText"/>
              <w:jc w:val="left"/>
              <w:rPr>
                <w:i/>
              </w:rPr>
            </w:pPr>
            <w:r w:rsidRPr="00E05E95">
              <w:rPr>
                <w:i/>
              </w:rPr>
              <w:t>of which:</w:t>
            </w:r>
          </w:p>
        </w:tc>
        <w:tc>
          <w:tcPr>
            <w:tcW w:w="645" w:type="pct"/>
          </w:tcPr>
          <w:p w:rsidR="002E5182" w:rsidRDefault="002E5182" w:rsidP="002E2902">
            <w:pPr>
              <w:pStyle w:val="TableBodyText"/>
              <w:ind w:right="222"/>
            </w:pPr>
            <w:r>
              <w:t>0</w:t>
            </w:r>
          </w:p>
        </w:tc>
        <w:tc>
          <w:tcPr>
            <w:tcW w:w="726" w:type="pct"/>
          </w:tcPr>
          <w:p w:rsidR="002E5182" w:rsidRDefault="002E5182" w:rsidP="007D0A95">
            <w:pPr>
              <w:pStyle w:val="TableBodyText"/>
            </w:pPr>
            <w:r>
              <w:t>1306</w:t>
            </w:r>
          </w:p>
        </w:tc>
        <w:tc>
          <w:tcPr>
            <w:tcW w:w="645" w:type="pct"/>
          </w:tcPr>
          <w:p w:rsidR="002E5182" w:rsidRDefault="002E5182" w:rsidP="002E2902">
            <w:pPr>
              <w:pStyle w:val="TableBodyText"/>
              <w:tabs>
                <w:tab w:val="left" w:pos="1139"/>
              </w:tabs>
              <w:ind w:right="167"/>
            </w:pPr>
            <w:r>
              <w:t>61</w:t>
            </w:r>
          </w:p>
        </w:tc>
        <w:tc>
          <w:tcPr>
            <w:tcW w:w="887" w:type="pct"/>
          </w:tcPr>
          <w:p w:rsidR="002E5182" w:rsidRDefault="002E5182" w:rsidP="007D0A95">
            <w:pPr>
              <w:pStyle w:val="TableBodyText"/>
            </w:pPr>
          </w:p>
        </w:tc>
        <w:tc>
          <w:tcPr>
            <w:tcW w:w="804" w:type="pct"/>
          </w:tcPr>
          <w:p w:rsidR="002E5182" w:rsidRDefault="002E5182" w:rsidP="007D0A95">
            <w:pPr>
              <w:pStyle w:val="TableBodyText"/>
            </w:pPr>
          </w:p>
        </w:tc>
        <w:tc>
          <w:tcPr>
            <w:tcW w:w="713" w:type="pct"/>
          </w:tcPr>
          <w:p w:rsidR="002E5182" w:rsidRDefault="002E5182" w:rsidP="007D0A95">
            <w:pPr>
              <w:pStyle w:val="TableBodyText"/>
              <w:ind w:right="28"/>
            </w:pPr>
          </w:p>
        </w:tc>
      </w:tr>
      <w:tr w:rsidR="002E5182" w:rsidTr="002E2902">
        <w:tc>
          <w:tcPr>
            <w:tcW w:w="580" w:type="pct"/>
            <w:shd w:val="clear" w:color="auto" w:fill="auto"/>
          </w:tcPr>
          <w:p w:rsidR="002E5182" w:rsidRDefault="002E5182" w:rsidP="007D0A95">
            <w:pPr>
              <w:pStyle w:val="TableBodyText"/>
              <w:jc w:val="left"/>
            </w:pPr>
          </w:p>
        </w:tc>
        <w:tc>
          <w:tcPr>
            <w:tcW w:w="645" w:type="pct"/>
            <w:shd w:val="clear" w:color="auto" w:fill="auto"/>
          </w:tcPr>
          <w:p w:rsidR="002E5182" w:rsidRDefault="002E5182" w:rsidP="002E2902">
            <w:pPr>
              <w:pStyle w:val="TableBodyText"/>
              <w:ind w:right="222"/>
            </w:pPr>
            <w:r>
              <w:t>1-4</w:t>
            </w:r>
          </w:p>
        </w:tc>
        <w:tc>
          <w:tcPr>
            <w:tcW w:w="726" w:type="pct"/>
            <w:shd w:val="clear" w:color="auto" w:fill="auto"/>
          </w:tcPr>
          <w:p w:rsidR="002E5182" w:rsidRDefault="002E5182" w:rsidP="007D0A95">
            <w:pPr>
              <w:pStyle w:val="TableBodyText"/>
            </w:pPr>
            <w:r>
              <w:t>509</w:t>
            </w:r>
          </w:p>
        </w:tc>
        <w:tc>
          <w:tcPr>
            <w:tcW w:w="645" w:type="pct"/>
            <w:shd w:val="clear" w:color="auto" w:fill="auto"/>
          </w:tcPr>
          <w:p w:rsidR="002E5182" w:rsidRDefault="002E2902" w:rsidP="002E2902">
            <w:pPr>
              <w:pStyle w:val="TableBodyText"/>
              <w:tabs>
                <w:tab w:val="left" w:pos="1139"/>
              </w:tabs>
              <w:ind w:right="167"/>
            </w:pPr>
            <w:r>
              <w:t>24</w:t>
            </w:r>
          </w:p>
        </w:tc>
        <w:tc>
          <w:tcPr>
            <w:tcW w:w="887" w:type="pct"/>
            <w:shd w:val="clear" w:color="auto" w:fill="auto"/>
          </w:tcPr>
          <w:p w:rsidR="002E5182" w:rsidRDefault="002E5182" w:rsidP="007D0A95">
            <w:pPr>
              <w:pStyle w:val="TableBodyText"/>
            </w:pPr>
          </w:p>
        </w:tc>
        <w:tc>
          <w:tcPr>
            <w:tcW w:w="804" w:type="pct"/>
            <w:shd w:val="clear" w:color="auto" w:fill="auto"/>
          </w:tcPr>
          <w:p w:rsidR="002E5182" w:rsidRDefault="002E5182" w:rsidP="007D0A95">
            <w:pPr>
              <w:pStyle w:val="TableBodyText"/>
            </w:pPr>
          </w:p>
        </w:tc>
        <w:tc>
          <w:tcPr>
            <w:tcW w:w="713" w:type="pct"/>
            <w:shd w:val="clear" w:color="auto" w:fill="auto"/>
          </w:tcPr>
          <w:p w:rsidR="002E5182" w:rsidRDefault="002E5182" w:rsidP="007D0A95">
            <w:pPr>
              <w:pStyle w:val="TableBodyText"/>
              <w:ind w:right="28"/>
            </w:pPr>
          </w:p>
        </w:tc>
      </w:tr>
      <w:tr w:rsidR="002E5182" w:rsidTr="002E2902">
        <w:tc>
          <w:tcPr>
            <w:tcW w:w="580" w:type="pct"/>
            <w:shd w:val="clear" w:color="auto" w:fill="auto"/>
          </w:tcPr>
          <w:p w:rsidR="002E5182" w:rsidRDefault="002E5182" w:rsidP="007D0A95">
            <w:pPr>
              <w:pStyle w:val="TableBodyText"/>
              <w:jc w:val="left"/>
            </w:pPr>
          </w:p>
        </w:tc>
        <w:tc>
          <w:tcPr>
            <w:tcW w:w="645" w:type="pct"/>
            <w:shd w:val="clear" w:color="auto" w:fill="auto"/>
          </w:tcPr>
          <w:p w:rsidR="002E5182" w:rsidRDefault="002E5182" w:rsidP="002E2902">
            <w:pPr>
              <w:pStyle w:val="TableBodyText"/>
              <w:ind w:right="222"/>
            </w:pPr>
            <w:r>
              <w:t>5-19</w:t>
            </w:r>
          </w:p>
        </w:tc>
        <w:tc>
          <w:tcPr>
            <w:tcW w:w="726" w:type="pct"/>
            <w:shd w:val="clear" w:color="auto" w:fill="auto"/>
          </w:tcPr>
          <w:p w:rsidR="002E5182" w:rsidRDefault="002E5182" w:rsidP="007D0A95">
            <w:pPr>
              <w:pStyle w:val="TableBodyText"/>
            </w:pPr>
            <w:r>
              <w:t>231</w:t>
            </w:r>
          </w:p>
        </w:tc>
        <w:tc>
          <w:tcPr>
            <w:tcW w:w="645" w:type="pct"/>
            <w:shd w:val="clear" w:color="auto" w:fill="auto"/>
          </w:tcPr>
          <w:p w:rsidR="002E5182" w:rsidRDefault="002E2902" w:rsidP="002E2902">
            <w:pPr>
              <w:pStyle w:val="TableBodyText"/>
              <w:tabs>
                <w:tab w:val="left" w:pos="1139"/>
              </w:tabs>
              <w:ind w:right="167"/>
            </w:pPr>
            <w:r>
              <w:t>11</w:t>
            </w:r>
          </w:p>
        </w:tc>
        <w:tc>
          <w:tcPr>
            <w:tcW w:w="887" w:type="pct"/>
            <w:shd w:val="clear" w:color="auto" w:fill="auto"/>
          </w:tcPr>
          <w:p w:rsidR="002E5182" w:rsidRDefault="002E5182" w:rsidP="007D0A95">
            <w:pPr>
              <w:pStyle w:val="TableBodyText"/>
            </w:pPr>
          </w:p>
        </w:tc>
        <w:tc>
          <w:tcPr>
            <w:tcW w:w="804" w:type="pct"/>
            <w:shd w:val="clear" w:color="auto" w:fill="auto"/>
          </w:tcPr>
          <w:p w:rsidR="002E5182" w:rsidRDefault="002E5182" w:rsidP="007D0A95">
            <w:pPr>
              <w:pStyle w:val="TableBodyText"/>
            </w:pPr>
          </w:p>
        </w:tc>
        <w:tc>
          <w:tcPr>
            <w:tcW w:w="713" w:type="pct"/>
            <w:shd w:val="clear" w:color="auto" w:fill="auto"/>
          </w:tcPr>
          <w:p w:rsidR="002E5182" w:rsidRDefault="002E5182" w:rsidP="007D0A95">
            <w:pPr>
              <w:pStyle w:val="TableBodyText"/>
              <w:ind w:right="28"/>
            </w:pPr>
          </w:p>
        </w:tc>
      </w:tr>
      <w:tr w:rsidR="002E5182" w:rsidTr="002E2902">
        <w:tc>
          <w:tcPr>
            <w:tcW w:w="580" w:type="pct"/>
            <w:shd w:val="clear" w:color="auto" w:fill="auto"/>
          </w:tcPr>
          <w:p w:rsidR="002E5182" w:rsidRDefault="002E5182" w:rsidP="007D0A95">
            <w:pPr>
              <w:pStyle w:val="TableBodyText"/>
              <w:jc w:val="left"/>
            </w:pPr>
            <w:r>
              <w:t>Medium</w:t>
            </w:r>
          </w:p>
        </w:tc>
        <w:tc>
          <w:tcPr>
            <w:tcW w:w="645" w:type="pct"/>
            <w:shd w:val="clear" w:color="auto" w:fill="auto"/>
          </w:tcPr>
          <w:p w:rsidR="002E5182" w:rsidRDefault="002E5182" w:rsidP="002E2902">
            <w:pPr>
              <w:pStyle w:val="TableBodyText"/>
              <w:ind w:right="222"/>
            </w:pPr>
            <w:r>
              <w:t>20-199</w:t>
            </w:r>
          </w:p>
        </w:tc>
        <w:tc>
          <w:tcPr>
            <w:tcW w:w="726" w:type="pct"/>
            <w:shd w:val="clear" w:color="auto" w:fill="auto"/>
          </w:tcPr>
          <w:p w:rsidR="002E5182" w:rsidRDefault="002E5182" w:rsidP="007D0A95">
            <w:pPr>
              <w:pStyle w:val="TableBodyText"/>
            </w:pPr>
            <w:r>
              <w:t>81</w:t>
            </w:r>
          </w:p>
        </w:tc>
        <w:tc>
          <w:tcPr>
            <w:tcW w:w="645" w:type="pct"/>
            <w:shd w:val="clear" w:color="auto" w:fill="auto"/>
          </w:tcPr>
          <w:p w:rsidR="002E5182" w:rsidRDefault="002E2902" w:rsidP="002E2902">
            <w:pPr>
              <w:pStyle w:val="TableBodyText"/>
              <w:tabs>
                <w:tab w:val="left" w:pos="1139"/>
              </w:tabs>
              <w:ind w:right="167"/>
            </w:pPr>
            <w:r>
              <w:t>4</w:t>
            </w:r>
          </w:p>
        </w:tc>
        <w:tc>
          <w:tcPr>
            <w:tcW w:w="887" w:type="pct"/>
            <w:shd w:val="clear" w:color="auto" w:fill="auto"/>
          </w:tcPr>
          <w:p w:rsidR="002E5182" w:rsidRDefault="002E5182" w:rsidP="002E2902">
            <w:pPr>
              <w:pStyle w:val="TableBodyText"/>
            </w:pPr>
            <w:r>
              <w:t>24</w:t>
            </w:r>
          </w:p>
        </w:tc>
        <w:tc>
          <w:tcPr>
            <w:tcW w:w="804" w:type="pct"/>
            <w:shd w:val="clear" w:color="auto" w:fill="auto"/>
          </w:tcPr>
          <w:p w:rsidR="002E5182" w:rsidRDefault="002E5182" w:rsidP="002E2902">
            <w:pPr>
              <w:pStyle w:val="TableBodyText"/>
            </w:pPr>
            <w:r>
              <w:t>217</w:t>
            </w:r>
          </w:p>
        </w:tc>
        <w:tc>
          <w:tcPr>
            <w:tcW w:w="713" w:type="pct"/>
            <w:shd w:val="clear" w:color="auto" w:fill="auto"/>
          </w:tcPr>
          <w:p w:rsidR="002E5182" w:rsidRDefault="002E5182" w:rsidP="002E2902">
            <w:pPr>
              <w:pStyle w:val="TableBodyText"/>
              <w:ind w:right="28"/>
            </w:pPr>
            <w:r>
              <w:t>23</w:t>
            </w:r>
          </w:p>
        </w:tc>
      </w:tr>
      <w:tr w:rsidR="002E5182" w:rsidTr="002E2902">
        <w:tc>
          <w:tcPr>
            <w:tcW w:w="580" w:type="pct"/>
            <w:shd w:val="clear" w:color="auto" w:fill="auto"/>
          </w:tcPr>
          <w:p w:rsidR="002E5182" w:rsidRDefault="002E5182" w:rsidP="007D0A95">
            <w:pPr>
              <w:pStyle w:val="TableBodyText"/>
              <w:jc w:val="left"/>
            </w:pPr>
            <w:r>
              <w:t>Large</w:t>
            </w:r>
          </w:p>
        </w:tc>
        <w:tc>
          <w:tcPr>
            <w:tcW w:w="645" w:type="pct"/>
            <w:shd w:val="clear" w:color="auto" w:fill="auto"/>
          </w:tcPr>
          <w:p w:rsidR="002E5182" w:rsidRDefault="002E5182" w:rsidP="007D0A95">
            <w:pPr>
              <w:pStyle w:val="TableBodyText"/>
            </w:pPr>
            <w:r>
              <w:t>200+</w:t>
            </w:r>
          </w:p>
        </w:tc>
        <w:tc>
          <w:tcPr>
            <w:tcW w:w="726" w:type="pct"/>
            <w:shd w:val="clear" w:color="auto" w:fill="auto"/>
          </w:tcPr>
          <w:p w:rsidR="002E5182" w:rsidRDefault="002E5182" w:rsidP="007D0A95">
            <w:pPr>
              <w:pStyle w:val="TableBodyText"/>
            </w:pPr>
            <w:r>
              <w:t>6</w:t>
            </w:r>
          </w:p>
        </w:tc>
        <w:tc>
          <w:tcPr>
            <w:tcW w:w="645" w:type="pct"/>
            <w:shd w:val="clear" w:color="auto" w:fill="auto"/>
          </w:tcPr>
          <w:p w:rsidR="002E5182" w:rsidRDefault="002E2902" w:rsidP="002E2902">
            <w:pPr>
              <w:pStyle w:val="TableBodyText"/>
              <w:tabs>
                <w:tab w:val="left" w:pos="1139"/>
              </w:tabs>
              <w:ind w:right="124"/>
            </w:pPr>
            <w:r>
              <w:t>0*</w:t>
            </w:r>
          </w:p>
        </w:tc>
        <w:tc>
          <w:tcPr>
            <w:tcW w:w="887" w:type="pct"/>
            <w:shd w:val="clear" w:color="auto" w:fill="auto"/>
          </w:tcPr>
          <w:p w:rsidR="002E5182" w:rsidRDefault="002E2902" w:rsidP="007D0A95">
            <w:pPr>
              <w:pStyle w:val="TableBodyText"/>
            </w:pPr>
            <w:r>
              <w:t>30</w:t>
            </w:r>
          </w:p>
        </w:tc>
        <w:tc>
          <w:tcPr>
            <w:tcW w:w="804" w:type="pct"/>
            <w:shd w:val="clear" w:color="auto" w:fill="auto"/>
          </w:tcPr>
          <w:p w:rsidR="002E5182" w:rsidRDefault="002E5182" w:rsidP="002E2902">
            <w:pPr>
              <w:pStyle w:val="TableBodyText"/>
            </w:pPr>
            <w:r>
              <w:t>39</w:t>
            </w:r>
            <w:r w:rsidR="002E2902">
              <w:t>9</w:t>
            </w:r>
          </w:p>
        </w:tc>
        <w:tc>
          <w:tcPr>
            <w:tcW w:w="713" w:type="pct"/>
            <w:shd w:val="clear" w:color="auto" w:fill="auto"/>
          </w:tcPr>
          <w:p w:rsidR="002E5182" w:rsidRDefault="002E2902" w:rsidP="007D0A95">
            <w:pPr>
              <w:pStyle w:val="TableBodyText"/>
              <w:ind w:right="28"/>
            </w:pPr>
            <w:r>
              <w:t>43</w:t>
            </w:r>
          </w:p>
        </w:tc>
      </w:tr>
      <w:tr w:rsidR="002E5182" w:rsidTr="002E2902">
        <w:tc>
          <w:tcPr>
            <w:tcW w:w="580" w:type="pct"/>
            <w:tcBorders>
              <w:bottom w:val="single" w:sz="4" w:space="0" w:color="auto"/>
            </w:tcBorders>
            <w:shd w:val="clear" w:color="auto" w:fill="auto"/>
          </w:tcPr>
          <w:p w:rsidR="002E5182" w:rsidRPr="003C63DE" w:rsidRDefault="002E5182" w:rsidP="007D0A95">
            <w:pPr>
              <w:pStyle w:val="TableBodyText"/>
              <w:jc w:val="left"/>
              <w:rPr>
                <w:b/>
              </w:rPr>
            </w:pPr>
            <w:r w:rsidRPr="003C63DE">
              <w:rPr>
                <w:b/>
              </w:rPr>
              <w:t>Total</w:t>
            </w:r>
          </w:p>
        </w:tc>
        <w:tc>
          <w:tcPr>
            <w:tcW w:w="645" w:type="pct"/>
            <w:tcBorders>
              <w:bottom w:val="single" w:sz="4" w:space="0" w:color="auto"/>
            </w:tcBorders>
            <w:shd w:val="clear" w:color="auto" w:fill="auto"/>
          </w:tcPr>
          <w:p w:rsidR="002E5182" w:rsidRDefault="002E5182" w:rsidP="007D0A95">
            <w:pPr>
              <w:pStyle w:val="TableBodyText"/>
            </w:pPr>
          </w:p>
        </w:tc>
        <w:tc>
          <w:tcPr>
            <w:tcW w:w="726" w:type="pct"/>
            <w:tcBorders>
              <w:bottom w:val="single" w:sz="4" w:space="0" w:color="auto"/>
            </w:tcBorders>
            <w:shd w:val="clear" w:color="auto" w:fill="auto"/>
          </w:tcPr>
          <w:p w:rsidR="002E5182" w:rsidRDefault="002E5182" w:rsidP="007D0A95">
            <w:pPr>
              <w:pStyle w:val="TableBodyText"/>
            </w:pPr>
            <w:r>
              <w:t>2133</w:t>
            </w:r>
          </w:p>
        </w:tc>
        <w:tc>
          <w:tcPr>
            <w:tcW w:w="645" w:type="pct"/>
            <w:tcBorders>
              <w:bottom w:val="single" w:sz="4" w:space="0" w:color="auto"/>
            </w:tcBorders>
            <w:shd w:val="clear" w:color="auto" w:fill="auto"/>
          </w:tcPr>
          <w:p w:rsidR="002E5182" w:rsidRDefault="002E5182" w:rsidP="002E2902">
            <w:pPr>
              <w:pStyle w:val="TableBodyText"/>
              <w:tabs>
                <w:tab w:val="left" w:pos="1139"/>
              </w:tabs>
              <w:ind w:right="167"/>
            </w:pPr>
            <w:r>
              <w:t>100</w:t>
            </w:r>
          </w:p>
        </w:tc>
        <w:tc>
          <w:tcPr>
            <w:tcW w:w="887" w:type="pct"/>
            <w:tcBorders>
              <w:bottom w:val="single" w:sz="4" w:space="0" w:color="auto"/>
            </w:tcBorders>
            <w:shd w:val="clear" w:color="auto" w:fill="auto"/>
          </w:tcPr>
          <w:p w:rsidR="002E5182" w:rsidRDefault="002E5182" w:rsidP="007D0A95">
            <w:pPr>
              <w:pStyle w:val="TableBodyText"/>
            </w:pPr>
            <w:r>
              <w:t>100</w:t>
            </w:r>
          </w:p>
        </w:tc>
        <w:tc>
          <w:tcPr>
            <w:tcW w:w="804" w:type="pct"/>
            <w:tcBorders>
              <w:bottom w:val="single" w:sz="4" w:space="0" w:color="auto"/>
            </w:tcBorders>
            <w:shd w:val="clear" w:color="auto" w:fill="auto"/>
          </w:tcPr>
          <w:p w:rsidR="002E5182" w:rsidRDefault="002E2902" w:rsidP="007D0A95">
            <w:pPr>
              <w:pStyle w:val="TableBodyText"/>
            </w:pPr>
            <w:r>
              <w:t>929</w:t>
            </w:r>
          </w:p>
        </w:tc>
        <w:tc>
          <w:tcPr>
            <w:tcW w:w="713" w:type="pct"/>
            <w:tcBorders>
              <w:bottom w:val="single" w:sz="4" w:space="0" w:color="auto"/>
            </w:tcBorders>
            <w:shd w:val="clear" w:color="auto" w:fill="auto"/>
          </w:tcPr>
          <w:p w:rsidR="002E5182" w:rsidRDefault="002E5182" w:rsidP="007D0A95">
            <w:pPr>
              <w:pStyle w:val="TableBodyText"/>
              <w:ind w:right="28"/>
            </w:pPr>
            <w:r>
              <w:t>100</w:t>
            </w:r>
          </w:p>
        </w:tc>
      </w:tr>
    </w:tbl>
    <w:p w:rsidR="002E5182" w:rsidRDefault="002E5182" w:rsidP="002E5182">
      <w:pPr>
        <w:pStyle w:val="Note"/>
      </w:pPr>
      <w:r w:rsidRPr="00CE35A0">
        <w:rPr>
          <w:rStyle w:val="NoteLabel"/>
        </w:rPr>
        <w:t>a</w:t>
      </w:r>
      <w:r>
        <w:t xml:space="preserve"> Excludes financial and insurance services.</w:t>
      </w:r>
      <w:r w:rsidR="006A3207">
        <w:t xml:space="preserve"> </w:t>
      </w:r>
      <w:r w:rsidR="002E2902">
        <w:t>*</w:t>
      </w:r>
      <w:r w:rsidR="001D597E">
        <w:t xml:space="preserve"> R</w:t>
      </w:r>
      <w:r w:rsidR="002E2902">
        <w:t>ounded to zero.</w:t>
      </w:r>
    </w:p>
    <w:p w:rsidR="002E5182" w:rsidRPr="00CE35A0" w:rsidRDefault="002E5182" w:rsidP="002E5182">
      <w:pPr>
        <w:pStyle w:val="Source"/>
      </w:pPr>
      <w:r>
        <w:rPr>
          <w:i/>
        </w:rPr>
        <w:t>Source</w:t>
      </w:r>
      <w:r>
        <w:t>: ABS (2012a, 2012b).</w:t>
      </w:r>
    </w:p>
    <w:p w:rsidR="00610B99" w:rsidRDefault="00610B99" w:rsidP="00610B99">
      <w:pPr>
        <w:pStyle w:val="BodyText"/>
      </w:pPr>
      <w:r>
        <w:t>The small business share of total employment has been increasing since the 1980s. This reflects broader structural changes, such as growth in the services sector where smaller businesses predominate and the growth of contracting out by larger firms.</w:t>
      </w:r>
    </w:p>
    <w:p w:rsidR="00736A61" w:rsidRDefault="00D81480" w:rsidP="00A04B60">
      <w:pPr>
        <w:pStyle w:val="BodyText"/>
      </w:pPr>
      <w:r>
        <w:t>T</w:t>
      </w:r>
      <w:r w:rsidR="007F2611">
        <w:t xml:space="preserve">here is no consistently used </w:t>
      </w:r>
      <w:r w:rsidR="00F675D5">
        <w:t xml:space="preserve">small business </w:t>
      </w:r>
      <w:r w:rsidR="007F2611">
        <w:t>definition</w:t>
      </w:r>
      <w:r w:rsidR="00736A61">
        <w:t xml:space="preserve"> in Australia</w:t>
      </w:r>
      <w:r w:rsidR="007F2611">
        <w:t xml:space="preserve">. </w:t>
      </w:r>
      <w:r w:rsidR="0014630C">
        <w:t>Rather,</w:t>
      </w:r>
      <w:r w:rsidR="00B63399">
        <w:t xml:space="preserve"> small business definitions </w:t>
      </w:r>
      <w:r w:rsidR="0014630C">
        <w:t xml:space="preserve">used to determine regulatory applicability and compliance tend to be </w:t>
      </w:r>
      <w:r w:rsidR="007F2611">
        <w:t xml:space="preserve">based on </w:t>
      </w:r>
      <w:r w:rsidR="00736A61">
        <w:t xml:space="preserve">either </w:t>
      </w:r>
      <w:r w:rsidR="007F2611">
        <w:t>the number of employees</w:t>
      </w:r>
      <w:r w:rsidR="00736A61">
        <w:t xml:space="preserve"> or annual revenue (table </w:t>
      </w:r>
      <w:r w:rsidR="002E5182">
        <w:t>2</w:t>
      </w:r>
      <w:r w:rsidR="00736A61">
        <w:t>).</w:t>
      </w:r>
      <w:r w:rsidR="00247921">
        <w:t xml:space="preserve"> </w:t>
      </w:r>
    </w:p>
    <w:p w:rsidR="00610B99" w:rsidRDefault="00610B99" w:rsidP="00610B99">
      <w:pPr>
        <w:pStyle w:val="BodyText"/>
      </w:pPr>
      <w:r>
        <w:t xml:space="preserve">Recently, the Parliamentary Joint Committee on Corporations and Financial Services (PJCCFS), in its inquiry into access </w:t>
      </w:r>
      <w:r w:rsidR="004633B5">
        <w:t xml:space="preserve">to finance </w:t>
      </w:r>
      <w:r>
        <w:t>for small and medium business, recommended that the Australian Government assess the value of developing uniform definitions of ‘micro’, ‘small’ and ‘medium’ businesses for data collection, analysis and policy development by state and federal government agencies. The Committee was of the view that consistent definitions would assist the analysis of the small business sector and promote more informed policy making by governments (PJCCFS 2012).</w:t>
      </w:r>
      <w:r w:rsidR="00DB5DF8">
        <w:t xml:space="preserve"> The terms of reference for this study similarly suggests that the Commission </w:t>
      </w:r>
      <w:r w:rsidR="00507D69">
        <w:t xml:space="preserve">may </w:t>
      </w:r>
      <w:r w:rsidR="00DB5DF8">
        <w:t>consider the merits of broader adoption of a single definition (that of the ABS) for small business.</w:t>
      </w:r>
    </w:p>
    <w:p w:rsidR="000F324B" w:rsidRDefault="000F324B" w:rsidP="000F324B">
      <w:pPr>
        <w:pStyle w:val="BodyText"/>
        <w:rPr>
          <w:b/>
          <w:i/>
        </w:rPr>
      </w:pPr>
      <w:r>
        <w:rPr>
          <w:b/>
          <w:i/>
        </w:rPr>
        <w:t xml:space="preserve">What, if any, regulatory </w:t>
      </w:r>
      <w:r w:rsidRPr="007E2FA3">
        <w:rPr>
          <w:b/>
          <w:i/>
        </w:rPr>
        <w:t xml:space="preserve">problems </w:t>
      </w:r>
      <w:r>
        <w:rPr>
          <w:b/>
          <w:i/>
        </w:rPr>
        <w:t>arise from</w:t>
      </w:r>
      <w:r w:rsidRPr="007E2FA3">
        <w:rPr>
          <w:b/>
          <w:i/>
        </w:rPr>
        <w:t xml:space="preserve"> the absence of a </w:t>
      </w:r>
      <w:r>
        <w:rPr>
          <w:b/>
          <w:i/>
        </w:rPr>
        <w:t>consistent definition of</w:t>
      </w:r>
      <w:r w:rsidRPr="007E2FA3">
        <w:rPr>
          <w:b/>
          <w:i/>
        </w:rPr>
        <w:t xml:space="preserve"> small business?</w:t>
      </w:r>
    </w:p>
    <w:p w:rsidR="000F324B" w:rsidRDefault="000F324B" w:rsidP="000F324B">
      <w:pPr>
        <w:pStyle w:val="BodyText"/>
        <w:rPr>
          <w:b/>
          <w:i/>
        </w:rPr>
      </w:pPr>
      <w:r>
        <w:rPr>
          <w:b/>
          <w:i/>
        </w:rPr>
        <w:t>If a single definition of small business was considered appropriate, what factors would need to be taken into account in its development?</w:t>
      </w:r>
      <w:r w:rsidR="009A0361">
        <w:rPr>
          <w:b/>
          <w:i/>
        </w:rPr>
        <w:t xml:space="preserve"> If such a definition is appropriate, should it be based on a measure of firm size or the organisational characteristics of the business?</w:t>
      </w:r>
    </w:p>
    <w:p w:rsidR="000F324B" w:rsidRDefault="000F324B" w:rsidP="000F324B">
      <w:pPr>
        <w:pStyle w:val="BodyText"/>
        <w:rPr>
          <w:b/>
          <w:i/>
        </w:rPr>
      </w:pPr>
      <w:r>
        <w:rPr>
          <w:b/>
          <w:i/>
        </w:rPr>
        <w:lastRenderedPageBreak/>
        <w:t xml:space="preserve">Are there any benefits from having definitions of small business that are specific to particular </w:t>
      </w:r>
      <w:r w:rsidR="009A0361">
        <w:rPr>
          <w:b/>
          <w:i/>
        </w:rPr>
        <w:t xml:space="preserve">regulatory </w:t>
      </w:r>
      <w:r>
        <w:rPr>
          <w:b/>
          <w:i/>
        </w:rPr>
        <w:t>purposes?</w:t>
      </w:r>
    </w:p>
    <w:p w:rsidR="005C4B33" w:rsidRDefault="005C4B33" w:rsidP="007C7C7B">
      <w:pPr>
        <w:pStyle w:val="TableTitle"/>
      </w:pPr>
      <w:r>
        <w:rPr>
          <w:b w:val="0"/>
        </w:rPr>
        <w:t xml:space="preserve">Table </w:t>
      </w:r>
      <w:r w:rsidR="00C615CB">
        <w:rPr>
          <w:b w:val="0"/>
          <w:noProof/>
        </w:rPr>
        <w:t>2</w:t>
      </w:r>
      <w:r>
        <w:tab/>
        <w:t>Example</w:t>
      </w:r>
      <w:r w:rsidR="007C7C7B">
        <w:t>s of small business definitions</w:t>
      </w:r>
      <w:r w:rsidR="009A0361">
        <w:t xml:space="preserve"> used by Commonwealth agencies</w:t>
      </w:r>
    </w:p>
    <w:tbl>
      <w:tblPr>
        <w:tblW w:w="5000" w:type="pct"/>
        <w:tblCellMar>
          <w:left w:w="0" w:type="dxa"/>
          <w:right w:w="0" w:type="dxa"/>
        </w:tblCellMar>
        <w:tblLook w:val="0000" w:firstRow="0" w:lastRow="0" w:firstColumn="0" w:lastColumn="0" w:noHBand="0" w:noVBand="0"/>
      </w:tblPr>
      <w:tblGrid>
        <w:gridCol w:w="1843"/>
        <w:gridCol w:w="1560"/>
        <w:gridCol w:w="3192"/>
        <w:gridCol w:w="2194"/>
      </w:tblGrid>
      <w:tr w:rsidR="005C4B33" w:rsidTr="00A95BA3">
        <w:tc>
          <w:tcPr>
            <w:tcW w:w="1048" w:type="pct"/>
            <w:tcBorders>
              <w:top w:val="single" w:sz="6" w:space="0" w:color="auto"/>
              <w:bottom w:val="single" w:sz="6" w:space="0" w:color="auto"/>
            </w:tcBorders>
            <w:shd w:val="clear" w:color="auto" w:fill="auto"/>
          </w:tcPr>
          <w:p w:rsidR="005C4B33" w:rsidRDefault="005C4B33" w:rsidP="005C4B33">
            <w:pPr>
              <w:pStyle w:val="TableColumnHeading"/>
              <w:jc w:val="left"/>
            </w:pPr>
            <w:r>
              <w:t>Metric</w:t>
            </w:r>
          </w:p>
        </w:tc>
        <w:tc>
          <w:tcPr>
            <w:tcW w:w="887" w:type="pct"/>
            <w:tcBorders>
              <w:top w:val="single" w:sz="6" w:space="0" w:color="auto"/>
              <w:bottom w:val="single" w:sz="6" w:space="0" w:color="auto"/>
            </w:tcBorders>
            <w:shd w:val="clear" w:color="auto" w:fill="auto"/>
          </w:tcPr>
          <w:p w:rsidR="005C4B33" w:rsidRDefault="005C4B33" w:rsidP="005C4B33">
            <w:pPr>
              <w:pStyle w:val="TableColumnHeading"/>
            </w:pPr>
            <w:r>
              <w:t>Threshold</w:t>
            </w:r>
          </w:p>
        </w:tc>
        <w:tc>
          <w:tcPr>
            <w:tcW w:w="1816" w:type="pct"/>
            <w:tcBorders>
              <w:top w:val="single" w:sz="6" w:space="0" w:color="auto"/>
              <w:bottom w:val="single" w:sz="6" w:space="0" w:color="auto"/>
            </w:tcBorders>
            <w:shd w:val="clear" w:color="auto" w:fill="auto"/>
          </w:tcPr>
          <w:p w:rsidR="005C4B33" w:rsidRDefault="009B443B" w:rsidP="005C4B33">
            <w:pPr>
              <w:pStyle w:val="TableColumnHeading"/>
              <w:ind w:right="28"/>
            </w:pPr>
            <w:r>
              <w:t>Institution/legislation</w:t>
            </w:r>
          </w:p>
        </w:tc>
        <w:tc>
          <w:tcPr>
            <w:tcW w:w="1248" w:type="pct"/>
            <w:tcBorders>
              <w:top w:val="single" w:sz="6" w:space="0" w:color="auto"/>
              <w:bottom w:val="single" w:sz="6" w:space="0" w:color="auto"/>
            </w:tcBorders>
          </w:tcPr>
          <w:p w:rsidR="005C4B33" w:rsidRDefault="005C4B33" w:rsidP="005C4B33">
            <w:pPr>
              <w:pStyle w:val="TableColumnHeading"/>
              <w:ind w:right="28"/>
            </w:pPr>
            <w:r>
              <w:t>Purpose</w:t>
            </w:r>
          </w:p>
        </w:tc>
      </w:tr>
      <w:tr w:rsidR="005C4B33" w:rsidTr="00A95BA3">
        <w:tc>
          <w:tcPr>
            <w:tcW w:w="1048" w:type="pct"/>
            <w:tcBorders>
              <w:top w:val="single" w:sz="6" w:space="0" w:color="auto"/>
            </w:tcBorders>
          </w:tcPr>
          <w:p w:rsidR="005C4B33" w:rsidRDefault="005C4B33" w:rsidP="005C4B33">
            <w:pPr>
              <w:pStyle w:val="TableUnitsRow"/>
              <w:jc w:val="left"/>
            </w:pPr>
            <w:r>
              <w:t>Employees</w:t>
            </w:r>
          </w:p>
        </w:tc>
        <w:tc>
          <w:tcPr>
            <w:tcW w:w="887" w:type="pct"/>
            <w:tcBorders>
              <w:top w:val="single" w:sz="6" w:space="0" w:color="auto"/>
            </w:tcBorders>
          </w:tcPr>
          <w:p w:rsidR="005C4B33" w:rsidRDefault="005C4B33" w:rsidP="00B22094">
            <w:pPr>
              <w:pStyle w:val="TableBodyText"/>
            </w:pPr>
            <w:r>
              <w:t>&lt;15</w:t>
            </w:r>
          </w:p>
        </w:tc>
        <w:tc>
          <w:tcPr>
            <w:tcW w:w="1816" w:type="pct"/>
            <w:tcBorders>
              <w:top w:val="single" w:sz="6" w:space="0" w:color="auto"/>
            </w:tcBorders>
          </w:tcPr>
          <w:p w:rsidR="005C4B33" w:rsidRDefault="007C7C7B" w:rsidP="005C4B33">
            <w:pPr>
              <w:pStyle w:val="TableUnitsRow"/>
              <w:ind w:right="28"/>
            </w:pPr>
            <w:r>
              <w:t>Fair Work Australia</w:t>
            </w:r>
          </w:p>
        </w:tc>
        <w:tc>
          <w:tcPr>
            <w:tcW w:w="1248" w:type="pct"/>
            <w:tcBorders>
              <w:top w:val="single" w:sz="6" w:space="0" w:color="auto"/>
            </w:tcBorders>
          </w:tcPr>
          <w:p w:rsidR="005C4B33" w:rsidRDefault="007C7C7B" w:rsidP="005C4B33">
            <w:pPr>
              <w:pStyle w:val="TableUnitsRow"/>
              <w:ind w:right="28"/>
            </w:pPr>
            <w:r>
              <w:t>Unfair dismissal laws</w:t>
            </w:r>
          </w:p>
        </w:tc>
      </w:tr>
      <w:tr w:rsidR="005C4B33" w:rsidTr="00A95BA3">
        <w:tc>
          <w:tcPr>
            <w:tcW w:w="1048" w:type="pct"/>
          </w:tcPr>
          <w:p w:rsidR="005C4B33" w:rsidRDefault="005C4B33" w:rsidP="005C4B33">
            <w:pPr>
              <w:pStyle w:val="TableBodyText"/>
              <w:jc w:val="left"/>
            </w:pPr>
          </w:p>
        </w:tc>
        <w:tc>
          <w:tcPr>
            <w:tcW w:w="887" w:type="pct"/>
          </w:tcPr>
          <w:p w:rsidR="005C4B33" w:rsidRDefault="005C4B33" w:rsidP="00B22094">
            <w:pPr>
              <w:pStyle w:val="TableBodyText"/>
            </w:pPr>
            <w:r>
              <w:t>&lt;20</w:t>
            </w:r>
          </w:p>
        </w:tc>
        <w:tc>
          <w:tcPr>
            <w:tcW w:w="1816" w:type="pct"/>
          </w:tcPr>
          <w:p w:rsidR="005C4B33" w:rsidRDefault="005C4B33" w:rsidP="005C4B33">
            <w:pPr>
              <w:pStyle w:val="TableBodyText"/>
              <w:ind w:right="28"/>
            </w:pPr>
            <w:r>
              <w:t>Australian Bureau of Statistics</w:t>
            </w:r>
          </w:p>
        </w:tc>
        <w:tc>
          <w:tcPr>
            <w:tcW w:w="1248" w:type="pct"/>
          </w:tcPr>
          <w:p w:rsidR="005C4B33" w:rsidRDefault="007C7C7B" w:rsidP="005C4B33">
            <w:pPr>
              <w:pStyle w:val="TableBodyText"/>
              <w:ind w:right="28"/>
            </w:pPr>
            <w:r>
              <w:t xml:space="preserve">Business surveys </w:t>
            </w:r>
          </w:p>
        </w:tc>
      </w:tr>
      <w:tr w:rsidR="005C4B33" w:rsidTr="00A95BA3">
        <w:tc>
          <w:tcPr>
            <w:tcW w:w="1048" w:type="pct"/>
            <w:shd w:val="clear" w:color="auto" w:fill="auto"/>
          </w:tcPr>
          <w:p w:rsidR="005C4B33" w:rsidRDefault="005C4B33" w:rsidP="005C4B33">
            <w:pPr>
              <w:pStyle w:val="TableBodyText"/>
              <w:jc w:val="left"/>
            </w:pPr>
          </w:p>
        </w:tc>
        <w:tc>
          <w:tcPr>
            <w:tcW w:w="887" w:type="pct"/>
            <w:shd w:val="clear" w:color="auto" w:fill="auto"/>
          </w:tcPr>
          <w:p w:rsidR="005C4B33" w:rsidRDefault="007C7C7B" w:rsidP="00B22094">
            <w:pPr>
              <w:pStyle w:val="TableBodyText"/>
            </w:pPr>
            <w:r>
              <w:t>&lt;20</w:t>
            </w:r>
          </w:p>
        </w:tc>
        <w:tc>
          <w:tcPr>
            <w:tcW w:w="1816" w:type="pct"/>
            <w:shd w:val="clear" w:color="auto" w:fill="auto"/>
          </w:tcPr>
          <w:p w:rsidR="005C4B33" w:rsidRDefault="005C4B33" w:rsidP="005C4B33">
            <w:pPr>
              <w:pStyle w:val="TableBodyText"/>
              <w:ind w:right="28"/>
            </w:pPr>
            <w:r>
              <w:t>Reserve Bank of Australia</w:t>
            </w:r>
          </w:p>
        </w:tc>
        <w:tc>
          <w:tcPr>
            <w:tcW w:w="1248" w:type="pct"/>
          </w:tcPr>
          <w:p w:rsidR="005C4B33" w:rsidRDefault="007C7C7B" w:rsidP="005C4B33">
            <w:pPr>
              <w:pStyle w:val="TableBodyText"/>
              <w:ind w:right="28"/>
            </w:pPr>
            <w:r>
              <w:t>Business liaison</w:t>
            </w:r>
          </w:p>
        </w:tc>
      </w:tr>
      <w:tr w:rsidR="005C4B33" w:rsidTr="00A95BA3">
        <w:tc>
          <w:tcPr>
            <w:tcW w:w="1048" w:type="pct"/>
            <w:shd w:val="clear" w:color="auto" w:fill="auto"/>
          </w:tcPr>
          <w:p w:rsidR="005C4B33" w:rsidRDefault="005C4B33" w:rsidP="005C4B33">
            <w:pPr>
              <w:pStyle w:val="TableBodyText"/>
              <w:jc w:val="left"/>
            </w:pPr>
          </w:p>
        </w:tc>
        <w:tc>
          <w:tcPr>
            <w:tcW w:w="887" w:type="pct"/>
            <w:shd w:val="clear" w:color="auto" w:fill="auto"/>
          </w:tcPr>
          <w:p w:rsidR="005C4B33" w:rsidRDefault="007C7C7B" w:rsidP="00B22094">
            <w:pPr>
              <w:pStyle w:val="TableBodyText"/>
              <w:ind w:right="0"/>
            </w:pPr>
            <w:r>
              <w:t>&lt;50</w:t>
            </w:r>
            <w:r w:rsidR="009C2868" w:rsidRPr="00B22094">
              <w:rPr>
                <w:rStyle w:val="NoteLabel"/>
              </w:rPr>
              <w:t>a</w:t>
            </w:r>
          </w:p>
        </w:tc>
        <w:tc>
          <w:tcPr>
            <w:tcW w:w="1816" w:type="pct"/>
            <w:shd w:val="clear" w:color="auto" w:fill="auto"/>
          </w:tcPr>
          <w:p w:rsidR="005C4B33" w:rsidRDefault="005C4B33" w:rsidP="005C4B33">
            <w:pPr>
              <w:pStyle w:val="TableBodyText"/>
              <w:ind w:right="28"/>
            </w:pPr>
            <w:r>
              <w:t>Australian Security and Investments Commission</w:t>
            </w:r>
          </w:p>
        </w:tc>
        <w:tc>
          <w:tcPr>
            <w:tcW w:w="1248" w:type="pct"/>
          </w:tcPr>
          <w:p w:rsidR="005C4B33" w:rsidRDefault="007C7C7B" w:rsidP="005C4B33">
            <w:pPr>
              <w:pStyle w:val="TableBodyText"/>
              <w:ind w:right="28"/>
            </w:pPr>
            <w:r>
              <w:t>Annual financial reports</w:t>
            </w:r>
          </w:p>
        </w:tc>
      </w:tr>
      <w:tr w:rsidR="00B63399" w:rsidTr="00A95BA3">
        <w:tc>
          <w:tcPr>
            <w:tcW w:w="1048" w:type="pct"/>
            <w:shd w:val="clear" w:color="auto" w:fill="auto"/>
          </w:tcPr>
          <w:p w:rsidR="00B63399" w:rsidRDefault="00B63399" w:rsidP="005C4B33">
            <w:pPr>
              <w:pStyle w:val="TableBodyText"/>
              <w:jc w:val="left"/>
            </w:pPr>
          </w:p>
        </w:tc>
        <w:tc>
          <w:tcPr>
            <w:tcW w:w="887" w:type="pct"/>
            <w:shd w:val="clear" w:color="auto" w:fill="auto"/>
          </w:tcPr>
          <w:p w:rsidR="00B63399" w:rsidRDefault="00B63399" w:rsidP="00B22094">
            <w:pPr>
              <w:pStyle w:val="TableBodyText"/>
            </w:pPr>
            <w:r>
              <w:t>&lt;100</w:t>
            </w:r>
          </w:p>
        </w:tc>
        <w:tc>
          <w:tcPr>
            <w:tcW w:w="1816" w:type="pct"/>
            <w:shd w:val="clear" w:color="auto" w:fill="auto"/>
          </w:tcPr>
          <w:p w:rsidR="00B63399" w:rsidRPr="003C63DE" w:rsidRDefault="00B63399" w:rsidP="009A0361">
            <w:pPr>
              <w:pStyle w:val="TableBodyText"/>
              <w:ind w:right="28"/>
              <w:rPr>
                <w:i/>
              </w:rPr>
            </w:pPr>
            <w:r w:rsidRPr="003C63DE">
              <w:rPr>
                <w:i/>
              </w:rPr>
              <w:t>Workplace</w:t>
            </w:r>
            <w:r w:rsidR="009A0361">
              <w:rPr>
                <w:i/>
              </w:rPr>
              <w:t xml:space="preserve"> Gender Equality</w:t>
            </w:r>
            <w:r w:rsidRPr="003C63DE">
              <w:rPr>
                <w:i/>
              </w:rPr>
              <w:t xml:space="preserve"> Act </w:t>
            </w:r>
            <w:r w:rsidR="009A0361">
              <w:rPr>
                <w:i/>
              </w:rPr>
              <w:t>2012</w:t>
            </w:r>
          </w:p>
        </w:tc>
        <w:tc>
          <w:tcPr>
            <w:tcW w:w="1248" w:type="pct"/>
          </w:tcPr>
          <w:p w:rsidR="00B63399" w:rsidRDefault="00B63399" w:rsidP="005C4B33">
            <w:pPr>
              <w:pStyle w:val="TableBodyText"/>
              <w:ind w:right="28"/>
            </w:pPr>
            <w:r>
              <w:t>Equal opportunity laws</w:t>
            </w:r>
          </w:p>
        </w:tc>
      </w:tr>
      <w:tr w:rsidR="005C4B33" w:rsidTr="00A95BA3">
        <w:tc>
          <w:tcPr>
            <w:tcW w:w="1048" w:type="pct"/>
            <w:shd w:val="clear" w:color="auto" w:fill="auto"/>
          </w:tcPr>
          <w:p w:rsidR="005C4B33" w:rsidRDefault="007C7C7B" w:rsidP="005C4B33">
            <w:pPr>
              <w:pStyle w:val="TableBodyText"/>
              <w:jc w:val="left"/>
            </w:pPr>
            <w:r>
              <w:t>Legal structure</w:t>
            </w:r>
          </w:p>
        </w:tc>
        <w:tc>
          <w:tcPr>
            <w:tcW w:w="887" w:type="pct"/>
            <w:shd w:val="clear" w:color="auto" w:fill="auto"/>
          </w:tcPr>
          <w:p w:rsidR="005C4B33" w:rsidRDefault="007C7C7B" w:rsidP="005C4B33">
            <w:pPr>
              <w:pStyle w:val="TableBodyText"/>
            </w:pPr>
            <w:r>
              <w:t>Unincorporated</w:t>
            </w:r>
          </w:p>
        </w:tc>
        <w:tc>
          <w:tcPr>
            <w:tcW w:w="1816" w:type="pct"/>
            <w:shd w:val="clear" w:color="auto" w:fill="auto"/>
          </w:tcPr>
          <w:p w:rsidR="005C4B33" w:rsidRDefault="005C4B33" w:rsidP="005C4B33">
            <w:pPr>
              <w:pStyle w:val="TableBodyText"/>
              <w:ind w:right="28"/>
            </w:pPr>
            <w:r>
              <w:t>Reserve Bank of Australia</w:t>
            </w:r>
          </w:p>
        </w:tc>
        <w:tc>
          <w:tcPr>
            <w:tcW w:w="1248" w:type="pct"/>
          </w:tcPr>
          <w:p w:rsidR="005C4B33" w:rsidRDefault="007C7C7B" w:rsidP="005C4B33">
            <w:pPr>
              <w:pStyle w:val="TableBodyText"/>
              <w:ind w:right="28"/>
            </w:pPr>
            <w:r>
              <w:t>Analysis of financing conditions</w:t>
            </w:r>
          </w:p>
        </w:tc>
      </w:tr>
      <w:tr w:rsidR="005C4B33" w:rsidTr="00A95BA3">
        <w:tc>
          <w:tcPr>
            <w:tcW w:w="1048" w:type="pct"/>
            <w:shd w:val="clear" w:color="auto" w:fill="auto"/>
          </w:tcPr>
          <w:p w:rsidR="005C4B33" w:rsidRDefault="007C7C7B" w:rsidP="005C4B33">
            <w:pPr>
              <w:pStyle w:val="TableBodyText"/>
              <w:jc w:val="left"/>
            </w:pPr>
            <w:r>
              <w:t>Revenue</w:t>
            </w:r>
          </w:p>
        </w:tc>
        <w:tc>
          <w:tcPr>
            <w:tcW w:w="887" w:type="pct"/>
            <w:shd w:val="clear" w:color="auto" w:fill="auto"/>
          </w:tcPr>
          <w:p w:rsidR="005C4B33" w:rsidRDefault="007C7C7B" w:rsidP="005C4B33">
            <w:pPr>
              <w:pStyle w:val="TableBodyText"/>
            </w:pPr>
            <w:r>
              <w:t>&lt;$2 million</w:t>
            </w:r>
          </w:p>
        </w:tc>
        <w:tc>
          <w:tcPr>
            <w:tcW w:w="1816" w:type="pct"/>
            <w:shd w:val="clear" w:color="auto" w:fill="auto"/>
          </w:tcPr>
          <w:p w:rsidR="005C4B33" w:rsidRDefault="005C4B33" w:rsidP="005C4B33">
            <w:pPr>
              <w:pStyle w:val="TableBodyText"/>
              <w:ind w:right="28"/>
            </w:pPr>
            <w:r>
              <w:t>Australian Taxation Office</w:t>
            </w:r>
          </w:p>
        </w:tc>
        <w:tc>
          <w:tcPr>
            <w:tcW w:w="1248" w:type="pct"/>
          </w:tcPr>
          <w:p w:rsidR="005C4B33" w:rsidRDefault="007C7C7B" w:rsidP="005C4B33">
            <w:pPr>
              <w:pStyle w:val="TableBodyText"/>
              <w:ind w:right="28"/>
            </w:pPr>
            <w:r>
              <w:t>Taxation</w:t>
            </w:r>
          </w:p>
        </w:tc>
      </w:tr>
      <w:tr w:rsidR="00B63399" w:rsidTr="00A95BA3">
        <w:tc>
          <w:tcPr>
            <w:tcW w:w="1048" w:type="pct"/>
            <w:shd w:val="clear" w:color="auto" w:fill="auto"/>
          </w:tcPr>
          <w:p w:rsidR="00B63399" w:rsidRDefault="00B63399" w:rsidP="007D0A95">
            <w:pPr>
              <w:pStyle w:val="TableBodyText"/>
              <w:jc w:val="left"/>
            </w:pPr>
          </w:p>
        </w:tc>
        <w:tc>
          <w:tcPr>
            <w:tcW w:w="887" w:type="pct"/>
            <w:shd w:val="clear" w:color="auto" w:fill="auto"/>
          </w:tcPr>
          <w:p w:rsidR="00B63399" w:rsidRDefault="00B63399" w:rsidP="007D0A95">
            <w:pPr>
              <w:pStyle w:val="TableBodyText"/>
            </w:pPr>
            <w:r>
              <w:t>&lt;$3 million</w:t>
            </w:r>
          </w:p>
        </w:tc>
        <w:tc>
          <w:tcPr>
            <w:tcW w:w="1816" w:type="pct"/>
            <w:shd w:val="clear" w:color="auto" w:fill="auto"/>
          </w:tcPr>
          <w:p w:rsidR="00B63399" w:rsidRPr="003C63DE" w:rsidRDefault="00B63399" w:rsidP="007D0A95">
            <w:pPr>
              <w:pStyle w:val="TableBodyText"/>
              <w:ind w:right="28"/>
              <w:rPr>
                <w:i/>
              </w:rPr>
            </w:pPr>
            <w:r w:rsidRPr="003C63DE">
              <w:rPr>
                <w:i/>
              </w:rPr>
              <w:t>Privacy Act 1988</w:t>
            </w:r>
          </w:p>
        </w:tc>
        <w:tc>
          <w:tcPr>
            <w:tcW w:w="1248" w:type="pct"/>
          </w:tcPr>
          <w:p w:rsidR="00B63399" w:rsidRDefault="00B63399" w:rsidP="007D0A95">
            <w:pPr>
              <w:pStyle w:val="TableBodyText"/>
              <w:ind w:right="28"/>
            </w:pPr>
            <w:r>
              <w:t>Privacy laws</w:t>
            </w:r>
          </w:p>
        </w:tc>
      </w:tr>
      <w:tr w:rsidR="00B63399" w:rsidTr="00A95BA3">
        <w:tc>
          <w:tcPr>
            <w:tcW w:w="1048" w:type="pct"/>
            <w:shd w:val="clear" w:color="auto" w:fill="auto"/>
          </w:tcPr>
          <w:p w:rsidR="00B63399" w:rsidRDefault="000F324B" w:rsidP="005C4B33">
            <w:pPr>
              <w:pStyle w:val="TableBodyText"/>
              <w:jc w:val="left"/>
            </w:pPr>
            <w:r>
              <w:t>Assets</w:t>
            </w:r>
          </w:p>
        </w:tc>
        <w:tc>
          <w:tcPr>
            <w:tcW w:w="887" w:type="pct"/>
            <w:shd w:val="clear" w:color="auto" w:fill="auto"/>
          </w:tcPr>
          <w:p w:rsidR="00B63399" w:rsidRDefault="00B63399" w:rsidP="005C4B33">
            <w:pPr>
              <w:pStyle w:val="TableBodyText"/>
            </w:pPr>
            <w:r>
              <w:t>&lt;$50 million</w:t>
            </w:r>
          </w:p>
        </w:tc>
        <w:tc>
          <w:tcPr>
            <w:tcW w:w="1816" w:type="pct"/>
            <w:shd w:val="clear" w:color="auto" w:fill="auto"/>
          </w:tcPr>
          <w:p w:rsidR="00B63399" w:rsidRDefault="00B63399" w:rsidP="005C4B33">
            <w:pPr>
              <w:pStyle w:val="TableBodyText"/>
              <w:ind w:right="28"/>
            </w:pPr>
            <w:r>
              <w:t>Australian Prudential Regulation Authority</w:t>
            </w:r>
          </w:p>
        </w:tc>
        <w:tc>
          <w:tcPr>
            <w:tcW w:w="1248" w:type="pct"/>
          </w:tcPr>
          <w:p w:rsidR="00B63399" w:rsidRDefault="00B63399" w:rsidP="005C4B33">
            <w:pPr>
              <w:pStyle w:val="TableBodyText"/>
              <w:ind w:right="28"/>
            </w:pPr>
            <w:r>
              <w:t>Prudential supervision</w:t>
            </w:r>
          </w:p>
        </w:tc>
      </w:tr>
      <w:tr w:rsidR="00B63399" w:rsidTr="00A95BA3">
        <w:tc>
          <w:tcPr>
            <w:tcW w:w="1048" w:type="pct"/>
            <w:shd w:val="clear" w:color="auto" w:fill="auto"/>
          </w:tcPr>
          <w:p w:rsidR="00B63399" w:rsidRDefault="00B63399" w:rsidP="005C4B33">
            <w:pPr>
              <w:pStyle w:val="TableBodyText"/>
              <w:jc w:val="left"/>
            </w:pPr>
            <w:r>
              <w:t>Individual loan size</w:t>
            </w:r>
          </w:p>
        </w:tc>
        <w:tc>
          <w:tcPr>
            <w:tcW w:w="887" w:type="pct"/>
            <w:shd w:val="clear" w:color="auto" w:fill="auto"/>
          </w:tcPr>
          <w:p w:rsidR="00B63399" w:rsidRDefault="00B63399" w:rsidP="005C4B33">
            <w:pPr>
              <w:pStyle w:val="TableBodyText"/>
            </w:pPr>
            <w:r>
              <w:t>&lt;$1 million</w:t>
            </w:r>
          </w:p>
        </w:tc>
        <w:tc>
          <w:tcPr>
            <w:tcW w:w="1816" w:type="pct"/>
            <w:shd w:val="clear" w:color="auto" w:fill="auto"/>
          </w:tcPr>
          <w:p w:rsidR="00B63399" w:rsidRDefault="00B63399" w:rsidP="005C4B33">
            <w:pPr>
              <w:pStyle w:val="TableBodyText"/>
              <w:ind w:right="28"/>
            </w:pPr>
            <w:r>
              <w:t>Australian Prudential Regulation Authority</w:t>
            </w:r>
          </w:p>
        </w:tc>
        <w:tc>
          <w:tcPr>
            <w:tcW w:w="1248" w:type="pct"/>
          </w:tcPr>
          <w:p w:rsidR="00B63399" w:rsidRDefault="00B63399" w:rsidP="005C4B33">
            <w:pPr>
              <w:pStyle w:val="TableBodyText"/>
              <w:ind w:right="28"/>
            </w:pPr>
            <w:r>
              <w:t>Prudential supervision</w:t>
            </w:r>
          </w:p>
        </w:tc>
      </w:tr>
      <w:tr w:rsidR="00B63399" w:rsidTr="00A95BA3">
        <w:tc>
          <w:tcPr>
            <w:tcW w:w="1048" w:type="pct"/>
            <w:tcBorders>
              <w:bottom w:val="single" w:sz="6" w:space="0" w:color="auto"/>
            </w:tcBorders>
            <w:shd w:val="clear" w:color="auto" w:fill="auto"/>
          </w:tcPr>
          <w:p w:rsidR="00B63399" w:rsidRDefault="00B63399" w:rsidP="005C4B33">
            <w:pPr>
              <w:pStyle w:val="TableBodyText"/>
              <w:jc w:val="left"/>
            </w:pPr>
          </w:p>
        </w:tc>
        <w:tc>
          <w:tcPr>
            <w:tcW w:w="887" w:type="pct"/>
            <w:tcBorders>
              <w:bottom w:val="single" w:sz="6" w:space="0" w:color="auto"/>
            </w:tcBorders>
            <w:shd w:val="clear" w:color="auto" w:fill="auto"/>
          </w:tcPr>
          <w:p w:rsidR="00B63399" w:rsidRDefault="00B63399" w:rsidP="005C4B33">
            <w:pPr>
              <w:pStyle w:val="TableBodyText"/>
            </w:pPr>
            <w:r>
              <w:t>&lt;$2 million</w:t>
            </w:r>
          </w:p>
        </w:tc>
        <w:tc>
          <w:tcPr>
            <w:tcW w:w="1816" w:type="pct"/>
            <w:tcBorders>
              <w:bottom w:val="single" w:sz="6" w:space="0" w:color="auto"/>
            </w:tcBorders>
            <w:shd w:val="clear" w:color="auto" w:fill="auto"/>
          </w:tcPr>
          <w:p w:rsidR="00B63399" w:rsidRDefault="00B63399" w:rsidP="005C4B33">
            <w:pPr>
              <w:pStyle w:val="TableBodyText"/>
              <w:ind w:right="28"/>
            </w:pPr>
            <w:r>
              <w:t>Reserve Bank of Australia</w:t>
            </w:r>
          </w:p>
        </w:tc>
        <w:tc>
          <w:tcPr>
            <w:tcW w:w="1248" w:type="pct"/>
            <w:tcBorders>
              <w:bottom w:val="single" w:sz="6" w:space="0" w:color="auto"/>
            </w:tcBorders>
          </w:tcPr>
          <w:p w:rsidR="00B63399" w:rsidRDefault="00B63399" w:rsidP="005C4B33">
            <w:pPr>
              <w:pStyle w:val="TableBodyText"/>
              <w:ind w:right="28"/>
            </w:pPr>
            <w:r>
              <w:t>Analysis of financing conditions</w:t>
            </w:r>
          </w:p>
        </w:tc>
      </w:tr>
    </w:tbl>
    <w:p w:rsidR="005C4B33" w:rsidRDefault="005C4B33" w:rsidP="005C4B33">
      <w:pPr>
        <w:pStyle w:val="Note"/>
      </w:pPr>
      <w:r w:rsidRPr="008E77FE">
        <w:rPr>
          <w:rStyle w:val="NoteLabel"/>
        </w:rPr>
        <w:t>a</w:t>
      </w:r>
      <w:r>
        <w:t xml:space="preserve"> </w:t>
      </w:r>
      <w:r w:rsidR="007C7C7B">
        <w:t>Used in conjunction with thresholds on assets and revenues.</w:t>
      </w:r>
    </w:p>
    <w:p w:rsidR="005C4B33" w:rsidRPr="008E77FE" w:rsidRDefault="005C4B33" w:rsidP="005C4B33">
      <w:pPr>
        <w:pStyle w:val="Source"/>
      </w:pPr>
      <w:r>
        <w:rPr>
          <w:i/>
        </w:rPr>
        <w:t>Source</w:t>
      </w:r>
      <w:r>
        <w:t xml:space="preserve">: </w:t>
      </w:r>
      <w:r w:rsidR="007C7C7B">
        <w:t>RBA</w:t>
      </w:r>
      <w:r>
        <w:t xml:space="preserve"> (</w:t>
      </w:r>
      <w:r w:rsidR="007C7C7B">
        <w:t>2012</w:t>
      </w:r>
      <w:r>
        <w:t>)</w:t>
      </w:r>
      <w:r w:rsidR="009B443B">
        <w:t xml:space="preserve"> and Commonwealth legislation</w:t>
      </w:r>
      <w:r>
        <w:t>.</w:t>
      </w:r>
    </w:p>
    <w:p w:rsidR="007A0977" w:rsidRDefault="00C615CB" w:rsidP="007A0977">
      <w:pPr>
        <w:pStyle w:val="Heading2"/>
      </w:pPr>
      <w:bookmarkStart w:id="8" w:name="_Toc346708111"/>
      <w:r>
        <w:rPr>
          <w:noProof/>
        </w:rPr>
        <w:t>3</w:t>
      </w:r>
      <w:r w:rsidR="007A0977">
        <w:tab/>
        <w:t xml:space="preserve">What </w:t>
      </w:r>
      <w:r w:rsidR="00CB3A63">
        <w:t>key</w:t>
      </w:r>
      <w:r w:rsidR="007D0A95">
        <w:t xml:space="preserve"> characteristics </w:t>
      </w:r>
      <w:r w:rsidR="007A0977">
        <w:t>of regulator</w:t>
      </w:r>
      <w:r w:rsidR="007D0A95">
        <w:t xml:space="preserve">s </w:t>
      </w:r>
      <w:r w:rsidR="00CB3A63">
        <w:t>influence</w:t>
      </w:r>
      <w:r w:rsidR="007D0A95">
        <w:t xml:space="preserve"> their </w:t>
      </w:r>
      <w:r w:rsidR="007A0977">
        <w:t>posture toward small business?</w:t>
      </w:r>
      <w:bookmarkEnd w:id="8"/>
    </w:p>
    <w:p w:rsidR="007A0977" w:rsidRDefault="007A0977" w:rsidP="007A0977">
      <w:pPr>
        <w:pStyle w:val="BodyText"/>
      </w:pPr>
      <w:r>
        <w:t xml:space="preserve">Regulators </w:t>
      </w:r>
      <w:r w:rsidR="009A0361">
        <w:t>have</w:t>
      </w:r>
      <w:r>
        <w:t xml:space="preserve"> diverse institutional and governance arrangements </w:t>
      </w:r>
      <w:r w:rsidR="005E32B3">
        <w:t xml:space="preserve">and differing degrees of flexibility and responsiveness, which can affect the way they </w:t>
      </w:r>
      <w:r>
        <w:t>administer and enforce regulation</w:t>
      </w:r>
      <w:r w:rsidR="005E32B3">
        <w:t xml:space="preserve"> and</w:t>
      </w:r>
      <w:r>
        <w:t xml:space="preserve"> their posture </w:t>
      </w:r>
      <w:r w:rsidR="00CB3A63">
        <w:t>towards small business</w:t>
      </w:r>
      <w:r w:rsidR="009A0361">
        <w:t xml:space="preserve">. Key </w:t>
      </w:r>
      <w:r w:rsidR="007B6636">
        <w:t>characteristics influencing posture</w:t>
      </w:r>
      <w:r w:rsidR="009A0361">
        <w:t xml:space="preserve"> include</w:t>
      </w:r>
      <w:r>
        <w:t>:</w:t>
      </w:r>
    </w:p>
    <w:p w:rsidR="007A0977" w:rsidRDefault="001C68B6" w:rsidP="007A0977">
      <w:pPr>
        <w:pStyle w:val="ListBullet"/>
      </w:pPr>
      <w:r>
        <w:t xml:space="preserve">the </w:t>
      </w:r>
      <w:r w:rsidR="007A0977">
        <w:t>scope of regulation for which the</w:t>
      </w:r>
      <w:r w:rsidR="007B6636">
        <w:t xml:space="preserve"> regulator is</w:t>
      </w:r>
      <w:r w:rsidR="007A0977">
        <w:t xml:space="preserve"> responsible — the extent to which a regulator is a ‘one stop shop’ or one of a number of regulators in a particular field of regulation:</w:t>
      </w:r>
    </w:p>
    <w:p w:rsidR="007A0977" w:rsidRDefault="00985FA9" w:rsidP="007A0977">
      <w:pPr>
        <w:pStyle w:val="ListBullet2"/>
      </w:pPr>
      <w:r>
        <w:t>a single regulator</w:t>
      </w:r>
      <w:r w:rsidR="009B4E0E">
        <w:t>,</w:t>
      </w:r>
      <w:r>
        <w:t xml:space="preserve"> such as </w:t>
      </w:r>
      <w:r w:rsidR="009A0361">
        <w:t>the Civil Aviation Safety Authority</w:t>
      </w:r>
      <w:r w:rsidR="009B4E0E">
        <w:t>,</w:t>
      </w:r>
      <w:r>
        <w:t xml:space="preserve"> is unlikely to require much time developing coordination mechanisms (with other regulators) to alleviate problems of overlap, duplication or inconsistency</w:t>
      </w:r>
    </w:p>
    <w:p w:rsidR="007A0977" w:rsidRDefault="001C68B6" w:rsidP="007A0977">
      <w:pPr>
        <w:pStyle w:val="ListBullet"/>
      </w:pPr>
      <w:r>
        <w:t xml:space="preserve">the </w:t>
      </w:r>
      <w:r w:rsidR="007A0977">
        <w:t xml:space="preserve">extent to which a regulator has responsibility for developing regulation (or policy making) </w:t>
      </w:r>
      <w:r w:rsidR="00DB5DF8">
        <w:t>in addition to</w:t>
      </w:r>
      <w:r w:rsidR="007A0977">
        <w:t xml:space="preserve"> administering and enforcing regulati</w:t>
      </w:r>
      <w:r w:rsidR="00A17C0D">
        <w:t>on</w:t>
      </w:r>
      <w:r w:rsidR="007A0977">
        <w:t>:</w:t>
      </w:r>
    </w:p>
    <w:p w:rsidR="007A0977" w:rsidRDefault="007A0977" w:rsidP="007A0977">
      <w:pPr>
        <w:pStyle w:val="ListBullet2"/>
      </w:pPr>
      <w:r>
        <w:lastRenderedPageBreak/>
        <w:t xml:space="preserve">separation of policy and regulatory responsibilities reduces the risk of </w:t>
      </w:r>
      <w:r w:rsidR="00256006">
        <w:t>regulator</w:t>
      </w:r>
      <w:r w:rsidR="006125F6">
        <w:t>s</w:t>
      </w:r>
      <w:r w:rsidR="00256006">
        <w:t xml:space="preserve"> becoming </w:t>
      </w:r>
      <w:r w:rsidR="006125F6">
        <w:t>‘too close’ to industry (</w:t>
      </w:r>
      <w:r>
        <w:t>‘regulatory capture’</w:t>
      </w:r>
      <w:r w:rsidR="006125F6">
        <w:t>)</w:t>
      </w:r>
      <w:r>
        <w:t xml:space="preserve"> </w:t>
      </w:r>
      <w:r w:rsidR="00256006">
        <w:t xml:space="preserve">and </w:t>
      </w:r>
      <w:r w:rsidR="006125F6">
        <w:t xml:space="preserve">the propensity of regulators to broaden the coverage </w:t>
      </w:r>
      <w:r w:rsidR="005F1DBE">
        <w:t xml:space="preserve">of regulation </w:t>
      </w:r>
      <w:r w:rsidR="006125F6">
        <w:t>over time (</w:t>
      </w:r>
      <w:r w:rsidR="00256006">
        <w:t>‘regulatory creep’</w:t>
      </w:r>
      <w:r w:rsidR="006125F6">
        <w:t xml:space="preserve">) </w:t>
      </w:r>
      <w:r>
        <w:t xml:space="preserve">but it may </w:t>
      </w:r>
      <w:r w:rsidR="00256006">
        <w:t xml:space="preserve">also </w:t>
      </w:r>
      <w:r>
        <w:t>delay a government’s response to regulatory problems</w:t>
      </w:r>
      <w:r w:rsidR="00AE5DA2">
        <w:t xml:space="preserve"> and policy makers may not concern themselves as much about the </w:t>
      </w:r>
      <w:r w:rsidR="009A0361">
        <w:t>implementation</w:t>
      </w:r>
      <w:r w:rsidR="00AE5DA2">
        <w:t xml:space="preserve"> of policy</w:t>
      </w:r>
    </w:p>
    <w:p w:rsidR="00507D69" w:rsidRDefault="00507D69" w:rsidP="00507D69">
      <w:pPr>
        <w:pStyle w:val="ListBullet"/>
      </w:pPr>
      <w:r>
        <w:t>the range of enforcement tools and sanctions at a regulator’s disposal — some regulators have access to a wide range of tools to tailor their responses to breaches of regulation in a proportionate way and adapt to changes in the regulatory environment</w:t>
      </w:r>
    </w:p>
    <w:p w:rsidR="00C14876" w:rsidRDefault="00C14876" w:rsidP="007A0977">
      <w:pPr>
        <w:pStyle w:val="ListBullet"/>
      </w:pPr>
      <w:r>
        <w:t xml:space="preserve">the level of risk aversion exhibited by a regulator — </w:t>
      </w:r>
      <w:r w:rsidR="000F6C44">
        <w:t xml:space="preserve">this is </w:t>
      </w:r>
      <w:r w:rsidR="00DB5DF8">
        <w:t xml:space="preserve">influenced </w:t>
      </w:r>
      <w:r w:rsidR="000F6C44">
        <w:t>by the size and scope of the risks the regulator deals with (</w:t>
      </w:r>
      <w:r w:rsidR="001C68B6">
        <w:t xml:space="preserve">for example, </w:t>
      </w:r>
      <w:r w:rsidR="000F6C44">
        <w:t>whether risks are catastrophic</w:t>
      </w:r>
      <w:r w:rsidR="005F1DBE">
        <w:t xml:space="preserve">, </w:t>
      </w:r>
      <w:r w:rsidR="00F8209E">
        <w:t>such as</w:t>
      </w:r>
      <w:r w:rsidR="005F1DBE">
        <w:t xml:space="preserve"> in aviation safety</w:t>
      </w:r>
      <w:r w:rsidR="000F6C44">
        <w:t xml:space="preserve">) and also whether </w:t>
      </w:r>
      <w:r w:rsidR="0025340A">
        <w:t xml:space="preserve">the regulator perceives </w:t>
      </w:r>
      <w:r w:rsidR="000F6C44">
        <w:t xml:space="preserve">adverse </w:t>
      </w:r>
      <w:r w:rsidR="0025340A">
        <w:t xml:space="preserve">consequences from the occurrence of </w:t>
      </w:r>
      <w:r w:rsidR="000F6C44">
        <w:t>event</w:t>
      </w:r>
      <w:r w:rsidR="0025340A">
        <w:t>s it is seeking to eliminate or mitigate</w:t>
      </w:r>
    </w:p>
    <w:p w:rsidR="001D183B" w:rsidRDefault="00DB5DF8" w:rsidP="001D183B">
      <w:pPr>
        <w:pStyle w:val="ListBullet"/>
      </w:pPr>
      <w:r>
        <w:t>capacity for</w:t>
      </w:r>
      <w:r w:rsidR="001D183B">
        <w:t xml:space="preserve"> discretion — all regulators have discretion, but some regulators </w:t>
      </w:r>
      <w:r>
        <w:t xml:space="preserve">are able to </w:t>
      </w:r>
      <w:r w:rsidR="001D183B">
        <w:t>use more discretion than others:</w:t>
      </w:r>
    </w:p>
    <w:p w:rsidR="001D183B" w:rsidRDefault="001D183B" w:rsidP="001D183B">
      <w:pPr>
        <w:pStyle w:val="ListBullet2"/>
      </w:pPr>
      <w:r>
        <w:t xml:space="preserve">too little use of discretion produces legalistic, </w:t>
      </w:r>
      <w:r w:rsidR="00DA22D0">
        <w:t>overbearing</w:t>
      </w:r>
      <w:r>
        <w:t xml:space="preserve"> behaviour and denies regulators the means to tailor their responses to local or particular circumstances, too much use of discretion creates opportunities for corruption and discrimination and opens regulators to capture by regulated entities (Sparrow 2000</w:t>
      </w:r>
      <w:r w:rsidR="00476543">
        <w:t>)</w:t>
      </w:r>
    </w:p>
    <w:p w:rsidR="007A0977" w:rsidRDefault="001C68B6" w:rsidP="007A0977">
      <w:pPr>
        <w:pStyle w:val="ListBullet"/>
      </w:pPr>
      <w:r>
        <w:t xml:space="preserve">the </w:t>
      </w:r>
      <w:r w:rsidR="007A0977">
        <w:t xml:space="preserve">extent </w:t>
      </w:r>
      <w:r w:rsidR="009B7104">
        <w:t xml:space="preserve">and type </w:t>
      </w:r>
      <w:r w:rsidR="007A0977">
        <w:t xml:space="preserve">of resourcing </w:t>
      </w:r>
      <w:r w:rsidR="007D0A95">
        <w:t>of</w:t>
      </w:r>
      <w:r w:rsidR="007A0977">
        <w:t xml:space="preserve"> a regulator — some regulators are </w:t>
      </w:r>
      <w:r w:rsidR="009B7104">
        <w:t xml:space="preserve">wholly </w:t>
      </w:r>
      <w:r w:rsidR="008A4301">
        <w:t>government</w:t>
      </w:r>
      <w:r w:rsidR="009B7104">
        <w:t xml:space="preserve">-funded, while others are wholly or partially funded </w:t>
      </w:r>
      <w:r w:rsidR="00CB3A63">
        <w:t>through cost recovery</w:t>
      </w:r>
      <w:r w:rsidR="007A0977">
        <w:t xml:space="preserve"> charges </w:t>
      </w:r>
      <w:r w:rsidR="00063B70">
        <w:t>levied on</w:t>
      </w:r>
      <w:r w:rsidR="00CB3A63">
        <w:t xml:space="preserve"> </w:t>
      </w:r>
      <w:r w:rsidR="007A0977">
        <w:t>regulated entities</w:t>
      </w:r>
      <w:r w:rsidR="00CB3A63">
        <w:t>:</w:t>
      </w:r>
    </w:p>
    <w:p w:rsidR="009B7104" w:rsidRDefault="007A0977" w:rsidP="007A0977">
      <w:pPr>
        <w:pStyle w:val="ListBullet2"/>
      </w:pPr>
      <w:r>
        <w:t>inadequate resourcing of regulators can lead to a less efficient utilisation of enforcement tools and/or a focus on strategies that shift costs or place heavier burdens on regulated entities</w:t>
      </w:r>
    </w:p>
    <w:p w:rsidR="007A0977" w:rsidRDefault="00846E59" w:rsidP="007A0977">
      <w:pPr>
        <w:pStyle w:val="ListBullet2"/>
      </w:pPr>
      <w:r>
        <w:t>how regulators are funded may also influence their behaviour and create perverse incentives in relation to the choice of their sanctioning response</w:t>
      </w:r>
      <w:r w:rsidR="007055B3">
        <w:t xml:space="preserve"> —</w:t>
      </w:r>
      <w:r w:rsidR="0025340A">
        <w:t xml:space="preserve"> </w:t>
      </w:r>
      <w:r w:rsidR="007055B3">
        <w:t>particularly if regulators were to</w:t>
      </w:r>
      <w:r w:rsidR="0025340A">
        <w:t xml:space="preserve"> retain revenue from monetary penalties, or exercise any control over how that revenue </w:t>
      </w:r>
      <w:r w:rsidR="007055B3">
        <w:t>is</w:t>
      </w:r>
      <w:r w:rsidR="0025340A">
        <w:t xml:space="preserve"> spent</w:t>
      </w:r>
      <w:r>
        <w:t xml:space="preserve"> (UK Government 2006)</w:t>
      </w:r>
      <w:r w:rsidR="007A0977">
        <w:t>.</w:t>
      </w:r>
    </w:p>
    <w:p w:rsidR="00742E02" w:rsidRDefault="007A0977" w:rsidP="007A0977">
      <w:pPr>
        <w:pStyle w:val="BodyText"/>
      </w:pPr>
      <w:r>
        <w:t xml:space="preserve">While these factors all impact on regulator </w:t>
      </w:r>
      <w:r w:rsidR="00507D69">
        <w:t>posture toward small business</w:t>
      </w:r>
      <w:r>
        <w:t xml:space="preserve">, they </w:t>
      </w:r>
      <w:r w:rsidR="00507D69">
        <w:t>sometimes</w:t>
      </w:r>
      <w:r>
        <w:t xml:space="preserve"> lie outside the control of regulators themselves. This study will focus on what regulators can control, </w:t>
      </w:r>
      <w:r w:rsidR="00480C0C">
        <w:t>with the above factors providing the framework within which regulators are able to engage. T</w:t>
      </w:r>
      <w:r>
        <w:t>hat is</w:t>
      </w:r>
      <w:r w:rsidR="00480C0C">
        <w:t>, the focus will be on how regulators</w:t>
      </w:r>
      <w:r>
        <w:t xml:space="preserve"> </w:t>
      </w:r>
      <w:r w:rsidR="003A4B18">
        <w:t>discharge their</w:t>
      </w:r>
      <w:r>
        <w:t xml:space="preserve"> responsibilities and how they use their powers, resources, tools and available discretion. However, where the Commission identifies factors beyond a </w:t>
      </w:r>
      <w:r>
        <w:lastRenderedPageBreak/>
        <w:t xml:space="preserve">regulator’s control that are obviously having a deleterious effect on </w:t>
      </w:r>
      <w:r w:rsidR="00507D69">
        <w:t xml:space="preserve">their </w:t>
      </w:r>
      <w:r>
        <w:t>performance, the Commission will bring this to the attention of government</w:t>
      </w:r>
      <w:r w:rsidR="00480C0C">
        <w:t>s</w:t>
      </w:r>
      <w:r>
        <w:t>.</w:t>
      </w:r>
    </w:p>
    <w:p w:rsidR="00CA0C71" w:rsidRDefault="00CA0C71" w:rsidP="00CA0C71">
      <w:pPr>
        <w:pStyle w:val="BodyText"/>
        <w:rPr>
          <w:b/>
          <w:i/>
        </w:rPr>
      </w:pPr>
      <w:r>
        <w:rPr>
          <w:b/>
          <w:i/>
        </w:rPr>
        <w:t>What are the key factors that influence how regulators engage with small business</w:t>
      </w:r>
      <w:r w:rsidR="003A4B18">
        <w:rPr>
          <w:b/>
          <w:i/>
        </w:rPr>
        <w:t xml:space="preserve"> and in what manner are individual factors influential</w:t>
      </w:r>
      <w:r>
        <w:rPr>
          <w:b/>
          <w:i/>
        </w:rPr>
        <w:t>?</w:t>
      </w:r>
    </w:p>
    <w:p w:rsidR="0001205E" w:rsidRDefault="00C615CB" w:rsidP="0001205E">
      <w:pPr>
        <w:pStyle w:val="Heading2"/>
      </w:pPr>
      <w:bookmarkStart w:id="9" w:name="_Toc346708112"/>
      <w:r>
        <w:rPr>
          <w:noProof/>
        </w:rPr>
        <w:t>4</w:t>
      </w:r>
      <w:r w:rsidR="0001205E">
        <w:tab/>
        <w:t>Wh</w:t>
      </w:r>
      <w:r w:rsidR="00AE6240">
        <w:t>ich</w:t>
      </w:r>
      <w:r w:rsidR="0001205E">
        <w:t xml:space="preserve"> </w:t>
      </w:r>
      <w:r w:rsidR="0058160E">
        <w:t xml:space="preserve">regulator </w:t>
      </w:r>
      <w:r w:rsidR="00D44628">
        <w:t>practices</w:t>
      </w:r>
      <w:r w:rsidR="0001205E">
        <w:t xml:space="preserve"> </w:t>
      </w:r>
      <w:r w:rsidR="00D44628">
        <w:t>affect engagement with</w:t>
      </w:r>
      <w:r w:rsidR="0058160E">
        <w:t xml:space="preserve"> small business</w:t>
      </w:r>
      <w:r w:rsidR="00E62C22">
        <w:t>?</w:t>
      </w:r>
      <w:bookmarkEnd w:id="9"/>
    </w:p>
    <w:p w:rsidR="002D7A44" w:rsidRDefault="005E32B3" w:rsidP="002D7A44">
      <w:pPr>
        <w:pStyle w:val="BodyText"/>
      </w:pPr>
      <w:r>
        <w:t>Given the key characteristics of regulators that influence their overall regulatory posture</w:t>
      </w:r>
      <w:r w:rsidR="00FB2AFA">
        <w:t xml:space="preserve"> described above</w:t>
      </w:r>
      <w:r>
        <w:t>, t</w:t>
      </w:r>
      <w:r w:rsidR="00360659">
        <w:t>here are a range of</w:t>
      </w:r>
      <w:r w:rsidR="002D7A44">
        <w:t xml:space="preserve"> </w:t>
      </w:r>
      <w:r w:rsidR="00D44628">
        <w:t>practices</w:t>
      </w:r>
      <w:r w:rsidR="002D7A44">
        <w:t xml:space="preserve"> </w:t>
      </w:r>
      <w:r w:rsidR="00360659">
        <w:t xml:space="preserve">that </w:t>
      </w:r>
      <w:r w:rsidR="00DB5DF8">
        <w:t xml:space="preserve">can </w:t>
      </w:r>
      <w:r w:rsidR="00D44628">
        <w:t>affect</w:t>
      </w:r>
      <w:r>
        <w:t xml:space="preserve"> regulator</w:t>
      </w:r>
      <w:r w:rsidR="00D44628">
        <w:t xml:space="preserve"> engagement with</w:t>
      </w:r>
      <w:r w:rsidR="00126ED4">
        <w:t xml:space="preserve"> small business</w:t>
      </w:r>
      <w:r w:rsidR="00FB2AFA">
        <w:t>.</w:t>
      </w:r>
    </w:p>
    <w:p w:rsidR="00F13DEE" w:rsidRPr="00F13DEE" w:rsidRDefault="008A4301" w:rsidP="008F3DF0">
      <w:pPr>
        <w:pStyle w:val="ListBullet"/>
      </w:pPr>
      <w:r>
        <w:rPr>
          <w:i/>
        </w:rPr>
        <w:t>A</w:t>
      </w:r>
      <w:r w:rsidR="00F13DEE" w:rsidRPr="001C68B6">
        <w:rPr>
          <w:i/>
        </w:rPr>
        <w:t xml:space="preserve">dvice and guidance on </w:t>
      </w:r>
      <w:r w:rsidR="002D7A44" w:rsidRPr="001C68B6">
        <w:rPr>
          <w:i/>
        </w:rPr>
        <w:t>regulatory requirements</w:t>
      </w:r>
      <w:r w:rsidR="00360659">
        <w:t xml:space="preserve"> —</w:t>
      </w:r>
      <w:r w:rsidR="007638B7">
        <w:t xml:space="preserve"> </w:t>
      </w:r>
      <w:r w:rsidR="00F13DEE" w:rsidRPr="00F13DEE">
        <w:t xml:space="preserve">accessible advice and guidance </w:t>
      </w:r>
      <w:r w:rsidR="007638B7">
        <w:t xml:space="preserve">(including compliance and enforcement manuals) </w:t>
      </w:r>
      <w:r w:rsidR="00C52D04">
        <w:t>can</w:t>
      </w:r>
      <w:r w:rsidR="00F13DEE" w:rsidRPr="00F13DEE">
        <w:t xml:space="preserve"> </w:t>
      </w:r>
      <w:r w:rsidR="00C52D04">
        <w:t>reduce</w:t>
      </w:r>
      <w:r w:rsidR="00F13DEE" w:rsidRPr="00F13DEE">
        <w:t xml:space="preserve"> the time spent by small businesses understanding regulations</w:t>
      </w:r>
      <w:r w:rsidR="00FE0FEF">
        <w:t xml:space="preserve"> and lead to </w:t>
      </w:r>
      <w:r w:rsidR="007638B7">
        <w:t>better</w:t>
      </w:r>
      <w:r w:rsidR="00FE0FEF">
        <w:t xml:space="preserve"> compliance outcomes</w:t>
      </w:r>
      <w:r w:rsidR="00F13DEE" w:rsidRPr="00F13DEE">
        <w:t>.</w:t>
      </w:r>
      <w:r w:rsidR="008F3DF0">
        <w:t xml:space="preserve"> In certain circumstances regulators</w:t>
      </w:r>
      <w:r w:rsidR="008F3DF0" w:rsidRPr="00586B11">
        <w:t xml:space="preserve"> may need to </w:t>
      </w:r>
      <w:r w:rsidR="008F3DF0">
        <w:t>tailor advice to acknowledge differences in businesses that are regulated. For example, indigenous and non-English speaking business owners/managers may have difficulties in comprehending regulatory requirements and additional resources may need to be devoted in order to aid these businesses to comply.</w:t>
      </w:r>
    </w:p>
    <w:p w:rsidR="002D7A44" w:rsidRDefault="00442155" w:rsidP="002D7A44">
      <w:pPr>
        <w:pStyle w:val="ListBullet"/>
      </w:pPr>
      <w:r>
        <w:rPr>
          <w:i/>
          <w:noProof/>
        </w:rPr>
        <mc:AlternateContent>
          <mc:Choice Requires="wpg">
            <w:drawing>
              <wp:anchor distT="0" distB="0" distL="114300" distR="114300" simplePos="0" relativeHeight="251658240" behindDoc="0" locked="0" layoutInCell="1" allowOverlap="1" wp14:anchorId="7A7F3795" wp14:editId="7D844C8E">
                <wp:simplePos x="0" y="0"/>
                <wp:positionH relativeFrom="column">
                  <wp:posOffset>-828040</wp:posOffset>
                </wp:positionH>
                <wp:positionV relativeFrom="paragraph">
                  <wp:posOffset>-1320800</wp:posOffset>
                </wp:positionV>
                <wp:extent cx="4997450" cy="3997960"/>
                <wp:effectExtent l="0" t="0" r="0" b="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0" cy="3997960"/>
                          <a:chOff x="0" y="0"/>
                          <a:chExt cx="7870" cy="6296"/>
                        </a:xfrm>
                      </wpg:grpSpPr>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65.2pt;margin-top:-104pt;width:393.5pt;height:314.8pt;z-index:251658240" coordsize="7870,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"/>
            </w:pict>
          </mc:Fallback>
        </mc:AlternateContent>
      </w:r>
      <w:r w:rsidR="008A4301">
        <w:rPr>
          <w:i/>
        </w:rPr>
        <w:t>C</w:t>
      </w:r>
      <w:r w:rsidR="002D7A44" w:rsidRPr="001C68B6">
        <w:rPr>
          <w:i/>
        </w:rPr>
        <w:t>ompliance and enforcement strategies</w:t>
      </w:r>
      <w:r w:rsidR="00F13DEE">
        <w:t xml:space="preserve"> — </w:t>
      </w:r>
      <w:r w:rsidR="008F3DF0">
        <w:t xml:space="preserve">the extent to which </w:t>
      </w:r>
      <w:r w:rsidR="00B74257">
        <w:t>cooperative</w:t>
      </w:r>
      <w:r w:rsidR="008F3DF0">
        <w:t xml:space="preserve"> and educative approaches are combined with </w:t>
      </w:r>
      <w:r w:rsidR="00126ED4">
        <w:t>penalty</w:t>
      </w:r>
      <w:r w:rsidR="008F3DF0">
        <w:t>-based approaches</w:t>
      </w:r>
      <w:r w:rsidR="00F13DEE" w:rsidRPr="00F13DEE">
        <w:t xml:space="preserve"> can </w:t>
      </w:r>
      <w:r w:rsidR="008F3DF0">
        <w:t>impact on</w:t>
      </w:r>
      <w:r w:rsidR="00F13DEE" w:rsidRPr="00F13DEE">
        <w:t xml:space="preserve"> costs for businesses and regulators and/or </w:t>
      </w:r>
      <w:r w:rsidR="00B74257">
        <w:t>facilitate</w:t>
      </w:r>
      <w:r w:rsidR="00F13DEE" w:rsidRPr="00F13DEE">
        <w:t xml:space="preserve"> greater achievement of the underlying objectives of the regulation.</w:t>
      </w:r>
    </w:p>
    <w:p w:rsidR="00126ED4" w:rsidRDefault="001C7160" w:rsidP="00126ED4">
      <w:pPr>
        <w:pStyle w:val="ListBullet2"/>
      </w:pPr>
      <w:r>
        <w:t>Use by regulators of</w:t>
      </w:r>
      <w:r w:rsidR="00B74257">
        <w:t xml:space="preserve"> a mix of approaches </w:t>
      </w:r>
      <w:r>
        <w:t>—</w:t>
      </w:r>
      <w:r w:rsidR="00B74257">
        <w:t xml:space="preserve"> where</w:t>
      </w:r>
      <w:r w:rsidR="00DB5DF8">
        <w:t>by</w:t>
      </w:r>
      <w:r w:rsidR="00B74257">
        <w:t xml:space="preserve"> a cooperative approach is initially employed and is gradually ratcheted up for those firms that continue to fail to comply — </w:t>
      </w:r>
      <w:r w:rsidR="00FB2AFA">
        <w:t xml:space="preserve">this is sometimes called graduated enforcement or escalation and has been depicted in </w:t>
      </w:r>
      <w:r w:rsidR="00B74257">
        <w:t xml:space="preserve">the so-called ‘enforcement </w:t>
      </w:r>
      <w:r w:rsidR="008B13C2">
        <w:t>pyramid</w:t>
      </w:r>
      <w:r w:rsidR="00B74257">
        <w:t xml:space="preserve">’ </w:t>
      </w:r>
      <w:r w:rsidR="00962B3E">
        <w:t xml:space="preserve">(figure </w:t>
      </w:r>
      <w:r w:rsidR="004D0AC1">
        <w:t>1</w:t>
      </w:r>
      <w:r w:rsidR="00962B3E">
        <w:t>).</w:t>
      </w:r>
      <w:r>
        <w:t xml:space="preserve"> </w:t>
      </w:r>
      <w:r w:rsidR="004C1FE6">
        <w:t>The balance of approaches to enforcement</w:t>
      </w:r>
      <w:r>
        <w:t xml:space="preserve"> </w:t>
      </w:r>
      <w:r w:rsidR="004C1FE6">
        <w:t>will be contingent on</w:t>
      </w:r>
      <w:r>
        <w:t xml:space="preserve"> characteristics of the regulator </w:t>
      </w:r>
      <w:r w:rsidR="00243994">
        <w:t xml:space="preserve">and regulatory area </w:t>
      </w:r>
      <w:r>
        <w:t xml:space="preserve">(discussed </w:t>
      </w:r>
      <w:r w:rsidR="00A122F4">
        <w:t>in the previous section</w:t>
      </w:r>
      <w:r>
        <w:t>)</w:t>
      </w:r>
      <w:r w:rsidR="00243994">
        <w:t xml:space="preserve"> but may also vary with the features of the industry being regulated (such as the uptake of technological innovations)</w:t>
      </w:r>
      <w:r>
        <w:t>.</w:t>
      </w:r>
    </w:p>
    <w:p w:rsidR="00F535BA" w:rsidRDefault="00F535BA" w:rsidP="000B4758">
      <w:pPr>
        <w:pStyle w:val="ListBullet"/>
      </w:pPr>
      <w:r>
        <w:rPr>
          <w:i/>
        </w:rPr>
        <w:t>B</w:t>
      </w:r>
      <w:r w:rsidRPr="001C68B6">
        <w:rPr>
          <w:i/>
        </w:rPr>
        <w:t>usiness reporting requirements</w:t>
      </w:r>
      <w:r>
        <w:t xml:space="preserve"> — r</w:t>
      </w:r>
      <w:r w:rsidRPr="00A95F6A">
        <w:t xml:space="preserve">egulators need to be mindful of the compliance cost burden that reporting requirements are likely to place on regulated entities. </w:t>
      </w:r>
      <w:r>
        <w:t xml:space="preserve">Improving </w:t>
      </w:r>
      <w:r w:rsidRPr="00A95F6A">
        <w:t xml:space="preserve">the design of reporting requirements </w:t>
      </w:r>
      <w:r>
        <w:t>and the ongoing information required for licensing and the issuing of permits can</w:t>
      </w:r>
      <w:r w:rsidRPr="00A95F6A">
        <w:t xml:space="preserve"> minimise compliance costs, without undermining the regulator’s capacity to ensure that regulations are being met.</w:t>
      </w:r>
    </w:p>
    <w:p w:rsidR="003B7FF9" w:rsidRDefault="003B7FF9" w:rsidP="003B7FF9">
      <w:pPr>
        <w:pStyle w:val="FigureTitle"/>
      </w:pPr>
      <w:r>
        <w:rPr>
          <w:b w:val="0"/>
        </w:rPr>
        <w:lastRenderedPageBreak/>
        <w:t xml:space="preserve">Figure </w:t>
      </w:r>
      <w:r w:rsidR="004D0AC1">
        <w:rPr>
          <w:b w:val="0"/>
          <w:noProof/>
        </w:rPr>
        <w:t>1</w:t>
      </w:r>
      <w:r>
        <w:tab/>
      </w:r>
      <w:r w:rsidR="00E14D9C">
        <w:t>A</w:t>
      </w:r>
      <w:r>
        <w:t xml:space="preserve"> regulatory enforcement pyramid</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3B7FF9" w:rsidTr="003B7FF9">
        <w:tc>
          <w:tcPr>
            <w:tcW w:w="8777" w:type="dxa"/>
          </w:tcPr>
          <w:p w:rsidR="003B7FF9" w:rsidRDefault="00354A38" w:rsidP="003B7FF9">
            <w:pPr>
              <w:pStyle w:val="Figure"/>
            </w:pPr>
            <w:r>
              <w:rPr>
                <w:noProof/>
              </w:rPr>
              <w:drawing>
                <wp:inline distT="0" distB="0" distL="0" distR="0" wp14:anchorId="5779E67C" wp14:editId="7A8C0978">
                  <wp:extent cx="4997450" cy="3997960"/>
                  <wp:effectExtent l="0" t="0" r="0" b="2540"/>
                  <wp:docPr id="1" name="Picture 1" descr="Figure 1 A regulatory enforcement pyramid, this shows a hierarchy of graduated responses to non-compliance, from light handed approaches at the base of the pyramid, to successively stronger legal sanctions at the apex of the pyramid that address more serious off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0" cy="3997960"/>
                          </a:xfrm>
                          <a:prstGeom prst="rect">
                            <a:avLst/>
                          </a:prstGeom>
                          <a:noFill/>
                          <a:ln>
                            <a:noFill/>
                          </a:ln>
                        </pic:spPr>
                      </pic:pic>
                    </a:graphicData>
                  </a:graphic>
                </wp:inline>
              </w:drawing>
            </w:r>
          </w:p>
        </w:tc>
      </w:tr>
    </w:tbl>
    <w:p w:rsidR="003B7FF9" w:rsidRDefault="003B7FF9" w:rsidP="00E35C95">
      <w:pPr>
        <w:pStyle w:val="Source"/>
        <w:spacing w:after="240"/>
      </w:pPr>
      <w:r>
        <w:rPr>
          <w:i/>
        </w:rPr>
        <w:t>Data source</w:t>
      </w:r>
      <w:r w:rsidR="001C7160">
        <w:rPr>
          <w:i/>
        </w:rPr>
        <w:t>s</w:t>
      </w:r>
      <w:r w:rsidRPr="00167F06">
        <w:t xml:space="preserve">: </w:t>
      </w:r>
      <w:r w:rsidR="00354A38">
        <w:t>Gilligan, Bird and Ramsay (1999)</w:t>
      </w:r>
      <w:r w:rsidR="001C7160">
        <w:t>; Ayres and Braithwaite (1992)</w:t>
      </w:r>
      <w:r w:rsidR="00354A38">
        <w:t>.</w:t>
      </w:r>
    </w:p>
    <w:p w:rsidR="00E35C95" w:rsidRPr="00A95F6A" w:rsidRDefault="00E35C95" w:rsidP="00E35C95">
      <w:pPr>
        <w:pStyle w:val="ListBullet"/>
      </w:pPr>
      <w:r>
        <w:rPr>
          <w:i/>
        </w:rPr>
        <w:t>C</w:t>
      </w:r>
      <w:r w:rsidRPr="001C68B6">
        <w:rPr>
          <w:i/>
        </w:rPr>
        <w:t>onsultation and feedback mechanisms</w:t>
      </w:r>
      <w:r>
        <w:t xml:space="preserve"> — s</w:t>
      </w:r>
      <w:r w:rsidRPr="00A95F6A">
        <w:t xml:space="preserve">mall businesses may be disadvantaged if consultation which shapes regulatory formulation, administration and enforcement sidelines their interests, compared to larger businesses. This disadvantage may be magnified if regulators see compliance through the lens of </w:t>
      </w:r>
      <w:r>
        <w:t>large or</w:t>
      </w:r>
      <w:r w:rsidRPr="00A95F6A">
        <w:t xml:space="preserve"> well-resourced organisations. </w:t>
      </w:r>
      <w:r w:rsidR="004C1FE6">
        <w:t>For most r</w:t>
      </w:r>
      <w:r w:rsidR="007C736D">
        <w:t>egulators</w:t>
      </w:r>
      <w:r w:rsidR="004C1FE6">
        <w:t>, it may also be necessary to adapt</w:t>
      </w:r>
      <w:r w:rsidR="007C736D">
        <w:t xml:space="preserve"> </w:t>
      </w:r>
      <w:r w:rsidR="004C1FE6">
        <w:t xml:space="preserve">consultation approaches </w:t>
      </w:r>
      <w:r w:rsidR="005D0D35">
        <w:t xml:space="preserve">(such as </w:t>
      </w:r>
      <w:r w:rsidR="00473883">
        <w:t xml:space="preserve">through provision of </w:t>
      </w:r>
      <w:r w:rsidR="005D0D35">
        <w:t xml:space="preserve">additional </w:t>
      </w:r>
      <w:r w:rsidR="00BE29CF">
        <w:t xml:space="preserve">online resources) </w:t>
      </w:r>
      <w:r w:rsidR="004C1FE6">
        <w:t>to the needs of</w:t>
      </w:r>
      <w:r w:rsidR="007C736D">
        <w:t xml:space="preserve"> </w:t>
      </w:r>
      <w:r w:rsidR="004C1FE6">
        <w:t>small business owners/managers</w:t>
      </w:r>
      <w:r w:rsidR="00BE29CF">
        <w:t>, particularly</w:t>
      </w:r>
      <w:r w:rsidR="004C1FE6">
        <w:t xml:space="preserve"> </w:t>
      </w:r>
      <w:r w:rsidR="00121492">
        <w:t xml:space="preserve">in regional </w:t>
      </w:r>
      <w:r w:rsidR="00BE29CF">
        <w:t xml:space="preserve">and remote </w:t>
      </w:r>
      <w:r w:rsidR="00121492">
        <w:t>areas</w:t>
      </w:r>
      <w:r w:rsidR="007C736D">
        <w:t xml:space="preserve">. </w:t>
      </w:r>
    </w:p>
    <w:p w:rsidR="00E35C95" w:rsidRDefault="00E35C95" w:rsidP="00E35C95">
      <w:pPr>
        <w:pStyle w:val="ListBullet"/>
      </w:pPr>
      <w:r>
        <w:rPr>
          <w:i/>
        </w:rPr>
        <w:t>T</w:t>
      </w:r>
      <w:r w:rsidRPr="001C68B6">
        <w:rPr>
          <w:i/>
        </w:rPr>
        <w:t>ransparency and accountability of regulator functions</w:t>
      </w:r>
      <w:r>
        <w:t xml:space="preserve"> — monitoring of regulatory performance against set standards helps businesses understand and comprehend what constitutes compliance and ensures they have greater certainty about their regulatory responsibilities, reducing unnecessary costs.</w:t>
      </w:r>
    </w:p>
    <w:p w:rsidR="00E35C95" w:rsidRDefault="00E35C95" w:rsidP="00E35C95">
      <w:pPr>
        <w:pStyle w:val="ListBullet"/>
        <w:numPr>
          <w:ilvl w:val="0"/>
          <w:numId w:val="0"/>
        </w:numPr>
      </w:pPr>
      <w:r>
        <w:t xml:space="preserve">Principles and guidelines to improve the governance and practices of regulators have been published in recent years by a number of Australian (and overseas) governments and business groups (for example, ANAO 2007; Queensland Ombudsman 2009; Victorian Government 2010; UK Government 2005). As part of </w:t>
      </w:r>
      <w:r>
        <w:lastRenderedPageBreak/>
        <w:t xml:space="preserve">its study, the Commission may draw on these principles and guidelines to determine and highlight leading practices of regulators. </w:t>
      </w:r>
    </w:p>
    <w:p w:rsidR="00720A33" w:rsidRDefault="007E707E" w:rsidP="00720A33">
      <w:pPr>
        <w:pStyle w:val="BodyText"/>
        <w:rPr>
          <w:b/>
          <w:i/>
        </w:rPr>
      </w:pPr>
      <w:r>
        <w:rPr>
          <w:b/>
          <w:i/>
        </w:rPr>
        <w:t>Wh</w:t>
      </w:r>
      <w:r w:rsidR="00EF3413">
        <w:rPr>
          <w:b/>
          <w:i/>
        </w:rPr>
        <w:t xml:space="preserve">at are leading regulator practices </w:t>
      </w:r>
      <w:r>
        <w:rPr>
          <w:b/>
          <w:i/>
        </w:rPr>
        <w:t>in relation to:</w:t>
      </w:r>
    </w:p>
    <w:p w:rsidR="00720A33" w:rsidRPr="007761F4" w:rsidRDefault="007E707E" w:rsidP="007761F4">
      <w:pPr>
        <w:pStyle w:val="ListBullet"/>
        <w:rPr>
          <w:b/>
          <w:i/>
        </w:rPr>
      </w:pPr>
      <w:r w:rsidRPr="007761F4">
        <w:rPr>
          <w:b/>
          <w:i/>
        </w:rPr>
        <w:t>m</w:t>
      </w:r>
      <w:r w:rsidR="00720A33" w:rsidRPr="007761F4">
        <w:rPr>
          <w:b/>
          <w:i/>
        </w:rPr>
        <w:t>onitor</w:t>
      </w:r>
      <w:r w:rsidRPr="007761F4">
        <w:rPr>
          <w:b/>
          <w:i/>
        </w:rPr>
        <w:t>ing of</w:t>
      </w:r>
      <w:r w:rsidR="00720A33" w:rsidRPr="007761F4">
        <w:rPr>
          <w:b/>
          <w:i/>
        </w:rPr>
        <w:t xml:space="preserve"> business awareness and understanding of regulations?</w:t>
      </w:r>
    </w:p>
    <w:p w:rsidR="00720A33" w:rsidRPr="007761F4" w:rsidRDefault="00720A33" w:rsidP="007761F4">
      <w:pPr>
        <w:pStyle w:val="ListBullet"/>
        <w:rPr>
          <w:b/>
          <w:i/>
        </w:rPr>
      </w:pPr>
      <w:r w:rsidRPr="007761F4">
        <w:rPr>
          <w:b/>
          <w:i/>
        </w:rPr>
        <w:t>ensur</w:t>
      </w:r>
      <w:r w:rsidR="007E707E" w:rsidRPr="007761F4">
        <w:rPr>
          <w:b/>
          <w:i/>
        </w:rPr>
        <w:t>ing</w:t>
      </w:r>
      <w:r w:rsidRPr="007761F4">
        <w:rPr>
          <w:b/>
          <w:i/>
        </w:rPr>
        <w:t xml:space="preserve"> regulatory decisions and advice are clear, accessible, consistent and timely?</w:t>
      </w:r>
    </w:p>
    <w:p w:rsidR="00720A33" w:rsidRPr="007761F4" w:rsidRDefault="00720A33" w:rsidP="007761F4">
      <w:pPr>
        <w:pStyle w:val="ListBullet"/>
        <w:rPr>
          <w:b/>
          <w:i/>
        </w:rPr>
      </w:pPr>
      <w:r w:rsidRPr="007761F4">
        <w:rPr>
          <w:b/>
          <w:i/>
        </w:rPr>
        <w:t>address</w:t>
      </w:r>
      <w:r w:rsidR="007E707E" w:rsidRPr="007761F4">
        <w:rPr>
          <w:b/>
          <w:i/>
        </w:rPr>
        <w:t>ing</w:t>
      </w:r>
      <w:r w:rsidRPr="007761F4">
        <w:rPr>
          <w:b/>
          <w:i/>
        </w:rPr>
        <w:t xml:space="preserve"> the information needs of small businesses including those located in regional areas or those with owners/managers of a non-English speaking or Indigenous background?</w:t>
      </w:r>
    </w:p>
    <w:p w:rsidR="00720A33" w:rsidRPr="007761F4" w:rsidRDefault="00720A33" w:rsidP="007761F4">
      <w:pPr>
        <w:pStyle w:val="ListBullet"/>
        <w:rPr>
          <w:b/>
          <w:i/>
        </w:rPr>
      </w:pPr>
      <w:r w:rsidRPr="007761F4">
        <w:rPr>
          <w:b/>
          <w:i/>
        </w:rPr>
        <w:t>ensur</w:t>
      </w:r>
      <w:r w:rsidR="007E707E" w:rsidRPr="007761F4">
        <w:rPr>
          <w:b/>
          <w:i/>
        </w:rPr>
        <w:t>ing</w:t>
      </w:r>
      <w:r w:rsidRPr="007761F4">
        <w:rPr>
          <w:b/>
          <w:i/>
        </w:rPr>
        <w:t xml:space="preserve"> the information businesses provide is necessary and </w:t>
      </w:r>
      <w:r w:rsidR="007761F4">
        <w:rPr>
          <w:b/>
          <w:i/>
        </w:rPr>
        <w:t xml:space="preserve">that </w:t>
      </w:r>
      <w:r w:rsidRPr="007761F4">
        <w:rPr>
          <w:b/>
          <w:i/>
        </w:rPr>
        <w:t xml:space="preserve">feedback about the impact of such requirements </w:t>
      </w:r>
      <w:r w:rsidR="007761F4">
        <w:rPr>
          <w:b/>
          <w:i/>
        </w:rPr>
        <w:t xml:space="preserve">is </w:t>
      </w:r>
      <w:r w:rsidRPr="007761F4">
        <w:rPr>
          <w:b/>
          <w:i/>
        </w:rPr>
        <w:t xml:space="preserve">taken into account? </w:t>
      </w:r>
    </w:p>
    <w:p w:rsidR="009F5D5C" w:rsidRDefault="009F5D5C" w:rsidP="009F5D5C">
      <w:pPr>
        <w:pStyle w:val="BodyText"/>
        <w:rPr>
          <w:b/>
          <w:i/>
        </w:rPr>
      </w:pPr>
      <w:r>
        <w:rPr>
          <w:b/>
          <w:i/>
        </w:rPr>
        <w:t xml:space="preserve">Do compliance and enforcement approaches and the decisions of regulators appropriately reflect the </w:t>
      </w:r>
      <w:r w:rsidR="001E3325">
        <w:rPr>
          <w:b/>
          <w:i/>
        </w:rPr>
        <w:t>likelihood</w:t>
      </w:r>
      <w:r>
        <w:rPr>
          <w:b/>
          <w:i/>
        </w:rPr>
        <w:t xml:space="preserve"> and consequences of non-compliance?</w:t>
      </w:r>
    </w:p>
    <w:p w:rsidR="009F5D5C" w:rsidRPr="007761F4" w:rsidRDefault="009F5D5C" w:rsidP="007761F4">
      <w:pPr>
        <w:pStyle w:val="ListBullet"/>
        <w:rPr>
          <w:b/>
          <w:i/>
        </w:rPr>
      </w:pPr>
      <w:r w:rsidRPr="007761F4">
        <w:rPr>
          <w:b/>
          <w:i/>
        </w:rPr>
        <w:t>What systems and approaches do regulators use to inform themselves about risks, including emerging risks? Do regulators have a good knowledge of the areas they regulate that are high risk?</w:t>
      </w:r>
    </w:p>
    <w:p w:rsidR="009F5D5C" w:rsidRPr="007761F4" w:rsidRDefault="009F5D5C" w:rsidP="007761F4">
      <w:pPr>
        <w:pStyle w:val="ListBullet"/>
        <w:rPr>
          <w:b/>
          <w:i/>
        </w:rPr>
      </w:pPr>
      <w:r w:rsidRPr="007761F4">
        <w:rPr>
          <w:b/>
          <w:i/>
        </w:rPr>
        <w:t>Do regulators respond proportionately to compliance breaches? Do they have enough flexibility in terms of how they respond?</w:t>
      </w:r>
    </w:p>
    <w:p w:rsidR="009F5D5C" w:rsidRDefault="009F5D5C" w:rsidP="007761F4">
      <w:pPr>
        <w:pStyle w:val="ListBullet"/>
        <w:rPr>
          <w:b/>
          <w:i/>
        </w:rPr>
      </w:pPr>
      <w:r w:rsidRPr="007761F4">
        <w:rPr>
          <w:b/>
          <w:i/>
        </w:rPr>
        <w:t xml:space="preserve">Which regulators most effectively manage risks and what particular strategies </w:t>
      </w:r>
      <w:r w:rsidR="00EF3413" w:rsidRPr="007761F4">
        <w:rPr>
          <w:b/>
          <w:i/>
        </w:rPr>
        <w:t>have worked well</w:t>
      </w:r>
      <w:r w:rsidRPr="007761F4">
        <w:rPr>
          <w:b/>
          <w:i/>
        </w:rPr>
        <w:t>?</w:t>
      </w:r>
    </w:p>
    <w:p w:rsidR="00D50C29" w:rsidRPr="007761F4" w:rsidRDefault="00D50C29" w:rsidP="00F535BA">
      <w:pPr>
        <w:pStyle w:val="BodyText"/>
        <w:spacing w:before="120"/>
        <w:rPr>
          <w:b/>
          <w:i/>
        </w:rPr>
      </w:pPr>
      <w:r>
        <w:rPr>
          <w:b/>
          <w:i/>
        </w:rPr>
        <w:t>What factors cause individual officers to diverge from appropriate behaviours?</w:t>
      </w:r>
    </w:p>
    <w:p w:rsidR="009F5D5C" w:rsidRDefault="000432B2" w:rsidP="009F5D5C">
      <w:pPr>
        <w:pStyle w:val="BodyText"/>
        <w:spacing w:before="120"/>
        <w:rPr>
          <w:b/>
          <w:i/>
        </w:rPr>
      </w:pPr>
      <w:r>
        <w:rPr>
          <w:b/>
          <w:i/>
        </w:rPr>
        <w:t>What are</w:t>
      </w:r>
      <w:r w:rsidR="009F5D5C">
        <w:rPr>
          <w:b/>
          <w:i/>
        </w:rPr>
        <w:t xml:space="preserve"> the relative risks presented by small business compared to larger businesses? How does this relationship vary between regulatory areas?</w:t>
      </w:r>
    </w:p>
    <w:p w:rsidR="00D227F1" w:rsidRPr="00720A33" w:rsidRDefault="00D227F1" w:rsidP="00D227F1">
      <w:pPr>
        <w:pStyle w:val="BodyText"/>
        <w:rPr>
          <w:b/>
          <w:i/>
        </w:rPr>
      </w:pPr>
      <w:r>
        <w:rPr>
          <w:b/>
          <w:i/>
        </w:rPr>
        <w:t>W</w:t>
      </w:r>
      <w:r w:rsidRPr="00720A33">
        <w:rPr>
          <w:b/>
          <w:i/>
        </w:rPr>
        <w:t>hat</w:t>
      </w:r>
      <w:r>
        <w:rPr>
          <w:b/>
          <w:i/>
        </w:rPr>
        <w:t xml:space="preserve"> </w:t>
      </w:r>
      <w:r w:rsidRPr="00720A33">
        <w:rPr>
          <w:b/>
          <w:i/>
        </w:rPr>
        <w:t xml:space="preserve">coordination occurs between </w:t>
      </w:r>
      <w:r w:rsidR="001D0657">
        <w:rPr>
          <w:b/>
          <w:i/>
        </w:rPr>
        <w:t xml:space="preserve">and within </w:t>
      </w:r>
      <w:r w:rsidRPr="00720A33">
        <w:rPr>
          <w:b/>
          <w:i/>
        </w:rPr>
        <w:t xml:space="preserve">regulators to share business data and avoid overlap and duplication </w:t>
      </w:r>
      <w:r>
        <w:rPr>
          <w:b/>
          <w:i/>
        </w:rPr>
        <w:t>in forms and data requirements?</w:t>
      </w:r>
    </w:p>
    <w:p w:rsidR="00D227F1" w:rsidRPr="00720A33" w:rsidRDefault="00D227F1" w:rsidP="00D227F1">
      <w:pPr>
        <w:pStyle w:val="BodyText"/>
        <w:rPr>
          <w:b/>
          <w:i/>
        </w:rPr>
      </w:pPr>
      <w:r>
        <w:rPr>
          <w:b/>
          <w:i/>
        </w:rPr>
        <w:t>T</w:t>
      </w:r>
      <w:r w:rsidRPr="00720A33">
        <w:rPr>
          <w:b/>
          <w:i/>
        </w:rPr>
        <w:t>o what extent do regulators use emerging technologies, such as online tools</w:t>
      </w:r>
      <w:r w:rsidR="004412BD">
        <w:rPr>
          <w:b/>
          <w:i/>
        </w:rPr>
        <w:t>,</w:t>
      </w:r>
      <w:r w:rsidRPr="00720A33">
        <w:rPr>
          <w:b/>
          <w:i/>
        </w:rPr>
        <w:t xml:space="preserve"> to improve access to information and </w:t>
      </w:r>
      <w:r w:rsidR="004412BD">
        <w:rPr>
          <w:b/>
          <w:i/>
        </w:rPr>
        <w:t>increase</w:t>
      </w:r>
      <w:r w:rsidRPr="00720A33">
        <w:rPr>
          <w:b/>
          <w:i/>
        </w:rPr>
        <w:t xml:space="preserve"> compliance? </w:t>
      </w:r>
    </w:p>
    <w:p w:rsidR="00760BA3" w:rsidRDefault="00E72D03" w:rsidP="009F5D5C">
      <w:pPr>
        <w:pStyle w:val="BodyText"/>
        <w:spacing w:before="120"/>
        <w:rPr>
          <w:b/>
          <w:i/>
        </w:rPr>
      </w:pPr>
      <w:r>
        <w:rPr>
          <w:b/>
          <w:i/>
        </w:rPr>
        <w:t>Which</w:t>
      </w:r>
      <w:r w:rsidR="00760BA3">
        <w:rPr>
          <w:b/>
          <w:i/>
        </w:rPr>
        <w:t xml:space="preserve"> regulators have </w:t>
      </w:r>
      <w:r w:rsidR="004412BD">
        <w:rPr>
          <w:b/>
          <w:i/>
        </w:rPr>
        <w:t xml:space="preserve">appropriate mechanisms </w:t>
      </w:r>
      <w:r w:rsidR="00760BA3">
        <w:rPr>
          <w:b/>
          <w:i/>
        </w:rPr>
        <w:t>for handling complaints and resolving disputes?</w:t>
      </w:r>
      <w:r>
        <w:rPr>
          <w:b/>
          <w:i/>
        </w:rPr>
        <w:t xml:space="preserve"> Are they tailored for small business?</w:t>
      </w:r>
    </w:p>
    <w:p w:rsidR="007122D7" w:rsidRDefault="00C615CB" w:rsidP="007122D7">
      <w:pPr>
        <w:pStyle w:val="Heading2"/>
      </w:pPr>
      <w:bookmarkStart w:id="10" w:name="_Toc346708113"/>
      <w:r>
        <w:rPr>
          <w:noProof/>
        </w:rPr>
        <w:lastRenderedPageBreak/>
        <w:t>5</w:t>
      </w:r>
      <w:r w:rsidR="007122D7">
        <w:tab/>
      </w:r>
      <w:r w:rsidR="007A44AB">
        <w:t>How does regulator engagement impact on small business costs?</w:t>
      </w:r>
      <w:bookmarkEnd w:id="10"/>
    </w:p>
    <w:p w:rsidR="007A44AB" w:rsidRDefault="00401C1D" w:rsidP="007A44AB">
      <w:pPr>
        <w:pStyle w:val="BodyText"/>
      </w:pPr>
      <w:r w:rsidDel="00401C1D">
        <w:t xml:space="preserve">The quality of regulatory engagement with business </w:t>
      </w:r>
      <w:r w:rsidR="00144042">
        <w:t>can be</w:t>
      </w:r>
      <w:r w:rsidDel="00401C1D">
        <w:t xml:space="preserve"> a major determinant of </w:t>
      </w:r>
      <w:r w:rsidR="00144042">
        <w:t xml:space="preserve">regulatory </w:t>
      </w:r>
      <w:r w:rsidDel="00401C1D">
        <w:t>compliance costs (ANAO 2007).</w:t>
      </w:r>
      <w:r w:rsidR="00144042">
        <w:t xml:space="preserve"> </w:t>
      </w:r>
      <w:r w:rsidR="007A44AB">
        <w:t xml:space="preserve">However, </w:t>
      </w:r>
      <w:r w:rsidR="00144042">
        <w:t xml:space="preserve">business </w:t>
      </w:r>
      <w:r w:rsidR="007A44AB">
        <w:t xml:space="preserve">complaints about </w:t>
      </w:r>
      <w:r w:rsidR="00144042">
        <w:t xml:space="preserve">compliance costs and </w:t>
      </w:r>
      <w:r w:rsidR="007A44AB">
        <w:t>regulatory burden</w:t>
      </w:r>
      <w:r w:rsidR="00144042">
        <w:t>s</w:t>
      </w:r>
      <w:r w:rsidR="007A44AB">
        <w:t xml:space="preserve"> are often not </w:t>
      </w:r>
      <w:r w:rsidR="00144042">
        <w:t xml:space="preserve">well </w:t>
      </w:r>
      <w:r w:rsidR="007A44AB">
        <w:t xml:space="preserve">specified. Are the regulations themselves overbearing? Or is it the </w:t>
      </w:r>
      <w:r w:rsidR="006E17B9">
        <w:t xml:space="preserve">conduct of the </w:t>
      </w:r>
      <w:r w:rsidR="007A44AB">
        <w:t>regulator? Sparrow (2000) comments, even when the fault lies with the law, the b</w:t>
      </w:r>
      <w:r w:rsidR="006E17B9">
        <w:t>lame</w:t>
      </w:r>
      <w:r w:rsidR="007A44AB">
        <w:t xml:space="preserve"> is usually borne by regulators:</w:t>
      </w:r>
    </w:p>
    <w:p w:rsidR="007A44AB" w:rsidRDefault="007A44AB" w:rsidP="007A44AB">
      <w:pPr>
        <w:pStyle w:val="Quote"/>
      </w:pPr>
      <w:r>
        <w:t>To the public, and especially to industry, regulators seem all too often nitpicky, unreasonable, unnecessarily adversarial, rigidly bureaucratic, incapable of applying discretion sensibly, and (worst of all, since regulation costs so much) ineffective in achieving their missions. (p. 18)</w:t>
      </w:r>
    </w:p>
    <w:p w:rsidR="007A44AB" w:rsidRDefault="007A44AB" w:rsidP="007A44AB">
      <w:pPr>
        <w:pStyle w:val="BodyText"/>
      </w:pPr>
      <w:r>
        <w:t xml:space="preserve">Some </w:t>
      </w:r>
      <w:r w:rsidR="00144042">
        <w:t xml:space="preserve">business </w:t>
      </w:r>
      <w:r>
        <w:t xml:space="preserve">concerns with </w:t>
      </w:r>
      <w:r w:rsidR="00144042">
        <w:t xml:space="preserve">regulator approaches </w:t>
      </w:r>
      <w:r>
        <w:t>were outlined by the Regulation Taskforce (2006) — box 1. Issues commonly identified include heavy-handedness and undue legalism; failure to use risk assessment when determining how stringently or widely to enforce a regulation; poor and ineffective communication; and a lack of certainty and guidance to business about compliance requirements.</w:t>
      </w:r>
    </w:p>
    <w:p w:rsidR="00E35C95" w:rsidRDefault="00E35C95" w:rsidP="00E35C9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35C95" w:rsidTr="00E47268">
        <w:tc>
          <w:tcPr>
            <w:tcW w:w="8771" w:type="dxa"/>
            <w:tcBorders>
              <w:top w:val="single" w:sz="6" w:space="0" w:color="auto"/>
              <w:bottom w:val="nil"/>
            </w:tcBorders>
          </w:tcPr>
          <w:p w:rsidR="00E35C95" w:rsidRDefault="00E35C95" w:rsidP="00E47268">
            <w:pPr>
              <w:pStyle w:val="BoxTitle"/>
            </w:pPr>
            <w:r>
              <w:rPr>
                <w:b w:val="0"/>
              </w:rPr>
              <w:t xml:space="preserve">Box </w:t>
            </w:r>
            <w:r w:rsidR="00C615CB">
              <w:rPr>
                <w:b w:val="0"/>
                <w:noProof/>
              </w:rPr>
              <w:t>1</w:t>
            </w:r>
            <w:r>
              <w:tab/>
              <w:t>Business concerns with regulator approaches</w:t>
            </w:r>
          </w:p>
        </w:tc>
      </w:tr>
      <w:tr w:rsidR="00E35C95" w:rsidTr="00E47268">
        <w:trPr>
          <w:cantSplit/>
        </w:trPr>
        <w:tc>
          <w:tcPr>
            <w:tcW w:w="8771" w:type="dxa"/>
            <w:tcBorders>
              <w:top w:val="nil"/>
              <w:left w:val="single" w:sz="6" w:space="0" w:color="auto"/>
              <w:bottom w:val="nil"/>
              <w:right w:val="single" w:sz="6" w:space="0" w:color="auto"/>
            </w:tcBorders>
          </w:tcPr>
          <w:p w:rsidR="00E35C95" w:rsidRDefault="00E35C95" w:rsidP="00E47268">
            <w:pPr>
              <w:pStyle w:val="Box"/>
            </w:pPr>
            <w:r>
              <w:t>The Regulation Taskforce identified the following business concerns:</w:t>
            </w:r>
          </w:p>
          <w:p w:rsidR="00E35C95" w:rsidRDefault="00E35C95" w:rsidP="00E47268">
            <w:pPr>
              <w:pStyle w:val="BoxListBullet"/>
            </w:pPr>
            <w:r>
              <w:t>excessive prescriptiveness in interpreting statutes</w:t>
            </w:r>
          </w:p>
          <w:p w:rsidR="00E35C95" w:rsidRDefault="00E35C95" w:rsidP="00E47268">
            <w:pPr>
              <w:pStyle w:val="BoxListBullet"/>
            </w:pPr>
            <w:r>
              <w:t>lack of risk-based strategies in enforcement</w:t>
            </w:r>
          </w:p>
          <w:p w:rsidR="00E35C95" w:rsidRDefault="00E35C95" w:rsidP="00E47268">
            <w:pPr>
              <w:pStyle w:val="BoxListBullet"/>
            </w:pPr>
            <w:r>
              <w:t>harsh or rigid enforcement actions</w:t>
            </w:r>
          </w:p>
          <w:p w:rsidR="00E35C95" w:rsidRDefault="00E35C95" w:rsidP="00E47268">
            <w:pPr>
              <w:pStyle w:val="BoxListBullet"/>
            </w:pPr>
            <w:r>
              <w:t>misuse of the media to publicise pending actions or perceived misdemeanours</w:t>
            </w:r>
          </w:p>
          <w:p w:rsidR="00E35C95" w:rsidRDefault="00E35C95" w:rsidP="00E47268">
            <w:pPr>
              <w:pStyle w:val="BoxListBullet"/>
            </w:pPr>
            <w:r>
              <w:t>micro-management in overseeing compliance, including excessive or inappropriate demands for information</w:t>
            </w:r>
          </w:p>
          <w:p w:rsidR="00E35C95" w:rsidRDefault="00E35C95" w:rsidP="00E47268">
            <w:pPr>
              <w:pStyle w:val="BoxListBullet"/>
            </w:pPr>
            <w:r>
              <w:t>an adversarial attitude to or general distrust of business people</w:t>
            </w:r>
          </w:p>
          <w:p w:rsidR="00E35C95" w:rsidRDefault="00E35C95" w:rsidP="00E47268">
            <w:pPr>
              <w:pStyle w:val="BoxListBullet"/>
            </w:pPr>
            <w:r>
              <w:t>lack of effective communication with business about proposed regulatory changes, interpretations or investigations</w:t>
            </w:r>
          </w:p>
          <w:p w:rsidR="00E35C95" w:rsidRDefault="00E35C95" w:rsidP="00E47268">
            <w:pPr>
              <w:pStyle w:val="BoxListBullet"/>
            </w:pPr>
            <w:r>
              <w:t>lack of informal guidance about what constitutes adequate compliance</w:t>
            </w:r>
          </w:p>
          <w:p w:rsidR="00E35C95" w:rsidRDefault="00E35C95" w:rsidP="00E47268">
            <w:pPr>
              <w:pStyle w:val="BoxListBullet"/>
            </w:pPr>
            <w:r>
              <w:t>over-reach or undue ambition in seeking to avoid undesirable outcomes such as corporate failure, consumer losses or other adverse events</w:t>
            </w:r>
          </w:p>
          <w:p w:rsidR="00E35C95" w:rsidRDefault="00E35C95" w:rsidP="00E47268">
            <w:pPr>
              <w:pStyle w:val="BoxListBullet"/>
            </w:pPr>
            <w:r>
              <w:t>going beyond implementing or administering policy to what amounts to de facto policy making.</w:t>
            </w:r>
          </w:p>
        </w:tc>
      </w:tr>
      <w:tr w:rsidR="00E35C95" w:rsidTr="00E47268">
        <w:trPr>
          <w:cantSplit/>
        </w:trPr>
        <w:tc>
          <w:tcPr>
            <w:tcW w:w="8771" w:type="dxa"/>
            <w:tcBorders>
              <w:top w:val="nil"/>
              <w:left w:val="single" w:sz="6" w:space="0" w:color="auto"/>
              <w:bottom w:val="nil"/>
              <w:right w:val="single" w:sz="6" w:space="0" w:color="auto"/>
            </w:tcBorders>
          </w:tcPr>
          <w:p w:rsidR="00E35C95" w:rsidRDefault="00E35C95" w:rsidP="00E47268">
            <w:pPr>
              <w:pStyle w:val="BoxSource"/>
            </w:pPr>
            <w:r>
              <w:rPr>
                <w:i/>
              </w:rPr>
              <w:t>Source</w:t>
            </w:r>
            <w:r w:rsidRPr="00167F06">
              <w:t xml:space="preserve">: </w:t>
            </w:r>
            <w:r>
              <w:t>Regulation Taskforce (2006).</w:t>
            </w:r>
          </w:p>
        </w:tc>
      </w:tr>
      <w:tr w:rsidR="00E35C95" w:rsidTr="00E47268">
        <w:trPr>
          <w:cantSplit/>
        </w:trPr>
        <w:tc>
          <w:tcPr>
            <w:tcW w:w="8771" w:type="dxa"/>
            <w:tcBorders>
              <w:top w:val="nil"/>
              <w:left w:val="single" w:sz="6" w:space="0" w:color="auto"/>
              <w:bottom w:val="single" w:sz="6" w:space="0" w:color="auto"/>
              <w:right w:val="single" w:sz="6" w:space="0" w:color="auto"/>
            </w:tcBorders>
          </w:tcPr>
          <w:p w:rsidR="00E35C95" w:rsidRDefault="00E35C95" w:rsidP="00E47268">
            <w:pPr>
              <w:pStyle w:val="Box"/>
              <w:spacing w:before="0" w:line="120" w:lineRule="exact"/>
            </w:pPr>
          </w:p>
        </w:tc>
      </w:tr>
      <w:tr w:rsidR="00E35C95" w:rsidRPr="000863A5" w:rsidTr="00E47268">
        <w:tc>
          <w:tcPr>
            <w:tcW w:w="8771" w:type="dxa"/>
            <w:tcBorders>
              <w:top w:val="nil"/>
              <w:left w:val="nil"/>
              <w:bottom w:val="nil"/>
              <w:right w:val="nil"/>
            </w:tcBorders>
          </w:tcPr>
          <w:p w:rsidR="00E35C95" w:rsidRPr="00626D32" w:rsidRDefault="00E35C95" w:rsidP="00E47268">
            <w:pPr>
              <w:pStyle w:val="BoxSpaceBelow"/>
            </w:pPr>
          </w:p>
        </w:tc>
      </w:tr>
    </w:tbl>
    <w:p w:rsidR="001810C5" w:rsidRDefault="001810C5" w:rsidP="001810C5">
      <w:pPr>
        <w:pStyle w:val="Heading3"/>
      </w:pPr>
      <w:r>
        <w:lastRenderedPageBreak/>
        <w:t>Nature of cost impacts</w:t>
      </w:r>
    </w:p>
    <w:p w:rsidR="001810C5" w:rsidRDefault="0063234F" w:rsidP="001810C5">
      <w:pPr>
        <w:pStyle w:val="BodyText"/>
      </w:pPr>
      <w:r>
        <w:t>In</w:t>
      </w:r>
      <w:r w:rsidR="001810C5">
        <w:t xml:space="preserve"> this study </w:t>
      </w:r>
      <w:r>
        <w:t>the Commission will seek to</w:t>
      </w:r>
      <w:r w:rsidR="00236D4F">
        <w:t xml:space="preserve"> identify particular regulator practices that </w:t>
      </w:r>
      <w:r w:rsidR="007D069D">
        <w:t>minimise</w:t>
      </w:r>
      <w:r w:rsidR="00236D4F">
        <w:t xml:space="preserve"> the cost of compliance for </w:t>
      </w:r>
      <w:r w:rsidR="00144042">
        <w:t xml:space="preserve">small </w:t>
      </w:r>
      <w:r w:rsidR="00236D4F">
        <w:t>business</w:t>
      </w:r>
      <w:r w:rsidR="00144042">
        <w:t xml:space="preserve"> — t</w:t>
      </w:r>
      <w:r w:rsidR="00236D4F">
        <w:t>hat is,</w:t>
      </w:r>
      <w:r w:rsidR="001810C5">
        <w:t xml:space="preserve"> the costs incurred in meeting requirements </w:t>
      </w:r>
      <w:r w:rsidR="007D069D">
        <w:t>are only</w:t>
      </w:r>
      <w:r w:rsidR="001810C5">
        <w:t xml:space="preserve"> those necessary to achieve regulatory outcomes.</w:t>
      </w:r>
    </w:p>
    <w:p w:rsidR="001810C5" w:rsidRDefault="001810C5" w:rsidP="001810C5">
      <w:pPr>
        <w:pStyle w:val="BodyText"/>
      </w:pPr>
      <w:r>
        <w:t>Compliance costs for business can usually be divided into two broad categories:</w:t>
      </w:r>
    </w:p>
    <w:p w:rsidR="001810C5" w:rsidRDefault="001810C5" w:rsidP="001810C5">
      <w:pPr>
        <w:pStyle w:val="ListBullet"/>
      </w:pPr>
      <w:r>
        <w:t>one-off costs, such as businesses acquiring sufficient knowledge to meet their regulatory obligations, purchasing/leasing additional equipment and buildings, legal/consultancy fees and training expenses</w:t>
      </w:r>
    </w:p>
    <w:p w:rsidR="001810C5" w:rsidRDefault="001810C5" w:rsidP="001810C5">
      <w:pPr>
        <w:pStyle w:val="ListBullet"/>
      </w:pPr>
      <w:r>
        <w:t>recurring and ongoing costs, such as staff costs, consumable materials, inspection fees/licences and costs arising from the need to devote additional time and resources to satisfying regulatory requirements.</w:t>
      </w:r>
    </w:p>
    <w:p w:rsidR="007D069D" w:rsidRDefault="007122D7" w:rsidP="007D069D">
      <w:pPr>
        <w:pStyle w:val="BodyText"/>
      </w:pPr>
      <w:r>
        <w:t>For example, in relation to inspections</w:t>
      </w:r>
      <w:r w:rsidR="004D4BE6">
        <w:t>, compliance costs may include</w:t>
      </w:r>
      <w:r>
        <w:t xml:space="preserve">: time expended on administrative tasks to prepare for the inspection (including time to retrieve or prepare specific documentation); staff </w:t>
      </w:r>
      <w:r w:rsidR="004D4BE6">
        <w:t>time spent with the inspectors and away from normal work duties</w:t>
      </w:r>
      <w:r>
        <w:t>; and following up inspectors’ requests (gathering information, form filling, visiting government offices).</w:t>
      </w:r>
      <w:r w:rsidR="007D069D">
        <w:t xml:space="preserve"> </w:t>
      </w:r>
    </w:p>
    <w:p w:rsidR="002825B5" w:rsidRDefault="0063234F" w:rsidP="002825B5">
      <w:pPr>
        <w:pStyle w:val="BodyText"/>
      </w:pPr>
      <w:r>
        <w:t xml:space="preserve">In addition to compliance costs for business, there are also </w:t>
      </w:r>
      <w:r w:rsidR="0058671F">
        <w:t xml:space="preserve">potential </w:t>
      </w:r>
      <w:r w:rsidR="002825B5">
        <w:t>economic costs of regulat</w:t>
      </w:r>
      <w:r w:rsidR="00D10D05">
        <w:t>ory enforcement</w:t>
      </w:r>
      <w:r w:rsidR="002825B5">
        <w:t xml:space="preserve"> — </w:t>
      </w:r>
      <w:r w:rsidR="00DE74FA">
        <w:t xml:space="preserve">such as </w:t>
      </w:r>
      <w:r w:rsidR="002825B5">
        <w:t>higher input prices</w:t>
      </w:r>
      <w:r w:rsidR="00DE74FA">
        <w:t xml:space="preserve">, changed work practices, restricted access to markets, reduced incentives for </w:t>
      </w:r>
      <w:r w:rsidR="000B397F">
        <w:t xml:space="preserve">creation/expansion, </w:t>
      </w:r>
      <w:r w:rsidR="00DE74FA">
        <w:t>efficiency, entrepreneurship and innovation. However, examin</w:t>
      </w:r>
      <w:r>
        <w:t>ing</w:t>
      </w:r>
      <w:r w:rsidR="00DE74FA">
        <w:t xml:space="preserve"> compliance </w:t>
      </w:r>
      <w:r w:rsidR="002825B5">
        <w:t xml:space="preserve">costs </w:t>
      </w:r>
      <w:r>
        <w:t>are</w:t>
      </w:r>
      <w:r w:rsidR="00DE74FA">
        <w:t xml:space="preserve"> instructive </w:t>
      </w:r>
      <w:r w:rsidR="00241FCA">
        <w:t>as</w:t>
      </w:r>
      <w:r w:rsidR="00DE74FA">
        <w:t xml:space="preserve"> </w:t>
      </w:r>
      <w:r>
        <w:t>they</w:t>
      </w:r>
      <w:r w:rsidR="00DE74FA">
        <w:t xml:space="preserve"> </w:t>
      </w:r>
      <w:r w:rsidR="002825B5">
        <w:t xml:space="preserve">indicate potential areas where regulatory simplification and better delivery may produce lower overall costs without compromising regulatory </w:t>
      </w:r>
      <w:r w:rsidR="00DE74FA">
        <w:t>objectives</w:t>
      </w:r>
      <w:r w:rsidR="002825B5">
        <w:t xml:space="preserve">. </w:t>
      </w:r>
      <w:r w:rsidR="003A0D80">
        <w:t>U</w:t>
      </w:r>
      <w:r w:rsidR="0058671F">
        <w:t>nnecessary c</w:t>
      </w:r>
      <w:r w:rsidR="00DE74FA">
        <w:t xml:space="preserve">ompliance costs </w:t>
      </w:r>
      <w:r w:rsidR="002825B5">
        <w:t>also explain why small businesses are particularly disenchanted with some regulations</w:t>
      </w:r>
      <w:r w:rsidR="004D4BE6">
        <w:t xml:space="preserve"> or enforcement approaches</w:t>
      </w:r>
      <w:r w:rsidR="002825B5">
        <w:t>.</w:t>
      </w:r>
    </w:p>
    <w:p w:rsidR="003A3D58" w:rsidRDefault="00144042" w:rsidP="002825B5">
      <w:pPr>
        <w:pStyle w:val="BodyText"/>
      </w:pPr>
      <w:r>
        <w:t>In previous studies and in preliminary consultations for this study, the Commission was advised that m</w:t>
      </w:r>
      <w:r w:rsidR="00396CE4">
        <w:t>any of the concerns of small business with regulations relate to the way regulations are implemented</w:t>
      </w:r>
      <w:r w:rsidR="00D10D05">
        <w:t>,</w:t>
      </w:r>
      <w:r w:rsidR="00396CE4">
        <w:t xml:space="preserve"> enforced or delivered to businesses</w:t>
      </w:r>
      <w:r>
        <w:t xml:space="preserve"> (</w:t>
      </w:r>
      <w:r w:rsidR="00706436">
        <w:t xml:space="preserve">PC 2009, 2010, </w:t>
      </w:r>
      <w:r w:rsidR="00DD2669">
        <w:t xml:space="preserve">2011b, </w:t>
      </w:r>
      <w:r w:rsidR="00E25D3B">
        <w:t>2012b)</w:t>
      </w:r>
      <w:r w:rsidR="00396CE4">
        <w:t>. For example:</w:t>
      </w:r>
    </w:p>
    <w:p w:rsidR="00396CE4" w:rsidRDefault="00396CE4" w:rsidP="00396CE4">
      <w:pPr>
        <w:pStyle w:val="ListBullet"/>
      </w:pPr>
      <w:r>
        <w:t>the paperwork burden</w:t>
      </w:r>
    </w:p>
    <w:p w:rsidR="00396CE4" w:rsidRDefault="00396CE4" w:rsidP="00396CE4">
      <w:pPr>
        <w:pStyle w:val="ListBullet"/>
      </w:pPr>
      <w:r>
        <w:t>the level of prescription</w:t>
      </w:r>
    </w:p>
    <w:p w:rsidR="00396CE4" w:rsidRDefault="00396CE4" w:rsidP="00396CE4">
      <w:pPr>
        <w:pStyle w:val="ListBullet"/>
      </w:pPr>
      <w:r>
        <w:t>uncertainty about the purpose, scope and timing of regulatory requirements</w:t>
      </w:r>
    </w:p>
    <w:p w:rsidR="00396CE4" w:rsidRDefault="00396CE4" w:rsidP="00396CE4">
      <w:pPr>
        <w:pStyle w:val="ListBullet"/>
      </w:pPr>
      <w:r>
        <w:t>confusion between legislative requir</w:t>
      </w:r>
      <w:r w:rsidR="00B344AF">
        <w:t>ements and voluntary guidelines</w:t>
      </w:r>
    </w:p>
    <w:p w:rsidR="003A0D80" w:rsidRDefault="003A0D80" w:rsidP="00396CE4">
      <w:pPr>
        <w:pStyle w:val="ListBullet"/>
      </w:pPr>
      <w:r>
        <w:t>inconsistent interpretation/application of regulatory requirements by regulators</w:t>
      </w:r>
    </w:p>
    <w:p w:rsidR="00B344AF" w:rsidRDefault="00B344AF" w:rsidP="00396CE4">
      <w:pPr>
        <w:pStyle w:val="ListBullet"/>
      </w:pPr>
      <w:r>
        <w:t>the way in which enforcement is achieved by regulators.</w:t>
      </w:r>
    </w:p>
    <w:p w:rsidR="00CA0C71" w:rsidRDefault="00CA0C71" w:rsidP="00CA0C71">
      <w:pPr>
        <w:pStyle w:val="BodyText"/>
        <w:rPr>
          <w:b/>
          <w:i/>
        </w:rPr>
      </w:pPr>
      <w:r>
        <w:rPr>
          <w:b/>
          <w:i/>
        </w:rPr>
        <w:lastRenderedPageBreak/>
        <w:t>How do regulators’ engagement approach</w:t>
      </w:r>
      <w:r w:rsidR="00720A33">
        <w:rPr>
          <w:b/>
          <w:i/>
        </w:rPr>
        <w:t>es affect the nature and impact</w:t>
      </w:r>
      <w:r>
        <w:rPr>
          <w:b/>
          <w:i/>
        </w:rPr>
        <w:t xml:space="preserve"> of compliance costs on business?</w:t>
      </w:r>
      <w:r w:rsidR="00C111E7">
        <w:rPr>
          <w:b/>
          <w:i/>
        </w:rPr>
        <w:t xml:space="preserve"> </w:t>
      </w:r>
      <w:r w:rsidRPr="00D10D05">
        <w:rPr>
          <w:b/>
          <w:i/>
        </w:rPr>
        <w:t xml:space="preserve">What are </w:t>
      </w:r>
      <w:r>
        <w:rPr>
          <w:b/>
          <w:i/>
        </w:rPr>
        <w:t xml:space="preserve">some examples of regulators’ engagement approaches that impose excessive or </w:t>
      </w:r>
      <w:r w:rsidRPr="00D10D05">
        <w:rPr>
          <w:b/>
          <w:i/>
        </w:rPr>
        <w:t xml:space="preserve">unnecessary </w:t>
      </w:r>
      <w:r>
        <w:rPr>
          <w:b/>
          <w:i/>
        </w:rPr>
        <w:t>costs on business</w:t>
      </w:r>
      <w:r w:rsidRPr="00D10D05">
        <w:rPr>
          <w:b/>
          <w:i/>
        </w:rPr>
        <w:t>?</w:t>
      </w:r>
    </w:p>
    <w:p w:rsidR="00CA0C71" w:rsidRDefault="00C111E7" w:rsidP="00CA0C71">
      <w:pPr>
        <w:pStyle w:val="BodyText"/>
        <w:rPr>
          <w:b/>
          <w:i/>
        </w:rPr>
      </w:pPr>
      <w:r>
        <w:rPr>
          <w:b/>
          <w:i/>
        </w:rPr>
        <w:t>Which</w:t>
      </w:r>
      <w:r w:rsidR="00CA0C71">
        <w:rPr>
          <w:b/>
          <w:i/>
        </w:rPr>
        <w:t xml:space="preserve"> regulators monitor and/or seek to measure the regulatory compliance costs their administration and enforcement practices impose on business? Which regulators do this most effectively?</w:t>
      </w:r>
    </w:p>
    <w:p w:rsidR="009F5D5C" w:rsidRDefault="009F5D5C" w:rsidP="009F5D5C">
      <w:pPr>
        <w:pStyle w:val="BodyText"/>
        <w:rPr>
          <w:b/>
          <w:i/>
        </w:rPr>
      </w:pPr>
      <w:r>
        <w:rPr>
          <w:b/>
          <w:i/>
        </w:rPr>
        <w:t>In what ways can regulators improve their current engagement approaches and compliance practices to better achieve regulatory objectives and reduce unnecessary compliance costs on business?</w:t>
      </w:r>
    </w:p>
    <w:p w:rsidR="00FB54A0" w:rsidRDefault="00FB54A0" w:rsidP="00FB54A0">
      <w:pPr>
        <w:pStyle w:val="Heading3"/>
      </w:pPr>
      <w:r>
        <w:t>Is there a rationale for treating small business differently?</w:t>
      </w:r>
    </w:p>
    <w:p w:rsidR="009339A4" w:rsidRDefault="00FB54A0" w:rsidP="00FB54A0">
      <w:pPr>
        <w:pStyle w:val="BodyText"/>
      </w:pPr>
      <w:r>
        <w:t xml:space="preserve">In principle, measures to ease compliance burdens should be broad-based and aimed at eliminating arbitrary, ineffective or badly designed features of regulations — irrespective of whether this affects small or large businesses. </w:t>
      </w:r>
      <w:r w:rsidR="009339A4">
        <w:t xml:space="preserve">A well-structured risk-based approach to regulation </w:t>
      </w:r>
      <w:r w:rsidR="00655DF9">
        <w:t>(</w:t>
      </w:r>
      <w:r w:rsidR="00655DF9">
        <w:rPr>
          <w:lang w:val="en"/>
        </w:rPr>
        <w:t>by deploying</w:t>
      </w:r>
      <w:r w:rsidR="00655DF9" w:rsidRPr="00967D60">
        <w:rPr>
          <w:lang w:val="en"/>
        </w:rPr>
        <w:t xml:space="preserve"> resources </w:t>
      </w:r>
      <w:r w:rsidR="00655DF9">
        <w:rPr>
          <w:lang w:val="en"/>
        </w:rPr>
        <w:t xml:space="preserve">based </w:t>
      </w:r>
      <w:r w:rsidR="00655DF9" w:rsidRPr="00967D60">
        <w:rPr>
          <w:lang w:val="en"/>
        </w:rPr>
        <w:t>on an evidence-based assessment of risk</w:t>
      </w:r>
      <w:r w:rsidR="00655DF9">
        <w:rPr>
          <w:lang w:val="en"/>
        </w:rPr>
        <w:t>)</w:t>
      </w:r>
      <w:r w:rsidR="00EC52FC">
        <w:rPr>
          <w:lang w:val="en"/>
        </w:rPr>
        <w:t xml:space="preserve"> </w:t>
      </w:r>
      <w:r w:rsidR="009339A4">
        <w:t xml:space="preserve">should lead to an appropriate framework for a regulator to deal with small businesses. The challenge </w:t>
      </w:r>
      <w:r w:rsidR="00EC52FC">
        <w:t xml:space="preserve">for a regulator </w:t>
      </w:r>
      <w:r w:rsidR="009339A4">
        <w:t xml:space="preserve">is developing a culture and attitude within </w:t>
      </w:r>
      <w:r w:rsidR="00C65A21">
        <w:t>its</w:t>
      </w:r>
      <w:r w:rsidR="00EC52FC">
        <w:t xml:space="preserve"> organisation</w:t>
      </w:r>
      <w:r w:rsidR="009339A4">
        <w:t xml:space="preserve"> that delivers in practice. </w:t>
      </w:r>
    </w:p>
    <w:p w:rsidR="00FB54A0" w:rsidRDefault="00FB54A0" w:rsidP="00FB54A0">
      <w:pPr>
        <w:pStyle w:val="BodyText"/>
      </w:pPr>
      <w:r>
        <w:t xml:space="preserve">Given the vast majority of businesses are small, if such businesses were for example, exempted from a regulation, the regulation would be unlikely to achieve its objective. It is thus important when considering any tailoring of regulatory requirements to strike the right balance between reducing the compliance burden for small business and achieving the regulatory objective. </w:t>
      </w:r>
    </w:p>
    <w:p w:rsidR="007122D7" w:rsidRDefault="007122D7" w:rsidP="007122D7">
      <w:pPr>
        <w:pStyle w:val="BodyText"/>
      </w:pPr>
      <w:r>
        <w:t xml:space="preserve">Compliance with regulations </w:t>
      </w:r>
      <w:r w:rsidR="00E51312" w:rsidRPr="00D10D05">
        <w:rPr>
          <w:i/>
        </w:rPr>
        <w:t>can</w:t>
      </w:r>
      <w:r>
        <w:t xml:space="preserve"> impose proportionally greater administrative burdens on small businesses than on larger ones. In part, this reflects the existence of substantial fixed costs in establishing systems for compliance — for larger businesses, these costs are usually spread over much greater turnover. Filling in a form takes a certain amount of time, and it makes </w:t>
      </w:r>
      <w:r w:rsidR="005A0997">
        <w:t>little</w:t>
      </w:r>
      <w:r>
        <w:t xml:space="preserve"> difference that a larger business might have to fill in </w:t>
      </w:r>
      <w:r w:rsidR="00316E27">
        <w:t>larger numbers</w:t>
      </w:r>
      <w:r>
        <w:t xml:space="preserve">. For larger businesses, investment in information technology and rationalisation of regulatory obligations will often be worthwhile because </w:t>
      </w:r>
      <w:r w:rsidR="005A0997">
        <w:t xml:space="preserve">of </w:t>
      </w:r>
      <w:r>
        <w:t xml:space="preserve">the larger number of cases to be dealt with, improving efficiency. In addition, unlike larger businesses, small firms </w:t>
      </w:r>
      <w:r w:rsidR="00144042">
        <w:t xml:space="preserve">generally </w:t>
      </w:r>
      <w:r>
        <w:t>do not have specialised staff to handle regulatory matters and will often find that compliance diverts managers from other important tasks in running the business.</w:t>
      </w:r>
    </w:p>
    <w:p w:rsidR="007122D7" w:rsidRDefault="00A16F7F" w:rsidP="007122D7">
      <w:pPr>
        <w:pStyle w:val="BodyText"/>
      </w:pPr>
      <w:r>
        <w:t>T</w:t>
      </w:r>
      <w:r w:rsidR="00FB54A0">
        <w:t>here may be a justification in tailoring the regulatory requirements for small business</w:t>
      </w:r>
      <w:r w:rsidR="00F053F1">
        <w:t>, for example,</w:t>
      </w:r>
      <w:r w:rsidR="00FB54A0">
        <w:t xml:space="preserve"> by providing alternative (often more lenient) regulatory </w:t>
      </w:r>
      <w:r w:rsidR="00FB54A0">
        <w:lastRenderedPageBreak/>
        <w:t>treatment or exemptions</w:t>
      </w:r>
      <w:r>
        <w:t>, particularly where regulators are following a risk-based approach</w:t>
      </w:r>
      <w:r w:rsidR="00CE17BB">
        <w:t>:</w:t>
      </w:r>
    </w:p>
    <w:p w:rsidR="007122D7" w:rsidRDefault="00144042" w:rsidP="007122D7">
      <w:pPr>
        <w:pStyle w:val="ListBullet"/>
      </w:pPr>
      <w:r>
        <w:t xml:space="preserve">exemptions </w:t>
      </w:r>
      <w:r w:rsidR="007122D7">
        <w:t>— for example, smaller businesses may be exempted from the substantive requirements of a regulation</w:t>
      </w:r>
      <w:r w:rsidR="00D10D05">
        <w:t xml:space="preserve">, </w:t>
      </w:r>
      <w:r w:rsidR="007122D7">
        <w:t>from record keeping requirements</w:t>
      </w:r>
      <w:r w:rsidR="00D10D05">
        <w:t>,</w:t>
      </w:r>
      <w:r w:rsidR="007122D7">
        <w:t xml:space="preserve"> or </w:t>
      </w:r>
      <w:r w:rsidR="00D10D05">
        <w:t xml:space="preserve">from </w:t>
      </w:r>
      <w:r w:rsidR="007122D7">
        <w:t xml:space="preserve">inspection </w:t>
      </w:r>
      <w:r>
        <w:t>regimes</w:t>
      </w:r>
    </w:p>
    <w:p w:rsidR="007122D7" w:rsidRDefault="00144042" w:rsidP="007122D7">
      <w:pPr>
        <w:pStyle w:val="ListBullet"/>
      </w:pPr>
      <w:r>
        <w:t xml:space="preserve">lighter </w:t>
      </w:r>
      <w:r w:rsidR="007122D7">
        <w:t>regulatory requirements — for example, these may involve less onerous reporting/record keeping requirements, or reduced enforcement</w:t>
      </w:r>
      <w:r w:rsidR="00316E27">
        <w:t xml:space="preserve">, </w:t>
      </w:r>
      <w:r w:rsidR="007122D7">
        <w:t>monitoring</w:t>
      </w:r>
      <w:r w:rsidR="00316E27">
        <w:t xml:space="preserve">, and </w:t>
      </w:r>
      <w:r w:rsidR="007122D7">
        <w:t>auditing efforts for smaller businesses (Bickerdyke and Lattimore 1997).</w:t>
      </w:r>
    </w:p>
    <w:p w:rsidR="00A97B69" w:rsidRDefault="007122D7" w:rsidP="007122D7">
      <w:pPr>
        <w:pStyle w:val="BodyText"/>
      </w:pPr>
      <w:r w:rsidRPr="00913BC1">
        <w:t xml:space="preserve">The critical aspect — from an </w:t>
      </w:r>
      <w:r w:rsidR="00D10D05">
        <w:t xml:space="preserve">economic </w:t>
      </w:r>
      <w:r w:rsidRPr="00913BC1">
        <w:t>efficiency perspective —</w:t>
      </w:r>
      <w:r>
        <w:t xml:space="preserve"> is whether any change in a </w:t>
      </w:r>
      <w:r w:rsidR="00144042">
        <w:t xml:space="preserve">regulatory approach </w:t>
      </w:r>
      <w:r>
        <w:t xml:space="preserve">to take account of firm size differences can produce net gains for the community (not just </w:t>
      </w:r>
      <w:r w:rsidR="00D10D05">
        <w:t xml:space="preserve">for </w:t>
      </w:r>
      <w:r>
        <w:t xml:space="preserve">small businesses). </w:t>
      </w:r>
      <w:r w:rsidR="00DB58F0">
        <w:t xml:space="preserve">Such net gains will likely depend on a range of factors including: </w:t>
      </w:r>
      <w:r w:rsidR="00CE17BB">
        <w:t xml:space="preserve">the costs of obtaining the information necessary for a variable approach; the costs of </w:t>
      </w:r>
      <w:r w:rsidR="00A16F7F">
        <w:t xml:space="preserve">administration and </w:t>
      </w:r>
      <w:r w:rsidR="00CE17BB">
        <w:t>enforcement; the costs associated with non-compliance; and t</w:t>
      </w:r>
      <w:r w:rsidR="00FF3B54">
        <w:t xml:space="preserve">he risks of incorrect targeting, </w:t>
      </w:r>
      <w:r w:rsidR="00CE17BB">
        <w:t>leading to adverse regulatory outcomes.</w:t>
      </w:r>
      <w:r w:rsidR="002C7B0D">
        <w:t xml:space="preserve"> Over time</w:t>
      </w:r>
      <w:r w:rsidR="00FE4FA6">
        <w:t>,</w:t>
      </w:r>
      <w:r w:rsidR="002C7B0D">
        <w:t xml:space="preserve"> a tailored approach may help facilitate innovation and entrepreneurship in </w:t>
      </w:r>
      <w:r w:rsidR="008C1CB7">
        <w:t xml:space="preserve">existing </w:t>
      </w:r>
      <w:r w:rsidR="002C7B0D">
        <w:t xml:space="preserve">firms </w:t>
      </w:r>
      <w:r w:rsidR="008C1CB7">
        <w:t>and assist the creation of new firms.</w:t>
      </w:r>
    </w:p>
    <w:p w:rsidR="00465CF2" w:rsidRDefault="005D2522" w:rsidP="00CD5CC8">
      <w:pPr>
        <w:pStyle w:val="BodyText"/>
      </w:pPr>
      <w:r>
        <w:t xml:space="preserve">Internationally, some jurisdictions have moved beyond developing processes and have begun taking action to produce small business friendly regulatory proposals. </w:t>
      </w:r>
      <w:r w:rsidR="00DE145F">
        <w:t xml:space="preserve">For </w:t>
      </w:r>
      <w:r>
        <w:t xml:space="preserve">example, </w:t>
      </w:r>
      <w:r w:rsidR="00465CF2">
        <w:t xml:space="preserve">the European Union </w:t>
      </w:r>
      <w:r>
        <w:t>have been focused</w:t>
      </w:r>
      <w:r w:rsidR="00465CF2">
        <w:t xml:space="preserve"> on creating a regulatory environment that is consistent with a ‘Think Small First’ principle to avoid unnecessary burdens on small business. </w:t>
      </w:r>
      <w:r w:rsidR="00DE145F">
        <w:t>More recently</w:t>
      </w:r>
      <w:r w:rsidR="00D837FE">
        <w:t>,</w:t>
      </w:r>
      <w:r w:rsidR="00465CF2">
        <w:t xml:space="preserve"> the European Commission’s preparation of regulatory proposals </w:t>
      </w:r>
      <w:r w:rsidR="00D837FE">
        <w:t>has been</w:t>
      </w:r>
      <w:r w:rsidR="00465CF2">
        <w:t xml:space="preserve"> based on the premise that</w:t>
      </w:r>
      <w:r w:rsidR="00D837FE">
        <w:t xml:space="preserve"> micro businesses (</w:t>
      </w:r>
      <w:r w:rsidR="00DE145F">
        <w:t xml:space="preserve">those businesses with </w:t>
      </w:r>
      <w:r w:rsidR="00D837FE">
        <w:t xml:space="preserve">less than ten employees and turnover </w:t>
      </w:r>
      <w:r>
        <w:t xml:space="preserve">equal to or </w:t>
      </w:r>
      <w:r w:rsidR="00D837FE">
        <w:t xml:space="preserve">less than </w:t>
      </w:r>
      <w:r w:rsidR="00DE145F">
        <w:t xml:space="preserve">€2 million) </w:t>
      </w:r>
      <w:r w:rsidR="00D837FE">
        <w:t xml:space="preserve">should be excluded from proposed regulation unless </w:t>
      </w:r>
      <w:r w:rsidR="006423A5">
        <w:t>justification</w:t>
      </w:r>
      <w:r w:rsidR="00D837FE">
        <w:t xml:space="preserve"> </w:t>
      </w:r>
      <w:r w:rsidR="006423A5">
        <w:t>for</w:t>
      </w:r>
      <w:r w:rsidR="00D837FE">
        <w:t xml:space="preserve"> their </w:t>
      </w:r>
      <w:r w:rsidR="006423A5">
        <w:t>inclusion</w:t>
      </w:r>
      <w:r w:rsidR="00D837FE">
        <w:t xml:space="preserve"> can be demonstrated. </w:t>
      </w:r>
      <w:r w:rsidR="00DE145F">
        <w:t>I</w:t>
      </w:r>
      <w:r w:rsidR="00D837FE">
        <w:t>n those cases where it is demonstrated that micro businesses must be covered</w:t>
      </w:r>
      <w:r w:rsidR="00DE145F">
        <w:t xml:space="preserve"> to achieve public policy objectives</w:t>
      </w:r>
      <w:r w:rsidR="00D837FE">
        <w:t>, recourse to adapted solutions and lighter regimes is still sought</w:t>
      </w:r>
      <w:r w:rsidR="00DE145F">
        <w:t xml:space="preserve"> (EC</w:t>
      </w:r>
      <w:r w:rsidR="00AC5EA4">
        <w:t> </w:t>
      </w:r>
      <w:r w:rsidR="00DE145F">
        <w:t>2011)</w:t>
      </w:r>
      <w:r w:rsidR="00D837FE">
        <w:t xml:space="preserve">. </w:t>
      </w:r>
    </w:p>
    <w:p w:rsidR="00CD5CC8" w:rsidRDefault="007122D7" w:rsidP="00CD5CC8">
      <w:pPr>
        <w:pStyle w:val="BodyText"/>
      </w:pPr>
      <w:r>
        <w:t xml:space="preserve">While </w:t>
      </w:r>
      <w:r w:rsidR="00DB58F0">
        <w:t xml:space="preserve">differential regulatory treatment of small business </w:t>
      </w:r>
      <w:r>
        <w:t>may have some limited applications</w:t>
      </w:r>
      <w:r w:rsidR="00D10D05">
        <w:t>,</w:t>
      </w:r>
      <w:r>
        <w:t xml:space="preserve"> </w:t>
      </w:r>
      <w:r w:rsidR="00DB58F0">
        <w:t xml:space="preserve">such </w:t>
      </w:r>
      <w:r>
        <w:t xml:space="preserve">a focus raises the possibility </w:t>
      </w:r>
      <w:r w:rsidR="00FF3B54">
        <w:t xml:space="preserve">that </w:t>
      </w:r>
      <w:r w:rsidR="00695B4E">
        <w:t xml:space="preserve">broader regulatory reforms of benefit to </w:t>
      </w:r>
      <w:r w:rsidR="00695B4E" w:rsidRPr="00695B4E">
        <w:rPr>
          <w:i/>
        </w:rPr>
        <w:t>all</w:t>
      </w:r>
      <w:r w:rsidR="00695B4E">
        <w:t xml:space="preserve"> businesses</w:t>
      </w:r>
      <w:r>
        <w:t xml:space="preserve"> will be overlooked. </w:t>
      </w:r>
    </w:p>
    <w:p w:rsidR="009F5D5C" w:rsidRDefault="009F5D5C" w:rsidP="009F5D5C">
      <w:pPr>
        <w:pStyle w:val="BodyText"/>
        <w:rPr>
          <w:b/>
          <w:i/>
        </w:rPr>
      </w:pPr>
      <w:r>
        <w:rPr>
          <w:b/>
          <w:i/>
        </w:rPr>
        <w:t>In what ways do regulators currently provide special assistance or employ a different engagement approach for small business?</w:t>
      </w:r>
    </w:p>
    <w:p w:rsidR="009F5D5C" w:rsidRDefault="009F5D5C" w:rsidP="009F5D5C">
      <w:pPr>
        <w:pStyle w:val="BodyText"/>
        <w:rPr>
          <w:b/>
          <w:i/>
        </w:rPr>
      </w:pPr>
      <w:r w:rsidRPr="00E35C95">
        <w:rPr>
          <w:b/>
          <w:i/>
        </w:rPr>
        <w:t>Under wha</w:t>
      </w:r>
      <w:r>
        <w:rPr>
          <w:b/>
          <w:i/>
        </w:rPr>
        <w:t xml:space="preserve">t circumstances, if any, is it appropriate for </w:t>
      </w:r>
      <w:r w:rsidRPr="00E35C95">
        <w:rPr>
          <w:b/>
          <w:i/>
        </w:rPr>
        <w:t xml:space="preserve">regulators </w:t>
      </w:r>
      <w:r w:rsidR="009366EC">
        <w:rPr>
          <w:b/>
          <w:i/>
        </w:rPr>
        <w:t xml:space="preserve">to </w:t>
      </w:r>
      <w:r w:rsidRPr="00E35C95">
        <w:rPr>
          <w:b/>
          <w:i/>
        </w:rPr>
        <w:t>ado</w:t>
      </w:r>
      <w:r>
        <w:rPr>
          <w:b/>
          <w:i/>
        </w:rPr>
        <w:t>pt a different</w:t>
      </w:r>
      <w:r w:rsidRPr="00E35C95">
        <w:rPr>
          <w:b/>
          <w:i/>
        </w:rPr>
        <w:t xml:space="preserve"> engagement approach for small </w:t>
      </w:r>
      <w:r>
        <w:rPr>
          <w:b/>
          <w:i/>
        </w:rPr>
        <w:t>business</w:t>
      </w:r>
      <w:r w:rsidRPr="00E35C95">
        <w:rPr>
          <w:b/>
          <w:i/>
        </w:rPr>
        <w:t>?</w:t>
      </w:r>
    </w:p>
    <w:p w:rsidR="007122D7" w:rsidRDefault="00CD5CC8" w:rsidP="00CD5CC8">
      <w:pPr>
        <w:pStyle w:val="Heading3"/>
      </w:pPr>
      <w:r>
        <w:lastRenderedPageBreak/>
        <w:t>How might</w:t>
      </w:r>
      <w:r w:rsidR="007122D7">
        <w:t xml:space="preserve"> regulators reduce </w:t>
      </w:r>
      <w:r w:rsidR="00FE4FA6">
        <w:t>complianc</w:t>
      </w:r>
      <w:r w:rsidR="007122D7">
        <w:t>e burdens on small business?</w:t>
      </w:r>
    </w:p>
    <w:p w:rsidR="007122D7" w:rsidRDefault="007122D7" w:rsidP="007122D7">
      <w:pPr>
        <w:pStyle w:val="BodyText"/>
      </w:pPr>
      <w:r>
        <w:t>As a first step</w:t>
      </w:r>
      <w:r w:rsidR="00FE4FA6">
        <w:t xml:space="preserve"> to reduc</w:t>
      </w:r>
      <w:r w:rsidR="00D47969">
        <w:t>e</w:t>
      </w:r>
      <w:r w:rsidR="00FE4FA6">
        <w:t xml:space="preserve"> regulatory compliance burdens</w:t>
      </w:r>
      <w:r>
        <w:t xml:space="preserve">, </w:t>
      </w:r>
      <w:r w:rsidR="00260D5B">
        <w:t xml:space="preserve">governments should be receptive to proposals from </w:t>
      </w:r>
      <w:r>
        <w:t xml:space="preserve">regulators </w:t>
      </w:r>
      <w:r w:rsidR="00260D5B">
        <w:t>to</w:t>
      </w:r>
      <w:r>
        <w:t xml:space="preserve"> reduc</w:t>
      </w:r>
      <w:r w:rsidR="00260D5B">
        <w:t>e</w:t>
      </w:r>
      <w:r>
        <w:t>/remov</w:t>
      </w:r>
      <w:r w:rsidR="00260D5B">
        <w:t>e</w:t>
      </w:r>
      <w:r>
        <w:t xml:space="preserve"> any arbitrary, ineffective, or other badly designed features of a regulation</w:t>
      </w:r>
      <w:r w:rsidR="00952CAD">
        <w:t xml:space="preserve"> </w:t>
      </w:r>
      <w:r>
        <w:t xml:space="preserve">— regardless of where the burden is felt. </w:t>
      </w:r>
      <w:r w:rsidR="00FF3B54">
        <w:t>However,</w:t>
      </w:r>
      <w:r>
        <w:t xml:space="preserve"> there may be circumstances where improved regulatory outcomes can be achieved by varying some aspects of the delivery of regulations to small business</w:t>
      </w:r>
      <w:r w:rsidR="00CD5CC8">
        <w:t xml:space="preserve">, </w:t>
      </w:r>
      <w:r w:rsidR="00F053F1">
        <w:t xml:space="preserve">in particular, </w:t>
      </w:r>
      <w:r w:rsidR="00CD5CC8">
        <w:t>such as through:</w:t>
      </w:r>
    </w:p>
    <w:p w:rsidR="007122D7" w:rsidRDefault="007122D7" w:rsidP="007122D7">
      <w:pPr>
        <w:pStyle w:val="ListBullet"/>
      </w:pPr>
      <w:r>
        <w:t>designing different forms and paperwork for different sized businesses so that businesses do not have to provide unnecessary information</w:t>
      </w:r>
    </w:p>
    <w:p w:rsidR="00E35C95" w:rsidRDefault="00E35C95" w:rsidP="007122D7">
      <w:pPr>
        <w:pStyle w:val="ListBullet"/>
      </w:pPr>
      <w:r>
        <w:t xml:space="preserve">tailoring assistance and educative approaches (such as through workshops or </w:t>
      </w:r>
      <w:r w:rsidR="00D93253">
        <w:t xml:space="preserve">on-site </w:t>
      </w:r>
      <w:r>
        <w:t xml:space="preserve">business </w:t>
      </w:r>
      <w:r w:rsidR="00D93253">
        <w:t>advice</w:t>
      </w:r>
      <w:r>
        <w:t>) to facilitate understanding of regulatory requirements</w:t>
      </w:r>
    </w:p>
    <w:p w:rsidR="007122D7" w:rsidRDefault="007122D7" w:rsidP="007122D7">
      <w:pPr>
        <w:pStyle w:val="ListBullet"/>
      </w:pPr>
      <w:r>
        <w:t>developing improved communication tools and software to ease compliance.</w:t>
      </w:r>
    </w:p>
    <w:p w:rsidR="00CE00F8" w:rsidRDefault="00CE00F8" w:rsidP="007122D7">
      <w:pPr>
        <w:pStyle w:val="BodyText"/>
      </w:pPr>
      <w:r>
        <w:t xml:space="preserve">It has been suggested that compared to large businesses, </w:t>
      </w:r>
      <w:r w:rsidR="005B4C09">
        <w:t xml:space="preserve">some </w:t>
      </w:r>
      <w:r>
        <w:t xml:space="preserve">small businesses </w:t>
      </w:r>
      <w:r w:rsidR="005B4C09">
        <w:t>may</w:t>
      </w:r>
      <w:r>
        <w:t xml:space="preserve"> prefer prescriptive regulation as they lack the skills or resources to develop their own compliance methods. One potential way of meeting the wishes of both larger and smaller businesses is to have performance-based or principle-based regulations, accompanied by a set of voluntary prescriptive requirements which meet the performance standards. This can provide certainty for those firms that wish to avail </w:t>
      </w:r>
      <w:r w:rsidR="00B842BB">
        <w:t>themselves of these requirements, while providing opportunities for others to adopt alternative solutions (Lattimore et al</w:t>
      </w:r>
      <w:r w:rsidR="00B74EC3">
        <w:t>.</w:t>
      </w:r>
      <w:r w:rsidR="00B842BB">
        <w:t xml:space="preserve"> 1998).</w:t>
      </w:r>
    </w:p>
    <w:p w:rsidR="007122D7" w:rsidRDefault="00E35C95" w:rsidP="00321248">
      <w:pPr>
        <w:pStyle w:val="BodyText"/>
      </w:pPr>
      <w:r>
        <w:t>B</w:t>
      </w:r>
      <w:r w:rsidR="007122D7">
        <w:t xml:space="preserve">y lowering compliance costs, </w:t>
      </w:r>
      <w:r>
        <w:t xml:space="preserve">flexibility in the way regulations are delivered to small business </w:t>
      </w:r>
      <w:r w:rsidR="007122D7">
        <w:t>may increase actual compliance and increase social benefits (Bickerdyke and Lattimore 1997).</w:t>
      </w:r>
      <w:r>
        <w:t xml:space="preserve"> </w:t>
      </w:r>
      <w:r w:rsidR="007122D7">
        <w:t xml:space="preserve">It should be noted, however, that such flexibility would involve some costs on government, since there are administrative costs in tailoring information or other attributes of the delivery of a regulation. It is therefore important that the resources expended by government can be justified by the benefits gained. </w:t>
      </w:r>
    </w:p>
    <w:p w:rsidR="00695B4E" w:rsidRDefault="00D07188" w:rsidP="00321248">
      <w:pPr>
        <w:pStyle w:val="BodyText"/>
      </w:pPr>
      <w:r>
        <w:t>In recent years a</w:t>
      </w:r>
      <w:r w:rsidR="00695B4E">
        <w:t xml:space="preserve"> number of jurisdictions have also introduced mechanisms </w:t>
      </w:r>
      <w:r>
        <w:t>that seek to ensure small business interests are better taken into account</w:t>
      </w:r>
      <w:r w:rsidR="00695B4E">
        <w:t>, including the appointment of small business commissioners. The governments of New South Wales, Western Australia and South Australia, following Victoria’s earlier lead, have established or are in the process of establishing such commissioners.</w:t>
      </w:r>
      <w:r w:rsidR="00E35C95">
        <w:t xml:space="preserve"> </w:t>
      </w:r>
      <w:r w:rsidR="00695B4E">
        <w:t>The Australian Government has also recently appointed an Australian Small Business Commissioner. Through the Commissioner, small business owners will be able to access information, advice and referral to services including business advisory and dispute resolution services (O’Connor 2012).</w:t>
      </w:r>
      <w:r w:rsidR="00EE33DB">
        <w:t xml:space="preserve"> The Commission’s recent local </w:t>
      </w:r>
      <w:r w:rsidR="00EE33DB">
        <w:lastRenderedPageBreak/>
        <w:t xml:space="preserve">government study suggested expanding the role of small business commissioners to include investigatory and information gathering powers (PC </w:t>
      </w:r>
      <w:proofErr w:type="spellStart"/>
      <w:r w:rsidR="00EE33DB">
        <w:t>2012b</w:t>
      </w:r>
      <w:proofErr w:type="spellEnd"/>
      <w:r w:rsidR="00EE33DB">
        <w:t>).</w:t>
      </w:r>
    </w:p>
    <w:p w:rsidR="009F5D5C" w:rsidRPr="006D6859" w:rsidRDefault="009F5D5C" w:rsidP="009F5D5C">
      <w:pPr>
        <w:pStyle w:val="BodyText"/>
        <w:rPr>
          <w:b/>
          <w:i/>
        </w:rPr>
      </w:pPr>
      <w:r>
        <w:rPr>
          <w:b/>
          <w:i/>
        </w:rPr>
        <w:t>What aspects of a regulator</w:t>
      </w:r>
      <w:r w:rsidR="007B6C38">
        <w:rPr>
          <w:b/>
          <w:i/>
        </w:rPr>
        <w:t>’</w:t>
      </w:r>
      <w:r>
        <w:rPr>
          <w:b/>
          <w:i/>
        </w:rPr>
        <w:t>s performance and, in particular</w:t>
      </w:r>
      <w:r w:rsidR="007B6C38">
        <w:rPr>
          <w:b/>
          <w:i/>
        </w:rPr>
        <w:t>,</w:t>
      </w:r>
      <w:r>
        <w:rPr>
          <w:b/>
          <w:i/>
        </w:rPr>
        <w:t xml:space="preserve"> their engagement practices</w:t>
      </w:r>
      <w:r w:rsidR="007B6C38">
        <w:rPr>
          <w:b/>
          <w:i/>
        </w:rPr>
        <w:t>,</w:t>
      </w:r>
      <w:r>
        <w:rPr>
          <w:b/>
          <w:i/>
        </w:rPr>
        <w:t xml:space="preserve"> should be monitored and/or subject to review? </w:t>
      </w:r>
      <w:r w:rsidR="002C2F9C">
        <w:rPr>
          <w:b/>
          <w:i/>
        </w:rPr>
        <w:t>What key aspects of regulator</w:t>
      </w:r>
      <w:r>
        <w:rPr>
          <w:b/>
          <w:i/>
        </w:rPr>
        <w:t>s</w:t>
      </w:r>
      <w:r w:rsidR="002C2F9C">
        <w:rPr>
          <w:b/>
          <w:i/>
        </w:rPr>
        <w:t>’</w:t>
      </w:r>
      <w:r>
        <w:rPr>
          <w:b/>
          <w:i/>
        </w:rPr>
        <w:t xml:space="preserve"> performance might it be possible and informative to measure</w:t>
      </w:r>
      <w:r w:rsidR="00A105DE">
        <w:rPr>
          <w:b/>
          <w:i/>
        </w:rPr>
        <w:t xml:space="preserve"> and compare</w:t>
      </w:r>
      <w:r w:rsidR="002C2F9C">
        <w:rPr>
          <w:b/>
          <w:i/>
        </w:rPr>
        <w:t>?</w:t>
      </w:r>
    </w:p>
    <w:p w:rsidR="00B36B2D" w:rsidRDefault="00B36B2D" w:rsidP="008B13C2">
      <w:pPr>
        <w:pStyle w:val="BodyText"/>
      </w:pPr>
      <w:r>
        <w:br w:type="page"/>
      </w:r>
    </w:p>
    <w:p w:rsidR="005141A3" w:rsidRDefault="005141A3" w:rsidP="00EA245E">
      <w:pPr>
        <w:pStyle w:val="Heading2"/>
      </w:pPr>
      <w:bookmarkStart w:id="11" w:name="_Toc346708114"/>
      <w:r>
        <w:lastRenderedPageBreak/>
        <w:t>References</w:t>
      </w:r>
      <w:bookmarkEnd w:id="11"/>
    </w:p>
    <w:p w:rsidR="00512055" w:rsidRDefault="00D70D99" w:rsidP="00D70D99">
      <w:pPr>
        <w:pStyle w:val="Reference"/>
      </w:pPr>
      <w:r>
        <w:t xml:space="preserve">ABS (Australian Bureau of Statistics) </w:t>
      </w:r>
      <w:r w:rsidR="00512055">
        <w:t xml:space="preserve">2000, </w:t>
      </w:r>
      <w:r w:rsidR="00512055" w:rsidRPr="00512055">
        <w:rPr>
          <w:i/>
        </w:rPr>
        <w:t>Small Business in Australia 1999</w:t>
      </w:r>
      <w:r w:rsidR="00512055">
        <w:t xml:space="preserve">, </w:t>
      </w:r>
      <w:r w:rsidR="00890430">
        <w:t>Cat.</w:t>
      </w:r>
      <w:r w:rsidR="00B40F2A">
        <w:t> </w:t>
      </w:r>
      <w:r w:rsidR="00890430">
        <w:t xml:space="preserve">no. 1321.0, </w:t>
      </w:r>
      <w:r w:rsidR="00512055">
        <w:t xml:space="preserve">ABS, Canberra. </w:t>
      </w:r>
    </w:p>
    <w:p w:rsidR="00D70D99" w:rsidRDefault="00512055" w:rsidP="00D70D99">
      <w:pPr>
        <w:pStyle w:val="Reference"/>
      </w:pPr>
      <w:r>
        <w:t>–––––</w:t>
      </w:r>
      <w:r w:rsidR="008C7529">
        <w:t> </w:t>
      </w:r>
      <w:proofErr w:type="spellStart"/>
      <w:r w:rsidR="00D70D99">
        <w:t>2012a</w:t>
      </w:r>
      <w:proofErr w:type="spellEnd"/>
      <w:r w:rsidR="00D70D99">
        <w:t xml:space="preserve">, </w:t>
      </w:r>
      <w:r w:rsidR="00D70D99">
        <w:rPr>
          <w:i/>
        </w:rPr>
        <w:t>Counts of Australian Business, including entries and exits</w:t>
      </w:r>
      <w:r w:rsidR="00D70D99">
        <w:t xml:space="preserve">, </w:t>
      </w:r>
      <w:r w:rsidR="00D70D99" w:rsidRPr="0040620E">
        <w:rPr>
          <w:i/>
        </w:rPr>
        <w:t>June 2007 to June 2011</w:t>
      </w:r>
      <w:r w:rsidR="00D70D99">
        <w:t>, Cat. no. 8165.0, ABS, Canberra.</w:t>
      </w:r>
    </w:p>
    <w:p w:rsidR="00D70D99" w:rsidRDefault="00D70D99" w:rsidP="00D70D99">
      <w:pPr>
        <w:pStyle w:val="Reference"/>
      </w:pPr>
      <w:r>
        <w:t>–––––</w:t>
      </w:r>
      <w:r w:rsidR="008C7529">
        <w:t> </w:t>
      </w:r>
      <w:proofErr w:type="spellStart"/>
      <w:r>
        <w:t>2012b</w:t>
      </w:r>
      <w:proofErr w:type="spellEnd"/>
      <w:r>
        <w:t xml:space="preserve">, </w:t>
      </w:r>
      <w:r>
        <w:rPr>
          <w:i/>
        </w:rPr>
        <w:t>Australian Industry, 2010-11</w:t>
      </w:r>
      <w:r>
        <w:t>, Cat. no. 8155.0, ABS, Canberra.</w:t>
      </w:r>
    </w:p>
    <w:p w:rsidR="00EF3C26" w:rsidRPr="00CE4BBA" w:rsidRDefault="00EF3C26" w:rsidP="00D70D99">
      <w:pPr>
        <w:pStyle w:val="Reference"/>
      </w:pPr>
      <w:r>
        <w:t>–––––</w:t>
      </w:r>
      <w:r w:rsidR="008C7529">
        <w:t> </w:t>
      </w:r>
      <w:proofErr w:type="spellStart"/>
      <w:r w:rsidRPr="00EF3C26">
        <w:t>2012</w:t>
      </w:r>
      <w:r w:rsidR="00F15AB8">
        <w:t>c</w:t>
      </w:r>
      <w:proofErr w:type="spellEnd"/>
      <w:r w:rsidRPr="00EF3C26">
        <w:t xml:space="preserve">, </w:t>
      </w:r>
      <w:r w:rsidRPr="00EF3C26">
        <w:rPr>
          <w:i/>
        </w:rPr>
        <w:t>Selected Characteristics of Australian Business</w:t>
      </w:r>
      <w:r w:rsidRPr="00EF3C26">
        <w:t xml:space="preserve">, </w:t>
      </w:r>
      <w:r w:rsidRPr="00EF3C26">
        <w:rPr>
          <w:i/>
        </w:rPr>
        <w:t>2010-11</w:t>
      </w:r>
      <w:r w:rsidRPr="00EF3C26">
        <w:t xml:space="preserve">, </w:t>
      </w:r>
      <w:r w:rsidR="00A9468B">
        <w:t>Cat. no. 8167.0, ABS, Canberra.</w:t>
      </w:r>
    </w:p>
    <w:p w:rsidR="006937B0" w:rsidRDefault="006937B0" w:rsidP="009A543E">
      <w:pPr>
        <w:pStyle w:val="Reference"/>
      </w:pPr>
      <w:r>
        <w:t xml:space="preserve">ANAO (Australian National Audit Office) 2007, </w:t>
      </w:r>
      <w:r w:rsidRPr="006937B0">
        <w:rPr>
          <w:i/>
        </w:rPr>
        <w:t>Administering Regulation: Better Practice Guide</w:t>
      </w:r>
      <w:r>
        <w:t>, March, Canberra.</w:t>
      </w:r>
    </w:p>
    <w:p w:rsidR="001644C8" w:rsidRDefault="001644C8" w:rsidP="009A543E">
      <w:pPr>
        <w:pStyle w:val="Reference"/>
      </w:pPr>
      <w:r>
        <w:t xml:space="preserve">Ayres, I. and Braithwaite, J. 1992, </w:t>
      </w:r>
      <w:r w:rsidRPr="00216BBE">
        <w:rPr>
          <w:i/>
        </w:rPr>
        <w:t>Responsive Regulation: Transcending the deregulation debate</w:t>
      </w:r>
      <w:r>
        <w:t>, Oxford University Press.</w:t>
      </w:r>
    </w:p>
    <w:p w:rsidR="00A91F85" w:rsidRDefault="00A91F85" w:rsidP="009A543E">
      <w:pPr>
        <w:pStyle w:val="Reference"/>
      </w:pPr>
      <w:r>
        <w:t xml:space="preserve">Bickerdyke, I. and Lattimore, R. 1997, </w:t>
      </w:r>
      <w:r w:rsidRPr="00A91F85">
        <w:rPr>
          <w:i/>
        </w:rPr>
        <w:t>Reducing the Regulatory Burden: Does Firm Size Matter?</w:t>
      </w:r>
      <w:r>
        <w:t>, Industry Commission Staff Research Paper, AGPS, Canberra, December.</w:t>
      </w:r>
    </w:p>
    <w:p w:rsidR="00DE145F" w:rsidRDefault="00DE145F" w:rsidP="009A543E">
      <w:pPr>
        <w:pStyle w:val="Reference"/>
      </w:pPr>
      <w:r>
        <w:t xml:space="preserve">EC (European Commission) 2011, </w:t>
      </w:r>
      <w:r w:rsidR="002E6D38" w:rsidRPr="002E6D38">
        <w:rPr>
          <w:i/>
        </w:rPr>
        <w:t>Report From The Commission To The Council And The European Parliament, Minimizing regulatory burden for SMEs, Adopting EU regulation to the needs of micro-enterprises</w:t>
      </w:r>
      <w:r w:rsidR="002E6D38">
        <w:t>, COM(2011) 803 final, Brussels.</w:t>
      </w:r>
    </w:p>
    <w:p w:rsidR="00354A38" w:rsidRPr="00491E0E" w:rsidRDefault="00354A38" w:rsidP="00354A38">
      <w:pPr>
        <w:pStyle w:val="Reference"/>
        <w:spacing w:before="100"/>
        <w:rPr>
          <w:szCs w:val="26"/>
        </w:rPr>
      </w:pPr>
      <w:r w:rsidRPr="00491E0E">
        <w:rPr>
          <w:szCs w:val="26"/>
        </w:rPr>
        <w:t xml:space="preserve">Gilligan, G., Bird, H. and Ramsay, I. 1999, </w:t>
      </w:r>
      <w:r w:rsidRPr="00491E0E">
        <w:rPr>
          <w:i/>
          <w:iCs/>
          <w:szCs w:val="26"/>
        </w:rPr>
        <w:t>Civil Penalties and the Enforcement of Directors’ Duties</w:t>
      </w:r>
      <w:r w:rsidRPr="00491E0E">
        <w:rPr>
          <w:szCs w:val="26"/>
        </w:rPr>
        <w:t xml:space="preserve">, University of New South Wales Law Journal, Vol. 22, No. 2, </w:t>
      </w:r>
      <w:proofErr w:type="spellStart"/>
      <w:r w:rsidRPr="00491E0E">
        <w:rPr>
          <w:color w:val="000000"/>
          <w:szCs w:val="26"/>
        </w:rPr>
        <w:t>www.austlii.edu.au</w:t>
      </w:r>
      <w:proofErr w:type="spellEnd"/>
      <w:r w:rsidRPr="00491E0E">
        <w:rPr>
          <w:color w:val="000000"/>
          <w:szCs w:val="26"/>
        </w:rPr>
        <w:t>/au/journals/</w:t>
      </w:r>
      <w:proofErr w:type="spellStart"/>
      <w:r w:rsidRPr="00491E0E">
        <w:rPr>
          <w:color w:val="000000"/>
          <w:szCs w:val="26"/>
        </w:rPr>
        <w:t>UNSWLJ</w:t>
      </w:r>
      <w:proofErr w:type="spellEnd"/>
      <w:r w:rsidRPr="00491E0E">
        <w:rPr>
          <w:color w:val="000000"/>
          <w:szCs w:val="26"/>
        </w:rPr>
        <w:t>/1999/</w:t>
      </w:r>
      <w:proofErr w:type="spellStart"/>
      <w:r w:rsidRPr="00491E0E">
        <w:rPr>
          <w:color w:val="000000"/>
          <w:szCs w:val="26"/>
        </w:rPr>
        <w:t>3.html</w:t>
      </w:r>
      <w:proofErr w:type="spellEnd"/>
      <w:r w:rsidRPr="00491E0E">
        <w:rPr>
          <w:color w:val="000000"/>
          <w:szCs w:val="26"/>
        </w:rPr>
        <w:t xml:space="preserve"> </w:t>
      </w:r>
      <w:r w:rsidRPr="00491E0E">
        <w:rPr>
          <w:szCs w:val="26"/>
        </w:rPr>
        <w:t>(accessed 1</w:t>
      </w:r>
      <w:r w:rsidR="005A26E9">
        <w:rPr>
          <w:szCs w:val="26"/>
        </w:rPr>
        <w:t>7</w:t>
      </w:r>
      <w:r w:rsidRPr="00491E0E">
        <w:rPr>
          <w:szCs w:val="26"/>
        </w:rPr>
        <w:t xml:space="preserve"> </w:t>
      </w:r>
      <w:r w:rsidR="005A26E9">
        <w:rPr>
          <w:szCs w:val="26"/>
        </w:rPr>
        <w:t>January</w:t>
      </w:r>
      <w:r w:rsidRPr="00491E0E">
        <w:rPr>
          <w:szCs w:val="26"/>
        </w:rPr>
        <w:t xml:space="preserve"> 20</w:t>
      </w:r>
      <w:r w:rsidR="005A26E9">
        <w:rPr>
          <w:szCs w:val="26"/>
        </w:rPr>
        <w:t>13</w:t>
      </w:r>
      <w:r w:rsidRPr="00491E0E">
        <w:rPr>
          <w:szCs w:val="26"/>
        </w:rPr>
        <w:t>).</w:t>
      </w:r>
    </w:p>
    <w:p w:rsidR="00460998" w:rsidRDefault="00460998" w:rsidP="009A543E">
      <w:pPr>
        <w:pStyle w:val="Reference"/>
      </w:pPr>
      <w:r>
        <w:t xml:space="preserve">Lattimore, R., Martin, B., Madge, A. and Mills J., 1998, </w:t>
      </w:r>
      <w:r w:rsidRPr="00460998">
        <w:rPr>
          <w:i/>
        </w:rPr>
        <w:t>Design Principles for Small Business Programs and Regulations</w:t>
      </w:r>
      <w:r>
        <w:t>, Productivity Commission Staff Research Paper, AusInfo, Canberra, August.</w:t>
      </w:r>
    </w:p>
    <w:p w:rsidR="000C7DF0" w:rsidRDefault="000C7DF0" w:rsidP="009A543E">
      <w:pPr>
        <w:pStyle w:val="Reference"/>
      </w:pPr>
      <w:r>
        <w:t xml:space="preserve">O’Connor, B. (Minister for Small Business) 2012, ‘Mark Brennan appointed Australian Small Business Commissioner’, </w:t>
      </w:r>
      <w:r w:rsidRPr="000C7DF0">
        <w:rPr>
          <w:i/>
        </w:rPr>
        <w:t>Media release</w:t>
      </w:r>
      <w:r>
        <w:t>, 17 October.</w:t>
      </w:r>
    </w:p>
    <w:p w:rsidR="00E25D3B" w:rsidRDefault="009A543E" w:rsidP="009A543E">
      <w:pPr>
        <w:pStyle w:val="Reference"/>
      </w:pPr>
      <w:r>
        <w:t xml:space="preserve">PC (Productivity Commission) </w:t>
      </w:r>
      <w:r w:rsidR="00E25D3B">
        <w:t xml:space="preserve">2009, </w:t>
      </w:r>
      <w:r w:rsidR="00E25D3B" w:rsidRPr="00E25D3B">
        <w:rPr>
          <w:i/>
        </w:rPr>
        <w:t>Annual Review of Regulatory Burdens on Business: Social and Economic Infrastructure Services</w:t>
      </w:r>
      <w:r w:rsidR="00E25D3B">
        <w:t>, Research Report, Canberra.</w:t>
      </w:r>
    </w:p>
    <w:p w:rsidR="00E25D3B" w:rsidRDefault="00E25D3B" w:rsidP="009A543E">
      <w:pPr>
        <w:pStyle w:val="Reference"/>
      </w:pPr>
      <w:r w:rsidRPr="00E25D3B">
        <w:t>––––– 201</w:t>
      </w:r>
      <w:r>
        <w:t xml:space="preserve">0, </w:t>
      </w:r>
      <w:r w:rsidRPr="00E25D3B">
        <w:rPr>
          <w:i/>
        </w:rPr>
        <w:t>Annual Review of Regulatory Burdens on Business: Business and Consumer Services</w:t>
      </w:r>
      <w:r>
        <w:t>, Research Report, Canberra.</w:t>
      </w:r>
    </w:p>
    <w:p w:rsidR="00F16A15" w:rsidRDefault="00E25D3B" w:rsidP="009A543E">
      <w:pPr>
        <w:pStyle w:val="Reference"/>
      </w:pPr>
      <w:r w:rsidRPr="00E25D3B">
        <w:t>––––– </w:t>
      </w:r>
      <w:r w:rsidR="009A543E">
        <w:t>201</w:t>
      </w:r>
      <w:r w:rsidR="00F16A15">
        <w:t>1</w:t>
      </w:r>
      <w:r w:rsidR="00DD2669">
        <w:t>a</w:t>
      </w:r>
      <w:r w:rsidR="00F16A15">
        <w:t xml:space="preserve">, </w:t>
      </w:r>
      <w:r w:rsidR="00F16A15" w:rsidRPr="00F16A15">
        <w:rPr>
          <w:i/>
        </w:rPr>
        <w:t>Identifying and Evaluating Regulation Reforms</w:t>
      </w:r>
      <w:r w:rsidR="00F16A15">
        <w:t>, Research Report, Canberra.</w:t>
      </w:r>
    </w:p>
    <w:p w:rsidR="00DD2669" w:rsidRDefault="00DD2669" w:rsidP="009A543E">
      <w:pPr>
        <w:pStyle w:val="Reference"/>
      </w:pPr>
      <w:r w:rsidRPr="00E25D3B">
        <w:lastRenderedPageBreak/>
        <w:t>––––– </w:t>
      </w:r>
      <w:r>
        <w:t xml:space="preserve">2011b, </w:t>
      </w:r>
      <w:r w:rsidRPr="00DD2669">
        <w:rPr>
          <w:i/>
        </w:rPr>
        <w:t>Performance Benchmarking of Australian Business Regulation: Planning, Zoning and Development Assessment</w:t>
      </w:r>
      <w:r>
        <w:t>, Research Report, Canberra.</w:t>
      </w:r>
    </w:p>
    <w:p w:rsidR="009A543E" w:rsidRDefault="00F16A15" w:rsidP="009A543E">
      <w:pPr>
        <w:pStyle w:val="Reference"/>
      </w:pPr>
      <w:r>
        <w:t>––––– 2012</w:t>
      </w:r>
      <w:r w:rsidR="00FE0FEF">
        <w:t>a</w:t>
      </w:r>
      <w:r w:rsidR="009A543E">
        <w:t xml:space="preserve">, </w:t>
      </w:r>
      <w:r w:rsidR="009A543E" w:rsidRPr="00B005D5">
        <w:rPr>
          <w:i/>
        </w:rPr>
        <w:t>Regulatory Impact Analysis</w:t>
      </w:r>
      <w:r w:rsidR="00B005D5" w:rsidRPr="00B005D5">
        <w:rPr>
          <w:i/>
        </w:rPr>
        <w:t>: Benchmarking</w:t>
      </w:r>
      <w:r w:rsidR="00B005D5">
        <w:t>, Research Report, Canberra.</w:t>
      </w:r>
    </w:p>
    <w:p w:rsidR="00706436" w:rsidRDefault="00706436" w:rsidP="009A543E">
      <w:pPr>
        <w:pStyle w:val="Reference"/>
      </w:pPr>
      <w:r>
        <w:t xml:space="preserve">––––– 2012b, </w:t>
      </w:r>
      <w:r w:rsidRPr="00706436">
        <w:rPr>
          <w:i/>
        </w:rPr>
        <w:t>Performance Benchmarking of Australian Business Regulation: The Role of Local Government as Regulator</w:t>
      </w:r>
      <w:r>
        <w:t>, Research Report, Canberra.</w:t>
      </w:r>
    </w:p>
    <w:p w:rsidR="007E2FA3" w:rsidRDefault="007E2FA3" w:rsidP="00F675D5">
      <w:pPr>
        <w:pStyle w:val="Reference"/>
      </w:pPr>
      <w:r>
        <w:t xml:space="preserve">PJCCFS (Parliamentary Joint Committee on Corporations and Financial Services) 2011, </w:t>
      </w:r>
      <w:r>
        <w:rPr>
          <w:i/>
        </w:rPr>
        <w:t>Access for Small and Medium Business to Finance</w:t>
      </w:r>
      <w:r>
        <w:t>, April.</w:t>
      </w:r>
    </w:p>
    <w:p w:rsidR="00A4440C" w:rsidRDefault="00A4440C" w:rsidP="00F675D5">
      <w:pPr>
        <w:pStyle w:val="Reference"/>
      </w:pPr>
      <w:r>
        <w:t xml:space="preserve">Queensland Ombudsman 2009, </w:t>
      </w:r>
      <w:r w:rsidRPr="00A4440C">
        <w:rPr>
          <w:i/>
        </w:rPr>
        <w:t>Tips and Traps for Regulators</w:t>
      </w:r>
      <w:r>
        <w:t xml:space="preserve"> (second edition), October.</w:t>
      </w:r>
    </w:p>
    <w:p w:rsidR="00F675D5" w:rsidRDefault="00F675D5" w:rsidP="00F675D5">
      <w:pPr>
        <w:pStyle w:val="Reference"/>
      </w:pPr>
      <w:r>
        <w:t xml:space="preserve">RBA (Reserve Bank of Australia) 2012, </w:t>
      </w:r>
      <w:r>
        <w:rPr>
          <w:i/>
        </w:rPr>
        <w:t>Small business finance roundtable</w:t>
      </w:r>
      <w:r>
        <w:t>,</w:t>
      </w:r>
      <w:r w:rsidR="005A26E9">
        <w:t xml:space="preserve"> 22 May</w:t>
      </w:r>
      <w:r>
        <w:t xml:space="preserve"> </w:t>
      </w:r>
      <w:r w:rsidRPr="00881AFB">
        <w:t>http://www.rba.gov.au/publications/workshops/other/small-bus-fin-roundtable-2012/pdf/small-bus-fin-roundtable.pdf</w:t>
      </w:r>
      <w:r>
        <w:t xml:space="preserve"> (accessed 27 November 2012).</w:t>
      </w:r>
    </w:p>
    <w:p w:rsidR="008E05FC" w:rsidRDefault="008E05FC" w:rsidP="009A543E">
      <w:pPr>
        <w:pStyle w:val="Reference"/>
      </w:pPr>
      <w:r>
        <w:t xml:space="preserve">Regulation Taskforce 2006, </w:t>
      </w:r>
      <w:r w:rsidRPr="008E05FC">
        <w:rPr>
          <w:i/>
        </w:rPr>
        <w:t>Rethinking Regulation: Report of the Taskforce on Reducing Regulatory Burdens on Business</w:t>
      </w:r>
      <w:r>
        <w:t>, Report to the Prime Minister and the Treasurer, Canberra, January.</w:t>
      </w:r>
    </w:p>
    <w:p w:rsidR="00F17142" w:rsidRDefault="00F17142" w:rsidP="009A543E">
      <w:pPr>
        <w:pStyle w:val="Reference"/>
      </w:pPr>
      <w:r>
        <w:t xml:space="preserve">Sparrow, M. 2000, </w:t>
      </w:r>
      <w:r w:rsidRPr="00F17142">
        <w:rPr>
          <w:i/>
        </w:rPr>
        <w:t>The Regulatory Craft: Controlling Risks, Solving Problems, and Managing Compliance</w:t>
      </w:r>
      <w:r>
        <w:t>, Brookings Institution Press, Washington, D.C.</w:t>
      </w:r>
    </w:p>
    <w:p w:rsidR="00D15648" w:rsidRDefault="00D15648" w:rsidP="00D15648">
      <w:pPr>
        <w:pStyle w:val="Reference"/>
      </w:pPr>
      <w:r>
        <w:t xml:space="preserve">United Kingdom Government (Hampton Review) 2005, </w:t>
      </w:r>
      <w:r w:rsidRPr="009A543E">
        <w:rPr>
          <w:i/>
        </w:rPr>
        <w:t>Reducing administrative burdens: effective inspection and enforcement</w:t>
      </w:r>
      <w:r>
        <w:t>, March.</w:t>
      </w:r>
    </w:p>
    <w:p w:rsidR="00846E59" w:rsidRPr="005141A3" w:rsidRDefault="00846E59" w:rsidP="00D15648">
      <w:pPr>
        <w:pStyle w:val="Reference"/>
      </w:pPr>
      <w:r>
        <w:t>––––– (</w:t>
      </w:r>
      <w:r w:rsidR="00666749">
        <w:t xml:space="preserve">Macrory Review) </w:t>
      </w:r>
      <w:r>
        <w:t>2006</w:t>
      </w:r>
      <w:r w:rsidR="00666749">
        <w:t xml:space="preserve">, </w:t>
      </w:r>
      <w:r w:rsidR="00666749" w:rsidRPr="00666749">
        <w:rPr>
          <w:i/>
        </w:rPr>
        <w:t>Regulatory Justice: Making Sanctions Effective</w:t>
      </w:r>
      <w:r w:rsidR="00666749">
        <w:t>, November.</w:t>
      </w:r>
    </w:p>
    <w:p w:rsidR="00A4440C" w:rsidRPr="005141A3" w:rsidRDefault="00A4440C" w:rsidP="009A543E">
      <w:pPr>
        <w:pStyle w:val="Reference"/>
      </w:pPr>
      <w:r>
        <w:t xml:space="preserve">Victorian Government 2010, </w:t>
      </w:r>
      <w:r w:rsidRPr="00A4440C">
        <w:rPr>
          <w:i/>
        </w:rPr>
        <w:t>Improving Governance of Regulators: Principles and Guidelines</w:t>
      </w:r>
      <w:r>
        <w:t>.</w:t>
      </w:r>
    </w:p>
    <w:p w:rsidR="006F6434" w:rsidRDefault="006F6434" w:rsidP="000C3E1C">
      <w:pPr>
        <w:pStyle w:val="BodyText"/>
      </w:pPr>
    </w:p>
    <w:p w:rsidR="000C3E1C" w:rsidRPr="000C3E1C" w:rsidRDefault="000C3E1C" w:rsidP="000C3E1C">
      <w:pPr>
        <w:pStyle w:val="BodyText"/>
        <w:sectPr w:rsidR="000C3E1C" w:rsidRPr="000C3E1C" w:rsidSect="0029536D">
          <w:type w:val="oddPage"/>
          <w:pgSz w:w="11907" w:h="16840" w:code="9"/>
          <w:pgMar w:top="1985" w:right="1304" w:bottom="1418" w:left="1814" w:header="1701" w:footer="567" w:gutter="0"/>
          <w:pgNumType w:start="1" w:chapSep="period"/>
          <w:cols w:space="720"/>
        </w:sectPr>
      </w:pPr>
    </w:p>
    <w:p w:rsidR="00C51DA5" w:rsidRDefault="00C51DA5" w:rsidP="00C51DA5">
      <w:pPr>
        <w:pStyle w:val="Heading2"/>
      </w:pPr>
      <w:bookmarkStart w:id="12" w:name="_Toc345405661"/>
      <w:bookmarkStart w:id="13" w:name="_Toc346708115"/>
      <w:r w:rsidRPr="00225967">
        <w:lastRenderedPageBreak/>
        <w:t>Attachment A</w:t>
      </w:r>
      <w:r>
        <w:t>: How to make a submission</w:t>
      </w:r>
      <w:bookmarkEnd w:id="12"/>
      <w:bookmarkEnd w:id="13"/>
    </w:p>
    <w:p w:rsidR="00C51DA5" w:rsidRDefault="00C51DA5" w:rsidP="00C51DA5">
      <w:pPr>
        <w:pStyle w:val="BodyText"/>
      </w:pPr>
      <w:r>
        <w:t>This is a public study and the Commission invites interested people and organisations to make a written submission.</w:t>
      </w:r>
    </w:p>
    <w:p w:rsidR="00C51DA5" w:rsidRDefault="00C51DA5" w:rsidP="00C51DA5">
      <w:pPr>
        <w:pStyle w:val="BodyText"/>
      </w:pPr>
      <w:r>
        <w:t>Each submission, except for any information supplied in confidence (see below), will be published on the Commission’s website shortly after receipt, and will remain there indefinitely as a public document. Copyright in submissions sent to the Commission resides with the author(s), not with the Commission.</w:t>
      </w:r>
    </w:p>
    <w:p w:rsidR="00C51DA5" w:rsidRDefault="00C51DA5" w:rsidP="00C51DA5">
      <w:pPr>
        <w:pStyle w:val="Heading4"/>
      </w:pPr>
      <w:r>
        <w:t>How to prepare a submission</w:t>
      </w:r>
    </w:p>
    <w:p w:rsidR="00C51DA5" w:rsidRDefault="00C51DA5" w:rsidP="00C51DA5">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rsidR="00C51DA5" w:rsidRDefault="00C51DA5" w:rsidP="00C51DA5">
      <w:pPr>
        <w:pStyle w:val="BodyText"/>
      </w:pPr>
      <w:r>
        <w:t>This is a public review and all submissions should be provided as public documents that can be placed on the Commission’s website for others to read and comment on. However, under certain circumstances the Commission can accept sensitive material in confidence, for example, if it was of a personal or commercial nature, and publishing the material would be potentially damaging. You are encouraged to contact the Commission for further information and advice before submitting such material. Material supplied in confidence should be provided under separate cover and clearly marked ‘IN CONFIDENCE’.</w:t>
      </w:r>
    </w:p>
    <w:p w:rsidR="00C51DA5" w:rsidRDefault="00C51DA5" w:rsidP="00C51DA5">
      <w:pPr>
        <w:pStyle w:val="Heading4"/>
      </w:pPr>
      <w:r>
        <w:t xml:space="preserve">How to </w:t>
      </w:r>
      <w:r w:rsidR="00F655D3">
        <w:t>make</w:t>
      </w:r>
      <w:r>
        <w:t xml:space="preserve"> a submission</w:t>
      </w:r>
    </w:p>
    <w:p w:rsidR="00C51DA5" w:rsidRDefault="00C51DA5" w:rsidP="00C51DA5">
      <w:pPr>
        <w:pStyle w:val="BodyText"/>
      </w:pPr>
      <w:r>
        <w:t xml:space="preserve">Each submission should be accompanied by a cover sheet. The submission cover sheet is available </w:t>
      </w:r>
      <w:r>
        <w:rPr>
          <w:szCs w:val="24"/>
        </w:rPr>
        <w:t>on the study webpage</w:t>
      </w:r>
      <w:r>
        <w:t xml:space="preserve"> and a copy is included with this issues paper (Attachment B). For submissions received from individuals, all personal details (</w:t>
      </w:r>
      <w:r w:rsidR="006050CC">
        <w:t>for example,</w:t>
      </w:r>
      <w:r>
        <w:t xml:space="preserve"> home and email address, phone and fax number) will be removed before </w:t>
      </w:r>
      <w:r w:rsidR="006050CC">
        <w:t>publication</w:t>
      </w:r>
      <w:r>
        <w:t xml:space="preserve"> on the website for privacy reasons.</w:t>
      </w:r>
    </w:p>
    <w:p w:rsidR="00C51DA5" w:rsidRDefault="00C51DA5" w:rsidP="00C51DA5">
      <w:pPr>
        <w:pStyle w:val="BodyText"/>
      </w:pPr>
      <w:r>
        <w:t>The Commission prefers to receive submissions as a Word (.doc) file attachment to an email (see address below). PDF files are acceptable. To ensure your PDF is as electronically readable as possible, the Commission recommends that it is derived from word processing software (eg Microsoft Word or Lotus notes) and not from a scanner, fax or photocopying machine.</w:t>
      </w:r>
    </w:p>
    <w:p w:rsidR="00C51DA5" w:rsidRDefault="00C51DA5" w:rsidP="00C51DA5">
      <w:pPr>
        <w:pStyle w:val="BodyText"/>
      </w:pPr>
      <w:r>
        <w:lastRenderedPageBreak/>
        <w:t>Track changes, editing marks, hidden text and internal links should be removed from submissions before sending to the Commission. To ensure hyperlinks work in your submission, the Commission recommends that you type the full web address (eg http://www.referred-website.com/folder/file-name.html).</w:t>
      </w:r>
    </w:p>
    <w:p w:rsidR="00C51DA5" w:rsidRDefault="00C51DA5" w:rsidP="00C51DA5">
      <w:pPr>
        <w:pStyle w:val="BodyText"/>
      </w:pPr>
      <w:r>
        <w:t>Submissions can also be accepted by fax or post (see address below).</w:t>
      </w:r>
    </w:p>
    <w:p w:rsidR="00C51DA5" w:rsidRDefault="00C51DA5" w:rsidP="00C51DA5">
      <w:pPr>
        <w:pStyle w:val="BodyText"/>
        <w:tabs>
          <w:tab w:val="left" w:pos="1701"/>
        </w:tabs>
        <w:spacing w:before="120"/>
      </w:pPr>
      <w:r>
        <w:t>By email*:</w:t>
      </w:r>
      <w:r>
        <w:tab/>
        <w:t>small.business@pc.gov.au</w:t>
      </w:r>
    </w:p>
    <w:p w:rsidR="00C51DA5" w:rsidRDefault="00C51DA5" w:rsidP="00C51DA5">
      <w:pPr>
        <w:pStyle w:val="BodyText"/>
        <w:tabs>
          <w:tab w:val="left" w:pos="1701"/>
        </w:tabs>
        <w:spacing w:before="120"/>
      </w:pPr>
      <w:r>
        <w:t>By fax:</w:t>
      </w:r>
      <w:r>
        <w:tab/>
        <w:t>02 6240 3311</w:t>
      </w:r>
    </w:p>
    <w:p w:rsidR="00C51DA5" w:rsidRDefault="00C51DA5" w:rsidP="00C51DA5">
      <w:pPr>
        <w:pStyle w:val="BodyText"/>
        <w:tabs>
          <w:tab w:val="left" w:pos="1701"/>
        </w:tabs>
        <w:spacing w:before="120"/>
        <w:jc w:val="left"/>
      </w:pPr>
      <w:r>
        <w:t>By post:</w:t>
      </w:r>
      <w:r>
        <w:tab/>
        <w:t>Small Business Study</w:t>
      </w:r>
      <w:r>
        <w:br/>
      </w:r>
      <w:r>
        <w:tab/>
        <w:t>Productivity Commission</w:t>
      </w:r>
      <w:r>
        <w:br/>
      </w:r>
      <w:r>
        <w:tab/>
        <w:t>GPO Box 1428</w:t>
      </w:r>
      <w:r w:rsidR="001D227D">
        <w:br/>
      </w:r>
      <w:r>
        <w:tab/>
        <w:t>Canberra City ACT 2601</w:t>
      </w:r>
    </w:p>
    <w:p w:rsidR="00C51DA5" w:rsidRDefault="00C51DA5" w:rsidP="00C51DA5">
      <w:pPr>
        <w:pStyle w:val="BodyText"/>
      </w:pPr>
      <w:r>
        <w:t>*</w:t>
      </w:r>
      <w:r w:rsidRPr="007354B8">
        <w:t xml:space="preserve"> </w:t>
      </w:r>
      <w:r>
        <w:t>If you do not receive notification of receipt of an email message you have sent to the Commission within two working days of sending, please contact the Administrative Officer.</w:t>
      </w:r>
    </w:p>
    <w:p w:rsidR="00C51DA5" w:rsidRDefault="00C51DA5" w:rsidP="00C51DA5">
      <w:pPr>
        <w:pStyle w:val="Heading4"/>
      </w:pPr>
      <w:r>
        <w:t>Due date for submissions</w:t>
      </w:r>
    </w:p>
    <w:p w:rsidR="00C51DA5" w:rsidRDefault="00C51DA5" w:rsidP="00C51DA5">
      <w:pPr>
        <w:pStyle w:val="BodyText"/>
      </w:pPr>
      <w:r>
        <w:t xml:space="preserve">Please send submissions to the Commission by </w:t>
      </w:r>
      <w:r>
        <w:rPr>
          <w:b/>
        </w:rPr>
        <w:t>Friday 15 March 2013</w:t>
      </w:r>
      <w:r w:rsidRPr="00A516A2">
        <w:t>.</w:t>
      </w:r>
    </w:p>
    <w:p w:rsidR="006A319C" w:rsidRDefault="006A319C" w:rsidP="00C51DA5">
      <w:pPr>
        <w:pStyle w:val="BodyText"/>
        <w:sectPr w:rsidR="006A319C" w:rsidSect="00B6771D">
          <w:pgSz w:w="11907" w:h="16840" w:code="9"/>
          <w:pgMar w:top="1985" w:right="1304" w:bottom="1418" w:left="1814" w:header="1701" w:footer="567" w:gutter="0"/>
          <w:pgNumType w:chapSep="period"/>
          <w:cols w:space="720"/>
        </w:sectPr>
      </w:pPr>
    </w:p>
    <w:p w:rsidR="004E639A" w:rsidRPr="00C0696A" w:rsidRDefault="004E639A" w:rsidP="006637F1">
      <w:pPr>
        <w:pStyle w:val="Heading2"/>
        <w:spacing w:before="0"/>
      </w:pPr>
      <w:bookmarkStart w:id="14" w:name="_Toc345405662"/>
      <w:bookmarkStart w:id="15" w:name="_Toc346708116"/>
      <w:r w:rsidRPr="00C0696A">
        <w:lastRenderedPageBreak/>
        <w:t>Attachment B: Submission cover sheet</w:t>
      </w:r>
      <w:bookmarkEnd w:id="14"/>
      <w:bookmarkEnd w:id="15"/>
    </w:p>
    <w:p w:rsidR="004E639A" w:rsidRPr="00534A5B" w:rsidRDefault="004E639A" w:rsidP="004E639A">
      <w:pPr>
        <w:tabs>
          <w:tab w:val="right" w:pos="9639"/>
        </w:tabs>
        <w:spacing w:line="24" w:lineRule="atLeast"/>
        <w:jc w:val="right"/>
        <w:rPr>
          <w:rFonts w:ascii="Goudy Old Style" w:hAnsi="Goudy Old Style"/>
          <w:sz w:val="24"/>
        </w:rPr>
      </w:pPr>
      <w:r w:rsidRPr="00534A5B">
        <w:rPr>
          <w:rFonts w:ascii="Goudy Old Style" w:hAnsi="Goudy Old Style"/>
          <w:b/>
          <w:sz w:val="24"/>
        </w:rPr>
        <w:tab/>
      </w:r>
    </w:p>
    <w:tbl>
      <w:tblPr>
        <w:tblW w:w="10314" w:type="dxa"/>
        <w:tblLayout w:type="fixed"/>
        <w:tblLook w:val="0000" w:firstRow="0" w:lastRow="0" w:firstColumn="0" w:lastColumn="0" w:noHBand="0" w:noVBand="0"/>
      </w:tblPr>
      <w:tblGrid>
        <w:gridCol w:w="6345"/>
        <w:gridCol w:w="3969"/>
      </w:tblGrid>
      <w:tr w:rsidR="004E639A" w:rsidRPr="00D528F3" w:rsidTr="004E639A">
        <w:tc>
          <w:tcPr>
            <w:tcW w:w="6345" w:type="dxa"/>
          </w:tcPr>
          <w:p w:rsidR="004E639A" w:rsidRPr="00D528F3" w:rsidRDefault="004E639A" w:rsidP="004E639A">
            <w:pPr>
              <w:ind w:right="-108"/>
              <w:rPr>
                <w:rFonts w:ascii="Goudy Old Style" w:hAnsi="Goudy Old Style"/>
                <w:b/>
                <w:sz w:val="32"/>
                <w:szCs w:val="32"/>
              </w:rPr>
            </w:pPr>
            <w:r w:rsidRPr="00D528F3">
              <w:rPr>
                <w:rFonts w:ascii="Goudy Old Style" w:hAnsi="Goudy Old Style"/>
                <w:b/>
                <w:caps/>
                <w:sz w:val="32"/>
                <w:szCs w:val="32"/>
              </w:rPr>
              <w:t>P</w:t>
            </w:r>
            <w:r w:rsidRPr="00D528F3">
              <w:rPr>
                <w:rFonts w:ascii="Goudy Old Style" w:hAnsi="Goudy Old Style"/>
                <w:b/>
                <w:sz w:val="32"/>
                <w:szCs w:val="32"/>
              </w:rPr>
              <w:t>roductivity Commission</w:t>
            </w:r>
          </w:p>
          <w:p w:rsidR="004E639A" w:rsidRPr="00D528F3" w:rsidRDefault="004E639A" w:rsidP="004E639A">
            <w:pPr>
              <w:ind w:right="-108"/>
              <w:rPr>
                <w:rFonts w:ascii="Goudy Old Style" w:hAnsi="Goudy Old Style"/>
                <w:b/>
                <w:sz w:val="28"/>
                <w:szCs w:val="28"/>
              </w:rPr>
            </w:pPr>
            <w:r w:rsidRPr="00D528F3">
              <w:rPr>
                <w:rFonts w:ascii="Goudy Old Style" w:hAnsi="Goudy Old Style"/>
                <w:b/>
                <w:caps/>
                <w:sz w:val="36"/>
                <w:szCs w:val="36"/>
              </w:rPr>
              <w:t>SUBMISSION COVER sHEET</w:t>
            </w:r>
            <w:r w:rsidRPr="00D528F3">
              <w:rPr>
                <w:rFonts w:ascii="Goudy Old Style" w:hAnsi="Goudy Old Style"/>
                <w:b/>
                <w:caps/>
                <w:sz w:val="36"/>
                <w:szCs w:val="36"/>
              </w:rPr>
              <w:br/>
            </w:r>
            <w:r w:rsidRPr="00D528F3">
              <w:rPr>
                <w:rFonts w:ascii="Goudy Old Style" w:hAnsi="Goudy Old Style"/>
                <w:b/>
                <w:sz w:val="28"/>
                <w:szCs w:val="28"/>
              </w:rPr>
              <w:t>(not for publication)</w:t>
            </w:r>
          </w:p>
        </w:tc>
        <w:tc>
          <w:tcPr>
            <w:tcW w:w="3969" w:type="dxa"/>
          </w:tcPr>
          <w:p w:rsidR="004E639A" w:rsidRPr="00D528F3" w:rsidRDefault="004E639A" w:rsidP="004E639A">
            <w:pPr>
              <w:ind w:right="-108"/>
              <w:jc w:val="right"/>
              <w:rPr>
                <w:rFonts w:ascii="Goudy Old Style" w:hAnsi="Goudy Old Style"/>
              </w:rPr>
            </w:pPr>
            <w:r w:rsidRPr="00D528F3">
              <w:rPr>
                <w:rFonts w:ascii="Goudy Old Style" w:hAnsi="Goudy Old Style"/>
                <w:noProof/>
              </w:rPr>
              <w:drawing>
                <wp:inline distT="0" distB="0" distL="0" distR="0" wp14:anchorId="69544C68" wp14:editId="62042FE2">
                  <wp:extent cx="2105025" cy="619125"/>
                  <wp:effectExtent l="0" t="0" r="9525" b="9525"/>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bl>
    <w:p w:rsidR="004E639A" w:rsidRPr="00D528F3" w:rsidRDefault="004E639A" w:rsidP="004E639A">
      <w:pPr>
        <w:pBdr>
          <w:top w:val="single" w:sz="6" w:space="8" w:color="auto"/>
          <w:left w:val="single" w:sz="6" w:space="4" w:color="auto"/>
          <w:right w:val="single" w:sz="6" w:space="0" w:color="auto"/>
        </w:pBdr>
        <w:shd w:val="pct5" w:color="auto" w:fill="auto"/>
        <w:tabs>
          <w:tab w:val="left" w:pos="5670"/>
        </w:tabs>
        <w:ind w:right="-306"/>
        <w:jc w:val="both"/>
        <w:rPr>
          <w:rFonts w:ascii="Goudy Old Style" w:hAnsi="Goudy Old Style"/>
          <w:b/>
          <w:sz w:val="24"/>
          <w:szCs w:val="24"/>
        </w:rPr>
      </w:pPr>
      <w:r w:rsidRPr="00D528F3">
        <w:rPr>
          <w:rFonts w:ascii="Goudy Old Style" w:hAnsi="Goudy Old Style"/>
          <w:b/>
          <w:sz w:val="24"/>
          <w:szCs w:val="24"/>
        </w:rPr>
        <w:t>Please complete and submit this form with your submission to:</w:t>
      </w:r>
    </w:p>
    <w:p w:rsidR="004E639A" w:rsidRPr="00452F5A" w:rsidRDefault="006637F1" w:rsidP="004E639A">
      <w:pPr>
        <w:pBdr>
          <w:left w:val="single" w:sz="6" w:space="4" w:color="auto"/>
          <w:bottom w:val="single" w:sz="6" w:space="8" w:color="auto"/>
          <w:right w:val="single" w:sz="6" w:space="0" w:color="auto"/>
        </w:pBdr>
        <w:shd w:val="pct5" w:color="auto" w:fill="auto"/>
        <w:tabs>
          <w:tab w:val="left" w:pos="4253"/>
          <w:tab w:val="left" w:pos="5670"/>
        </w:tabs>
        <w:ind w:right="-307"/>
        <w:rPr>
          <w:rFonts w:ascii="Goudy Old Style" w:hAnsi="Goudy Old Style"/>
          <w:sz w:val="24"/>
          <w:szCs w:val="24"/>
        </w:rPr>
      </w:pPr>
      <w:r>
        <w:rPr>
          <w:rFonts w:ascii="Goudy Old Style" w:hAnsi="Goudy Old Style"/>
          <w:sz w:val="24"/>
          <w:szCs w:val="24"/>
        </w:rPr>
        <w:t xml:space="preserve">Regulator Engagement with </w:t>
      </w:r>
      <w:r>
        <w:rPr>
          <w:rFonts w:ascii="Goudy Old Style" w:hAnsi="Goudy Old Style"/>
          <w:sz w:val="24"/>
          <w:szCs w:val="24"/>
        </w:rPr>
        <w:tab/>
        <w:t xml:space="preserve">OR    </w:t>
      </w:r>
      <w:r w:rsidR="004E639A" w:rsidRPr="00452F5A">
        <w:rPr>
          <w:rFonts w:ascii="Goudy Old Style" w:hAnsi="Goudy Old Style"/>
          <w:sz w:val="24"/>
          <w:szCs w:val="24"/>
        </w:rPr>
        <w:t>By facsimile (fax) to:</w:t>
      </w:r>
      <w:r>
        <w:rPr>
          <w:rFonts w:ascii="Goudy Old Style" w:hAnsi="Goudy Old Style"/>
          <w:sz w:val="24"/>
          <w:szCs w:val="24"/>
        </w:rPr>
        <w:t xml:space="preserve"> (02) 6240 3311</w:t>
      </w:r>
    </w:p>
    <w:p w:rsidR="004E639A" w:rsidRPr="00452F5A" w:rsidRDefault="004E639A" w:rsidP="004E639A">
      <w:pPr>
        <w:pBdr>
          <w:left w:val="single" w:sz="6" w:space="4" w:color="auto"/>
          <w:bottom w:val="single" w:sz="6" w:space="8" w:color="auto"/>
          <w:right w:val="single" w:sz="6" w:space="0" w:color="auto"/>
        </w:pBdr>
        <w:shd w:val="pct5" w:color="auto" w:fill="auto"/>
        <w:tabs>
          <w:tab w:val="left" w:pos="4820"/>
          <w:tab w:val="left" w:pos="5670"/>
        </w:tabs>
        <w:ind w:right="-307"/>
        <w:rPr>
          <w:rFonts w:ascii="Goudy Old Style" w:hAnsi="Goudy Old Style"/>
          <w:sz w:val="24"/>
          <w:szCs w:val="24"/>
        </w:rPr>
      </w:pPr>
      <w:r>
        <w:rPr>
          <w:rFonts w:ascii="Goudy Old Style" w:hAnsi="Goudy Old Style"/>
          <w:sz w:val="24"/>
          <w:szCs w:val="24"/>
        </w:rPr>
        <w:t>Small Business</w:t>
      </w:r>
      <w:r w:rsidRPr="00452F5A">
        <w:rPr>
          <w:rFonts w:ascii="Goudy Old Style" w:hAnsi="Goudy Old Style"/>
          <w:sz w:val="24"/>
          <w:szCs w:val="24"/>
        </w:rPr>
        <w:tab/>
      </w:r>
      <w:r>
        <w:rPr>
          <w:rFonts w:ascii="Goudy Old Style" w:hAnsi="Goudy Old Style"/>
          <w:sz w:val="24"/>
          <w:szCs w:val="24"/>
        </w:rPr>
        <w:t>Christine Underwood: (02) 6240 3377</w:t>
      </w:r>
    </w:p>
    <w:p w:rsidR="004E639A" w:rsidRPr="00452F5A" w:rsidRDefault="004E639A" w:rsidP="004E639A">
      <w:pPr>
        <w:pBdr>
          <w:left w:val="single" w:sz="6" w:space="4" w:color="auto"/>
          <w:bottom w:val="single" w:sz="6" w:space="8" w:color="auto"/>
          <w:right w:val="single" w:sz="6" w:space="0" w:color="auto"/>
        </w:pBdr>
        <w:shd w:val="pct5" w:color="auto" w:fill="auto"/>
        <w:tabs>
          <w:tab w:val="left" w:pos="4820"/>
          <w:tab w:val="left" w:pos="5670"/>
        </w:tabs>
        <w:ind w:right="-307"/>
        <w:rPr>
          <w:rFonts w:ascii="Goudy Old Style" w:hAnsi="Goudy Old Style"/>
          <w:sz w:val="24"/>
          <w:szCs w:val="24"/>
        </w:rPr>
      </w:pPr>
      <w:r w:rsidRPr="00452F5A">
        <w:rPr>
          <w:rFonts w:ascii="Goudy Old Style" w:hAnsi="Goudy Old Style"/>
          <w:sz w:val="24"/>
          <w:szCs w:val="24"/>
        </w:rPr>
        <w:t>Productiv</w:t>
      </w:r>
      <w:r w:rsidR="006637F1">
        <w:rPr>
          <w:rFonts w:ascii="Goudy Old Style" w:hAnsi="Goudy Old Style"/>
          <w:sz w:val="24"/>
          <w:szCs w:val="24"/>
        </w:rPr>
        <w:t>ity Commission</w:t>
      </w:r>
      <w:r w:rsidR="006637F1">
        <w:rPr>
          <w:rFonts w:ascii="Goudy Old Style" w:hAnsi="Goudy Old Style"/>
          <w:sz w:val="24"/>
          <w:szCs w:val="24"/>
        </w:rPr>
        <w:tab/>
      </w:r>
      <w:r>
        <w:rPr>
          <w:rFonts w:ascii="Goudy Old Style" w:hAnsi="Goudy Old Style"/>
          <w:sz w:val="24"/>
          <w:szCs w:val="24"/>
        </w:rPr>
        <w:t xml:space="preserve">By email: </w:t>
      </w:r>
      <w:r w:rsidRPr="00B9306A">
        <w:rPr>
          <w:rFonts w:ascii="Goudy Old Style" w:hAnsi="Goudy Old Style"/>
          <w:sz w:val="24"/>
          <w:szCs w:val="24"/>
        </w:rPr>
        <w:t>small.business</w:t>
      </w:r>
      <w:r w:rsidRPr="00452F5A">
        <w:rPr>
          <w:rFonts w:ascii="Goudy Old Style" w:hAnsi="Goudy Old Style"/>
          <w:sz w:val="24"/>
          <w:szCs w:val="24"/>
        </w:rPr>
        <w:t>@pc.gov.au</w:t>
      </w:r>
    </w:p>
    <w:p w:rsidR="004E639A" w:rsidRPr="00D528F3" w:rsidRDefault="004E639A" w:rsidP="004E639A">
      <w:pPr>
        <w:pBdr>
          <w:left w:val="single" w:sz="6" w:space="4" w:color="auto"/>
          <w:bottom w:val="single" w:sz="6" w:space="8" w:color="auto"/>
          <w:right w:val="single" w:sz="6" w:space="0" w:color="auto"/>
        </w:pBdr>
        <w:shd w:val="pct5" w:color="auto" w:fill="auto"/>
        <w:tabs>
          <w:tab w:val="left" w:pos="4395"/>
          <w:tab w:val="left" w:pos="5670"/>
        </w:tabs>
        <w:ind w:right="-307"/>
        <w:rPr>
          <w:rFonts w:ascii="Goudy Old Style" w:hAnsi="Goudy Old Style"/>
          <w:sz w:val="24"/>
          <w:szCs w:val="24"/>
        </w:rPr>
      </w:pPr>
      <w:r>
        <w:rPr>
          <w:rFonts w:ascii="Goudy Old Style" w:hAnsi="Goudy Old Style"/>
          <w:sz w:val="24"/>
          <w:szCs w:val="24"/>
        </w:rPr>
        <w:t xml:space="preserve">GPO Box 1428, </w:t>
      </w:r>
      <w:r w:rsidRPr="00452F5A">
        <w:rPr>
          <w:rFonts w:ascii="Goudy Old Style" w:hAnsi="Goudy Old Style"/>
          <w:sz w:val="24"/>
          <w:szCs w:val="24"/>
        </w:rPr>
        <w:t>Canberra City ACT 2601</w:t>
      </w:r>
    </w:p>
    <w:p w:rsidR="004E639A" w:rsidRPr="00D528F3" w:rsidRDefault="004E639A" w:rsidP="004E639A">
      <w:pPr>
        <w:spacing w:line="120" w:lineRule="exact"/>
        <w:ind w:right="-249"/>
        <w:rPr>
          <w:rFonts w:ascii="Goudy Old Style" w:hAnsi="Goudy Old Style"/>
          <w:b/>
          <w:sz w:val="24"/>
        </w:rPr>
      </w:pPr>
    </w:p>
    <w:tbl>
      <w:tblPr>
        <w:tblW w:w="10315" w:type="dxa"/>
        <w:tblLayout w:type="fixed"/>
        <w:tblCellMar>
          <w:left w:w="107" w:type="dxa"/>
          <w:right w:w="107" w:type="dxa"/>
        </w:tblCellMar>
        <w:tblLook w:val="0000" w:firstRow="0" w:lastRow="0" w:firstColumn="0" w:lastColumn="0" w:noHBand="0" w:noVBand="0"/>
      </w:tblPr>
      <w:tblGrid>
        <w:gridCol w:w="1950"/>
        <w:gridCol w:w="992"/>
        <w:gridCol w:w="3402"/>
        <w:gridCol w:w="284"/>
        <w:gridCol w:w="709"/>
        <w:gridCol w:w="1134"/>
        <w:gridCol w:w="850"/>
        <w:gridCol w:w="994"/>
      </w:tblGrid>
      <w:tr w:rsidR="004E639A" w:rsidRPr="00D528F3" w:rsidTr="004E639A">
        <w:trPr>
          <w:cantSplit/>
        </w:trPr>
        <w:tc>
          <w:tcPr>
            <w:tcW w:w="2942" w:type="dxa"/>
            <w:gridSpan w:val="2"/>
            <w:shd w:val="pct5" w:color="auto" w:fill="auto"/>
            <w:vAlign w:val="bottom"/>
          </w:tcPr>
          <w:p w:rsidR="004E639A" w:rsidRPr="00D528F3" w:rsidRDefault="004E639A" w:rsidP="004E639A">
            <w:pPr>
              <w:spacing w:before="40" w:after="40"/>
              <w:rPr>
                <w:rFonts w:ascii="Goudy Old Style" w:hAnsi="Goudy Old Style"/>
                <w:b/>
                <w:sz w:val="26"/>
                <w:szCs w:val="26"/>
              </w:rPr>
            </w:pPr>
            <w:r w:rsidRPr="00D528F3">
              <w:rPr>
                <w:rFonts w:ascii="Goudy Old Style" w:hAnsi="Goudy Old Style"/>
                <w:b/>
                <w:sz w:val="24"/>
                <w:szCs w:val="24"/>
              </w:rPr>
              <w:t>Name</w:t>
            </w:r>
            <w:r w:rsidRPr="00D528F3">
              <w:rPr>
                <w:rFonts w:ascii="Goudy Old Style" w:hAnsi="Goudy Old Style"/>
                <w:b/>
                <w:sz w:val="26"/>
                <w:szCs w:val="26"/>
              </w:rPr>
              <w:t xml:space="preserve"> </w:t>
            </w:r>
            <w:r w:rsidRPr="00D528F3">
              <w:rPr>
                <w:rFonts w:ascii="Goudy Old Style" w:hAnsi="Goudy Old Style"/>
                <w:b/>
                <w:sz w:val="18"/>
                <w:szCs w:val="18"/>
              </w:rPr>
              <w:t>(first name and surname)</w:t>
            </w:r>
            <w:r w:rsidRPr="00D528F3">
              <w:rPr>
                <w:rFonts w:ascii="Goudy Old Style" w:hAnsi="Goudy Old Style"/>
                <w:b/>
                <w:sz w:val="26"/>
                <w:szCs w:val="26"/>
              </w:rPr>
              <w:t>:</w:t>
            </w:r>
          </w:p>
        </w:tc>
        <w:tc>
          <w:tcPr>
            <w:tcW w:w="7373" w:type="dxa"/>
            <w:gridSpan w:val="6"/>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Height w:val="20"/>
        </w:trPr>
        <w:tc>
          <w:tcPr>
            <w:tcW w:w="10315" w:type="dxa"/>
            <w:gridSpan w:val="8"/>
          </w:tcPr>
          <w:p w:rsidR="004E639A" w:rsidRPr="00D528F3" w:rsidRDefault="004E639A" w:rsidP="004E639A">
            <w:pPr>
              <w:spacing w:before="40" w:after="40"/>
              <w:jc w:val="both"/>
              <w:rPr>
                <w:rFonts w:ascii="Goudy Old Style" w:hAnsi="Goudy Old Style"/>
                <w:b/>
                <w:sz w:val="4"/>
                <w:szCs w:val="4"/>
              </w:rPr>
            </w:pPr>
          </w:p>
        </w:tc>
      </w:tr>
      <w:tr w:rsidR="004E639A" w:rsidRPr="00D528F3" w:rsidTr="004E639A">
        <w:trPr>
          <w:cantSplit/>
        </w:trPr>
        <w:tc>
          <w:tcPr>
            <w:tcW w:w="10315" w:type="dxa"/>
            <w:gridSpan w:val="8"/>
            <w:shd w:val="pct5" w:color="auto" w:fill="auto"/>
            <w:vAlign w:val="bottom"/>
          </w:tcPr>
          <w:p w:rsidR="004E639A" w:rsidRPr="00D528F3" w:rsidRDefault="004E639A" w:rsidP="004E639A">
            <w:pPr>
              <w:spacing w:before="40" w:after="40"/>
              <w:jc w:val="both"/>
              <w:rPr>
                <w:rFonts w:ascii="Goudy Old Style" w:hAnsi="Goudy Old Style"/>
                <w:b/>
                <w:sz w:val="18"/>
                <w:szCs w:val="18"/>
              </w:rPr>
            </w:pPr>
            <w:r w:rsidRPr="00D528F3">
              <w:rPr>
                <w:rFonts w:ascii="Goudy Old Style" w:hAnsi="Goudy Old Style"/>
                <w:b/>
                <w:sz w:val="18"/>
                <w:szCs w:val="18"/>
              </w:rPr>
              <w:t>If submitting on behalf of a company or organisation:</w:t>
            </w:r>
          </w:p>
        </w:tc>
      </w:tr>
      <w:tr w:rsidR="004E639A" w:rsidRPr="00D528F3" w:rsidTr="004E639A">
        <w:trPr>
          <w:cantSplit/>
        </w:trPr>
        <w:tc>
          <w:tcPr>
            <w:tcW w:w="2942" w:type="dxa"/>
            <w:gridSpan w:val="2"/>
            <w:shd w:val="pct5" w:color="auto" w:fill="auto"/>
            <w:vAlign w:val="bottom"/>
          </w:tcPr>
          <w:p w:rsidR="004E639A" w:rsidRPr="00D528F3" w:rsidRDefault="004E639A" w:rsidP="004E639A">
            <w:pPr>
              <w:spacing w:before="40" w:after="40"/>
              <w:rPr>
                <w:rFonts w:ascii="Goudy Old Style" w:hAnsi="Goudy Old Style"/>
                <w:b/>
                <w:sz w:val="24"/>
                <w:szCs w:val="24"/>
              </w:rPr>
            </w:pPr>
            <w:r w:rsidRPr="00D528F3">
              <w:rPr>
                <w:rFonts w:ascii="Goudy Old Style" w:hAnsi="Goudy Old Style"/>
                <w:b/>
                <w:sz w:val="24"/>
                <w:szCs w:val="24"/>
              </w:rPr>
              <w:t>Name of organisation:</w:t>
            </w:r>
          </w:p>
        </w:tc>
        <w:tc>
          <w:tcPr>
            <w:tcW w:w="7373" w:type="dxa"/>
            <w:gridSpan w:val="6"/>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Pr>
        <w:tc>
          <w:tcPr>
            <w:tcW w:w="2942" w:type="dxa"/>
            <w:gridSpan w:val="2"/>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Position in organisation:</w:t>
            </w:r>
          </w:p>
        </w:tc>
        <w:tc>
          <w:tcPr>
            <w:tcW w:w="7373" w:type="dxa"/>
            <w:gridSpan w:val="6"/>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Height w:val="20"/>
        </w:trPr>
        <w:tc>
          <w:tcPr>
            <w:tcW w:w="10315" w:type="dxa"/>
            <w:gridSpan w:val="8"/>
          </w:tcPr>
          <w:p w:rsidR="004E639A" w:rsidRPr="00D528F3" w:rsidRDefault="004E639A" w:rsidP="004E639A">
            <w:pPr>
              <w:spacing w:before="40" w:after="40"/>
              <w:jc w:val="both"/>
              <w:rPr>
                <w:rFonts w:ascii="Goudy Old Style" w:hAnsi="Goudy Old Style"/>
                <w:b/>
                <w:sz w:val="4"/>
                <w:szCs w:val="4"/>
              </w:rPr>
            </w:pPr>
          </w:p>
        </w:tc>
      </w:tr>
      <w:tr w:rsidR="004E639A" w:rsidRPr="00D528F3" w:rsidTr="004E639A">
        <w:trPr>
          <w:cantSplit/>
        </w:trPr>
        <w:tc>
          <w:tcPr>
            <w:tcW w:w="1950" w:type="dxa"/>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Phone:</w:t>
            </w:r>
          </w:p>
        </w:tc>
        <w:tc>
          <w:tcPr>
            <w:tcW w:w="4394" w:type="dxa"/>
            <w:gridSpan w:val="2"/>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c>
          <w:tcPr>
            <w:tcW w:w="993" w:type="dxa"/>
            <w:gridSpan w:val="2"/>
            <w:shd w:val="pct5" w:color="auto" w:fill="auto"/>
            <w:vAlign w:val="bottom"/>
          </w:tcPr>
          <w:p w:rsidR="004E639A" w:rsidRPr="00D528F3" w:rsidRDefault="004E639A" w:rsidP="004E639A">
            <w:pPr>
              <w:spacing w:before="40" w:after="40"/>
              <w:ind w:left="-107"/>
              <w:rPr>
                <w:rFonts w:ascii="Goudy Old Style" w:hAnsi="Goudy Old Style"/>
                <w:b/>
                <w:sz w:val="24"/>
                <w:szCs w:val="24"/>
              </w:rPr>
            </w:pPr>
            <w:r w:rsidRPr="00D528F3">
              <w:rPr>
                <w:rFonts w:ascii="Goudy Old Style" w:hAnsi="Goudy Old Style"/>
                <w:b/>
                <w:sz w:val="24"/>
                <w:szCs w:val="24"/>
              </w:rPr>
              <w:t>Mobile:</w:t>
            </w:r>
          </w:p>
        </w:tc>
        <w:tc>
          <w:tcPr>
            <w:tcW w:w="2978" w:type="dxa"/>
            <w:gridSpan w:val="3"/>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Pr>
        <w:tc>
          <w:tcPr>
            <w:tcW w:w="1950" w:type="dxa"/>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Email address:</w:t>
            </w:r>
          </w:p>
        </w:tc>
        <w:tc>
          <w:tcPr>
            <w:tcW w:w="8365" w:type="dxa"/>
            <w:gridSpan w:val="7"/>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Height w:val="20"/>
        </w:trPr>
        <w:tc>
          <w:tcPr>
            <w:tcW w:w="10315" w:type="dxa"/>
            <w:gridSpan w:val="8"/>
          </w:tcPr>
          <w:p w:rsidR="004E639A" w:rsidRPr="00D528F3" w:rsidRDefault="004E639A" w:rsidP="004E639A">
            <w:pPr>
              <w:spacing w:before="40" w:after="40"/>
              <w:jc w:val="both"/>
              <w:rPr>
                <w:rFonts w:ascii="Goudy Old Style" w:hAnsi="Goudy Old Style"/>
                <w:b/>
                <w:sz w:val="4"/>
                <w:szCs w:val="4"/>
              </w:rPr>
            </w:pPr>
          </w:p>
        </w:tc>
      </w:tr>
      <w:tr w:rsidR="004E639A" w:rsidRPr="00D528F3" w:rsidTr="004E639A">
        <w:trPr>
          <w:cantSplit/>
        </w:trPr>
        <w:tc>
          <w:tcPr>
            <w:tcW w:w="1950" w:type="dxa"/>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Street address:</w:t>
            </w:r>
          </w:p>
        </w:tc>
        <w:tc>
          <w:tcPr>
            <w:tcW w:w="8365" w:type="dxa"/>
            <w:gridSpan w:val="7"/>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Pr>
        <w:tc>
          <w:tcPr>
            <w:tcW w:w="1950" w:type="dxa"/>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Suburb/City:</w:t>
            </w:r>
          </w:p>
        </w:tc>
        <w:tc>
          <w:tcPr>
            <w:tcW w:w="4678" w:type="dxa"/>
            <w:gridSpan w:val="3"/>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c>
          <w:tcPr>
            <w:tcW w:w="709" w:type="dxa"/>
            <w:shd w:val="pct5" w:color="auto" w:fill="auto"/>
            <w:vAlign w:val="bottom"/>
          </w:tcPr>
          <w:p w:rsidR="004E639A" w:rsidRPr="00D528F3" w:rsidRDefault="004E639A" w:rsidP="004E639A">
            <w:pPr>
              <w:spacing w:before="40" w:after="40"/>
              <w:ind w:left="-107"/>
              <w:rPr>
                <w:rFonts w:ascii="Goudy Old Style" w:hAnsi="Goudy Old Style"/>
                <w:b/>
                <w:sz w:val="24"/>
                <w:szCs w:val="24"/>
              </w:rPr>
            </w:pPr>
            <w:r w:rsidRPr="00D528F3">
              <w:rPr>
                <w:rFonts w:ascii="Goudy Old Style" w:hAnsi="Goudy Old Style"/>
                <w:b/>
                <w:sz w:val="24"/>
                <w:szCs w:val="24"/>
              </w:rPr>
              <w:t>State:</w:t>
            </w:r>
          </w:p>
        </w:tc>
        <w:tc>
          <w:tcPr>
            <w:tcW w:w="1134" w:type="dxa"/>
            <w:shd w:val="clear" w:color="auto" w:fill="auto"/>
            <w:vAlign w:val="bottom"/>
          </w:tcPr>
          <w:p w:rsidR="004E639A" w:rsidRPr="00D528F3" w:rsidRDefault="004E639A" w:rsidP="004E639A">
            <w:pPr>
              <w:spacing w:before="40" w:after="40"/>
              <w:ind w:right="-177"/>
              <w:jc w:val="both"/>
              <w:rPr>
                <w:rFonts w:ascii="Goudy Old Style" w:hAnsi="Goudy Old Style"/>
                <w:b/>
                <w:sz w:val="24"/>
                <w:szCs w:val="24"/>
              </w:rPr>
            </w:pPr>
          </w:p>
        </w:tc>
        <w:tc>
          <w:tcPr>
            <w:tcW w:w="850" w:type="dxa"/>
            <w:shd w:val="pct5" w:color="auto" w:fill="auto"/>
            <w:vAlign w:val="bottom"/>
          </w:tcPr>
          <w:p w:rsidR="004E639A" w:rsidRPr="00D528F3" w:rsidRDefault="004E639A" w:rsidP="004E639A">
            <w:pPr>
              <w:spacing w:before="40" w:after="40"/>
              <w:ind w:left="-107" w:right="-107"/>
              <w:rPr>
                <w:rFonts w:ascii="Goudy Old Style" w:hAnsi="Goudy Old Style"/>
                <w:b/>
                <w:sz w:val="24"/>
                <w:szCs w:val="24"/>
              </w:rPr>
            </w:pPr>
            <w:r w:rsidRPr="00D528F3">
              <w:rPr>
                <w:rFonts w:ascii="Goudy Old Style" w:hAnsi="Goudy Old Style"/>
                <w:b/>
                <w:sz w:val="24"/>
                <w:szCs w:val="24"/>
              </w:rPr>
              <w:t>P’code:</w:t>
            </w:r>
          </w:p>
        </w:tc>
        <w:tc>
          <w:tcPr>
            <w:tcW w:w="994" w:type="dxa"/>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Height w:val="20"/>
        </w:trPr>
        <w:tc>
          <w:tcPr>
            <w:tcW w:w="10315" w:type="dxa"/>
            <w:gridSpan w:val="8"/>
          </w:tcPr>
          <w:p w:rsidR="004E639A" w:rsidRPr="00D528F3" w:rsidRDefault="004E639A" w:rsidP="004E639A">
            <w:pPr>
              <w:spacing w:before="40" w:after="40"/>
              <w:jc w:val="both"/>
              <w:rPr>
                <w:rFonts w:ascii="Goudy Old Style" w:hAnsi="Goudy Old Style"/>
                <w:b/>
                <w:sz w:val="4"/>
                <w:szCs w:val="4"/>
              </w:rPr>
            </w:pPr>
          </w:p>
        </w:tc>
      </w:tr>
      <w:tr w:rsidR="004E639A" w:rsidRPr="00D528F3" w:rsidTr="004E639A">
        <w:trPr>
          <w:cantSplit/>
          <w:trHeight w:val="20"/>
        </w:trPr>
        <w:tc>
          <w:tcPr>
            <w:tcW w:w="1950" w:type="dxa"/>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Postal address:</w:t>
            </w:r>
          </w:p>
        </w:tc>
        <w:tc>
          <w:tcPr>
            <w:tcW w:w="8365" w:type="dxa"/>
            <w:gridSpan w:val="7"/>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r w:rsidR="004E639A" w:rsidRPr="00D528F3" w:rsidTr="004E639A">
        <w:trPr>
          <w:cantSplit/>
        </w:trPr>
        <w:tc>
          <w:tcPr>
            <w:tcW w:w="1950" w:type="dxa"/>
            <w:shd w:val="pct5" w:color="auto" w:fill="auto"/>
            <w:vAlign w:val="bottom"/>
          </w:tcPr>
          <w:p w:rsidR="004E639A" w:rsidRPr="00D528F3" w:rsidRDefault="004E639A" w:rsidP="004E639A">
            <w:pPr>
              <w:spacing w:before="40" w:after="40"/>
              <w:jc w:val="both"/>
              <w:rPr>
                <w:rFonts w:ascii="Goudy Old Style" w:hAnsi="Goudy Old Style"/>
                <w:b/>
                <w:sz w:val="24"/>
                <w:szCs w:val="24"/>
              </w:rPr>
            </w:pPr>
            <w:r w:rsidRPr="00D528F3">
              <w:rPr>
                <w:rFonts w:ascii="Goudy Old Style" w:hAnsi="Goudy Old Style"/>
                <w:b/>
                <w:sz w:val="24"/>
                <w:szCs w:val="24"/>
              </w:rPr>
              <w:t>Suburb/City:</w:t>
            </w:r>
          </w:p>
        </w:tc>
        <w:tc>
          <w:tcPr>
            <w:tcW w:w="4678" w:type="dxa"/>
            <w:gridSpan w:val="3"/>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c>
          <w:tcPr>
            <w:tcW w:w="709" w:type="dxa"/>
            <w:shd w:val="pct5" w:color="auto" w:fill="auto"/>
            <w:vAlign w:val="bottom"/>
          </w:tcPr>
          <w:p w:rsidR="004E639A" w:rsidRPr="00D528F3" w:rsidRDefault="004E639A" w:rsidP="004E639A">
            <w:pPr>
              <w:spacing w:before="40" w:after="40"/>
              <w:ind w:left="-107"/>
              <w:rPr>
                <w:rFonts w:ascii="Goudy Old Style" w:hAnsi="Goudy Old Style"/>
                <w:b/>
                <w:sz w:val="24"/>
                <w:szCs w:val="24"/>
              </w:rPr>
            </w:pPr>
            <w:r w:rsidRPr="00D528F3">
              <w:rPr>
                <w:rFonts w:ascii="Goudy Old Style" w:hAnsi="Goudy Old Style"/>
                <w:b/>
                <w:sz w:val="24"/>
                <w:szCs w:val="24"/>
              </w:rPr>
              <w:t>State:</w:t>
            </w:r>
          </w:p>
        </w:tc>
        <w:tc>
          <w:tcPr>
            <w:tcW w:w="1134" w:type="dxa"/>
            <w:shd w:val="clear" w:color="auto" w:fill="auto"/>
            <w:vAlign w:val="bottom"/>
          </w:tcPr>
          <w:p w:rsidR="004E639A" w:rsidRPr="00D528F3" w:rsidRDefault="004E639A" w:rsidP="004E639A">
            <w:pPr>
              <w:spacing w:before="40" w:after="40"/>
              <w:ind w:right="-177"/>
              <w:jc w:val="both"/>
              <w:rPr>
                <w:rFonts w:ascii="Goudy Old Style" w:hAnsi="Goudy Old Style"/>
                <w:b/>
                <w:sz w:val="24"/>
                <w:szCs w:val="24"/>
              </w:rPr>
            </w:pPr>
          </w:p>
        </w:tc>
        <w:tc>
          <w:tcPr>
            <w:tcW w:w="850" w:type="dxa"/>
            <w:shd w:val="pct5" w:color="auto" w:fill="auto"/>
            <w:vAlign w:val="bottom"/>
          </w:tcPr>
          <w:p w:rsidR="004E639A" w:rsidRPr="00D528F3" w:rsidRDefault="004E639A" w:rsidP="004E639A">
            <w:pPr>
              <w:spacing w:before="40" w:after="40"/>
              <w:ind w:left="-107" w:right="-107"/>
              <w:rPr>
                <w:rFonts w:ascii="Goudy Old Style" w:hAnsi="Goudy Old Style"/>
                <w:b/>
                <w:sz w:val="24"/>
                <w:szCs w:val="24"/>
              </w:rPr>
            </w:pPr>
            <w:r w:rsidRPr="00D528F3">
              <w:rPr>
                <w:rFonts w:ascii="Goudy Old Style" w:hAnsi="Goudy Old Style"/>
                <w:b/>
                <w:sz w:val="24"/>
                <w:szCs w:val="24"/>
              </w:rPr>
              <w:t>P’code:</w:t>
            </w:r>
          </w:p>
        </w:tc>
        <w:tc>
          <w:tcPr>
            <w:tcW w:w="994" w:type="dxa"/>
            <w:tcBorders>
              <w:bottom w:val="dashed" w:sz="4" w:space="0" w:color="auto"/>
            </w:tcBorders>
          </w:tcPr>
          <w:p w:rsidR="004E639A" w:rsidRPr="00D528F3" w:rsidRDefault="004E639A" w:rsidP="004E639A">
            <w:pPr>
              <w:spacing w:before="40" w:after="40"/>
              <w:jc w:val="both"/>
              <w:rPr>
                <w:rFonts w:ascii="Goudy Old Style" w:hAnsi="Goudy Old Style"/>
                <w:b/>
                <w:sz w:val="24"/>
                <w:szCs w:val="24"/>
              </w:rPr>
            </w:pPr>
          </w:p>
        </w:tc>
      </w:tr>
    </w:tbl>
    <w:p w:rsidR="004E639A" w:rsidRPr="00D528F3" w:rsidRDefault="004E639A" w:rsidP="004E639A">
      <w:pPr>
        <w:spacing w:line="120" w:lineRule="exact"/>
        <w:ind w:right="-249"/>
        <w:rPr>
          <w:rFonts w:ascii="Goudy Old Style" w:hAnsi="Goudy Old Style"/>
          <w:b/>
          <w:sz w:val="24"/>
        </w:rPr>
      </w:pPr>
    </w:p>
    <w:p w:rsidR="004E639A" w:rsidRPr="00D528F3" w:rsidRDefault="004E639A" w:rsidP="006637F1">
      <w:pPr>
        <w:keepNext/>
        <w:spacing w:line="240" w:lineRule="atLeast"/>
        <w:jc w:val="both"/>
        <w:outlineLvl w:val="4"/>
        <w:rPr>
          <w:rFonts w:ascii="Goudy Old Style" w:hAnsi="Goudy Old Style" w:cs="Arial"/>
          <w:b/>
          <w:color w:val="000000"/>
          <w:sz w:val="19"/>
          <w:szCs w:val="19"/>
        </w:rPr>
      </w:pPr>
      <w:r w:rsidRPr="00D528F3">
        <w:rPr>
          <w:rFonts w:ascii="Goudy Old Style" w:hAnsi="Goudy Old Style"/>
          <w:b/>
          <w:sz w:val="28"/>
        </w:rPr>
        <w:t>Please note:</w:t>
      </w:r>
    </w:p>
    <w:p w:rsidR="004E639A" w:rsidRPr="00D528F3" w:rsidRDefault="004E639A" w:rsidP="006637F1">
      <w:pPr>
        <w:numPr>
          <w:ilvl w:val="0"/>
          <w:numId w:val="44"/>
        </w:numPr>
        <w:tabs>
          <w:tab w:val="clear" w:pos="720"/>
          <w:tab w:val="num" w:pos="426"/>
        </w:tabs>
        <w:spacing w:before="120"/>
        <w:ind w:left="426" w:hanging="426"/>
        <w:jc w:val="both"/>
        <w:rPr>
          <w:rFonts w:ascii="Goudy Old Style" w:hAnsi="Goudy Old Style"/>
          <w:sz w:val="24"/>
        </w:rPr>
      </w:pPr>
      <w:r w:rsidRPr="00D528F3">
        <w:rPr>
          <w:rFonts w:ascii="Goudy Old Style" w:hAnsi="Goudy Old Style"/>
          <w:sz w:val="24"/>
        </w:rPr>
        <w:t>Copyright in submissions resides with the author(s), not with the Productivity Commission.</w:t>
      </w:r>
    </w:p>
    <w:p w:rsidR="004E639A" w:rsidRPr="00D528F3" w:rsidRDefault="004E639A" w:rsidP="006637F1">
      <w:pPr>
        <w:numPr>
          <w:ilvl w:val="0"/>
          <w:numId w:val="44"/>
        </w:numPr>
        <w:tabs>
          <w:tab w:val="clear" w:pos="720"/>
          <w:tab w:val="num" w:pos="426"/>
        </w:tabs>
        <w:spacing w:before="120"/>
        <w:ind w:left="426" w:hanging="426"/>
        <w:jc w:val="both"/>
        <w:rPr>
          <w:rFonts w:ascii="Goudy Old Style" w:hAnsi="Goudy Old Style"/>
          <w:sz w:val="24"/>
        </w:rPr>
      </w:pPr>
      <w:r w:rsidRPr="00D528F3">
        <w:rPr>
          <w:rFonts w:ascii="Goudy Old Style" w:hAnsi="Goudy Old Style"/>
          <w:sz w:val="24"/>
        </w:rPr>
        <w:t xml:space="preserve">Following processing, public submissions will be placed on the Commission’s website. </w:t>
      </w:r>
      <w:r w:rsidRPr="00D528F3">
        <w:rPr>
          <w:rFonts w:ascii="Goudy Old Style" w:hAnsi="Goudy Old Style"/>
          <w:b/>
          <w:sz w:val="24"/>
        </w:rPr>
        <w:t>Submissions will remain on the Commission’s website as public documents indefinitely.</w:t>
      </w:r>
    </w:p>
    <w:p w:rsidR="004E639A" w:rsidRPr="00D528F3" w:rsidRDefault="004E639A" w:rsidP="006637F1">
      <w:pPr>
        <w:numPr>
          <w:ilvl w:val="0"/>
          <w:numId w:val="44"/>
        </w:numPr>
        <w:tabs>
          <w:tab w:val="clear" w:pos="720"/>
          <w:tab w:val="num" w:pos="426"/>
        </w:tabs>
        <w:spacing w:before="120"/>
        <w:ind w:left="426" w:hanging="426"/>
        <w:jc w:val="both"/>
        <w:rPr>
          <w:rFonts w:ascii="Goudy Old Style" w:hAnsi="Goudy Old Style"/>
          <w:sz w:val="24"/>
        </w:rPr>
      </w:pPr>
      <w:r w:rsidRPr="00D528F3">
        <w:rPr>
          <w:rFonts w:ascii="Goudy Old Style" w:hAnsi="Goudy Old Style"/>
          <w:sz w:val="24"/>
        </w:rPr>
        <w:t xml:space="preserve">As this is a public </w:t>
      </w:r>
      <w:r>
        <w:rPr>
          <w:rFonts w:ascii="Goudy Old Style" w:hAnsi="Goudy Old Style"/>
          <w:sz w:val="24"/>
        </w:rPr>
        <w:t>study</w:t>
      </w:r>
      <w:r w:rsidRPr="00D528F3">
        <w:rPr>
          <w:rFonts w:ascii="Goudy Old Style" w:hAnsi="Goudy Old Style"/>
          <w:sz w:val="24"/>
        </w:rPr>
        <w:t xml:space="preserve">, ‘in confidence’ material can be accepted only under special circumstances. </w:t>
      </w:r>
      <w:r w:rsidRPr="00D528F3">
        <w:rPr>
          <w:rFonts w:ascii="Goudy Old Style" w:hAnsi="Goudy Old Style"/>
          <w:b/>
          <w:sz w:val="24"/>
        </w:rPr>
        <w:t>You should contact the Commission before submitting this material</w:t>
      </w:r>
      <w:r w:rsidRPr="00D528F3">
        <w:rPr>
          <w:rFonts w:ascii="Goudy Old Style" w:hAnsi="Goudy Old Style"/>
          <w:sz w:val="24"/>
        </w:rPr>
        <w:t>.</w:t>
      </w:r>
    </w:p>
    <w:p w:rsidR="004E639A" w:rsidRPr="00D528F3" w:rsidRDefault="004E639A" w:rsidP="006637F1">
      <w:pPr>
        <w:numPr>
          <w:ilvl w:val="0"/>
          <w:numId w:val="44"/>
        </w:numPr>
        <w:tabs>
          <w:tab w:val="clear" w:pos="720"/>
          <w:tab w:val="num" w:pos="426"/>
        </w:tabs>
        <w:spacing w:before="120" w:after="120"/>
        <w:ind w:left="426" w:hanging="426"/>
        <w:jc w:val="both"/>
        <w:rPr>
          <w:rFonts w:ascii="Goudy Old Style" w:hAnsi="Goudy Old Style"/>
          <w:sz w:val="24"/>
        </w:rPr>
      </w:pPr>
      <w:r w:rsidRPr="00D528F3">
        <w:rPr>
          <w:rFonts w:ascii="Goudy Old Style" w:hAnsi="Goudy Old Style"/>
          <w:sz w:val="24"/>
        </w:rPr>
        <w:t>For submissions made by individuals, only your name and the state or territory in which you reside will be published on the Commission’s website. All other contact details will be removed from your submission.</w:t>
      </w:r>
    </w:p>
    <w:tbl>
      <w:tblPr>
        <w:tblW w:w="10313" w:type="dxa"/>
        <w:tblLayout w:type="fixed"/>
        <w:tblCellMar>
          <w:left w:w="107" w:type="dxa"/>
          <w:right w:w="107" w:type="dxa"/>
        </w:tblCellMar>
        <w:tblLook w:val="0000" w:firstRow="0" w:lastRow="0" w:firstColumn="0" w:lastColumn="0" w:noHBand="0" w:noVBand="0"/>
      </w:tblPr>
      <w:tblGrid>
        <w:gridCol w:w="10313"/>
      </w:tblGrid>
      <w:tr w:rsidR="004E639A" w:rsidRPr="00D528F3" w:rsidTr="004E639A">
        <w:trPr>
          <w:cantSplit/>
          <w:trHeight w:val="40"/>
        </w:trPr>
        <w:tc>
          <w:tcPr>
            <w:tcW w:w="10313" w:type="dxa"/>
            <w:tcBorders>
              <w:top w:val="single" w:sz="6" w:space="0" w:color="auto"/>
              <w:left w:val="single" w:sz="6" w:space="0" w:color="auto"/>
              <w:right w:val="single" w:sz="6" w:space="0" w:color="auto"/>
            </w:tcBorders>
            <w:vAlign w:val="bottom"/>
          </w:tcPr>
          <w:p w:rsidR="004E639A" w:rsidRPr="00D528F3" w:rsidRDefault="004E639A" w:rsidP="004E639A">
            <w:pPr>
              <w:tabs>
                <w:tab w:val="left" w:pos="426"/>
                <w:tab w:val="left" w:pos="4537"/>
                <w:tab w:val="left" w:pos="4962"/>
              </w:tabs>
              <w:ind w:right="-249"/>
              <w:rPr>
                <w:rFonts w:ascii="Goudy Old Style" w:hAnsi="Goudy Old Style"/>
                <w:b/>
                <w:i/>
                <w:sz w:val="24"/>
                <w:szCs w:val="24"/>
              </w:rPr>
            </w:pPr>
            <w:r w:rsidRPr="00D528F3">
              <w:rPr>
                <w:rFonts w:ascii="Goudy Old Style" w:hAnsi="Goudy Old Style"/>
                <w:b/>
                <w:i/>
                <w:sz w:val="24"/>
                <w:szCs w:val="24"/>
              </w:rPr>
              <w:t>Please indicate if your submission:</w:t>
            </w:r>
          </w:p>
        </w:tc>
      </w:tr>
      <w:tr w:rsidR="004E639A" w:rsidRPr="00D528F3" w:rsidTr="004E639A">
        <w:trPr>
          <w:cantSplit/>
        </w:trPr>
        <w:tc>
          <w:tcPr>
            <w:tcW w:w="10313" w:type="dxa"/>
            <w:tcBorders>
              <w:left w:val="single" w:sz="6" w:space="0" w:color="auto"/>
              <w:right w:val="single" w:sz="4" w:space="0" w:color="auto"/>
            </w:tcBorders>
          </w:tcPr>
          <w:p w:rsidR="004E639A" w:rsidRPr="00D528F3" w:rsidRDefault="00152ADE" w:rsidP="004E639A">
            <w:pPr>
              <w:tabs>
                <w:tab w:val="left" w:pos="567"/>
                <w:tab w:val="left" w:pos="4537"/>
                <w:tab w:val="left" w:pos="4962"/>
              </w:tabs>
              <w:spacing w:before="120" w:line="20" w:lineRule="atLeast"/>
              <w:ind w:left="567" w:hanging="567"/>
              <w:rPr>
                <w:rFonts w:ascii="Goudy Old Style" w:hAnsi="Goudy Old Style"/>
                <w:sz w:val="24"/>
                <w:szCs w:val="24"/>
              </w:rPr>
            </w:pPr>
            <w:r w:rsidRPr="00D528F3">
              <w:rPr>
                <w:rFonts w:ascii="Goudy Old Style" w:hAnsi="Goudy Old Style"/>
                <w:sz w:val="24"/>
                <w:szCs w:val="24"/>
              </w:rPr>
              <w:fldChar w:fldCharType="begin">
                <w:ffData>
                  <w:name w:val="Check1"/>
                  <w:enabled/>
                  <w:calcOnExit w:val="0"/>
                  <w:checkBox>
                    <w:size w:val="28"/>
                    <w:default w:val="0"/>
                  </w:checkBox>
                </w:ffData>
              </w:fldChar>
            </w:r>
            <w:r w:rsidR="004E639A" w:rsidRPr="00D528F3">
              <w:rPr>
                <w:rFonts w:ascii="Goudy Old Style" w:hAnsi="Goudy Old Style"/>
                <w:sz w:val="24"/>
                <w:szCs w:val="24"/>
              </w:rPr>
              <w:instrText xml:space="preserve"> FORMCHECKBOX </w:instrText>
            </w:r>
            <w:r w:rsidRPr="00D528F3">
              <w:rPr>
                <w:rFonts w:ascii="Goudy Old Style" w:hAnsi="Goudy Old Style"/>
                <w:sz w:val="24"/>
                <w:szCs w:val="24"/>
              </w:rPr>
            </w:r>
            <w:r w:rsidRPr="00D528F3">
              <w:rPr>
                <w:rFonts w:ascii="Goudy Old Style" w:hAnsi="Goudy Old Style"/>
                <w:sz w:val="24"/>
                <w:szCs w:val="24"/>
              </w:rPr>
              <w:fldChar w:fldCharType="end"/>
            </w:r>
            <w:r w:rsidR="004E639A" w:rsidRPr="00D528F3">
              <w:rPr>
                <w:rFonts w:ascii="Goudy Old Style" w:hAnsi="Goudy Old Style"/>
                <w:sz w:val="24"/>
                <w:szCs w:val="24"/>
              </w:rPr>
              <w:tab/>
              <w:t xml:space="preserve">Is a public submission, it does NOT contain ‘in confidence’ material </w:t>
            </w:r>
            <w:r w:rsidR="004E639A" w:rsidRPr="00D528F3">
              <w:rPr>
                <w:rFonts w:ascii="Goudy Old Style" w:hAnsi="Goudy Old Style" w:cs="GoudyOlSt BT"/>
                <w:bCs/>
                <w:sz w:val="24"/>
                <w:szCs w:val="24"/>
              </w:rPr>
              <w:t>and can be placed on the Commission’s website.</w:t>
            </w:r>
          </w:p>
        </w:tc>
      </w:tr>
      <w:tr w:rsidR="004E639A" w:rsidRPr="00D528F3" w:rsidTr="004E639A">
        <w:trPr>
          <w:cantSplit/>
        </w:trPr>
        <w:tc>
          <w:tcPr>
            <w:tcW w:w="10313" w:type="dxa"/>
            <w:tcBorders>
              <w:left w:val="single" w:sz="6" w:space="0" w:color="auto"/>
              <w:bottom w:val="single" w:sz="4" w:space="0" w:color="auto"/>
              <w:right w:val="single" w:sz="4" w:space="0" w:color="auto"/>
            </w:tcBorders>
          </w:tcPr>
          <w:p w:rsidR="004E639A" w:rsidRPr="00D528F3" w:rsidRDefault="00152ADE" w:rsidP="004E639A">
            <w:pPr>
              <w:tabs>
                <w:tab w:val="left" w:pos="567"/>
                <w:tab w:val="left" w:pos="4537"/>
                <w:tab w:val="left" w:pos="4962"/>
              </w:tabs>
              <w:spacing w:before="120" w:line="20" w:lineRule="atLeast"/>
              <w:ind w:left="567" w:hanging="567"/>
              <w:rPr>
                <w:rFonts w:ascii="Goudy Old Style" w:hAnsi="Goudy Old Style"/>
                <w:sz w:val="24"/>
                <w:szCs w:val="24"/>
              </w:rPr>
            </w:pPr>
            <w:r w:rsidRPr="00D528F3">
              <w:rPr>
                <w:rFonts w:ascii="Goudy Old Style" w:hAnsi="Goudy Old Style"/>
                <w:sz w:val="24"/>
                <w:szCs w:val="24"/>
              </w:rPr>
              <w:fldChar w:fldCharType="begin">
                <w:ffData>
                  <w:name w:val="Check1"/>
                  <w:enabled/>
                  <w:calcOnExit w:val="0"/>
                  <w:checkBox>
                    <w:size w:val="28"/>
                    <w:default w:val="0"/>
                  </w:checkBox>
                </w:ffData>
              </w:fldChar>
            </w:r>
            <w:r w:rsidR="004E639A" w:rsidRPr="00D528F3">
              <w:rPr>
                <w:rFonts w:ascii="Goudy Old Style" w:hAnsi="Goudy Old Style"/>
                <w:sz w:val="24"/>
                <w:szCs w:val="24"/>
              </w:rPr>
              <w:instrText xml:space="preserve"> FORMCHECKBOX </w:instrText>
            </w:r>
            <w:r w:rsidRPr="00D528F3">
              <w:rPr>
                <w:rFonts w:ascii="Goudy Old Style" w:hAnsi="Goudy Old Style"/>
                <w:sz w:val="24"/>
                <w:szCs w:val="24"/>
              </w:rPr>
            </w:r>
            <w:r w:rsidRPr="00D528F3">
              <w:rPr>
                <w:rFonts w:ascii="Goudy Old Style" w:hAnsi="Goudy Old Style"/>
                <w:sz w:val="24"/>
                <w:szCs w:val="24"/>
              </w:rPr>
              <w:fldChar w:fldCharType="end"/>
            </w:r>
            <w:r w:rsidR="004E639A" w:rsidRPr="00D528F3">
              <w:rPr>
                <w:rFonts w:ascii="Goudy Old Style" w:hAnsi="Goudy Old Style"/>
                <w:sz w:val="24"/>
                <w:szCs w:val="24"/>
              </w:rPr>
              <w:tab/>
              <w:t>Contains SOME material supplied ‘in confidence’ (provided under separate cover and clearly marked IN CONFIDENCE).</w:t>
            </w:r>
          </w:p>
        </w:tc>
      </w:tr>
    </w:tbl>
    <w:p w:rsidR="004E639A" w:rsidRPr="00D528F3" w:rsidRDefault="004E639A" w:rsidP="004E639A">
      <w:pPr>
        <w:tabs>
          <w:tab w:val="left" w:pos="426"/>
          <w:tab w:val="left" w:pos="4537"/>
          <w:tab w:val="left" w:pos="4962"/>
        </w:tabs>
        <w:spacing w:line="120" w:lineRule="exact"/>
        <w:ind w:right="-249"/>
        <w:rPr>
          <w:rFonts w:ascii="Goudy Old Style" w:hAnsi="Goudy Old Style"/>
          <w:b/>
          <w:i/>
          <w:sz w:val="24"/>
          <w:szCs w:val="24"/>
        </w:rPr>
      </w:pPr>
    </w:p>
    <w:tbl>
      <w:tblPr>
        <w:tblW w:w="10313" w:type="dxa"/>
        <w:tblLayout w:type="fixed"/>
        <w:tblCellMar>
          <w:left w:w="107" w:type="dxa"/>
          <w:right w:w="107" w:type="dxa"/>
        </w:tblCellMar>
        <w:tblLook w:val="0000" w:firstRow="0" w:lastRow="0" w:firstColumn="0" w:lastColumn="0" w:noHBand="0" w:noVBand="0"/>
      </w:tblPr>
      <w:tblGrid>
        <w:gridCol w:w="10313"/>
      </w:tblGrid>
      <w:tr w:rsidR="004E639A" w:rsidRPr="00D528F3" w:rsidTr="004E639A">
        <w:trPr>
          <w:cantSplit/>
          <w:trHeight w:val="40"/>
        </w:trPr>
        <w:tc>
          <w:tcPr>
            <w:tcW w:w="10313" w:type="dxa"/>
            <w:tcBorders>
              <w:top w:val="single" w:sz="6" w:space="0" w:color="auto"/>
              <w:left w:val="single" w:sz="6" w:space="0" w:color="auto"/>
              <w:right w:val="single" w:sz="6" w:space="0" w:color="auto"/>
            </w:tcBorders>
            <w:vAlign w:val="bottom"/>
          </w:tcPr>
          <w:p w:rsidR="004E639A" w:rsidRPr="00D528F3" w:rsidRDefault="004E639A" w:rsidP="004E639A">
            <w:pPr>
              <w:tabs>
                <w:tab w:val="left" w:pos="426"/>
                <w:tab w:val="left" w:pos="4537"/>
                <w:tab w:val="left" w:pos="4962"/>
              </w:tabs>
              <w:ind w:right="34"/>
              <w:rPr>
                <w:rFonts w:ascii="Goudy Old Style" w:hAnsi="Goudy Old Style"/>
                <w:b/>
                <w:i/>
                <w:sz w:val="24"/>
                <w:szCs w:val="24"/>
              </w:rPr>
            </w:pPr>
            <w:r w:rsidRPr="00D528F3">
              <w:rPr>
                <w:rFonts w:ascii="Goudy Old Style" w:hAnsi="Goudy Old Style"/>
                <w:b/>
                <w:i/>
                <w:sz w:val="24"/>
                <w:szCs w:val="24"/>
              </w:rPr>
              <w:t>The Final Report will be available for viewing from the Commission’s website – would you like to receive a hardcopy?</w:t>
            </w:r>
          </w:p>
        </w:tc>
      </w:tr>
      <w:tr w:rsidR="004E639A" w:rsidRPr="00D528F3" w:rsidTr="004E639A">
        <w:trPr>
          <w:cantSplit/>
        </w:trPr>
        <w:tc>
          <w:tcPr>
            <w:tcW w:w="10313" w:type="dxa"/>
            <w:tcBorders>
              <w:left w:val="single" w:sz="6" w:space="0" w:color="auto"/>
              <w:right w:val="single" w:sz="4" w:space="0" w:color="auto"/>
            </w:tcBorders>
          </w:tcPr>
          <w:p w:rsidR="004E639A" w:rsidRPr="00D528F3" w:rsidRDefault="00152ADE" w:rsidP="004E639A">
            <w:pPr>
              <w:tabs>
                <w:tab w:val="left" w:pos="567"/>
                <w:tab w:val="left" w:pos="4537"/>
                <w:tab w:val="left" w:pos="4962"/>
              </w:tabs>
              <w:spacing w:before="120" w:line="20" w:lineRule="atLeast"/>
              <w:rPr>
                <w:rFonts w:ascii="Goudy Old Style" w:hAnsi="Goudy Old Style"/>
                <w:b/>
                <w:sz w:val="24"/>
                <w:szCs w:val="24"/>
              </w:rPr>
            </w:pPr>
            <w:r w:rsidRPr="00D528F3">
              <w:rPr>
                <w:rFonts w:ascii="Goudy Old Style" w:hAnsi="Goudy Old Style"/>
                <w:sz w:val="24"/>
                <w:szCs w:val="24"/>
              </w:rPr>
              <w:fldChar w:fldCharType="begin">
                <w:ffData>
                  <w:name w:val="Check1"/>
                  <w:enabled/>
                  <w:calcOnExit w:val="0"/>
                  <w:checkBox>
                    <w:size w:val="28"/>
                    <w:default w:val="0"/>
                  </w:checkBox>
                </w:ffData>
              </w:fldChar>
            </w:r>
            <w:r w:rsidR="004E639A" w:rsidRPr="00D528F3">
              <w:rPr>
                <w:rFonts w:ascii="Goudy Old Style" w:hAnsi="Goudy Old Style"/>
                <w:sz w:val="24"/>
                <w:szCs w:val="24"/>
              </w:rPr>
              <w:instrText xml:space="preserve"> FORMCHECKBOX </w:instrText>
            </w:r>
            <w:r w:rsidRPr="00D528F3">
              <w:rPr>
                <w:rFonts w:ascii="Goudy Old Style" w:hAnsi="Goudy Old Style"/>
                <w:sz w:val="24"/>
                <w:szCs w:val="24"/>
              </w:rPr>
            </w:r>
            <w:r w:rsidRPr="00D528F3">
              <w:rPr>
                <w:rFonts w:ascii="Goudy Old Style" w:hAnsi="Goudy Old Style"/>
                <w:sz w:val="24"/>
                <w:szCs w:val="24"/>
              </w:rPr>
              <w:fldChar w:fldCharType="end"/>
            </w:r>
            <w:r w:rsidR="004E639A" w:rsidRPr="00D528F3">
              <w:rPr>
                <w:rFonts w:ascii="Goudy Old Style" w:hAnsi="Goudy Old Style"/>
                <w:sz w:val="24"/>
                <w:szCs w:val="24"/>
              </w:rPr>
              <w:tab/>
              <w:t>No (view online)</w:t>
            </w:r>
          </w:p>
        </w:tc>
      </w:tr>
      <w:tr w:rsidR="004E639A" w:rsidRPr="00D528F3" w:rsidTr="004E639A">
        <w:trPr>
          <w:cantSplit/>
        </w:trPr>
        <w:tc>
          <w:tcPr>
            <w:tcW w:w="10313" w:type="dxa"/>
            <w:tcBorders>
              <w:left w:val="single" w:sz="6" w:space="0" w:color="auto"/>
              <w:bottom w:val="single" w:sz="4" w:space="0" w:color="auto"/>
              <w:right w:val="single" w:sz="4" w:space="0" w:color="auto"/>
            </w:tcBorders>
          </w:tcPr>
          <w:p w:rsidR="004E639A" w:rsidRPr="00D528F3" w:rsidRDefault="00152ADE" w:rsidP="004E639A">
            <w:pPr>
              <w:tabs>
                <w:tab w:val="left" w:pos="567"/>
                <w:tab w:val="left" w:pos="4537"/>
                <w:tab w:val="left" w:pos="4962"/>
              </w:tabs>
              <w:spacing w:before="120" w:line="20" w:lineRule="atLeast"/>
              <w:rPr>
                <w:rFonts w:ascii="Goudy Old Style" w:hAnsi="Goudy Old Style"/>
                <w:sz w:val="24"/>
                <w:szCs w:val="24"/>
              </w:rPr>
            </w:pPr>
            <w:r w:rsidRPr="00D528F3">
              <w:rPr>
                <w:rFonts w:ascii="Goudy Old Style" w:hAnsi="Goudy Old Style"/>
                <w:sz w:val="24"/>
                <w:szCs w:val="24"/>
              </w:rPr>
              <w:fldChar w:fldCharType="begin">
                <w:ffData>
                  <w:name w:val="Check1"/>
                  <w:enabled/>
                  <w:calcOnExit w:val="0"/>
                  <w:checkBox>
                    <w:size w:val="28"/>
                    <w:default w:val="0"/>
                  </w:checkBox>
                </w:ffData>
              </w:fldChar>
            </w:r>
            <w:r w:rsidR="004E639A" w:rsidRPr="00D528F3">
              <w:rPr>
                <w:rFonts w:ascii="Goudy Old Style" w:hAnsi="Goudy Old Style"/>
                <w:sz w:val="24"/>
                <w:szCs w:val="24"/>
              </w:rPr>
              <w:instrText xml:space="preserve"> FORMCHECKBOX </w:instrText>
            </w:r>
            <w:r w:rsidRPr="00D528F3">
              <w:rPr>
                <w:rFonts w:ascii="Goudy Old Style" w:hAnsi="Goudy Old Style"/>
                <w:sz w:val="24"/>
                <w:szCs w:val="24"/>
              </w:rPr>
            </w:r>
            <w:r w:rsidRPr="00D528F3">
              <w:rPr>
                <w:rFonts w:ascii="Goudy Old Style" w:hAnsi="Goudy Old Style"/>
                <w:sz w:val="24"/>
                <w:szCs w:val="24"/>
              </w:rPr>
              <w:fldChar w:fldCharType="end"/>
            </w:r>
            <w:r w:rsidR="004E639A" w:rsidRPr="00D528F3">
              <w:rPr>
                <w:rFonts w:ascii="Goudy Old Style" w:hAnsi="Goudy Old Style"/>
                <w:sz w:val="24"/>
                <w:szCs w:val="24"/>
              </w:rPr>
              <w:tab/>
              <w:t>Yes (post)</w:t>
            </w:r>
          </w:p>
        </w:tc>
      </w:tr>
    </w:tbl>
    <w:p w:rsidR="004E639A" w:rsidRDefault="004E639A">
      <w:pPr>
        <w:rPr>
          <w:rFonts w:ascii="Arial" w:hAnsi="Arial"/>
          <w:b/>
          <w:sz w:val="32"/>
        </w:rPr>
      </w:pPr>
    </w:p>
    <w:sectPr w:rsidR="004E639A" w:rsidSect="00B36B2D">
      <w:headerReference w:type="even" r:id="rId20"/>
      <w:headerReference w:type="default" r:id="rId21"/>
      <w:footerReference w:type="even" r:id="rId22"/>
      <w:footerReference w:type="default" r:id="rId23"/>
      <w:pgSz w:w="11907" w:h="16840" w:code="9"/>
      <w:pgMar w:top="709" w:right="1304" w:bottom="709" w:left="1134" w:header="0" w:footer="0" w:gutter="0"/>
      <w:pgNumType w:chapSep="period"/>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AC" w:rsidRDefault="00926AAC">
      <w:r>
        <w:separator/>
      </w:r>
    </w:p>
  </w:endnote>
  <w:endnote w:type="continuationSeparator" w:id="0">
    <w:p w:rsidR="00926AAC" w:rsidRDefault="0092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926AAC" w:rsidTr="0019293B">
      <w:trPr>
        <w:trHeight w:hRule="exact" w:val="740"/>
      </w:trPr>
      <w:tc>
        <w:tcPr>
          <w:tcW w:w="510" w:type="dxa"/>
          <w:tcBorders>
            <w:top w:val="single" w:sz="6" w:space="0" w:color="auto"/>
          </w:tcBorders>
        </w:tcPr>
        <w:p w:rsidR="00926AAC" w:rsidRPr="00AE15FD" w:rsidRDefault="00926AAC" w:rsidP="0019293B">
          <w:pPr>
            <w:pStyle w:val="Footer"/>
            <w:tabs>
              <w:tab w:val="left" w:pos="0"/>
            </w:tabs>
            <w:ind w:right="0"/>
            <w:rPr>
              <w:rStyle w:val="PageNumber"/>
              <w:caps w:val="0"/>
            </w:rPr>
          </w:pPr>
          <w:r w:rsidRPr="00AE15FD">
            <w:rPr>
              <w:rStyle w:val="PageNumber"/>
              <w:caps w:val="0"/>
            </w:rPr>
            <w:fldChar w:fldCharType="begin"/>
          </w:r>
          <w:r w:rsidRPr="00AE15FD">
            <w:rPr>
              <w:rStyle w:val="PageNumber"/>
              <w:caps w:val="0"/>
            </w:rPr>
            <w:instrText xml:space="preserve">PAGE  </w:instrText>
          </w:r>
          <w:r w:rsidRPr="00AE15FD">
            <w:rPr>
              <w:rStyle w:val="PageNumber"/>
              <w:caps w:val="0"/>
            </w:rPr>
            <w:fldChar w:fldCharType="separate"/>
          </w:r>
          <w:r w:rsidR="00825D64">
            <w:rPr>
              <w:rStyle w:val="PageNumber"/>
              <w:caps w:val="0"/>
              <w:noProof/>
            </w:rPr>
            <w:t>iv</w:t>
          </w:r>
          <w:r w:rsidRPr="00AE15FD">
            <w:rPr>
              <w:rStyle w:val="PageNumber"/>
              <w:caps w:val="0"/>
            </w:rPr>
            <w:fldChar w:fldCharType="end"/>
          </w:r>
        </w:p>
      </w:tc>
      <w:tc>
        <w:tcPr>
          <w:tcW w:w="1644" w:type="dxa"/>
          <w:tcBorders>
            <w:top w:val="single" w:sz="6" w:space="0" w:color="auto"/>
          </w:tcBorders>
        </w:tcPr>
        <w:p w:rsidR="00926AAC" w:rsidRDefault="00926AAC" w:rsidP="003C672E">
          <w:pPr>
            <w:pStyle w:val="Footer"/>
          </w:pPr>
          <w:r>
            <w:t>regulator engagement with small business</w:t>
          </w:r>
        </w:p>
      </w:tc>
      <w:tc>
        <w:tcPr>
          <w:tcW w:w="6634" w:type="dxa"/>
        </w:tcPr>
        <w:p w:rsidR="00926AAC" w:rsidRDefault="00926AAC" w:rsidP="0019293B">
          <w:pPr>
            <w:pStyle w:val="Footer"/>
          </w:pPr>
        </w:p>
      </w:tc>
    </w:tr>
  </w:tbl>
  <w:p w:rsidR="00926AAC" w:rsidRDefault="00926AA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926AAC">
      <w:trPr>
        <w:trHeight w:hRule="exact" w:val="740"/>
      </w:trPr>
      <w:tc>
        <w:tcPr>
          <w:tcW w:w="6634" w:type="dxa"/>
        </w:tcPr>
        <w:p w:rsidR="00926AAC" w:rsidRDefault="00926AAC">
          <w:pPr>
            <w:pStyle w:val="Footer"/>
            <w:ind w:right="360" w:firstLine="360"/>
          </w:pPr>
        </w:p>
      </w:tc>
      <w:tc>
        <w:tcPr>
          <w:tcW w:w="1644" w:type="dxa"/>
          <w:tcBorders>
            <w:top w:val="single" w:sz="6" w:space="0" w:color="auto"/>
          </w:tcBorders>
        </w:tcPr>
        <w:p w:rsidR="00926AAC" w:rsidRDefault="000B4758">
          <w:pPr>
            <w:pStyle w:val="Footer"/>
          </w:pPr>
          <w:fldSimple w:instr=" TITLE  \* MERGEFORMAT ">
            <w:r w:rsidR="00926AAC">
              <w:t>Issues Paper</w:t>
            </w:r>
          </w:fldSimple>
        </w:p>
      </w:tc>
      <w:tc>
        <w:tcPr>
          <w:tcW w:w="510" w:type="dxa"/>
          <w:tcBorders>
            <w:top w:val="single" w:sz="6" w:space="0" w:color="auto"/>
          </w:tcBorders>
        </w:tcPr>
        <w:p w:rsidR="00926AAC" w:rsidRPr="00AE15FD" w:rsidRDefault="00926AAC">
          <w:pPr>
            <w:pStyle w:val="Footer"/>
            <w:jc w:val="right"/>
            <w:rPr>
              <w:caps w:val="0"/>
            </w:rPr>
          </w:pPr>
          <w:r w:rsidRPr="00AE15FD">
            <w:rPr>
              <w:rStyle w:val="PageNumber"/>
              <w:caps w:val="0"/>
            </w:rPr>
            <w:fldChar w:fldCharType="begin"/>
          </w:r>
          <w:r w:rsidRPr="00AE15FD">
            <w:rPr>
              <w:rStyle w:val="PageNumber"/>
              <w:caps w:val="0"/>
            </w:rPr>
            <w:instrText xml:space="preserve">PAGE  </w:instrText>
          </w:r>
          <w:r w:rsidRPr="00AE15FD">
            <w:rPr>
              <w:rStyle w:val="PageNumber"/>
              <w:caps w:val="0"/>
            </w:rPr>
            <w:fldChar w:fldCharType="separate"/>
          </w:r>
          <w:r w:rsidR="00825D64">
            <w:rPr>
              <w:rStyle w:val="PageNumber"/>
              <w:caps w:val="0"/>
              <w:noProof/>
            </w:rPr>
            <w:t>iii</w:t>
          </w:r>
          <w:r w:rsidRPr="00AE15FD">
            <w:rPr>
              <w:rStyle w:val="PageNumber"/>
              <w:caps w:val="0"/>
            </w:rPr>
            <w:fldChar w:fldCharType="end"/>
          </w:r>
        </w:p>
      </w:tc>
    </w:tr>
  </w:tbl>
  <w:p w:rsidR="00926AAC" w:rsidRDefault="00926AAC">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926AAC" w:rsidTr="00884AFB">
      <w:trPr>
        <w:trHeight w:hRule="exact" w:val="740"/>
      </w:trPr>
      <w:tc>
        <w:tcPr>
          <w:tcW w:w="510" w:type="dxa"/>
          <w:tcBorders>
            <w:top w:val="single" w:sz="6" w:space="0" w:color="auto"/>
          </w:tcBorders>
        </w:tcPr>
        <w:p w:rsidR="00926AAC" w:rsidRDefault="00926AAC" w:rsidP="00884AFB">
          <w:pPr>
            <w:pStyle w:val="Footer"/>
            <w:tabs>
              <w:tab w:val="left" w:pos="0"/>
            </w:tabs>
            <w:ind w:right="0"/>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25D64">
            <w:rPr>
              <w:rStyle w:val="PageNumber"/>
              <w:noProof/>
            </w:rPr>
            <w:t>18</w:t>
          </w:r>
          <w:r>
            <w:rPr>
              <w:rStyle w:val="PageNumber"/>
            </w:rPr>
            <w:fldChar w:fldCharType="end"/>
          </w:r>
        </w:p>
      </w:tc>
      <w:tc>
        <w:tcPr>
          <w:tcW w:w="1644" w:type="dxa"/>
          <w:tcBorders>
            <w:top w:val="single" w:sz="6" w:space="0" w:color="auto"/>
          </w:tcBorders>
        </w:tcPr>
        <w:p w:rsidR="00926AAC" w:rsidRDefault="00926AAC" w:rsidP="00884AFB">
          <w:pPr>
            <w:pStyle w:val="Footer"/>
          </w:pPr>
          <w:r>
            <w:t xml:space="preserve">REGULATOR ENGAGEMENT WITH SMALL BUSINESS </w:t>
          </w:r>
        </w:p>
      </w:tc>
      <w:tc>
        <w:tcPr>
          <w:tcW w:w="6634" w:type="dxa"/>
        </w:tcPr>
        <w:p w:rsidR="00926AAC" w:rsidRDefault="00926AAC" w:rsidP="00884AFB">
          <w:pPr>
            <w:pStyle w:val="Footer"/>
          </w:pPr>
        </w:p>
      </w:tc>
    </w:tr>
  </w:tbl>
  <w:p w:rsidR="00926AAC" w:rsidRDefault="00926AAC"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926AAC">
      <w:trPr>
        <w:trHeight w:hRule="exact" w:val="740"/>
      </w:trPr>
      <w:tc>
        <w:tcPr>
          <w:tcW w:w="6634" w:type="dxa"/>
        </w:tcPr>
        <w:p w:rsidR="00926AAC" w:rsidRDefault="00926AAC">
          <w:pPr>
            <w:pStyle w:val="Footer"/>
            <w:ind w:right="360" w:firstLine="360"/>
          </w:pPr>
        </w:p>
      </w:tc>
      <w:tc>
        <w:tcPr>
          <w:tcW w:w="1644" w:type="dxa"/>
          <w:tcBorders>
            <w:top w:val="single" w:sz="6" w:space="0" w:color="auto"/>
          </w:tcBorders>
        </w:tcPr>
        <w:p w:rsidR="00926AAC" w:rsidRDefault="000B4758">
          <w:pPr>
            <w:pStyle w:val="Footer"/>
          </w:pPr>
          <w:fldSimple w:instr=" TITLE  \* MERGEFORMAT ">
            <w:r w:rsidR="00926AAC">
              <w:t>Issues Paper</w:t>
            </w:r>
          </w:fldSimple>
        </w:p>
      </w:tc>
      <w:tc>
        <w:tcPr>
          <w:tcW w:w="510" w:type="dxa"/>
          <w:tcBorders>
            <w:top w:val="single" w:sz="6" w:space="0" w:color="auto"/>
          </w:tcBorders>
        </w:tcPr>
        <w:p w:rsidR="00926AAC" w:rsidRPr="00AE15FD" w:rsidRDefault="00926AAC">
          <w:pPr>
            <w:pStyle w:val="Footer"/>
            <w:jc w:val="right"/>
            <w:rPr>
              <w:caps w:val="0"/>
            </w:rPr>
          </w:pPr>
          <w:r w:rsidRPr="00AE15FD">
            <w:rPr>
              <w:rStyle w:val="PageNumber"/>
              <w:caps w:val="0"/>
            </w:rPr>
            <w:fldChar w:fldCharType="begin"/>
          </w:r>
          <w:r w:rsidRPr="00AE15FD">
            <w:rPr>
              <w:rStyle w:val="PageNumber"/>
              <w:caps w:val="0"/>
            </w:rPr>
            <w:instrText xml:space="preserve">PAGE  </w:instrText>
          </w:r>
          <w:r w:rsidRPr="00AE15FD">
            <w:rPr>
              <w:rStyle w:val="PageNumber"/>
              <w:caps w:val="0"/>
            </w:rPr>
            <w:fldChar w:fldCharType="separate"/>
          </w:r>
          <w:r w:rsidR="00825D64">
            <w:rPr>
              <w:rStyle w:val="PageNumber"/>
              <w:caps w:val="0"/>
              <w:noProof/>
            </w:rPr>
            <w:t>17</w:t>
          </w:r>
          <w:r w:rsidRPr="00AE15FD">
            <w:rPr>
              <w:rStyle w:val="PageNumber"/>
              <w:caps w:val="0"/>
            </w:rPr>
            <w:fldChar w:fldCharType="end"/>
          </w:r>
        </w:p>
      </w:tc>
    </w:tr>
  </w:tbl>
  <w:p w:rsidR="00926AAC" w:rsidRDefault="00926AAC">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AC" w:rsidRDefault="00926AAC"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AC" w:rsidRDefault="00926AA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AC" w:rsidRDefault="00926AAC">
      <w:r>
        <w:separator/>
      </w:r>
    </w:p>
  </w:footnote>
  <w:footnote w:type="continuationSeparator" w:id="0">
    <w:p w:rsidR="00926AAC" w:rsidRDefault="00926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26AAC" w:rsidTr="0019293B">
      <w:tc>
        <w:tcPr>
          <w:tcW w:w="2155" w:type="dxa"/>
          <w:tcBorders>
            <w:top w:val="single" w:sz="24" w:space="0" w:color="auto"/>
          </w:tcBorders>
        </w:tcPr>
        <w:p w:rsidR="00926AAC" w:rsidRDefault="00926AAC" w:rsidP="0019293B">
          <w:pPr>
            <w:pStyle w:val="HeaderEven"/>
          </w:pPr>
        </w:p>
      </w:tc>
      <w:tc>
        <w:tcPr>
          <w:tcW w:w="6634" w:type="dxa"/>
          <w:tcBorders>
            <w:top w:val="single" w:sz="6" w:space="0" w:color="auto"/>
          </w:tcBorders>
        </w:tcPr>
        <w:p w:rsidR="00926AAC" w:rsidRDefault="00926AAC" w:rsidP="0019293B">
          <w:pPr>
            <w:pStyle w:val="HeaderEven"/>
          </w:pPr>
        </w:p>
      </w:tc>
    </w:tr>
  </w:tbl>
  <w:p w:rsidR="00926AAC" w:rsidRDefault="00926AA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26AAC" w:rsidTr="00E669E2">
      <w:tc>
        <w:tcPr>
          <w:tcW w:w="6634" w:type="dxa"/>
          <w:tcBorders>
            <w:top w:val="single" w:sz="6" w:space="0" w:color="auto"/>
          </w:tcBorders>
        </w:tcPr>
        <w:p w:rsidR="00926AAC" w:rsidRDefault="00926AAC" w:rsidP="00E669E2">
          <w:pPr>
            <w:pStyle w:val="HeaderOdd"/>
          </w:pPr>
        </w:p>
      </w:tc>
      <w:tc>
        <w:tcPr>
          <w:tcW w:w="2155" w:type="dxa"/>
          <w:tcBorders>
            <w:top w:val="single" w:sz="24" w:space="0" w:color="auto"/>
          </w:tcBorders>
        </w:tcPr>
        <w:p w:rsidR="00926AAC" w:rsidRDefault="00926AAC" w:rsidP="00E669E2">
          <w:pPr>
            <w:pStyle w:val="HeaderOdd"/>
          </w:pPr>
        </w:p>
      </w:tc>
    </w:tr>
  </w:tbl>
  <w:p w:rsidR="00926AAC" w:rsidRDefault="00926AAC"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26AAC" w:rsidTr="00884AFB">
      <w:tc>
        <w:tcPr>
          <w:tcW w:w="2155" w:type="dxa"/>
          <w:tcBorders>
            <w:top w:val="single" w:sz="24" w:space="0" w:color="auto"/>
          </w:tcBorders>
        </w:tcPr>
        <w:p w:rsidR="00926AAC" w:rsidRDefault="00926AAC" w:rsidP="00884AFB">
          <w:pPr>
            <w:pStyle w:val="HeaderEven"/>
          </w:pPr>
        </w:p>
      </w:tc>
      <w:tc>
        <w:tcPr>
          <w:tcW w:w="6634" w:type="dxa"/>
          <w:tcBorders>
            <w:top w:val="single" w:sz="6" w:space="0" w:color="auto"/>
          </w:tcBorders>
        </w:tcPr>
        <w:p w:rsidR="00926AAC" w:rsidRDefault="00926AAC" w:rsidP="00884AFB">
          <w:pPr>
            <w:pStyle w:val="HeaderEven"/>
          </w:pPr>
        </w:p>
      </w:tc>
    </w:tr>
  </w:tbl>
  <w:p w:rsidR="00926AAC" w:rsidRDefault="00926AAC"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26AAC" w:rsidTr="00E669E2">
      <w:tc>
        <w:tcPr>
          <w:tcW w:w="6634" w:type="dxa"/>
          <w:tcBorders>
            <w:top w:val="single" w:sz="6" w:space="0" w:color="auto"/>
          </w:tcBorders>
        </w:tcPr>
        <w:p w:rsidR="00926AAC" w:rsidRDefault="00926AAC" w:rsidP="00E669E2">
          <w:pPr>
            <w:pStyle w:val="HeaderOdd"/>
          </w:pPr>
        </w:p>
      </w:tc>
      <w:tc>
        <w:tcPr>
          <w:tcW w:w="2155" w:type="dxa"/>
          <w:tcBorders>
            <w:top w:val="single" w:sz="24" w:space="0" w:color="auto"/>
          </w:tcBorders>
        </w:tcPr>
        <w:p w:rsidR="00926AAC" w:rsidRDefault="00926AAC" w:rsidP="00E669E2">
          <w:pPr>
            <w:pStyle w:val="HeaderOdd"/>
          </w:pPr>
        </w:p>
      </w:tc>
    </w:tr>
  </w:tbl>
  <w:p w:rsidR="00926AAC" w:rsidRDefault="00926AAC" w:rsidP="00E669E2">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AC" w:rsidRDefault="00926AAC"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AC" w:rsidRDefault="00926AA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7057F34"/>
    <w:multiLevelType w:val="singleLevel"/>
    <w:tmpl w:val="ED98921A"/>
    <w:lvl w:ilvl="0">
      <w:start w:val="1"/>
      <w:numFmt w:val="decimal"/>
      <w:lvlText w:val="%1."/>
      <w:legacy w:legacy="1" w:legacySpace="0" w:legacyIndent="340"/>
      <w:lvlJc w:val="left"/>
      <w:pPr>
        <w:ind w:left="340" w:hanging="340"/>
      </w:pPr>
    </w:lvl>
  </w:abstractNum>
  <w:abstractNum w:abstractNumId="12">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6">
    <w:nsid w:val="1AB25CDE"/>
    <w:multiLevelType w:val="singleLevel"/>
    <w:tmpl w:val="3086CA22"/>
    <w:lvl w:ilvl="0">
      <w:start w:val="1"/>
      <w:numFmt w:val="decimal"/>
      <w:lvlText w:val="%1."/>
      <w:legacy w:legacy="1" w:legacySpace="0" w:legacyIndent="340"/>
      <w:lvlJc w:val="left"/>
      <w:pPr>
        <w:ind w:left="340" w:hanging="340"/>
      </w:pPr>
    </w:lvl>
  </w:abstractNum>
  <w:abstractNum w:abstractNumId="17">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1">
    <w:nsid w:val="478D355A"/>
    <w:multiLevelType w:val="hybridMultilevel"/>
    <w:tmpl w:val="132244D8"/>
    <w:lvl w:ilvl="0" w:tplc="0C090001">
      <w:start w:val="1"/>
      <w:numFmt w:val="bullet"/>
      <w:lvlText w:val=""/>
      <w:lvlJc w:val="left"/>
      <w:pPr>
        <w:ind w:left="837" w:hanging="360"/>
      </w:pPr>
      <w:rPr>
        <w:rFonts w:ascii="Symbol" w:hAnsi="Symbol" w:hint="default"/>
      </w:rPr>
    </w:lvl>
    <w:lvl w:ilvl="1" w:tplc="0C090003">
      <w:start w:val="1"/>
      <w:numFmt w:val="bullet"/>
      <w:lvlText w:val="o"/>
      <w:lvlJc w:val="left"/>
      <w:pPr>
        <w:ind w:left="1557" w:hanging="360"/>
      </w:pPr>
      <w:rPr>
        <w:rFonts w:ascii="Courier New" w:hAnsi="Courier New" w:cs="Courier New" w:hint="default"/>
      </w:rPr>
    </w:lvl>
    <w:lvl w:ilvl="2" w:tplc="0C090005">
      <w:start w:val="1"/>
      <w:numFmt w:val="bullet"/>
      <w:lvlText w:val=""/>
      <w:lvlJc w:val="left"/>
      <w:pPr>
        <w:ind w:left="2277" w:hanging="360"/>
      </w:pPr>
      <w:rPr>
        <w:rFonts w:ascii="Wingdings" w:hAnsi="Wingdings" w:hint="default"/>
      </w:rPr>
    </w:lvl>
    <w:lvl w:ilvl="3" w:tplc="0C090001">
      <w:start w:val="1"/>
      <w:numFmt w:val="bullet"/>
      <w:lvlText w:val=""/>
      <w:lvlJc w:val="left"/>
      <w:pPr>
        <w:ind w:left="2997" w:hanging="360"/>
      </w:pPr>
      <w:rPr>
        <w:rFonts w:ascii="Symbol" w:hAnsi="Symbol" w:hint="default"/>
      </w:rPr>
    </w:lvl>
    <w:lvl w:ilvl="4" w:tplc="0C090003">
      <w:start w:val="1"/>
      <w:numFmt w:val="bullet"/>
      <w:lvlText w:val="o"/>
      <w:lvlJc w:val="left"/>
      <w:pPr>
        <w:ind w:left="3717" w:hanging="360"/>
      </w:pPr>
      <w:rPr>
        <w:rFonts w:ascii="Courier New" w:hAnsi="Courier New" w:cs="Courier New" w:hint="default"/>
      </w:rPr>
    </w:lvl>
    <w:lvl w:ilvl="5" w:tplc="0C090005">
      <w:start w:val="1"/>
      <w:numFmt w:val="bullet"/>
      <w:lvlText w:val=""/>
      <w:lvlJc w:val="left"/>
      <w:pPr>
        <w:ind w:left="4437" w:hanging="360"/>
      </w:pPr>
      <w:rPr>
        <w:rFonts w:ascii="Wingdings" w:hAnsi="Wingdings" w:hint="default"/>
      </w:rPr>
    </w:lvl>
    <w:lvl w:ilvl="6" w:tplc="0C090001">
      <w:start w:val="1"/>
      <w:numFmt w:val="bullet"/>
      <w:lvlText w:val=""/>
      <w:lvlJc w:val="left"/>
      <w:pPr>
        <w:ind w:left="5157" w:hanging="360"/>
      </w:pPr>
      <w:rPr>
        <w:rFonts w:ascii="Symbol" w:hAnsi="Symbol" w:hint="default"/>
      </w:rPr>
    </w:lvl>
    <w:lvl w:ilvl="7" w:tplc="0C090003">
      <w:start w:val="1"/>
      <w:numFmt w:val="bullet"/>
      <w:lvlText w:val="o"/>
      <w:lvlJc w:val="left"/>
      <w:pPr>
        <w:ind w:left="5877" w:hanging="360"/>
      </w:pPr>
      <w:rPr>
        <w:rFonts w:ascii="Courier New" w:hAnsi="Courier New" w:cs="Courier New" w:hint="default"/>
      </w:rPr>
    </w:lvl>
    <w:lvl w:ilvl="8" w:tplc="0C090005">
      <w:start w:val="1"/>
      <w:numFmt w:val="bullet"/>
      <w:lvlText w:val=""/>
      <w:lvlJc w:val="left"/>
      <w:pPr>
        <w:ind w:left="6597" w:hanging="360"/>
      </w:pPr>
      <w:rPr>
        <w:rFonts w:ascii="Wingdings" w:hAnsi="Wingdings" w:hint="default"/>
      </w:rPr>
    </w:lvl>
  </w:abstractNum>
  <w:abstractNum w:abstractNumId="22">
    <w:nsid w:val="51F74561"/>
    <w:multiLevelType w:val="singleLevel"/>
    <w:tmpl w:val="ED98921A"/>
    <w:lvl w:ilvl="0">
      <w:start w:val="1"/>
      <w:numFmt w:val="decimal"/>
      <w:lvlText w:val="%1."/>
      <w:legacy w:legacy="1" w:legacySpace="0" w:legacyIndent="340"/>
      <w:lvlJc w:val="left"/>
      <w:pPr>
        <w:ind w:left="340" w:hanging="340"/>
      </w:pPr>
    </w:lvl>
  </w:abstractNum>
  <w:abstractNum w:abstractNumId="23">
    <w:nsid w:val="54382D6E"/>
    <w:multiLevelType w:val="singleLevel"/>
    <w:tmpl w:val="315ABD1E"/>
    <w:lvl w:ilvl="0">
      <w:numFmt w:val="bullet"/>
      <w:pStyle w:val="ListBullet"/>
      <w:lvlText w:val=""/>
      <w:lvlJc w:val="left"/>
      <w:pPr>
        <w:tabs>
          <w:tab w:val="num" w:pos="908"/>
        </w:tabs>
        <w:ind w:left="908" w:hanging="340"/>
      </w:pPr>
      <w:rPr>
        <w:rFonts w:ascii="Symbol" w:hAnsi="Symbol" w:hint="default"/>
        <w:sz w:val="18"/>
      </w:rPr>
    </w:lvl>
  </w:abstractNum>
  <w:abstractNum w:abstractNumId="2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28">
    <w:nsid w:val="5A096576"/>
    <w:multiLevelType w:val="singleLevel"/>
    <w:tmpl w:val="ED98921A"/>
    <w:lvl w:ilvl="0">
      <w:start w:val="1"/>
      <w:numFmt w:val="decimal"/>
      <w:lvlText w:val="%1."/>
      <w:legacy w:legacy="1" w:legacySpace="0" w:legacyIndent="340"/>
      <w:lvlJc w:val="left"/>
      <w:pPr>
        <w:ind w:left="340" w:hanging="340"/>
      </w:pPr>
    </w:lvl>
  </w:abstractNum>
  <w:abstractNum w:abstractNumId="29">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0055F7F"/>
    <w:multiLevelType w:val="singleLevel"/>
    <w:tmpl w:val="ED98921A"/>
    <w:lvl w:ilvl="0">
      <w:start w:val="1"/>
      <w:numFmt w:val="decimal"/>
      <w:lvlText w:val="%1."/>
      <w:legacy w:legacy="1" w:legacySpace="0" w:legacyIndent="340"/>
      <w:lvlJc w:val="left"/>
      <w:pPr>
        <w:ind w:left="340" w:hanging="340"/>
      </w:pPr>
    </w:lvl>
  </w:abstractNum>
  <w:abstractNum w:abstractNumId="31">
    <w:nsid w:val="608E741E"/>
    <w:multiLevelType w:val="singleLevel"/>
    <w:tmpl w:val="ED98921A"/>
    <w:lvl w:ilvl="0">
      <w:start w:val="1"/>
      <w:numFmt w:val="decimal"/>
      <w:lvlText w:val="%1."/>
      <w:legacy w:legacy="1" w:legacySpace="0" w:legacyIndent="340"/>
      <w:lvlJc w:val="left"/>
      <w:pPr>
        <w:ind w:left="340" w:hanging="340"/>
      </w:pPr>
    </w:lvl>
  </w:abstractNum>
  <w:abstractNum w:abstractNumId="32">
    <w:nsid w:val="61320C1E"/>
    <w:multiLevelType w:val="singleLevel"/>
    <w:tmpl w:val="C444122C"/>
    <w:lvl w:ilvl="0">
      <w:start w:val="1"/>
      <w:numFmt w:val="decimal"/>
      <w:lvlText w:val="%1."/>
      <w:legacy w:legacy="1" w:legacySpace="0" w:legacyIndent="284"/>
      <w:lvlJc w:val="left"/>
      <w:pPr>
        <w:ind w:left="284" w:hanging="284"/>
      </w:pPr>
    </w:lvl>
  </w:abstractNum>
  <w:abstractNum w:abstractNumId="33">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4">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5">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6">
    <w:nsid w:val="67C54B67"/>
    <w:multiLevelType w:val="hybridMultilevel"/>
    <w:tmpl w:val="C4EE7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38">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3">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0"/>
  </w:num>
  <w:num w:numId="3">
    <w:abstractNumId w:val="41"/>
  </w:num>
  <w:num w:numId="4">
    <w:abstractNumId w:val="7"/>
  </w:num>
  <w:num w:numId="5">
    <w:abstractNumId w:val="5"/>
  </w:num>
  <w:num w:numId="6">
    <w:abstractNumId w:val="23"/>
  </w:num>
  <w:num w:numId="7">
    <w:abstractNumId w:val="3"/>
  </w:num>
  <w:num w:numId="8">
    <w:abstractNumId w:val="9"/>
  </w:num>
  <w:num w:numId="9">
    <w:abstractNumId w:val="2"/>
  </w:num>
  <w:num w:numId="10">
    <w:abstractNumId w:val="34"/>
  </w:num>
  <w:num w:numId="11">
    <w:abstractNumId w:val="4"/>
  </w:num>
  <w:num w:numId="12">
    <w:abstractNumId w:val="1"/>
  </w:num>
  <w:num w:numId="13">
    <w:abstractNumId w:val="0"/>
  </w:num>
  <w:num w:numId="14">
    <w:abstractNumId w:val="26"/>
  </w:num>
  <w:num w:numId="15">
    <w:abstractNumId w:val="42"/>
  </w:num>
  <w:num w:numId="16">
    <w:abstractNumId w:val="17"/>
  </w:num>
  <w:num w:numId="17">
    <w:abstractNumId w:val="15"/>
  </w:num>
  <w:num w:numId="18">
    <w:abstractNumId w:val="24"/>
  </w:num>
  <w:num w:numId="19">
    <w:abstractNumId w:val="11"/>
  </w:num>
  <w:num w:numId="20">
    <w:abstractNumId w:val="31"/>
  </w:num>
  <w:num w:numId="21">
    <w:abstractNumId w:val="33"/>
  </w:num>
  <w:num w:numId="22">
    <w:abstractNumId w:val="22"/>
  </w:num>
  <w:num w:numId="23">
    <w:abstractNumId w:val="25"/>
  </w:num>
  <w:num w:numId="24">
    <w:abstractNumId w:val="27"/>
  </w:num>
  <w:num w:numId="25">
    <w:abstractNumId w:val="40"/>
  </w:num>
  <w:num w:numId="26">
    <w:abstractNumId w:val="30"/>
  </w:num>
  <w:num w:numId="27">
    <w:abstractNumId w:val="35"/>
  </w:num>
  <w:num w:numId="28">
    <w:abstractNumId w:val="37"/>
  </w:num>
  <w:num w:numId="29">
    <w:abstractNumId w:val="28"/>
  </w:num>
  <w:num w:numId="30">
    <w:abstractNumId w:val="20"/>
  </w:num>
  <w:num w:numId="31">
    <w:abstractNumId w:val="43"/>
  </w:num>
  <w:num w:numId="32">
    <w:abstractNumId w:val="14"/>
  </w:num>
  <w:num w:numId="33">
    <w:abstractNumId w:val="8"/>
  </w:num>
  <w:num w:numId="34">
    <w:abstractNumId w:val="18"/>
  </w:num>
  <w:num w:numId="35">
    <w:abstractNumId w:val="39"/>
  </w:num>
  <w:num w:numId="36">
    <w:abstractNumId w:val="29"/>
  </w:num>
  <w:num w:numId="37">
    <w:abstractNumId w:val="12"/>
  </w:num>
  <w:num w:numId="38">
    <w:abstractNumId w:val="32"/>
  </w:num>
  <w:num w:numId="39">
    <w:abstractNumId w:val="13"/>
  </w:num>
  <w:num w:numId="40">
    <w:abstractNumId w:val="17"/>
  </w:num>
  <w:num w:numId="41">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2">
    <w:abstractNumId w:val="16"/>
  </w:num>
  <w:num w:numId="43">
    <w:abstractNumId w:val="21"/>
  </w:num>
  <w:num w:numId="44">
    <w:abstractNumId w:val="3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Report"/>
  </w:docVars>
  <w:rsids>
    <w:rsidRoot w:val="00F942FF"/>
    <w:rsid w:val="0000041B"/>
    <w:rsid w:val="00000840"/>
    <w:rsid w:val="0000135B"/>
    <w:rsid w:val="00002880"/>
    <w:rsid w:val="000035B0"/>
    <w:rsid w:val="0001205E"/>
    <w:rsid w:val="000176B4"/>
    <w:rsid w:val="00022A6E"/>
    <w:rsid w:val="000270DD"/>
    <w:rsid w:val="0003664B"/>
    <w:rsid w:val="00040772"/>
    <w:rsid w:val="0004111F"/>
    <w:rsid w:val="000432B2"/>
    <w:rsid w:val="00044C51"/>
    <w:rsid w:val="00051D97"/>
    <w:rsid w:val="00051E55"/>
    <w:rsid w:val="00061E76"/>
    <w:rsid w:val="00063B70"/>
    <w:rsid w:val="000649DF"/>
    <w:rsid w:val="00066312"/>
    <w:rsid w:val="0006780F"/>
    <w:rsid w:val="00070B4E"/>
    <w:rsid w:val="0007150B"/>
    <w:rsid w:val="00072740"/>
    <w:rsid w:val="00074694"/>
    <w:rsid w:val="00081CB7"/>
    <w:rsid w:val="0008264D"/>
    <w:rsid w:val="0008384E"/>
    <w:rsid w:val="00092FDD"/>
    <w:rsid w:val="000938F5"/>
    <w:rsid w:val="000A32A9"/>
    <w:rsid w:val="000B397F"/>
    <w:rsid w:val="000B4758"/>
    <w:rsid w:val="000B601B"/>
    <w:rsid w:val="000B6021"/>
    <w:rsid w:val="000C207E"/>
    <w:rsid w:val="000C36A1"/>
    <w:rsid w:val="000C3E1C"/>
    <w:rsid w:val="000C3F06"/>
    <w:rsid w:val="000C5CB2"/>
    <w:rsid w:val="000C5FBD"/>
    <w:rsid w:val="000C7CA7"/>
    <w:rsid w:val="000C7DF0"/>
    <w:rsid w:val="000D1675"/>
    <w:rsid w:val="000D65DB"/>
    <w:rsid w:val="000E089E"/>
    <w:rsid w:val="000E214F"/>
    <w:rsid w:val="000E299A"/>
    <w:rsid w:val="000E3541"/>
    <w:rsid w:val="000E69C1"/>
    <w:rsid w:val="000F324B"/>
    <w:rsid w:val="000F506B"/>
    <w:rsid w:val="000F6C44"/>
    <w:rsid w:val="00101609"/>
    <w:rsid w:val="00101659"/>
    <w:rsid w:val="00101C5F"/>
    <w:rsid w:val="00104A08"/>
    <w:rsid w:val="00104D7A"/>
    <w:rsid w:val="00106CC1"/>
    <w:rsid w:val="00107528"/>
    <w:rsid w:val="00110116"/>
    <w:rsid w:val="001178B8"/>
    <w:rsid w:val="00117B1B"/>
    <w:rsid w:val="00121492"/>
    <w:rsid w:val="0012152D"/>
    <w:rsid w:val="001239A3"/>
    <w:rsid w:val="001239A6"/>
    <w:rsid w:val="00124D4C"/>
    <w:rsid w:val="00126EB8"/>
    <w:rsid w:val="00126ED4"/>
    <w:rsid w:val="001363AA"/>
    <w:rsid w:val="001413A1"/>
    <w:rsid w:val="0014299E"/>
    <w:rsid w:val="00144042"/>
    <w:rsid w:val="001440C1"/>
    <w:rsid w:val="00144D05"/>
    <w:rsid w:val="0014630C"/>
    <w:rsid w:val="00151ECA"/>
    <w:rsid w:val="00152ADE"/>
    <w:rsid w:val="001574F1"/>
    <w:rsid w:val="001644C8"/>
    <w:rsid w:val="00173564"/>
    <w:rsid w:val="00175C2C"/>
    <w:rsid w:val="001810C5"/>
    <w:rsid w:val="00182A18"/>
    <w:rsid w:val="0018429F"/>
    <w:rsid w:val="0019293B"/>
    <w:rsid w:val="00192B2E"/>
    <w:rsid w:val="00193245"/>
    <w:rsid w:val="00195794"/>
    <w:rsid w:val="001A073E"/>
    <w:rsid w:val="001A0775"/>
    <w:rsid w:val="001A63E4"/>
    <w:rsid w:val="001A6CBE"/>
    <w:rsid w:val="001B2591"/>
    <w:rsid w:val="001B2A43"/>
    <w:rsid w:val="001B43D5"/>
    <w:rsid w:val="001B6391"/>
    <w:rsid w:val="001B7B9B"/>
    <w:rsid w:val="001C0865"/>
    <w:rsid w:val="001C3ABA"/>
    <w:rsid w:val="001C5139"/>
    <w:rsid w:val="001C51EC"/>
    <w:rsid w:val="001C68B6"/>
    <w:rsid w:val="001C7160"/>
    <w:rsid w:val="001D0657"/>
    <w:rsid w:val="001D183B"/>
    <w:rsid w:val="001D227D"/>
    <w:rsid w:val="001D2282"/>
    <w:rsid w:val="001D28D2"/>
    <w:rsid w:val="001D35B6"/>
    <w:rsid w:val="001D4A01"/>
    <w:rsid w:val="001D597E"/>
    <w:rsid w:val="001D64CB"/>
    <w:rsid w:val="001E246E"/>
    <w:rsid w:val="001E3325"/>
    <w:rsid w:val="001E7455"/>
    <w:rsid w:val="001E7BE8"/>
    <w:rsid w:val="001F0248"/>
    <w:rsid w:val="001F12FF"/>
    <w:rsid w:val="001F547A"/>
    <w:rsid w:val="001F74FD"/>
    <w:rsid w:val="001F7702"/>
    <w:rsid w:val="00200DD4"/>
    <w:rsid w:val="0020144A"/>
    <w:rsid w:val="00201721"/>
    <w:rsid w:val="00202C2C"/>
    <w:rsid w:val="00205185"/>
    <w:rsid w:val="002117B9"/>
    <w:rsid w:val="00216BBE"/>
    <w:rsid w:val="0021752D"/>
    <w:rsid w:val="00220159"/>
    <w:rsid w:val="0022093E"/>
    <w:rsid w:val="00225967"/>
    <w:rsid w:val="00227DA8"/>
    <w:rsid w:val="00236925"/>
    <w:rsid w:val="00236D4F"/>
    <w:rsid w:val="00240B4D"/>
    <w:rsid w:val="00241FCA"/>
    <w:rsid w:val="00242085"/>
    <w:rsid w:val="00242279"/>
    <w:rsid w:val="00243994"/>
    <w:rsid w:val="00244ECF"/>
    <w:rsid w:val="00247706"/>
    <w:rsid w:val="00247921"/>
    <w:rsid w:val="0025035F"/>
    <w:rsid w:val="00251D42"/>
    <w:rsid w:val="002526B3"/>
    <w:rsid w:val="0025340A"/>
    <w:rsid w:val="00255C8B"/>
    <w:rsid w:val="00256006"/>
    <w:rsid w:val="00260D5B"/>
    <w:rsid w:val="002615B7"/>
    <w:rsid w:val="0026204C"/>
    <w:rsid w:val="0026577B"/>
    <w:rsid w:val="0027401C"/>
    <w:rsid w:val="002825B5"/>
    <w:rsid w:val="0029079E"/>
    <w:rsid w:val="00291775"/>
    <w:rsid w:val="00291B40"/>
    <w:rsid w:val="0029270B"/>
    <w:rsid w:val="00292AB7"/>
    <w:rsid w:val="0029536D"/>
    <w:rsid w:val="002976E8"/>
    <w:rsid w:val="00297BA9"/>
    <w:rsid w:val="002A0F72"/>
    <w:rsid w:val="002A0FAC"/>
    <w:rsid w:val="002A3C81"/>
    <w:rsid w:val="002A4BD4"/>
    <w:rsid w:val="002A558D"/>
    <w:rsid w:val="002A77F8"/>
    <w:rsid w:val="002B4008"/>
    <w:rsid w:val="002B4FB4"/>
    <w:rsid w:val="002B59A8"/>
    <w:rsid w:val="002B5B21"/>
    <w:rsid w:val="002C15A7"/>
    <w:rsid w:val="002C2AFD"/>
    <w:rsid w:val="002C2F9C"/>
    <w:rsid w:val="002C7B0D"/>
    <w:rsid w:val="002D0E8E"/>
    <w:rsid w:val="002D7A44"/>
    <w:rsid w:val="002E0660"/>
    <w:rsid w:val="002E1995"/>
    <w:rsid w:val="002E2902"/>
    <w:rsid w:val="002E5182"/>
    <w:rsid w:val="002E6742"/>
    <w:rsid w:val="002E6D38"/>
    <w:rsid w:val="002F43E5"/>
    <w:rsid w:val="002F6F83"/>
    <w:rsid w:val="00301189"/>
    <w:rsid w:val="0030444C"/>
    <w:rsid w:val="00304CDC"/>
    <w:rsid w:val="003130F5"/>
    <w:rsid w:val="00313C3C"/>
    <w:rsid w:val="00314ABC"/>
    <w:rsid w:val="0031517C"/>
    <w:rsid w:val="00316E27"/>
    <w:rsid w:val="00316E3A"/>
    <w:rsid w:val="00321248"/>
    <w:rsid w:val="00323E09"/>
    <w:rsid w:val="003241D2"/>
    <w:rsid w:val="00327F4C"/>
    <w:rsid w:val="00330204"/>
    <w:rsid w:val="0033360D"/>
    <w:rsid w:val="00333932"/>
    <w:rsid w:val="003445C1"/>
    <w:rsid w:val="00344F9E"/>
    <w:rsid w:val="003518AA"/>
    <w:rsid w:val="00353182"/>
    <w:rsid w:val="00353278"/>
    <w:rsid w:val="00354A38"/>
    <w:rsid w:val="003602E1"/>
    <w:rsid w:val="00360659"/>
    <w:rsid w:val="00371240"/>
    <w:rsid w:val="0037180A"/>
    <w:rsid w:val="00374731"/>
    <w:rsid w:val="00374C85"/>
    <w:rsid w:val="00385DC9"/>
    <w:rsid w:val="00396CE4"/>
    <w:rsid w:val="003A0D80"/>
    <w:rsid w:val="003A25E0"/>
    <w:rsid w:val="003A28E5"/>
    <w:rsid w:val="003A3D58"/>
    <w:rsid w:val="003A4B18"/>
    <w:rsid w:val="003B50EF"/>
    <w:rsid w:val="003B7FF9"/>
    <w:rsid w:val="003C29BC"/>
    <w:rsid w:val="003C2FBE"/>
    <w:rsid w:val="003C38B5"/>
    <w:rsid w:val="003C5881"/>
    <w:rsid w:val="003C5D99"/>
    <w:rsid w:val="003C63DE"/>
    <w:rsid w:val="003C672E"/>
    <w:rsid w:val="003E4EB1"/>
    <w:rsid w:val="003F0789"/>
    <w:rsid w:val="003F44A3"/>
    <w:rsid w:val="003F4A33"/>
    <w:rsid w:val="003F4FCF"/>
    <w:rsid w:val="00401882"/>
    <w:rsid w:val="00401C1D"/>
    <w:rsid w:val="00402B18"/>
    <w:rsid w:val="0040599A"/>
    <w:rsid w:val="004100C8"/>
    <w:rsid w:val="00412ACE"/>
    <w:rsid w:val="00415A75"/>
    <w:rsid w:val="00417DA4"/>
    <w:rsid w:val="004236B9"/>
    <w:rsid w:val="004275DD"/>
    <w:rsid w:val="00431249"/>
    <w:rsid w:val="00432237"/>
    <w:rsid w:val="004331C8"/>
    <w:rsid w:val="00433EFF"/>
    <w:rsid w:val="00433F96"/>
    <w:rsid w:val="00434C19"/>
    <w:rsid w:val="0043778D"/>
    <w:rsid w:val="004412BD"/>
    <w:rsid w:val="00442155"/>
    <w:rsid w:val="00442CA3"/>
    <w:rsid w:val="004467A1"/>
    <w:rsid w:val="00450810"/>
    <w:rsid w:val="00450BF9"/>
    <w:rsid w:val="00453279"/>
    <w:rsid w:val="00454CEC"/>
    <w:rsid w:val="004562B6"/>
    <w:rsid w:val="0046081A"/>
    <w:rsid w:val="00460998"/>
    <w:rsid w:val="00463392"/>
    <w:rsid w:val="004633B5"/>
    <w:rsid w:val="004647FC"/>
    <w:rsid w:val="00464A22"/>
    <w:rsid w:val="00465CF2"/>
    <w:rsid w:val="00466E81"/>
    <w:rsid w:val="004720C9"/>
    <w:rsid w:val="004726EF"/>
    <w:rsid w:val="00473883"/>
    <w:rsid w:val="00476543"/>
    <w:rsid w:val="00477144"/>
    <w:rsid w:val="00480C0C"/>
    <w:rsid w:val="004860F5"/>
    <w:rsid w:val="00491D26"/>
    <w:rsid w:val="0049241D"/>
    <w:rsid w:val="0049459F"/>
    <w:rsid w:val="004949A5"/>
    <w:rsid w:val="004965A7"/>
    <w:rsid w:val="0049738F"/>
    <w:rsid w:val="004A2082"/>
    <w:rsid w:val="004A4A23"/>
    <w:rsid w:val="004B2716"/>
    <w:rsid w:val="004B349A"/>
    <w:rsid w:val="004B43AE"/>
    <w:rsid w:val="004B4E9E"/>
    <w:rsid w:val="004B698F"/>
    <w:rsid w:val="004C1FE6"/>
    <w:rsid w:val="004C30ED"/>
    <w:rsid w:val="004C59FB"/>
    <w:rsid w:val="004C6B4B"/>
    <w:rsid w:val="004D0AC1"/>
    <w:rsid w:val="004D28D8"/>
    <w:rsid w:val="004D2A34"/>
    <w:rsid w:val="004D4480"/>
    <w:rsid w:val="004D4BE6"/>
    <w:rsid w:val="004E5BB8"/>
    <w:rsid w:val="004E639A"/>
    <w:rsid w:val="004E70E0"/>
    <w:rsid w:val="004F16AD"/>
    <w:rsid w:val="004F3C5E"/>
    <w:rsid w:val="004F76B5"/>
    <w:rsid w:val="00500F3C"/>
    <w:rsid w:val="00507D69"/>
    <w:rsid w:val="00512055"/>
    <w:rsid w:val="00512A39"/>
    <w:rsid w:val="00513D62"/>
    <w:rsid w:val="005141A3"/>
    <w:rsid w:val="00514933"/>
    <w:rsid w:val="00517424"/>
    <w:rsid w:val="005203F8"/>
    <w:rsid w:val="00522D9E"/>
    <w:rsid w:val="00525FC9"/>
    <w:rsid w:val="00533E08"/>
    <w:rsid w:val="00544690"/>
    <w:rsid w:val="0054484C"/>
    <w:rsid w:val="00557B69"/>
    <w:rsid w:val="005644F4"/>
    <w:rsid w:val="0058085C"/>
    <w:rsid w:val="0058160E"/>
    <w:rsid w:val="00581B22"/>
    <w:rsid w:val="00583C39"/>
    <w:rsid w:val="00583EBE"/>
    <w:rsid w:val="00584BA7"/>
    <w:rsid w:val="0058671F"/>
    <w:rsid w:val="00587B97"/>
    <w:rsid w:val="005909CF"/>
    <w:rsid w:val="00591E71"/>
    <w:rsid w:val="005953F8"/>
    <w:rsid w:val="00597047"/>
    <w:rsid w:val="005A0997"/>
    <w:rsid w:val="005A26E9"/>
    <w:rsid w:val="005A3E75"/>
    <w:rsid w:val="005A4F5B"/>
    <w:rsid w:val="005A60A4"/>
    <w:rsid w:val="005B042E"/>
    <w:rsid w:val="005B0789"/>
    <w:rsid w:val="005B20ED"/>
    <w:rsid w:val="005B37D0"/>
    <w:rsid w:val="005B41AE"/>
    <w:rsid w:val="005B4C09"/>
    <w:rsid w:val="005B59EE"/>
    <w:rsid w:val="005B7444"/>
    <w:rsid w:val="005C0429"/>
    <w:rsid w:val="005C0E41"/>
    <w:rsid w:val="005C1B3C"/>
    <w:rsid w:val="005C4B33"/>
    <w:rsid w:val="005C4F1B"/>
    <w:rsid w:val="005D0D35"/>
    <w:rsid w:val="005D2522"/>
    <w:rsid w:val="005D2D8B"/>
    <w:rsid w:val="005D4E0C"/>
    <w:rsid w:val="005D72FB"/>
    <w:rsid w:val="005D796E"/>
    <w:rsid w:val="005E1DDB"/>
    <w:rsid w:val="005E32B3"/>
    <w:rsid w:val="005E435F"/>
    <w:rsid w:val="005E5E22"/>
    <w:rsid w:val="005E6F3C"/>
    <w:rsid w:val="005F1DBE"/>
    <w:rsid w:val="005F2789"/>
    <w:rsid w:val="005F5C18"/>
    <w:rsid w:val="00601AB5"/>
    <w:rsid w:val="00603B98"/>
    <w:rsid w:val="006050CC"/>
    <w:rsid w:val="006057BD"/>
    <w:rsid w:val="00607BF1"/>
    <w:rsid w:val="00610B99"/>
    <w:rsid w:val="0061143C"/>
    <w:rsid w:val="00611AEB"/>
    <w:rsid w:val="006125F6"/>
    <w:rsid w:val="00614456"/>
    <w:rsid w:val="00617221"/>
    <w:rsid w:val="00620652"/>
    <w:rsid w:val="00625284"/>
    <w:rsid w:val="00627FE7"/>
    <w:rsid w:val="00630D4D"/>
    <w:rsid w:val="0063198F"/>
    <w:rsid w:val="00631CB9"/>
    <w:rsid w:val="0063234F"/>
    <w:rsid w:val="00632A74"/>
    <w:rsid w:val="00635B69"/>
    <w:rsid w:val="00641298"/>
    <w:rsid w:val="006417CC"/>
    <w:rsid w:val="006423A5"/>
    <w:rsid w:val="006439E1"/>
    <w:rsid w:val="00645E0E"/>
    <w:rsid w:val="00646C30"/>
    <w:rsid w:val="00651EE3"/>
    <w:rsid w:val="0065333A"/>
    <w:rsid w:val="00655DF9"/>
    <w:rsid w:val="006637F1"/>
    <w:rsid w:val="00666635"/>
    <w:rsid w:val="00666749"/>
    <w:rsid w:val="00667BE0"/>
    <w:rsid w:val="00672E15"/>
    <w:rsid w:val="00673826"/>
    <w:rsid w:val="0068147A"/>
    <w:rsid w:val="0068765A"/>
    <w:rsid w:val="006937B0"/>
    <w:rsid w:val="00694473"/>
    <w:rsid w:val="00695B4E"/>
    <w:rsid w:val="006A319C"/>
    <w:rsid w:val="006A3207"/>
    <w:rsid w:val="006A4655"/>
    <w:rsid w:val="006A567F"/>
    <w:rsid w:val="006A6EF1"/>
    <w:rsid w:val="006B28DD"/>
    <w:rsid w:val="006C1E72"/>
    <w:rsid w:val="006C2ACF"/>
    <w:rsid w:val="006C582D"/>
    <w:rsid w:val="006C7038"/>
    <w:rsid w:val="006D0DEC"/>
    <w:rsid w:val="006D2C4B"/>
    <w:rsid w:val="006D49C8"/>
    <w:rsid w:val="006D61B1"/>
    <w:rsid w:val="006D7ED2"/>
    <w:rsid w:val="006E17B9"/>
    <w:rsid w:val="006E3033"/>
    <w:rsid w:val="006E4191"/>
    <w:rsid w:val="006E73EF"/>
    <w:rsid w:val="006E765B"/>
    <w:rsid w:val="006F1CF1"/>
    <w:rsid w:val="006F3F65"/>
    <w:rsid w:val="006F6434"/>
    <w:rsid w:val="00703065"/>
    <w:rsid w:val="007055B3"/>
    <w:rsid w:val="00706436"/>
    <w:rsid w:val="00706CFC"/>
    <w:rsid w:val="007122D7"/>
    <w:rsid w:val="00720A33"/>
    <w:rsid w:val="007240FB"/>
    <w:rsid w:val="00725838"/>
    <w:rsid w:val="00726815"/>
    <w:rsid w:val="00732416"/>
    <w:rsid w:val="00734E00"/>
    <w:rsid w:val="007354B8"/>
    <w:rsid w:val="00736998"/>
    <w:rsid w:val="00736A61"/>
    <w:rsid w:val="007376C8"/>
    <w:rsid w:val="00742D94"/>
    <w:rsid w:val="00742E02"/>
    <w:rsid w:val="00745211"/>
    <w:rsid w:val="00746123"/>
    <w:rsid w:val="0074791C"/>
    <w:rsid w:val="0075279C"/>
    <w:rsid w:val="007544B8"/>
    <w:rsid w:val="007604BB"/>
    <w:rsid w:val="00760BA3"/>
    <w:rsid w:val="00762D13"/>
    <w:rsid w:val="00763553"/>
    <w:rsid w:val="007638B7"/>
    <w:rsid w:val="00764F5A"/>
    <w:rsid w:val="007660C2"/>
    <w:rsid w:val="0076630B"/>
    <w:rsid w:val="007746AF"/>
    <w:rsid w:val="007761F4"/>
    <w:rsid w:val="00787686"/>
    <w:rsid w:val="007909E8"/>
    <w:rsid w:val="007949C8"/>
    <w:rsid w:val="007A0977"/>
    <w:rsid w:val="007A16D7"/>
    <w:rsid w:val="007A21EB"/>
    <w:rsid w:val="007A2AE1"/>
    <w:rsid w:val="007A44AB"/>
    <w:rsid w:val="007A640B"/>
    <w:rsid w:val="007B12CA"/>
    <w:rsid w:val="007B4D7D"/>
    <w:rsid w:val="007B5C03"/>
    <w:rsid w:val="007B6636"/>
    <w:rsid w:val="007B6C38"/>
    <w:rsid w:val="007C114A"/>
    <w:rsid w:val="007C36C9"/>
    <w:rsid w:val="007C4C3A"/>
    <w:rsid w:val="007C53B3"/>
    <w:rsid w:val="007C736D"/>
    <w:rsid w:val="007C7C7B"/>
    <w:rsid w:val="007D069D"/>
    <w:rsid w:val="007D0A95"/>
    <w:rsid w:val="007D12D4"/>
    <w:rsid w:val="007D3F0E"/>
    <w:rsid w:val="007E01E4"/>
    <w:rsid w:val="007E1E50"/>
    <w:rsid w:val="007E2FA3"/>
    <w:rsid w:val="007E47C7"/>
    <w:rsid w:val="007E548E"/>
    <w:rsid w:val="007E707E"/>
    <w:rsid w:val="007F2611"/>
    <w:rsid w:val="007F36F4"/>
    <w:rsid w:val="007F7107"/>
    <w:rsid w:val="007F71E6"/>
    <w:rsid w:val="007F7A81"/>
    <w:rsid w:val="0080044F"/>
    <w:rsid w:val="0080152E"/>
    <w:rsid w:val="0080375B"/>
    <w:rsid w:val="00805435"/>
    <w:rsid w:val="0081030F"/>
    <w:rsid w:val="00811C64"/>
    <w:rsid w:val="0081282A"/>
    <w:rsid w:val="00814429"/>
    <w:rsid w:val="0082087D"/>
    <w:rsid w:val="00820EBB"/>
    <w:rsid w:val="008224F5"/>
    <w:rsid w:val="0082315D"/>
    <w:rsid w:val="00825D64"/>
    <w:rsid w:val="00825DBC"/>
    <w:rsid w:val="0082678B"/>
    <w:rsid w:val="00826EC4"/>
    <w:rsid w:val="00827B3E"/>
    <w:rsid w:val="0083462B"/>
    <w:rsid w:val="0083485D"/>
    <w:rsid w:val="0083545D"/>
    <w:rsid w:val="00844110"/>
    <w:rsid w:val="0084624B"/>
    <w:rsid w:val="00846E59"/>
    <w:rsid w:val="00853543"/>
    <w:rsid w:val="0085556B"/>
    <w:rsid w:val="0086082C"/>
    <w:rsid w:val="0086239C"/>
    <w:rsid w:val="00863E3B"/>
    <w:rsid w:val="00864ADC"/>
    <w:rsid w:val="008715EE"/>
    <w:rsid w:val="00873566"/>
    <w:rsid w:val="00875A55"/>
    <w:rsid w:val="00880153"/>
    <w:rsid w:val="008807EF"/>
    <w:rsid w:val="00880F97"/>
    <w:rsid w:val="0088133A"/>
    <w:rsid w:val="00881AFB"/>
    <w:rsid w:val="00884AFB"/>
    <w:rsid w:val="00884EA1"/>
    <w:rsid w:val="00886173"/>
    <w:rsid w:val="0088776C"/>
    <w:rsid w:val="00890430"/>
    <w:rsid w:val="0089285E"/>
    <w:rsid w:val="0089436C"/>
    <w:rsid w:val="00894527"/>
    <w:rsid w:val="008A1613"/>
    <w:rsid w:val="008A4301"/>
    <w:rsid w:val="008A538D"/>
    <w:rsid w:val="008A62DC"/>
    <w:rsid w:val="008B13C2"/>
    <w:rsid w:val="008B34FD"/>
    <w:rsid w:val="008B5490"/>
    <w:rsid w:val="008C0CAB"/>
    <w:rsid w:val="008C1CB7"/>
    <w:rsid w:val="008C5592"/>
    <w:rsid w:val="008C6B9F"/>
    <w:rsid w:val="008C7529"/>
    <w:rsid w:val="008C7A04"/>
    <w:rsid w:val="008D5CDD"/>
    <w:rsid w:val="008D5DA9"/>
    <w:rsid w:val="008D630C"/>
    <w:rsid w:val="008D635C"/>
    <w:rsid w:val="008E05FC"/>
    <w:rsid w:val="008E6019"/>
    <w:rsid w:val="008F3DF0"/>
    <w:rsid w:val="008F47D5"/>
    <w:rsid w:val="009020EC"/>
    <w:rsid w:val="00902BF9"/>
    <w:rsid w:val="009030BF"/>
    <w:rsid w:val="00913BC1"/>
    <w:rsid w:val="00914368"/>
    <w:rsid w:val="00917B53"/>
    <w:rsid w:val="0092396A"/>
    <w:rsid w:val="00926AAC"/>
    <w:rsid w:val="009300FA"/>
    <w:rsid w:val="00931076"/>
    <w:rsid w:val="009339A4"/>
    <w:rsid w:val="009345D9"/>
    <w:rsid w:val="00934A58"/>
    <w:rsid w:val="00934B15"/>
    <w:rsid w:val="00934C8F"/>
    <w:rsid w:val="009366EC"/>
    <w:rsid w:val="00937446"/>
    <w:rsid w:val="00942B62"/>
    <w:rsid w:val="00951169"/>
    <w:rsid w:val="009527EE"/>
    <w:rsid w:val="00952CAD"/>
    <w:rsid w:val="00953B34"/>
    <w:rsid w:val="0095593C"/>
    <w:rsid w:val="00956A0C"/>
    <w:rsid w:val="00956BD9"/>
    <w:rsid w:val="009611FB"/>
    <w:rsid w:val="00962489"/>
    <w:rsid w:val="00962B3E"/>
    <w:rsid w:val="0096381E"/>
    <w:rsid w:val="0096652D"/>
    <w:rsid w:val="00967D60"/>
    <w:rsid w:val="00967FEB"/>
    <w:rsid w:val="0097068E"/>
    <w:rsid w:val="00970E6A"/>
    <w:rsid w:val="009743E3"/>
    <w:rsid w:val="0097529B"/>
    <w:rsid w:val="00975458"/>
    <w:rsid w:val="00985389"/>
    <w:rsid w:val="00985FA9"/>
    <w:rsid w:val="009906D9"/>
    <w:rsid w:val="009929FF"/>
    <w:rsid w:val="00993105"/>
    <w:rsid w:val="0099713B"/>
    <w:rsid w:val="009A0361"/>
    <w:rsid w:val="009A48F6"/>
    <w:rsid w:val="009A543E"/>
    <w:rsid w:val="009B443B"/>
    <w:rsid w:val="009B4E0E"/>
    <w:rsid w:val="009B6084"/>
    <w:rsid w:val="009B6FA0"/>
    <w:rsid w:val="009B703B"/>
    <w:rsid w:val="009B7104"/>
    <w:rsid w:val="009C0BA8"/>
    <w:rsid w:val="009C2868"/>
    <w:rsid w:val="009C39D2"/>
    <w:rsid w:val="009C5574"/>
    <w:rsid w:val="009E0EBA"/>
    <w:rsid w:val="009F1393"/>
    <w:rsid w:val="009F4BCF"/>
    <w:rsid w:val="009F5D5C"/>
    <w:rsid w:val="009F696D"/>
    <w:rsid w:val="009F6BC6"/>
    <w:rsid w:val="009F7401"/>
    <w:rsid w:val="00A01D8D"/>
    <w:rsid w:val="00A04B60"/>
    <w:rsid w:val="00A05131"/>
    <w:rsid w:val="00A0549E"/>
    <w:rsid w:val="00A07A87"/>
    <w:rsid w:val="00A105DE"/>
    <w:rsid w:val="00A10F86"/>
    <w:rsid w:val="00A122F4"/>
    <w:rsid w:val="00A13262"/>
    <w:rsid w:val="00A16F7F"/>
    <w:rsid w:val="00A16FDE"/>
    <w:rsid w:val="00A17328"/>
    <w:rsid w:val="00A17C0D"/>
    <w:rsid w:val="00A2703A"/>
    <w:rsid w:val="00A27A0A"/>
    <w:rsid w:val="00A27A61"/>
    <w:rsid w:val="00A31014"/>
    <w:rsid w:val="00A33DFF"/>
    <w:rsid w:val="00A35115"/>
    <w:rsid w:val="00A36709"/>
    <w:rsid w:val="00A4440C"/>
    <w:rsid w:val="00A44E0D"/>
    <w:rsid w:val="00A46BEF"/>
    <w:rsid w:val="00A471F8"/>
    <w:rsid w:val="00A47FD4"/>
    <w:rsid w:val="00A516A2"/>
    <w:rsid w:val="00A5333D"/>
    <w:rsid w:val="00A54967"/>
    <w:rsid w:val="00A554AB"/>
    <w:rsid w:val="00A55E79"/>
    <w:rsid w:val="00A5757B"/>
    <w:rsid w:val="00A669BA"/>
    <w:rsid w:val="00A74091"/>
    <w:rsid w:val="00A81E5D"/>
    <w:rsid w:val="00A822AB"/>
    <w:rsid w:val="00A8537D"/>
    <w:rsid w:val="00A878DF"/>
    <w:rsid w:val="00A91F85"/>
    <w:rsid w:val="00A93CE9"/>
    <w:rsid w:val="00A9468B"/>
    <w:rsid w:val="00A94FA6"/>
    <w:rsid w:val="00A95BA3"/>
    <w:rsid w:val="00A95F6A"/>
    <w:rsid w:val="00A97B69"/>
    <w:rsid w:val="00AA4ED9"/>
    <w:rsid w:val="00AA6710"/>
    <w:rsid w:val="00AB0681"/>
    <w:rsid w:val="00AB31D6"/>
    <w:rsid w:val="00AC5EA4"/>
    <w:rsid w:val="00AC78F9"/>
    <w:rsid w:val="00AD014F"/>
    <w:rsid w:val="00AD2EF6"/>
    <w:rsid w:val="00AD3A1D"/>
    <w:rsid w:val="00AD6877"/>
    <w:rsid w:val="00AD770D"/>
    <w:rsid w:val="00AE0306"/>
    <w:rsid w:val="00AE15FD"/>
    <w:rsid w:val="00AE2174"/>
    <w:rsid w:val="00AE227B"/>
    <w:rsid w:val="00AE509E"/>
    <w:rsid w:val="00AE5DA2"/>
    <w:rsid w:val="00AE6240"/>
    <w:rsid w:val="00AF11C4"/>
    <w:rsid w:val="00AF44B8"/>
    <w:rsid w:val="00AF4AC4"/>
    <w:rsid w:val="00AF4B14"/>
    <w:rsid w:val="00AF6F24"/>
    <w:rsid w:val="00B005D5"/>
    <w:rsid w:val="00B0120B"/>
    <w:rsid w:val="00B1008B"/>
    <w:rsid w:val="00B1457C"/>
    <w:rsid w:val="00B22094"/>
    <w:rsid w:val="00B23B73"/>
    <w:rsid w:val="00B27006"/>
    <w:rsid w:val="00B30DD1"/>
    <w:rsid w:val="00B344AF"/>
    <w:rsid w:val="00B36B2D"/>
    <w:rsid w:val="00B40F2A"/>
    <w:rsid w:val="00B41EE8"/>
    <w:rsid w:val="00B435F0"/>
    <w:rsid w:val="00B439C8"/>
    <w:rsid w:val="00B47F17"/>
    <w:rsid w:val="00B51B74"/>
    <w:rsid w:val="00B53716"/>
    <w:rsid w:val="00B53E7E"/>
    <w:rsid w:val="00B60107"/>
    <w:rsid w:val="00B63399"/>
    <w:rsid w:val="00B6342E"/>
    <w:rsid w:val="00B6359C"/>
    <w:rsid w:val="00B6771D"/>
    <w:rsid w:val="00B7113F"/>
    <w:rsid w:val="00B716DB"/>
    <w:rsid w:val="00B74257"/>
    <w:rsid w:val="00B74CFD"/>
    <w:rsid w:val="00B74EC3"/>
    <w:rsid w:val="00B80694"/>
    <w:rsid w:val="00B842BB"/>
    <w:rsid w:val="00B84C7E"/>
    <w:rsid w:val="00B86F34"/>
    <w:rsid w:val="00B90EF7"/>
    <w:rsid w:val="00B933B7"/>
    <w:rsid w:val="00B93779"/>
    <w:rsid w:val="00B95C20"/>
    <w:rsid w:val="00BA227C"/>
    <w:rsid w:val="00BA40E0"/>
    <w:rsid w:val="00BA431E"/>
    <w:rsid w:val="00BA55FE"/>
    <w:rsid w:val="00BA73B6"/>
    <w:rsid w:val="00BB0B1E"/>
    <w:rsid w:val="00BB1B6A"/>
    <w:rsid w:val="00BB4FCD"/>
    <w:rsid w:val="00BB52CD"/>
    <w:rsid w:val="00BB5F0F"/>
    <w:rsid w:val="00BC25B4"/>
    <w:rsid w:val="00BD13EA"/>
    <w:rsid w:val="00BD2254"/>
    <w:rsid w:val="00BD4937"/>
    <w:rsid w:val="00BE29CF"/>
    <w:rsid w:val="00BE2A0E"/>
    <w:rsid w:val="00BE3808"/>
    <w:rsid w:val="00BF3718"/>
    <w:rsid w:val="00C021DE"/>
    <w:rsid w:val="00C02661"/>
    <w:rsid w:val="00C043FD"/>
    <w:rsid w:val="00C062E9"/>
    <w:rsid w:val="00C06307"/>
    <w:rsid w:val="00C07447"/>
    <w:rsid w:val="00C07D73"/>
    <w:rsid w:val="00C111E7"/>
    <w:rsid w:val="00C1292D"/>
    <w:rsid w:val="00C13721"/>
    <w:rsid w:val="00C13BEA"/>
    <w:rsid w:val="00C13F4D"/>
    <w:rsid w:val="00C14876"/>
    <w:rsid w:val="00C14AD0"/>
    <w:rsid w:val="00C161A1"/>
    <w:rsid w:val="00C21D3C"/>
    <w:rsid w:val="00C21D5F"/>
    <w:rsid w:val="00C2251B"/>
    <w:rsid w:val="00C22E16"/>
    <w:rsid w:val="00C23EE2"/>
    <w:rsid w:val="00C250A2"/>
    <w:rsid w:val="00C25E27"/>
    <w:rsid w:val="00C339BC"/>
    <w:rsid w:val="00C379F1"/>
    <w:rsid w:val="00C40B6B"/>
    <w:rsid w:val="00C44857"/>
    <w:rsid w:val="00C45C57"/>
    <w:rsid w:val="00C4695E"/>
    <w:rsid w:val="00C5027C"/>
    <w:rsid w:val="00C51DA5"/>
    <w:rsid w:val="00C52BA2"/>
    <w:rsid w:val="00C52D04"/>
    <w:rsid w:val="00C543F4"/>
    <w:rsid w:val="00C56985"/>
    <w:rsid w:val="00C57A08"/>
    <w:rsid w:val="00C60B6F"/>
    <w:rsid w:val="00C615CB"/>
    <w:rsid w:val="00C6291C"/>
    <w:rsid w:val="00C630E1"/>
    <w:rsid w:val="00C633CB"/>
    <w:rsid w:val="00C65A21"/>
    <w:rsid w:val="00C6680C"/>
    <w:rsid w:val="00C70379"/>
    <w:rsid w:val="00C7258E"/>
    <w:rsid w:val="00C73AFB"/>
    <w:rsid w:val="00C76CCC"/>
    <w:rsid w:val="00C8033E"/>
    <w:rsid w:val="00C806A7"/>
    <w:rsid w:val="00C81D76"/>
    <w:rsid w:val="00C828A2"/>
    <w:rsid w:val="00C8366F"/>
    <w:rsid w:val="00C837F9"/>
    <w:rsid w:val="00C8762C"/>
    <w:rsid w:val="00C97ED7"/>
    <w:rsid w:val="00CA00F9"/>
    <w:rsid w:val="00CA0C71"/>
    <w:rsid w:val="00CA2961"/>
    <w:rsid w:val="00CA4603"/>
    <w:rsid w:val="00CB25B9"/>
    <w:rsid w:val="00CB3A63"/>
    <w:rsid w:val="00CB44F2"/>
    <w:rsid w:val="00CB50D7"/>
    <w:rsid w:val="00CB7177"/>
    <w:rsid w:val="00CC08DE"/>
    <w:rsid w:val="00CC157D"/>
    <w:rsid w:val="00CC1998"/>
    <w:rsid w:val="00CC4946"/>
    <w:rsid w:val="00CC5DD2"/>
    <w:rsid w:val="00CD02FF"/>
    <w:rsid w:val="00CD2D81"/>
    <w:rsid w:val="00CD38EB"/>
    <w:rsid w:val="00CD4939"/>
    <w:rsid w:val="00CD5CC8"/>
    <w:rsid w:val="00CD6A0D"/>
    <w:rsid w:val="00CD75DD"/>
    <w:rsid w:val="00CE00F8"/>
    <w:rsid w:val="00CE032F"/>
    <w:rsid w:val="00CE17BB"/>
    <w:rsid w:val="00CE21C0"/>
    <w:rsid w:val="00CE377F"/>
    <w:rsid w:val="00CE4AC2"/>
    <w:rsid w:val="00CE7544"/>
    <w:rsid w:val="00CF00FB"/>
    <w:rsid w:val="00CF0A4C"/>
    <w:rsid w:val="00CF23F0"/>
    <w:rsid w:val="00CF3539"/>
    <w:rsid w:val="00CF396C"/>
    <w:rsid w:val="00CF452C"/>
    <w:rsid w:val="00D01395"/>
    <w:rsid w:val="00D019F8"/>
    <w:rsid w:val="00D07188"/>
    <w:rsid w:val="00D10D05"/>
    <w:rsid w:val="00D1186F"/>
    <w:rsid w:val="00D12C33"/>
    <w:rsid w:val="00D15648"/>
    <w:rsid w:val="00D227F1"/>
    <w:rsid w:val="00D2491B"/>
    <w:rsid w:val="00D270A4"/>
    <w:rsid w:val="00D34E1B"/>
    <w:rsid w:val="00D35EDD"/>
    <w:rsid w:val="00D41C50"/>
    <w:rsid w:val="00D44628"/>
    <w:rsid w:val="00D47969"/>
    <w:rsid w:val="00D50C29"/>
    <w:rsid w:val="00D50DDA"/>
    <w:rsid w:val="00D52914"/>
    <w:rsid w:val="00D6028F"/>
    <w:rsid w:val="00D63D73"/>
    <w:rsid w:val="00D66E1E"/>
    <w:rsid w:val="00D70D99"/>
    <w:rsid w:val="00D749D2"/>
    <w:rsid w:val="00D750E3"/>
    <w:rsid w:val="00D754B2"/>
    <w:rsid w:val="00D75722"/>
    <w:rsid w:val="00D77FAD"/>
    <w:rsid w:val="00D81480"/>
    <w:rsid w:val="00D82FB2"/>
    <w:rsid w:val="00D837FE"/>
    <w:rsid w:val="00D8520F"/>
    <w:rsid w:val="00D853AC"/>
    <w:rsid w:val="00D85635"/>
    <w:rsid w:val="00D85F7E"/>
    <w:rsid w:val="00D926E0"/>
    <w:rsid w:val="00D93253"/>
    <w:rsid w:val="00DA0F8D"/>
    <w:rsid w:val="00DA1753"/>
    <w:rsid w:val="00DA22D0"/>
    <w:rsid w:val="00DA3162"/>
    <w:rsid w:val="00DA489F"/>
    <w:rsid w:val="00DB58F0"/>
    <w:rsid w:val="00DB5DF8"/>
    <w:rsid w:val="00DB60A0"/>
    <w:rsid w:val="00DB67C9"/>
    <w:rsid w:val="00DC0C95"/>
    <w:rsid w:val="00DC3419"/>
    <w:rsid w:val="00DD18C1"/>
    <w:rsid w:val="00DD2669"/>
    <w:rsid w:val="00DD27EE"/>
    <w:rsid w:val="00DD6580"/>
    <w:rsid w:val="00DE145F"/>
    <w:rsid w:val="00DE2AA7"/>
    <w:rsid w:val="00DE2B20"/>
    <w:rsid w:val="00DE69B7"/>
    <w:rsid w:val="00DE74FA"/>
    <w:rsid w:val="00DE7742"/>
    <w:rsid w:val="00DE7EC7"/>
    <w:rsid w:val="00DF20C9"/>
    <w:rsid w:val="00DF385B"/>
    <w:rsid w:val="00DF5A4C"/>
    <w:rsid w:val="00DF5D96"/>
    <w:rsid w:val="00E02644"/>
    <w:rsid w:val="00E03D57"/>
    <w:rsid w:val="00E068A3"/>
    <w:rsid w:val="00E07C71"/>
    <w:rsid w:val="00E14D9C"/>
    <w:rsid w:val="00E16B6A"/>
    <w:rsid w:val="00E17C72"/>
    <w:rsid w:val="00E233C9"/>
    <w:rsid w:val="00E23991"/>
    <w:rsid w:val="00E25D3B"/>
    <w:rsid w:val="00E27CCB"/>
    <w:rsid w:val="00E308A3"/>
    <w:rsid w:val="00E30F71"/>
    <w:rsid w:val="00E320BB"/>
    <w:rsid w:val="00E33060"/>
    <w:rsid w:val="00E34322"/>
    <w:rsid w:val="00E352F6"/>
    <w:rsid w:val="00E35C95"/>
    <w:rsid w:val="00E35DB1"/>
    <w:rsid w:val="00E41E15"/>
    <w:rsid w:val="00E429FE"/>
    <w:rsid w:val="00E4407E"/>
    <w:rsid w:val="00E47268"/>
    <w:rsid w:val="00E51312"/>
    <w:rsid w:val="00E51DE9"/>
    <w:rsid w:val="00E532AB"/>
    <w:rsid w:val="00E540C9"/>
    <w:rsid w:val="00E56293"/>
    <w:rsid w:val="00E574AE"/>
    <w:rsid w:val="00E61DC1"/>
    <w:rsid w:val="00E62C22"/>
    <w:rsid w:val="00E640E5"/>
    <w:rsid w:val="00E649F2"/>
    <w:rsid w:val="00E669E2"/>
    <w:rsid w:val="00E70819"/>
    <w:rsid w:val="00E71176"/>
    <w:rsid w:val="00E72D03"/>
    <w:rsid w:val="00E76135"/>
    <w:rsid w:val="00E774B9"/>
    <w:rsid w:val="00E777AD"/>
    <w:rsid w:val="00E93DA3"/>
    <w:rsid w:val="00E9400E"/>
    <w:rsid w:val="00EA0FE3"/>
    <w:rsid w:val="00EA245E"/>
    <w:rsid w:val="00EA2496"/>
    <w:rsid w:val="00EA4B35"/>
    <w:rsid w:val="00EA64C5"/>
    <w:rsid w:val="00EA77F6"/>
    <w:rsid w:val="00EB2C85"/>
    <w:rsid w:val="00EB3B3B"/>
    <w:rsid w:val="00EB4C9E"/>
    <w:rsid w:val="00EB6806"/>
    <w:rsid w:val="00EC475F"/>
    <w:rsid w:val="00EC52FC"/>
    <w:rsid w:val="00EC6D5F"/>
    <w:rsid w:val="00ED03E0"/>
    <w:rsid w:val="00ED30A8"/>
    <w:rsid w:val="00ED6998"/>
    <w:rsid w:val="00EE0FA0"/>
    <w:rsid w:val="00EE33DB"/>
    <w:rsid w:val="00EF16CE"/>
    <w:rsid w:val="00EF3413"/>
    <w:rsid w:val="00EF3C26"/>
    <w:rsid w:val="00EF4E55"/>
    <w:rsid w:val="00EF73EA"/>
    <w:rsid w:val="00F04009"/>
    <w:rsid w:val="00F053F1"/>
    <w:rsid w:val="00F056FC"/>
    <w:rsid w:val="00F06A0F"/>
    <w:rsid w:val="00F1084F"/>
    <w:rsid w:val="00F135D8"/>
    <w:rsid w:val="00F13DEE"/>
    <w:rsid w:val="00F15AB8"/>
    <w:rsid w:val="00F16A15"/>
    <w:rsid w:val="00F17142"/>
    <w:rsid w:val="00F25854"/>
    <w:rsid w:val="00F265D7"/>
    <w:rsid w:val="00F304DD"/>
    <w:rsid w:val="00F305DD"/>
    <w:rsid w:val="00F306BB"/>
    <w:rsid w:val="00F31299"/>
    <w:rsid w:val="00F3534A"/>
    <w:rsid w:val="00F40F00"/>
    <w:rsid w:val="00F43164"/>
    <w:rsid w:val="00F442A1"/>
    <w:rsid w:val="00F535BA"/>
    <w:rsid w:val="00F57390"/>
    <w:rsid w:val="00F61D57"/>
    <w:rsid w:val="00F62C6A"/>
    <w:rsid w:val="00F63D1A"/>
    <w:rsid w:val="00F647EC"/>
    <w:rsid w:val="00F64C8F"/>
    <w:rsid w:val="00F655D3"/>
    <w:rsid w:val="00F675D5"/>
    <w:rsid w:val="00F67AE5"/>
    <w:rsid w:val="00F72393"/>
    <w:rsid w:val="00F732C4"/>
    <w:rsid w:val="00F8209E"/>
    <w:rsid w:val="00F8521B"/>
    <w:rsid w:val="00F85325"/>
    <w:rsid w:val="00F87571"/>
    <w:rsid w:val="00F942FF"/>
    <w:rsid w:val="00FA3EAD"/>
    <w:rsid w:val="00FA3FD1"/>
    <w:rsid w:val="00FA4F6A"/>
    <w:rsid w:val="00FA6002"/>
    <w:rsid w:val="00FA776F"/>
    <w:rsid w:val="00FB13A4"/>
    <w:rsid w:val="00FB2AFA"/>
    <w:rsid w:val="00FB4447"/>
    <w:rsid w:val="00FB54A0"/>
    <w:rsid w:val="00FB5BE5"/>
    <w:rsid w:val="00FD2080"/>
    <w:rsid w:val="00FD22B1"/>
    <w:rsid w:val="00FD771D"/>
    <w:rsid w:val="00FE0FEF"/>
    <w:rsid w:val="00FE2992"/>
    <w:rsid w:val="00FE4FA6"/>
    <w:rsid w:val="00FE65A0"/>
    <w:rsid w:val="00FF1CE6"/>
    <w:rsid w:val="00FF3B54"/>
    <w:rsid w:val="00FF6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DA5"/>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tabs>
        <w:tab w:val="clear" w:pos="908"/>
        <w:tab w:val="num" w:pos="340"/>
      </w:tabs>
      <w:spacing w:before="120"/>
      <w:ind w:left="34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rsid w:val="00A17328"/>
    <w:pPr>
      <w:tabs>
        <w:tab w:val="right" w:pos="8789"/>
      </w:tabs>
      <w:ind w:left="510" w:right="851" w:hanging="510"/>
      <w:jc w:val="left"/>
    </w:pPr>
    <w:rPr>
      <w:b/>
    </w:rPr>
  </w:style>
  <w:style w:type="paragraph" w:styleId="TOC3">
    <w:name w:val="toc 3"/>
    <w:basedOn w:val="TOC2"/>
    <w:uiPriority w:val="39"/>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paragraph" w:customStyle="1" w:styleId="BoxSpaceAbove">
    <w:name w:val="Box Space Above"/>
    <w:basedOn w:val="BodyText"/>
    <w:rsid w:val="00464A22"/>
    <w:pPr>
      <w:keepNext/>
      <w:spacing w:before="360" w:line="80" w:lineRule="exact"/>
      <w:jc w:val="left"/>
    </w:pPr>
  </w:style>
  <w:style w:type="paragraph" w:customStyle="1" w:styleId="BoxSpaceBelow">
    <w:name w:val="Box Space Below"/>
    <w:basedOn w:val="Box"/>
    <w:rsid w:val="00464A22"/>
    <w:pPr>
      <w:keepNext w:val="0"/>
      <w:spacing w:before="60" w:after="60" w:line="80" w:lineRule="exact"/>
    </w:pPr>
    <w:rPr>
      <w:sz w:val="14"/>
    </w:rPr>
  </w:style>
  <w:style w:type="character" w:styleId="Hyperlink">
    <w:name w:val="Hyperlink"/>
    <w:basedOn w:val="DefaultParagraphFont"/>
    <w:uiPriority w:val="99"/>
    <w:rsid w:val="00B716DB"/>
    <w:rPr>
      <w:color w:val="0000FF" w:themeColor="hyperlink"/>
      <w:u w:val="single"/>
    </w:rPr>
  </w:style>
  <w:style w:type="character" w:styleId="FollowedHyperlink">
    <w:name w:val="FollowedHyperlink"/>
    <w:basedOn w:val="DefaultParagraphFont"/>
    <w:rsid w:val="00B716DB"/>
    <w:rPr>
      <w:color w:val="800080" w:themeColor="followedHyperlink"/>
      <w:u w:val="single"/>
    </w:rPr>
  </w:style>
  <w:style w:type="paragraph" w:styleId="BalloonText">
    <w:name w:val="Balloon Text"/>
    <w:basedOn w:val="Normal"/>
    <w:link w:val="BalloonTextChar"/>
    <w:rsid w:val="00F63D1A"/>
    <w:rPr>
      <w:rFonts w:ascii="Tahoma" w:hAnsi="Tahoma" w:cs="Tahoma"/>
      <w:sz w:val="16"/>
      <w:szCs w:val="16"/>
    </w:rPr>
  </w:style>
  <w:style w:type="character" w:customStyle="1" w:styleId="BalloonTextChar">
    <w:name w:val="Balloon Text Char"/>
    <w:basedOn w:val="DefaultParagraphFont"/>
    <w:link w:val="BalloonText"/>
    <w:rsid w:val="00F63D1A"/>
    <w:rPr>
      <w:rFonts w:ascii="Tahoma" w:hAnsi="Tahoma" w:cs="Tahoma"/>
      <w:sz w:val="16"/>
      <w:szCs w:val="16"/>
    </w:rPr>
  </w:style>
  <w:style w:type="character" w:customStyle="1" w:styleId="SubtitleChar">
    <w:name w:val="Subtitle Char"/>
    <w:basedOn w:val="DefaultParagraphFont"/>
    <w:link w:val="Subtitle"/>
    <w:rsid w:val="00CB44F2"/>
    <w:rPr>
      <w:rFonts w:ascii="Arial" w:hAnsi="Arial"/>
    </w:rPr>
  </w:style>
  <w:style w:type="paragraph" w:styleId="TOCHeading">
    <w:name w:val="TOC Heading"/>
    <w:basedOn w:val="Heading1"/>
    <w:next w:val="Normal"/>
    <w:uiPriority w:val="39"/>
    <w:semiHidden/>
    <w:unhideWhenUsed/>
    <w:qFormat/>
    <w:rsid w:val="00EA245E"/>
    <w:pPr>
      <w:keepLines/>
      <w:spacing w:before="480" w:after="0" w:line="276" w:lineRule="auto"/>
      <w:ind w:left="0" w:firstLine="0"/>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Default">
    <w:name w:val="Default"/>
    <w:uiPriority w:val="99"/>
    <w:rsid w:val="00AD014F"/>
    <w:pPr>
      <w:autoSpaceDE w:val="0"/>
      <w:autoSpaceDN w:val="0"/>
      <w:adjustRightInd w:val="0"/>
    </w:pPr>
    <w:rPr>
      <w:rFonts w:ascii="Myriad Pro" w:eastAsia="Calibri" w:hAnsi="Myriad Pro" w:cs="Myriad Pro"/>
      <w:color w:val="000000"/>
      <w:sz w:val="24"/>
      <w:szCs w:val="24"/>
      <w:lang w:eastAsia="en-US"/>
    </w:rPr>
  </w:style>
  <w:style w:type="paragraph" w:customStyle="1" w:styleId="Bulletform">
    <w:name w:val="Bullet form"/>
    <w:basedOn w:val="Normal"/>
    <w:rsid w:val="00C51DA5"/>
    <w:pPr>
      <w:numPr>
        <w:numId w:val="44"/>
      </w:numPr>
      <w:spacing w:before="120"/>
      <w:ind w:left="714" w:hanging="357"/>
      <w:jc w:val="both"/>
    </w:pPr>
    <w:rPr>
      <w:rFonts w:ascii="GoudyOlSt BT" w:hAnsi="GoudyOlSt BT"/>
      <w:sz w:val="24"/>
    </w:rPr>
  </w:style>
  <w:style w:type="paragraph" w:styleId="CommentSubject">
    <w:name w:val="annotation subject"/>
    <w:basedOn w:val="CommentText"/>
    <w:next w:val="CommentText"/>
    <w:link w:val="CommentSubjectChar"/>
    <w:rsid w:val="007C53B3"/>
    <w:pPr>
      <w:spacing w:before="0" w:line="240" w:lineRule="auto"/>
      <w:ind w:left="0" w:firstLine="0"/>
    </w:pPr>
    <w:rPr>
      <w:b/>
      <w:bCs/>
    </w:rPr>
  </w:style>
  <w:style w:type="character" w:customStyle="1" w:styleId="CommentTextChar">
    <w:name w:val="Comment Text Char"/>
    <w:basedOn w:val="DefaultParagraphFont"/>
    <w:link w:val="CommentText"/>
    <w:semiHidden/>
    <w:rsid w:val="007C53B3"/>
  </w:style>
  <w:style w:type="character" w:customStyle="1" w:styleId="CommentSubjectChar">
    <w:name w:val="Comment Subject Char"/>
    <w:basedOn w:val="CommentTextChar"/>
    <w:link w:val="CommentSubject"/>
    <w:rsid w:val="007C53B3"/>
  </w:style>
  <w:style w:type="character" w:customStyle="1" w:styleId="ReferenceChar">
    <w:name w:val="Reference Char"/>
    <w:basedOn w:val="DefaultParagraphFont"/>
    <w:link w:val="Reference"/>
    <w:locked/>
    <w:rsid w:val="00354A38"/>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DA5"/>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774B9"/>
    <w:pPr>
      <w:spacing w:before="120" w:after="0"/>
      <w:ind w:left="1304" w:hanging="1304"/>
    </w:pPr>
    <w:rPr>
      <w:sz w:val="26"/>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link w:val="ChapterChar"/>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tabs>
        <w:tab w:val="clear" w:pos="908"/>
        <w:tab w:val="num" w:pos="340"/>
      </w:tabs>
      <w:spacing w:before="120"/>
      <w:ind w:left="34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rsid w:val="00A17328"/>
    <w:pPr>
      <w:tabs>
        <w:tab w:val="right" w:pos="8789"/>
      </w:tabs>
      <w:ind w:left="510" w:right="851" w:hanging="510"/>
      <w:jc w:val="left"/>
    </w:pPr>
    <w:rPr>
      <w:b/>
    </w:rPr>
  </w:style>
  <w:style w:type="paragraph" w:styleId="TOC3">
    <w:name w:val="toc 3"/>
    <w:basedOn w:val="TOC2"/>
    <w:uiPriority w:val="39"/>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character" w:customStyle="1" w:styleId="BodyTextChar">
    <w:name w:val="Body Text Char"/>
    <w:basedOn w:val="DefaultParagraphFont"/>
    <w:link w:val="BodyText"/>
    <w:rsid w:val="0008264D"/>
    <w:rPr>
      <w:sz w:val="26"/>
      <w:lang w:val="en-AU" w:eastAsia="en-AU" w:bidi="ar-SA"/>
    </w:rPr>
  </w:style>
  <w:style w:type="character" w:customStyle="1" w:styleId="Heading1Char">
    <w:name w:val="Heading 1 Char"/>
    <w:basedOn w:val="BodyTextChar"/>
    <w:link w:val="Heading1"/>
    <w:rsid w:val="0008264D"/>
    <w:rPr>
      <w:sz w:val="52"/>
      <w:lang w:val="en-AU" w:eastAsia="en-AU" w:bidi="ar-SA"/>
    </w:rPr>
  </w:style>
  <w:style w:type="character" w:customStyle="1" w:styleId="ChapterChar">
    <w:name w:val="Chapter Char"/>
    <w:basedOn w:val="Heading1Char"/>
    <w:link w:val="Chapter"/>
    <w:rsid w:val="0008264D"/>
    <w:rPr>
      <w:sz w:val="52"/>
      <w:lang w:val="en-AU" w:eastAsia="en-AU" w:bidi="ar-SA"/>
    </w:rPr>
  </w:style>
  <w:style w:type="character" w:customStyle="1" w:styleId="Heading2Char">
    <w:name w:val="Heading 2 Char"/>
    <w:basedOn w:val="ChapterChar"/>
    <w:link w:val="Heading2"/>
    <w:rsid w:val="0008264D"/>
    <w:rPr>
      <w:rFonts w:ascii="Arial" w:hAnsi="Arial"/>
      <w:b/>
      <w:sz w:val="32"/>
      <w:lang w:val="en-AU" w:eastAsia="en-AU" w:bidi="ar-SA"/>
    </w:rPr>
  </w:style>
  <w:style w:type="paragraph" w:customStyle="1" w:styleId="BoxSpaceAbove">
    <w:name w:val="Box Space Above"/>
    <w:basedOn w:val="BodyText"/>
    <w:rsid w:val="00464A22"/>
    <w:pPr>
      <w:keepNext/>
      <w:spacing w:before="360" w:line="80" w:lineRule="exact"/>
      <w:jc w:val="left"/>
    </w:pPr>
  </w:style>
  <w:style w:type="paragraph" w:customStyle="1" w:styleId="BoxSpaceBelow">
    <w:name w:val="Box Space Below"/>
    <w:basedOn w:val="Box"/>
    <w:rsid w:val="00464A22"/>
    <w:pPr>
      <w:keepNext w:val="0"/>
      <w:spacing w:before="60" w:after="60" w:line="80" w:lineRule="exact"/>
    </w:pPr>
    <w:rPr>
      <w:sz w:val="14"/>
    </w:rPr>
  </w:style>
  <w:style w:type="character" w:styleId="Hyperlink">
    <w:name w:val="Hyperlink"/>
    <w:basedOn w:val="DefaultParagraphFont"/>
    <w:uiPriority w:val="99"/>
    <w:rsid w:val="00B716DB"/>
    <w:rPr>
      <w:color w:val="0000FF" w:themeColor="hyperlink"/>
      <w:u w:val="single"/>
    </w:rPr>
  </w:style>
  <w:style w:type="character" w:styleId="FollowedHyperlink">
    <w:name w:val="FollowedHyperlink"/>
    <w:basedOn w:val="DefaultParagraphFont"/>
    <w:rsid w:val="00B716DB"/>
    <w:rPr>
      <w:color w:val="800080" w:themeColor="followedHyperlink"/>
      <w:u w:val="single"/>
    </w:rPr>
  </w:style>
  <w:style w:type="paragraph" w:styleId="BalloonText">
    <w:name w:val="Balloon Text"/>
    <w:basedOn w:val="Normal"/>
    <w:link w:val="BalloonTextChar"/>
    <w:rsid w:val="00F63D1A"/>
    <w:rPr>
      <w:rFonts w:ascii="Tahoma" w:hAnsi="Tahoma" w:cs="Tahoma"/>
      <w:sz w:val="16"/>
      <w:szCs w:val="16"/>
    </w:rPr>
  </w:style>
  <w:style w:type="character" w:customStyle="1" w:styleId="BalloonTextChar">
    <w:name w:val="Balloon Text Char"/>
    <w:basedOn w:val="DefaultParagraphFont"/>
    <w:link w:val="BalloonText"/>
    <w:rsid w:val="00F63D1A"/>
    <w:rPr>
      <w:rFonts w:ascii="Tahoma" w:hAnsi="Tahoma" w:cs="Tahoma"/>
      <w:sz w:val="16"/>
      <w:szCs w:val="16"/>
    </w:rPr>
  </w:style>
  <w:style w:type="character" w:customStyle="1" w:styleId="SubtitleChar">
    <w:name w:val="Subtitle Char"/>
    <w:basedOn w:val="DefaultParagraphFont"/>
    <w:link w:val="Subtitle"/>
    <w:rsid w:val="00CB44F2"/>
    <w:rPr>
      <w:rFonts w:ascii="Arial" w:hAnsi="Arial"/>
    </w:rPr>
  </w:style>
  <w:style w:type="paragraph" w:styleId="TOCHeading">
    <w:name w:val="TOC Heading"/>
    <w:basedOn w:val="Heading1"/>
    <w:next w:val="Normal"/>
    <w:uiPriority w:val="39"/>
    <w:semiHidden/>
    <w:unhideWhenUsed/>
    <w:qFormat/>
    <w:rsid w:val="00EA245E"/>
    <w:pPr>
      <w:keepLines/>
      <w:spacing w:before="480" w:after="0" w:line="276" w:lineRule="auto"/>
      <w:ind w:left="0" w:firstLine="0"/>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Default">
    <w:name w:val="Default"/>
    <w:uiPriority w:val="99"/>
    <w:rsid w:val="00AD014F"/>
    <w:pPr>
      <w:autoSpaceDE w:val="0"/>
      <w:autoSpaceDN w:val="0"/>
      <w:adjustRightInd w:val="0"/>
    </w:pPr>
    <w:rPr>
      <w:rFonts w:ascii="Myriad Pro" w:eastAsia="Calibri" w:hAnsi="Myriad Pro" w:cs="Myriad Pro"/>
      <w:color w:val="000000"/>
      <w:sz w:val="24"/>
      <w:szCs w:val="24"/>
      <w:lang w:eastAsia="en-US"/>
    </w:rPr>
  </w:style>
  <w:style w:type="paragraph" w:customStyle="1" w:styleId="Bulletform">
    <w:name w:val="Bullet form"/>
    <w:basedOn w:val="Normal"/>
    <w:rsid w:val="00C51DA5"/>
    <w:pPr>
      <w:numPr>
        <w:numId w:val="44"/>
      </w:numPr>
      <w:spacing w:before="120"/>
      <w:ind w:left="714" w:hanging="357"/>
      <w:jc w:val="both"/>
    </w:pPr>
    <w:rPr>
      <w:rFonts w:ascii="GoudyOlSt BT" w:hAnsi="GoudyOlSt BT"/>
      <w:sz w:val="24"/>
    </w:rPr>
  </w:style>
  <w:style w:type="paragraph" w:styleId="CommentSubject">
    <w:name w:val="annotation subject"/>
    <w:basedOn w:val="CommentText"/>
    <w:next w:val="CommentText"/>
    <w:link w:val="CommentSubjectChar"/>
    <w:rsid w:val="007C53B3"/>
    <w:pPr>
      <w:spacing w:before="0" w:line="240" w:lineRule="auto"/>
      <w:ind w:left="0" w:firstLine="0"/>
    </w:pPr>
    <w:rPr>
      <w:b/>
      <w:bCs/>
    </w:rPr>
  </w:style>
  <w:style w:type="character" w:customStyle="1" w:styleId="CommentTextChar">
    <w:name w:val="Comment Text Char"/>
    <w:basedOn w:val="DefaultParagraphFont"/>
    <w:link w:val="CommentText"/>
    <w:semiHidden/>
    <w:rsid w:val="007C53B3"/>
  </w:style>
  <w:style w:type="character" w:customStyle="1" w:styleId="CommentSubjectChar">
    <w:name w:val="Comment Subject Char"/>
    <w:basedOn w:val="CommentTextChar"/>
    <w:link w:val="CommentSubject"/>
    <w:rsid w:val="007C53B3"/>
  </w:style>
  <w:style w:type="character" w:customStyle="1" w:styleId="ReferenceChar">
    <w:name w:val="Reference Char"/>
    <w:basedOn w:val="DefaultParagraphFont"/>
    <w:link w:val="Reference"/>
    <w:locked/>
    <w:rsid w:val="00354A38"/>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48137">
      <w:bodyDiv w:val="1"/>
      <w:marLeft w:val="0"/>
      <w:marRight w:val="0"/>
      <w:marTop w:val="0"/>
      <w:marBottom w:val="0"/>
      <w:divBdr>
        <w:top w:val="none" w:sz="0" w:space="0" w:color="auto"/>
        <w:left w:val="none" w:sz="0" w:space="0" w:color="auto"/>
        <w:bottom w:val="none" w:sz="0" w:space="0" w:color="auto"/>
        <w:right w:val="none" w:sz="0" w:space="0" w:color="auto"/>
      </w:divBdr>
    </w:div>
    <w:div w:id="1618412720">
      <w:bodyDiv w:val="1"/>
      <w:marLeft w:val="0"/>
      <w:marRight w:val="0"/>
      <w:marTop w:val="0"/>
      <w:marBottom w:val="0"/>
      <w:divBdr>
        <w:top w:val="none" w:sz="0" w:space="0" w:color="auto"/>
        <w:left w:val="none" w:sz="0" w:space="0" w:color="auto"/>
        <w:bottom w:val="none" w:sz="0" w:space="0" w:color="auto"/>
        <w:right w:val="none" w:sz="0" w:space="0" w:color="auto"/>
      </w:divBdr>
    </w:div>
    <w:div w:id="16485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17EE-447D-483F-A4BC-A1D00579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1</TotalTime>
  <Pages>25</Pages>
  <Words>6102</Words>
  <Characters>36909</Characters>
  <Application>Microsoft Office Word</Application>
  <DocSecurity>4</DocSecurity>
  <Lines>307</Lines>
  <Paragraphs>85</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42926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Report</dc:subject>
  <dc:creator>Productivity Commission</dc:creator>
  <cp:lastModifiedBy>Productivity Commission</cp:lastModifiedBy>
  <cp:revision>2</cp:revision>
  <cp:lastPrinted>2013-01-15T22:46:00Z</cp:lastPrinted>
  <dcterms:created xsi:type="dcterms:W3CDTF">2013-01-24T04:08:00Z</dcterms:created>
  <dcterms:modified xsi:type="dcterms:W3CDTF">2013-01-24T04:08:00Z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-1383200859</vt:i4>
  </property>
  <property fmtid="{D5CDD505-2E9C-101B-9397-08002B2CF9AE}" pid="3" name="_NewReviewCycle">
    <vt:lpwstr/>
  </property>
  <property fmtid="{D5CDD505-2E9C-101B-9397-08002B2CF9AE}" pid="4" name="_EmailSubject">
    <vt:lpwstr>web files - small business issues paper</vt:lpwstr>
  </property>
  <property fmtid="{D5CDD505-2E9C-101B-9397-08002B2CF9AE}" pid="5" name="_AuthorEmail">
    <vt:lpwstr>Louise.Jordan@pc.gov.au</vt:lpwstr>
  </property>
  <property fmtid="{D5CDD505-2E9C-101B-9397-08002B2CF9AE}" pid="6" name="_AuthorEmailDisplayName">
    <vt:lpwstr>Jordan, Louise</vt:lpwstr>
  </property>
  <property fmtid="{D5CDD505-2E9C-101B-9397-08002B2CF9AE}" pid="7" name="_ReviewingToolsShownOnce">
    <vt:lpwstr/>
  </property>
</Properties>
</file>