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8D0873" w:rsidP="00CD5E6B">
      <w:pPr>
        <w:pStyle w:val="BodyText"/>
        <w:rPr>
          <w:b/>
          <w:szCs w:val="26"/>
        </w:rPr>
      </w:pPr>
      <w:r>
        <w:rPr>
          <w:noProof/>
          <w:lang w:eastAsia="en-AU"/>
        </w:rPr>
        <w:drawing>
          <wp:anchor distT="0" distB="0" distL="114300" distR="114300" simplePos="0" relativeHeight="251658240" behindDoc="1" locked="0" layoutInCell="1" allowOverlap="1">
            <wp:simplePos x="1151467" y="1049867"/>
            <wp:positionH relativeFrom="page">
              <wp:align>center</wp:align>
            </wp:positionH>
            <wp:positionV relativeFrom="page">
              <wp:align>bottom</wp:align>
            </wp:positionV>
            <wp:extent cx="7560000" cy="10130400"/>
            <wp:effectExtent l="0" t="0" r="3175" b="4445"/>
            <wp:wrapNone/>
            <wp:docPr id="1" name="Picture 1" descr="Cover image for the Productivity Commission Research Report titled 'Regulator Engagement with Small Business'. Published Septemb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small-business-fin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304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B6445D" w:rsidRPr="007809B8" w:rsidRDefault="00B6445D">
      <w:pPr>
        <w:pStyle w:val="BodyText"/>
        <w:tabs>
          <w:tab w:val="left" w:pos="851"/>
        </w:tabs>
        <w:spacing w:before="200" w:after="120"/>
        <w:jc w:val="left"/>
        <w:rPr>
          <w:b/>
          <w:sz w:val="24"/>
        </w:rPr>
      </w:pPr>
      <w:bookmarkStart w:id="0" w:name="ISSN"/>
      <w:bookmarkEnd w:id="0"/>
      <w:r>
        <w:rPr>
          <w:b/>
          <w:sz w:val="24"/>
        </w:rPr>
        <w:t>ISBN</w:t>
      </w:r>
      <w:r>
        <w:rPr>
          <w:b/>
          <w:sz w:val="24"/>
        </w:rPr>
        <w:tab/>
      </w:r>
      <w:r w:rsidRPr="00B6445D">
        <w:rPr>
          <w:b/>
          <w:sz w:val="24"/>
        </w:rPr>
        <w:t>978-1-74037-449-1</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561DCE"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 xml:space="preserve">General </w:t>
      </w:r>
      <w:r w:rsidR="00561DCE">
        <w:rPr>
          <w:b/>
          <w:sz w:val="24"/>
        </w:rPr>
        <w:t>e</w:t>
      </w:r>
      <w:bookmarkStart w:id="1" w:name="_GoBack"/>
      <w:bookmarkEnd w:id="1"/>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B6445D" w:rsidRDefault="00B6445D" w:rsidP="00B6445D">
      <w:pPr>
        <w:pStyle w:val="BodyText"/>
        <w:spacing w:before="160" w:after="120" w:line="240" w:lineRule="auto"/>
        <w:rPr>
          <w:sz w:val="24"/>
          <w:szCs w:val="24"/>
        </w:rPr>
      </w:pPr>
      <w:r>
        <w:rPr>
          <w:sz w:val="24"/>
          <w:szCs w:val="24"/>
        </w:rPr>
        <w:t xml:space="preserve">Productivity Commission 2013, </w:t>
      </w:r>
      <w:r w:rsidRPr="00406052">
        <w:rPr>
          <w:i/>
          <w:sz w:val="24"/>
          <w:szCs w:val="24"/>
        </w:rPr>
        <w:t>Regulator Engagement with Small Business</w:t>
      </w:r>
      <w:r>
        <w:rPr>
          <w:sz w:val="24"/>
          <w:szCs w:val="24"/>
        </w:rPr>
        <w:t xml:space="preserve">, </w:t>
      </w:r>
      <w:r>
        <w:rPr>
          <w:sz w:val="24"/>
          <w:szCs w:val="24"/>
        </w:rPr>
        <w:br/>
        <w:t>Research Report, Canberra.</w:t>
      </w:r>
    </w:p>
    <w:p w:rsidR="00B6445D" w:rsidRPr="00551FB8" w:rsidRDefault="00B6445D" w:rsidP="00B6445D">
      <w:pPr>
        <w:pStyle w:val="BodyText"/>
        <w:spacing w:before="160" w:after="120" w:line="240" w:lineRule="auto"/>
        <w:rPr>
          <w:sz w:val="24"/>
          <w:szCs w:val="24"/>
        </w:rPr>
      </w:pPr>
      <w:proofErr w:type="spellStart"/>
      <w:r>
        <w:rPr>
          <w:sz w:val="24"/>
          <w:szCs w:val="24"/>
        </w:rPr>
        <w:t>JEL</w:t>
      </w:r>
      <w:proofErr w:type="spellEnd"/>
      <w:r>
        <w:rPr>
          <w:sz w:val="24"/>
          <w:szCs w:val="24"/>
        </w:rPr>
        <w:t xml:space="preserve"> codes: </w:t>
      </w:r>
      <w:proofErr w:type="spellStart"/>
      <w:r>
        <w:rPr>
          <w:sz w:val="24"/>
          <w:szCs w:val="24"/>
        </w:rPr>
        <w:t>H1</w:t>
      </w:r>
      <w:proofErr w:type="spellEnd"/>
      <w:r>
        <w:rPr>
          <w:sz w:val="24"/>
          <w:szCs w:val="24"/>
        </w:rPr>
        <w:t xml:space="preserve">, </w:t>
      </w:r>
      <w:proofErr w:type="spellStart"/>
      <w:r>
        <w:rPr>
          <w:sz w:val="24"/>
          <w:szCs w:val="24"/>
        </w:rPr>
        <w:t>H7</w:t>
      </w:r>
      <w:proofErr w:type="spellEnd"/>
      <w:r>
        <w:rPr>
          <w:sz w:val="24"/>
          <w:szCs w:val="24"/>
        </w:rPr>
        <w:t xml:space="preserve">, K2, </w:t>
      </w:r>
      <w:proofErr w:type="spellStart"/>
      <w:r>
        <w:rPr>
          <w:sz w:val="24"/>
          <w:szCs w:val="24"/>
        </w:rPr>
        <w:t>M14</w:t>
      </w:r>
      <w:proofErr w:type="spellEnd"/>
      <w:r>
        <w:rPr>
          <w:sz w:val="24"/>
          <w:szCs w:val="24"/>
        </w:rPr>
        <w:t xml:space="preserve">, </w:t>
      </w:r>
      <w:proofErr w:type="spellStart"/>
      <w:r>
        <w:rPr>
          <w:sz w:val="24"/>
          <w:szCs w:val="24"/>
        </w:rPr>
        <w:t>M48</w:t>
      </w:r>
      <w:proofErr w:type="spellEnd"/>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B6445D" w:rsidRDefault="00B6445D">
      <w:bookmarkStart w:id="2" w:name="cov"/>
      <w:bookmarkEnd w:id="2"/>
      <w:r>
        <w:br w:type="page"/>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B6445D" w:rsidRDefault="00B6445D">
      <w:pPr>
        <w:pStyle w:val="Heading1"/>
      </w:pPr>
      <w:r>
        <w:lastRenderedPageBreak/>
        <w:t>Foreword</w:t>
      </w:r>
    </w:p>
    <w:p w:rsidR="00B6445D" w:rsidRDefault="00B6445D" w:rsidP="00B6445D">
      <w:pPr>
        <w:pStyle w:val="BodyText"/>
      </w:pPr>
      <w:r>
        <w:t xml:space="preserve">Regulation is an inescapable part of doing business and the way it is implemented is often as important to business and to compliance outcomes as the content of the regulation itself. Small businesses face greater challenges in understanding and fulfilling their compliance obligations than do larger businesses. </w:t>
      </w:r>
      <w:r w:rsidRPr="00C06B14">
        <w:rPr>
          <w:spacing w:val="-2"/>
        </w:rPr>
        <w:t>By exercising discretion</w:t>
      </w:r>
      <w:r>
        <w:rPr>
          <w:spacing w:val="-2"/>
        </w:rPr>
        <w:t xml:space="preserve"> and choosing judiciously how regulation should be implemented, a</w:t>
      </w:r>
      <w:r w:rsidRPr="00C06B14">
        <w:rPr>
          <w:spacing w:val="-2"/>
        </w:rPr>
        <w:t xml:space="preserve"> regulator can reduce costs for small businesses while maintaining or eve</w:t>
      </w:r>
      <w:r>
        <w:rPr>
          <w:spacing w:val="-2"/>
        </w:rPr>
        <w:t xml:space="preserve">n improving compliance outcomes </w:t>
      </w:r>
      <w:r>
        <w:t>— a win</w:t>
      </w:r>
      <w:r>
        <w:noBreakHyphen/>
        <w:t>win for business and the community.</w:t>
      </w:r>
    </w:p>
    <w:p w:rsidR="00B6445D" w:rsidRDefault="00B6445D" w:rsidP="00B6445D">
      <w:pPr>
        <w:pStyle w:val="BodyText"/>
      </w:pPr>
      <w:r>
        <w:t>In this study, the Commission has been asked to benchmark regulator approaches to engagement with small business in order to improve the delivery of regulatory objectives for communities and reduce unnecessary compliance costs. The study was commissioned with agreement from the Council of Australian Government’s Business Regulation and Competition Working Group. While much of the analysis in this report focuses on Commonwealth, state and territory regulators, the regulatory engagement approach of local governments</w:t>
      </w:r>
      <w:r w:rsidRPr="00154B95">
        <w:t xml:space="preserve"> </w:t>
      </w:r>
      <w:r>
        <w:t xml:space="preserve">and the experiences of businesses — collected during other recent Commission benchmarking studies </w:t>
      </w:r>
      <w:r>
        <w:fldChar w:fldCharType="begin"/>
      </w:r>
      <w:r>
        <w:instrText xml:space="preserve"> ADDIN ZOTERO_ITEM CSL_CITATION {"citationID":"hc8lrj9lh","properties":{"formattedCitation":"{\\rtf (PC\\uc0\\u160{}2012a)}","plainCitation":"(PC 2012a)"},"citationItems":[{"id":47,"uris":["http://zotero.org/groups/162566/items/9TAQH472"],"uri":["http://zotero.org/groups/162566/items/9TAQH472"],"itemData":{"id":47,"type":"report","title":"Performance Benchmarking of Australian Business Regulation: The Role of Local Government as Regulator","publisher-place":"Canberra","genre":"Research Report","event-place":"Canberra","author":[{"family":"Productivity Commission","given":""}],"translator":[{"family":"PC","given":""}],"issued":{"date-parts":[["2012"]]}}}],"schema":"https://github.com/citation-style-language/schema/raw/master/csl-citation.json"} </w:instrText>
      </w:r>
      <w:r>
        <w:fldChar w:fldCharType="end"/>
      </w:r>
      <w:r>
        <w:t>— are also drawn on where relevant.</w:t>
      </w:r>
    </w:p>
    <w:p w:rsidR="00B6445D" w:rsidRDefault="00B6445D" w:rsidP="00B6445D">
      <w:pPr>
        <w:pStyle w:val="BodyText"/>
      </w:pPr>
      <w:r>
        <w:t xml:space="preserve">The study was undertaken by a team in the Commission’s Canberra office, led by Rosalyn Bell. The study benefited from discussions and submissions from a variety of stakeholders in the government and business sectors. In particular, the Commission is very grateful to those regulators which responded to its detailed survey on business engagement practices and to all those small business people who gave up several hours of their time to participate in regional roundtable meetings. </w:t>
      </w:r>
    </w:p>
    <w:p w:rsidR="00B6445D" w:rsidRDefault="00B6445D" w:rsidP="00B6445D">
      <w:pPr>
        <w:pStyle w:val="BodyText"/>
      </w:pPr>
    </w:p>
    <w:p w:rsidR="00B6445D" w:rsidRDefault="00B6445D" w:rsidP="00B6445D">
      <w:pPr>
        <w:pStyle w:val="BodyText"/>
      </w:pPr>
    </w:p>
    <w:p w:rsidR="00B6445D" w:rsidRDefault="00B6445D" w:rsidP="00B6445D">
      <w:pPr>
        <w:pStyle w:val="BodyText"/>
      </w:pPr>
      <w:r>
        <w:t>Dr Warren Mundy</w:t>
      </w:r>
    </w:p>
    <w:p w:rsidR="00B6445D" w:rsidRDefault="00B6445D" w:rsidP="00B6445D">
      <w:pPr>
        <w:pStyle w:val="BodyText"/>
        <w:spacing w:before="0"/>
      </w:pPr>
      <w:r>
        <w:t>Presiding Commissioner</w:t>
      </w:r>
    </w:p>
    <w:p w:rsidR="00B6445D" w:rsidRDefault="00B6445D" w:rsidP="00B6445D">
      <w:pPr>
        <w:pStyle w:val="BodyText"/>
      </w:pPr>
      <w:r>
        <w:t>September 2013</w:t>
      </w:r>
    </w:p>
    <w:p w:rsidR="00B6445D" w:rsidRPr="00B6445D" w:rsidRDefault="00B6445D" w:rsidP="00B6445D">
      <w:pPr>
        <w:pStyle w:val="BodyText"/>
      </w:pPr>
    </w:p>
    <w:p w:rsidR="00B6445D" w:rsidRDefault="00B6445D">
      <w:pPr>
        <w:pStyle w:val="BodyText"/>
        <w:sectPr w:rsidR="00B6445D" w:rsidSect="00537BB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B6445D" w:rsidRDefault="00B6445D" w:rsidP="00537BB4">
      <w:pPr>
        <w:pStyle w:val="Heading1"/>
      </w:pPr>
      <w:r>
        <w:lastRenderedPageBreak/>
        <w:t>Terms of reference</w:t>
      </w:r>
    </w:p>
    <w:p w:rsidR="00B6445D" w:rsidRDefault="00B6445D" w:rsidP="00B6445D">
      <w:pPr>
        <w:pStyle w:val="Default"/>
        <w:tabs>
          <w:tab w:val="left" w:pos="567"/>
        </w:tabs>
        <w:spacing w:after="240"/>
        <w:rPr>
          <w:rFonts w:ascii="Times New Roman" w:hAnsi="Times New Roman" w:cs="Times New Roman"/>
          <w:b/>
          <w:bCs/>
          <w:lang w:eastAsia="en-AU"/>
        </w:rPr>
      </w:pPr>
      <w:r>
        <w:rPr>
          <w:rFonts w:ascii="Times New Roman" w:hAnsi="Times New Roman" w:cs="Times New Roman"/>
          <w:b/>
          <w:bCs/>
          <w:lang w:eastAsia="en-AU"/>
        </w:rPr>
        <w:t xml:space="preserve">BENCHMARKING STUDY ON REGULATOR ENGAGEMENT WITH SMALL BUSINESS </w:t>
      </w:r>
    </w:p>
    <w:p w:rsidR="00B6445D" w:rsidRDefault="00B6445D" w:rsidP="00B6445D">
      <w:pPr>
        <w:pStyle w:val="Default"/>
        <w:tabs>
          <w:tab w:val="left" w:pos="567"/>
        </w:tabs>
        <w:spacing w:after="240"/>
        <w:rPr>
          <w:rFonts w:ascii="Times New Roman" w:hAnsi="Times New Roman" w:cs="Times New Roman"/>
          <w:bCs/>
          <w:lang w:eastAsia="en-AU"/>
        </w:rPr>
      </w:pPr>
      <w:r>
        <w:rPr>
          <w:rFonts w:ascii="Times New Roman" w:eastAsiaTheme="minorHAnsi" w:hAnsi="Times New Roman" w:cs="Times New Roman"/>
        </w:rPr>
        <w:t xml:space="preserve">I, David Bradbury, Assistant Treasurer, pursuant to Parts 2 and 4 of the </w:t>
      </w:r>
      <w:r>
        <w:rPr>
          <w:rFonts w:ascii="Times New Roman" w:eastAsiaTheme="minorHAnsi" w:hAnsi="Times New Roman" w:cs="Times New Roman"/>
          <w:i/>
          <w:iCs/>
        </w:rPr>
        <w:t xml:space="preserve">Productivity Commission Act 1998 </w:t>
      </w:r>
      <w:r>
        <w:rPr>
          <w:rFonts w:ascii="Times New Roman" w:eastAsiaTheme="minorHAnsi" w:hAnsi="Times New Roman" w:cs="Times New Roman"/>
        </w:rPr>
        <w:t xml:space="preserve">hereby request that the Productivity Commission undertake a research study to </w:t>
      </w:r>
      <w:r>
        <w:rPr>
          <w:rFonts w:ascii="Times New Roman" w:hAnsi="Times New Roman" w:cs="Times New Roman"/>
          <w:bCs/>
          <w:lang w:eastAsia="en-AU"/>
        </w:rPr>
        <w:t>benchmark the extent to which the different approaches to regulator engagement with small business have the potential to affect the costs (including time and effort) incurred by these businesses.  This request follows agreement by COAG's Business Regulation and Competition Working Group that the Productivity Commission undertake a study of this type.</w:t>
      </w:r>
    </w:p>
    <w:p w:rsidR="00B6445D" w:rsidRDefault="00B6445D" w:rsidP="00B6445D">
      <w:pPr>
        <w:pStyle w:val="Default"/>
        <w:tabs>
          <w:tab w:val="left" w:pos="567"/>
        </w:tabs>
        <w:spacing w:after="240"/>
        <w:rPr>
          <w:rFonts w:ascii="Times New Roman" w:hAnsi="Times New Roman" w:cs="Times New Roman"/>
          <w:bCs/>
          <w:lang w:eastAsia="en-AU"/>
        </w:rPr>
      </w:pPr>
      <w:r>
        <w:rPr>
          <w:rFonts w:ascii="Times New Roman" w:hAnsi="Times New Roman" w:cs="Times New Roman"/>
          <w:lang w:eastAsia="en-AU"/>
        </w:rPr>
        <w:t>Small business stakeholders consistently raise with Governments their view that compliance approaches and the regulatory posture adopted by regulators with respect to small business, and the degree to which regulators recognise and accommodate the particular circumstances of small business, can have a significant impact on regulatory burden</w:t>
      </w:r>
      <w:r>
        <w:rPr>
          <w:rFonts w:ascii="Times New Roman" w:hAnsi="Times New Roman" w:cs="Times New Roman"/>
          <w:bCs/>
          <w:lang w:eastAsia="en-AU"/>
        </w:rPr>
        <w:t>.</w:t>
      </w:r>
    </w:p>
    <w:p w:rsidR="00B6445D" w:rsidRDefault="00B6445D" w:rsidP="00B6445D">
      <w:pPr>
        <w:pStyle w:val="Default"/>
        <w:tabs>
          <w:tab w:val="left" w:pos="567"/>
        </w:tabs>
        <w:spacing w:after="240"/>
        <w:rPr>
          <w:rFonts w:ascii="Times New Roman" w:hAnsi="Times New Roman" w:cs="Times New Roman"/>
          <w:bCs/>
          <w:lang w:eastAsia="en-AU"/>
        </w:rPr>
      </w:pPr>
      <w:r>
        <w:rPr>
          <w:rFonts w:ascii="Times New Roman" w:hAnsi="Times New Roman" w:cs="Times New Roman"/>
          <w:bCs/>
          <w:lang w:eastAsia="en-AU"/>
        </w:rPr>
        <w:t xml:space="preserve">Approaches to the regulation of small business can be wide ranging, with some regulators adopting a facilitative role, assisting small businesses to meet their compliance responsibilities, recognising that regulatory compliance activities impose a disproportionate cost on smaller firms.  Other regulators adopt a more traditional compliance based regulatory posture.  </w:t>
      </w:r>
    </w:p>
    <w:p w:rsidR="00B6445D" w:rsidRDefault="00B6445D" w:rsidP="00B6445D">
      <w:pPr>
        <w:pStyle w:val="Default"/>
        <w:tabs>
          <w:tab w:val="left" w:pos="567"/>
        </w:tabs>
        <w:spacing w:after="240"/>
        <w:rPr>
          <w:rFonts w:ascii="Times New Roman" w:hAnsi="Times New Roman" w:cs="Times New Roman"/>
          <w:bCs/>
          <w:lang w:eastAsia="en-AU"/>
        </w:rPr>
      </w:pPr>
      <w:r>
        <w:rPr>
          <w:rFonts w:ascii="Times New Roman" w:hAnsi="Times New Roman" w:cs="Times New Roman"/>
          <w:bCs/>
          <w:lang w:eastAsia="en-AU"/>
        </w:rPr>
        <w:t>In undertaking this study, the Productivity Commission is asked to:</w:t>
      </w:r>
    </w:p>
    <w:p w:rsidR="00B6445D" w:rsidRDefault="00B6445D" w:rsidP="00B6445D">
      <w:pPr>
        <w:pStyle w:val="Default"/>
        <w:numPr>
          <w:ilvl w:val="0"/>
          <w:numId w:val="32"/>
        </w:numPr>
        <w:tabs>
          <w:tab w:val="left" w:pos="567"/>
        </w:tabs>
        <w:spacing w:after="240"/>
        <w:rPr>
          <w:rFonts w:ascii="Times New Roman" w:hAnsi="Times New Roman" w:cs="Times New Roman"/>
          <w:bCs/>
          <w:lang w:eastAsia="en-AU"/>
        </w:rPr>
      </w:pPr>
      <w:r>
        <w:rPr>
          <w:rFonts w:ascii="Times New Roman" w:hAnsi="Times New Roman" w:cs="Times New Roman"/>
          <w:bCs/>
          <w:lang w:eastAsia="en-AU"/>
        </w:rPr>
        <w:t>identify the nature of the regulatory posture of Commonwealth and state and territory regulators with respect to small business, including the extent to which facilitative and educative approaches are appropriately combined with compliance based approaches, and the extent to which approaches vary according to the nature and objectives of the regulations;</w:t>
      </w:r>
    </w:p>
    <w:p w:rsidR="00B6445D" w:rsidRDefault="00B6445D" w:rsidP="00B6445D">
      <w:pPr>
        <w:pStyle w:val="Default"/>
        <w:numPr>
          <w:ilvl w:val="1"/>
          <w:numId w:val="32"/>
        </w:numPr>
        <w:tabs>
          <w:tab w:val="left" w:pos="567"/>
        </w:tabs>
        <w:spacing w:after="240"/>
        <w:rPr>
          <w:rFonts w:ascii="Times New Roman" w:hAnsi="Times New Roman" w:cs="Times New Roman"/>
          <w:bCs/>
          <w:lang w:eastAsia="en-AU"/>
        </w:rPr>
      </w:pPr>
      <w:r>
        <w:rPr>
          <w:rFonts w:ascii="Times New Roman" w:hAnsi="Times New Roman" w:cs="Times New Roman"/>
          <w:bCs/>
          <w:lang w:eastAsia="en-AU"/>
        </w:rPr>
        <w:t>In doing so, the Commission should draw where appropriate on examples of the various approaches that are used in shaping regulatory culture (including by incorporating regulatory objectives into legislative instruments).</w:t>
      </w:r>
    </w:p>
    <w:p w:rsidR="00B6445D" w:rsidRDefault="00B6445D" w:rsidP="00B6445D">
      <w:pPr>
        <w:pStyle w:val="Default"/>
        <w:numPr>
          <w:ilvl w:val="0"/>
          <w:numId w:val="32"/>
        </w:numPr>
        <w:tabs>
          <w:tab w:val="left" w:pos="567"/>
        </w:tabs>
        <w:spacing w:after="240"/>
        <w:rPr>
          <w:rFonts w:ascii="Times New Roman" w:hAnsi="Times New Roman" w:cs="Times New Roman"/>
          <w:bCs/>
          <w:lang w:eastAsia="en-AU"/>
        </w:rPr>
      </w:pPr>
      <w:r>
        <w:rPr>
          <w:rFonts w:ascii="Times New Roman" w:hAnsi="Times New Roman" w:cs="Times New Roman"/>
          <w:bCs/>
          <w:lang w:eastAsia="en-AU"/>
        </w:rPr>
        <w:t xml:space="preserve">identify the levels of assistance and education that jurisdictions provide to small business and consider whether this could be better targeted; </w:t>
      </w:r>
    </w:p>
    <w:p w:rsidR="00B6445D" w:rsidRDefault="00B6445D" w:rsidP="00B6445D">
      <w:pPr>
        <w:pStyle w:val="Default"/>
        <w:numPr>
          <w:ilvl w:val="0"/>
          <w:numId w:val="32"/>
        </w:numPr>
        <w:tabs>
          <w:tab w:val="left" w:pos="567"/>
        </w:tabs>
        <w:spacing w:after="240"/>
        <w:rPr>
          <w:rFonts w:ascii="Times New Roman" w:hAnsi="Times New Roman" w:cs="Times New Roman"/>
          <w:bCs/>
          <w:lang w:eastAsia="en-AU"/>
        </w:rPr>
      </w:pPr>
      <w:r>
        <w:rPr>
          <w:rFonts w:ascii="Times New Roman" w:hAnsi="Times New Roman" w:cs="Times New Roman"/>
          <w:bCs/>
          <w:lang w:eastAsia="en-AU"/>
        </w:rPr>
        <w:lastRenderedPageBreak/>
        <w:t xml:space="preserve">identify the extent to which regulators apply a risk based approach to enforcement and compliance, including the mandating of information requirements, in regulating small business; </w:t>
      </w:r>
    </w:p>
    <w:p w:rsidR="00B6445D" w:rsidRDefault="00B6445D" w:rsidP="00B6445D">
      <w:pPr>
        <w:pStyle w:val="Default"/>
        <w:numPr>
          <w:ilvl w:val="0"/>
          <w:numId w:val="32"/>
        </w:numPr>
        <w:tabs>
          <w:tab w:val="left" w:pos="567"/>
        </w:tabs>
        <w:spacing w:after="240"/>
        <w:rPr>
          <w:rFonts w:ascii="Times New Roman" w:hAnsi="Times New Roman" w:cs="Times New Roman"/>
          <w:bCs/>
          <w:lang w:eastAsia="en-AU"/>
        </w:rPr>
      </w:pPr>
      <w:r>
        <w:rPr>
          <w:rFonts w:ascii="Times New Roman" w:hAnsi="Times New Roman" w:cs="Times New Roman"/>
          <w:bCs/>
          <w:lang w:eastAsia="en-AU"/>
        </w:rPr>
        <w:t xml:space="preserve">clarify the extent to which regulators consider the size and nature of a business when undertaking compliance and enforcement and compliance based information-gathering activities; </w:t>
      </w:r>
    </w:p>
    <w:p w:rsidR="00B6445D" w:rsidRDefault="00B6445D" w:rsidP="00B6445D">
      <w:pPr>
        <w:pStyle w:val="Default"/>
        <w:numPr>
          <w:ilvl w:val="0"/>
          <w:numId w:val="32"/>
        </w:numPr>
        <w:tabs>
          <w:tab w:val="left" w:pos="567"/>
        </w:tabs>
        <w:spacing w:after="240"/>
        <w:rPr>
          <w:rFonts w:ascii="Times New Roman" w:hAnsi="Times New Roman" w:cs="Times New Roman"/>
          <w:bCs/>
          <w:lang w:eastAsia="en-AU"/>
        </w:rPr>
      </w:pPr>
      <w:r>
        <w:rPr>
          <w:rFonts w:ascii="Times New Roman" w:hAnsi="Times New Roman" w:cs="Times New Roman"/>
          <w:bCs/>
          <w:lang w:eastAsia="en-AU"/>
        </w:rPr>
        <w:t xml:space="preserve">identify whether particular approaches to the exercise of regulatory roles have the capacity to reduce unnecessary compliance costs incurred by small business, while sustaining good regulatory outcomes, and could therefore be described as best practice; and </w:t>
      </w:r>
    </w:p>
    <w:p w:rsidR="00B6445D" w:rsidRDefault="00B6445D" w:rsidP="00B6445D">
      <w:pPr>
        <w:pStyle w:val="Default"/>
        <w:numPr>
          <w:ilvl w:val="0"/>
          <w:numId w:val="32"/>
        </w:numPr>
        <w:tabs>
          <w:tab w:val="left" w:pos="567"/>
        </w:tabs>
        <w:spacing w:after="240"/>
        <w:rPr>
          <w:rFonts w:ascii="Times New Roman" w:hAnsi="Times New Roman" w:cs="Times New Roman"/>
          <w:bCs/>
          <w:lang w:eastAsia="en-AU"/>
        </w:rPr>
      </w:pPr>
      <w:r>
        <w:rPr>
          <w:rFonts w:ascii="Times New Roman" w:hAnsi="Times New Roman" w:cs="Times New Roman"/>
          <w:bCs/>
          <w:lang w:eastAsia="en-AU"/>
        </w:rPr>
        <w:t>have regard to leading practices in overseas jurisdictions.</w:t>
      </w:r>
    </w:p>
    <w:p w:rsidR="00B6445D" w:rsidRDefault="00B6445D" w:rsidP="00B6445D">
      <w:pPr>
        <w:pStyle w:val="Default"/>
        <w:tabs>
          <w:tab w:val="left" w:pos="567"/>
        </w:tabs>
        <w:spacing w:after="240"/>
        <w:rPr>
          <w:rFonts w:ascii="Times New Roman" w:hAnsi="Times New Roman" w:cs="Times New Roman"/>
          <w:lang w:eastAsia="en-AU"/>
        </w:rPr>
      </w:pPr>
      <w:r>
        <w:rPr>
          <w:rFonts w:ascii="Times New Roman" w:hAnsi="Times New Roman" w:cs="Times New Roman"/>
          <w:lang w:eastAsia="en-AU"/>
        </w:rPr>
        <w:t>In order to undertake this study, the Commission will also need to consider and determine a definition of what constitutes a small business, noting that different regulators and jurisdictions use different definitions.  As a starting point, the Commission may wish to consider whether there would be benefit in broader adoption of the Australian Bureau of Statistics (ABS) definition of a small business to provide for ease of comparison with ABS data.</w:t>
      </w:r>
    </w:p>
    <w:p w:rsidR="00B6445D" w:rsidRDefault="00B6445D" w:rsidP="00B6445D">
      <w:pPr>
        <w:pStyle w:val="Default"/>
        <w:tabs>
          <w:tab w:val="left" w:pos="567"/>
        </w:tabs>
        <w:spacing w:after="240"/>
        <w:rPr>
          <w:rFonts w:ascii="Times New Roman" w:hAnsi="Times New Roman"/>
          <w:lang w:eastAsia="en-AU"/>
        </w:rPr>
      </w:pPr>
      <w:r>
        <w:rPr>
          <w:rFonts w:ascii="Times New Roman" w:hAnsi="Times New Roman" w:cs="Times New Roman"/>
          <w:lang w:eastAsia="en-AU"/>
        </w:rPr>
        <w:t>A report is to be completed within nine months of the receipt of this Terms of Reference.  The Commission is to provide both a draft and final report, and the reports will be published.</w:t>
      </w:r>
    </w:p>
    <w:p w:rsidR="00B6445D" w:rsidRPr="007C3053" w:rsidRDefault="00B6445D" w:rsidP="00B6445D">
      <w:pPr>
        <w:pStyle w:val="Default"/>
        <w:tabs>
          <w:tab w:val="left" w:pos="567"/>
        </w:tabs>
        <w:spacing w:after="240"/>
        <w:rPr>
          <w:rFonts w:ascii="Times New Roman" w:hAnsi="Times New Roman" w:cs="Times New Roman"/>
          <w:lang w:eastAsia="en-AU"/>
        </w:rPr>
      </w:pPr>
      <w:r w:rsidRPr="007C3053">
        <w:rPr>
          <w:rFonts w:ascii="Times New Roman" w:hAnsi="Times New Roman" w:cs="Times New Roman"/>
          <w:lang w:eastAsia="en-AU"/>
        </w:rPr>
        <w:t>DAVID BRADBURY</w:t>
      </w:r>
      <w:r>
        <w:rPr>
          <w:rFonts w:ascii="Times New Roman" w:hAnsi="Times New Roman" w:cs="Times New Roman"/>
          <w:lang w:eastAsia="en-AU"/>
        </w:rPr>
        <w:br/>
      </w:r>
      <w:r w:rsidRPr="007C3053">
        <w:rPr>
          <w:rFonts w:ascii="Times New Roman" w:hAnsi="Times New Roman" w:cs="Times New Roman"/>
          <w:lang w:eastAsia="en-AU"/>
        </w:rPr>
        <w:t>ASSISTANT TREASURER</w:t>
      </w:r>
    </w:p>
    <w:p w:rsidR="00B6445D" w:rsidRDefault="00B6445D" w:rsidP="00B6445D">
      <w:pPr>
        <w:pStyle w:val="Default"/>
        <w:tabs>
          <w:tab w:val="left" w:pos="567"/>
        </w:tabs>
        <w:spacing w:after="240"/>
        <w:rPr>
          <w:rFonts w:ascii="Times New Roman" w:hAnsi="Times New Roman" w:cs="Times New Roman"/>
          <w:lang w:eastAsia="en-AU"/>
        </w:rPr>
      </w:pPr>
      <w:r>
        <w:rPr>
          <w:rFonts w:ascii="Times New Roman" w:hAnsi="Times New Roman" w:cs="Times New Roman"/>
          <w:lang w:eastAsia="en-AU"/>
        </w:rPr>
        <w:t>[received 7 December 2012]</w:t>
      </w:r>
      <w:r>
        <w:rPr>
          <w:rFonts w:ascii="Times New Roman" w:hAnsi="Times New Roman" w:cs="Times New Roman"/>
          <w:lang w:eastAsia="en-AU"/>
        </w:rPr>
        <w:br w:type="page"/>
      </w:r>
    </w:p>
    <w:p w:rsidR="00B6445D" w:rsidRPr="003A639A" w:rsidRDefault="00B6445D" w:rsidP="00B6445D">
      <w:pPr>
        <w:pStyle w:val="Default"/>
        <w:tabs>
          <w:tab w:val="left" w:pos="567"/>
        </w:tabs>
        <w:spacing w:after="480"/>
        <w:rPr>
          <w:rFonts w:ascii="Times New Roman" w:hAnsi="Times New Roman" w:cs="Times New Roman"/>
          <w:b/>
          <w:bCs/>
          <w:lang w:eastAsia="en-AU"/>
        </w:rPr>
      </w:pPr>
      <w:r w:rsidRPr="003A639A">
        <w:rPr>
          <w:rFonts w:ascii="Times New Roman" w:hAnsi="Times New Roman" w:cs="Times New Roman"/>
          <w:b/>
          <w:bCs/>
          <w:lang w:eastAsia="en-AU"/>
        </w:rPr>
        <w:lastRenderedPageBreak/>
        <w:t xml:space="preserve">LETTER OF EXTENSION </w:t>
      </w:r>
    </w:p>
    <w:p w:rsidR="00B6445D" w:rsidRDefault="00B6445D" w:rsidP="00B6445D">
      <w:pPr>
        <w:pStyle w:val="BodyText"/>
        <w:jc w:val="left"/>
      </w:pPr>
      <w:r>
        <w:t>Mr Peter Harris</w:t>
      </w:r>
      <w:r>
        <w:br/>
        <w:t>Chair</w:t>
      </w:r>
      <w:r>
        <w:br/>
        <w:t>Productivity Commission</w:t>
      </w:r>
      <w:r>
        <w:br/>
        <w:t>GPO Box 1428</w:t>
      </w:r>
      <w:r>
        <w:br/>
        <w:t>CANBERRA   ACT   2601</w:t>
      </w:r>
    </w:p>
    <w:p w:rsidR="00B6445D" w:rsidRDefault="00B6445D" w:rsidP="00B6445D">
      <w:pPr>
        <w:pStyle w:val="BodyText"/>
        <w:jc w:val="left"/>
      </w:pPr>
      <w:r>
        <w:t>Dear Mr Harris</w:t>
      </w:r>
    </w:p>
    <w:p w:rsidR="00B6445D" w:rsidRDefault="00B6445D" w:rsidP="00B6445D">
      <w:pPr>
        <w:pStyle w:val="BodyText"/>
        <w:jc w:val="left"/>
      </w:pPr>
      <w:r>
        <w:t xml:space="preserve">Thank you for your letter of 26 March 2013 requesting an extension to the reporting date for the Productivity Commission’s study into </w:t>
      </w:r>
      <w:r w:rsidRPr="007F7C24">
        <w:rPr>
          <w:i/>
        </w:rPr>
        <w:t xml:space="preserve">Regulator Engagement with Small </w:t>
      </w:r>
      <w:r>
        <w:rPr>
          <w:i/>
        </w:rPr>
        <w:t>B</w:t>
      </w:r>
      <w:r w:rsidRPr="007F7C24">
        <w:rPr>
          <w:i/>
        </w:rPr>
        <w:t>usiness</w:t>
      </w:r>
      <w:r>
        <w:t>, from 7 September 2013 to 18 October 2013.</w:t>
      </w:r>
    </w:p>
    <w:p w:rsidR="00B6445D" w:rsidRDefault="00B6445D" w:rsidP="00B6445D">
      <w:pPr>
        <w:pStyle w:val="BodyText"/>
        <w:jc w:val="left"/>
      </w:pPr>
      <w:r>
        <w:t>I approve an extension of the final reporting date to 18 October 2013 and note your advice that this extension will enable the Commission to meet its obligations under the caretaker conventions.</w:t>
      </w:r>
    </w:p>
    <w:p w:rsidR="00B6445D" w:rsidRDefault="00B6445D" w:rsidP="00B6445D">
      <w:pPr>
        <w:pStyle w:val="BodyText"/>
        <w:jc w:val="left"/>
      </w:pPr>
      <w:r>
        <w:t xml:space="preserve">I have copied this letter to the Prime Minister, the Deputy Prime Minister and Treasurer, the Minister for Finance and Deregulation and the Minister for Small Business. </w:t>
      </w:r>
    </w:p>
    <w:p w:rsidR="00B6445D" w:rsidRDefault="00B6445D" w:rsidP="00B6445D">
      <w:pPr>
        <w:pStyle w:val="BodyText"/>
        <w:jc w:val="left"/>
      </w:pPr>
      <w:r>
        <w:t>Yours sincerely</w:t>
      </w:r>
    </w:p>
    <w:p w:rsidR="00B6445D" w:rsidRDefault="00B6445D" w:rsidP="00B6445D">
      <w:pPr>
        <w:pStyle w:val="BodyText"/>
        <w:jc w:val="left"/>
      </w:pPr>
    </w:p>
    <w:p w:rsidR="00B6445D" w:rsidRPr="0027226E" w:rsidRDefault="00B6445D" w:rsidP="00B6445D">
      <w:pPr>
        <w:pStyle w:val="Default"/>
        <w:tabs>
          <w:tab w:val="left" w:pos="567"/>
        </w:tabs>
        <w:spacing w:after="240"/>
        <w:rPr>
          <w:rFonts w:ascii="Times New Roman" w:hAnsi="Times New Roman" w:cs="Times New Roman"/>
          <w:lang w:eastAsia="en-AU"/>
        </w:rPr>
      </w:pPr>
      <w:r w:rsidRPr="0027226E">
        <w:rPr>
          <w:rFonts w:ascii="Times New Roman" w:hAnsi="Times New Roman" w:cs="Times New Roman"/>
          <w:lang w:eastAsia="en-AU"/>
        </w:rPr>
        <w:t>DAVID BRADBURY</w:t>
      </w:r>
      <w:r w:rsidRPr="0027226E">
        <w:rPr>
          <w:rFonts w:ascii="Times New Roman" w:hAnsi="Times New Roman" w:cs="Times New Roman"/>
          <w:lang w:eastAsia="en-AU"/>
        </w:rPr>
        <w:br/>
        <w:t xml:space="preserve">ASSISTANT TREASURER </w:t>
      </w:r>
    </w:p>
    <w:p w:rsidR="00B6445D" w:rsidRDefault="00B6445D" w:rsidP="00B6445D">
      <w:pPr>
        <w:pStyle w:val="BodyText"/>
        <w:jc w:val="left"/>
      </w:pPr>
      <w:r w:rsidRPr="007F7C24">
        <w:t xml:space="preserve">[received </w:t>
      </w:r>
      <w:r>
        <w:t>16</w:t>
      </w:r>
      <w:r w:rsidRPr="007F7C24">
        <w:t xml:space="preserve"> </w:t>
      </w:r>
      <w:r>
        <w:t xml:space="preserve">April </w:t>
      </w:r>
      <w:r w:rsidRPr="007F7C24">
        <w:t>201</w:t>
      </w:r>
      <w:r>
        <w:t>3</w:t>
      </w:r>
      <w:r w:rsidRPr="007F7C24">
        <w:t>]</w:t>
      </w:r>
    </w:p>
    <w:p w:rsidR="00B6445D" w:rsidRDefault="00B6445D" w:rsidP="00B6445D">
      <w:pPr>
        <w:pStyle w:val="Default"/>
        <w:tabs>
          <w:tab w:val="left" w:pos="567"/>
        </w:tabs>
        <w:spacing w:after="240"/>
        <w:rPr>
          <w:rFonts w:ascii="Times New Roman" w:hAnsi="Times New Roman" w:cs="Times New Roman"/>
          <w:lang w:eastAsia="en-AU"/>
        </w:rPr>
      </w:pPr>
    </w:p>
    <w:p w:rsidR="00B6445D" w:rsidRDefault="00B6445D" w:rsidP="006817C9">
      <w:pPr>
        <w:pStyle w:val="BodyText"/>
      </w:pPr>
    </w:p>
    <w:p w:rsidR="00B6445D" w:rsidRDefault="00B6445D" w:rsidP="006817C9">
      <w:pPr>
        <w:pStyle w:val="BodyText"/>
        <w:sectPr w:rsidR="00B6445D" w:rsidSect="006817C9">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1B7F1E" w:rsidRDefault="00735FEA" w:rsidP="008206EE">
      <w:pPr>
        <w:pStyle w:val="Heading1NotTOC"/>
      </w:pPr>
      <w:bookmarkStart w:id="3" w:name="Contents"/>
      <w:bookmarkEnd w:id="3"/>
      <w:r w:rsidRPr="00B153C3">
        <w:lastRenderedPageBreak/>
        <w:t>Contents</w:t>
      </w:r>
      <w:bookmarkStart w:id="4" w:name="InsertContents"/>
      <w:bookmarkEnd w:id="4"/>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B6445D" w:rsidRPr="00BF045B" w:rsidRDefault="00B6445D" w:rsidP="00B6445D">
      <w:pPr>
        <w:pStyle w:val="TOC1"/>
        <w:rPr>
          <w:noProof/>
        </w:rPr>
      </w:pPr>
      <w:r>
        <w:rPr>
          <w:noProof/>
        </w:rPr>
        <w:t>Recommendations</w:t>
      </w:r>
      <w:r>
        <w:rPr>
          <w:noProof/>
        </w:rPr>
        <w:tab/>
        <w:t>20</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Scope of the study</w:t>
      </w:r>
      <w:r>
        <w:rPr>
          <w:noProof/>
        </w:rPr>
        <w:tab/>
        <w:t>27</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study</w:t>
      </w:r>
      <w:r>
        <w:rPr>
          <w:noProof/>
        </w:rPr>
        <w:tab/>
        <w:t>27</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Small business in Australia</w:t>
      </w:r>
      <w:r>
        <w:rPr>
          <w:noProof/>
        </w:rPr>
        <w:tab/>
        <w:t>28</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Regulators and their engagement with business</w:t>
      </w:r>
      <w:r>
        <w:rPr>
          <w:noProof/>
        </w:rPr>
        <w:tab/>
        <w:t>34</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Conduct of the study</w:t>
      </w:r>
      <w:r>
        <w:rPr>
          <w:noProof/>
        </w:rPr>
        <w:tab/>
        <w:t>39</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Influences on regulator posture</w:t>
      </w:r>
      <w:r>
        <w:rPr>
          <w:noProof/>
        </w:rPr>
        <w:tab/>
        <w:t>41</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Introduction</w:t>
      </w:r>
      <w:r>
        <w:rPr>
          <w:noProof/>
        </w:rPr>
        <w:tab/>
        <w:t>42</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Regulation design sets bounds on posture</w:t>
      </w:r>
      <w:r>
        <w:rPr>
          <w:noProof/>
        </w:rPr>
        <w:tab/>
        <w:t>43</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Regulators’ institutional environment</w:t>
      </w:r>
      <w:r>
        <w:rPr>
          <w:noProof/>
        </w:rPr>
        <w:tab/>
        <w:t>49</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Ongoing influences on regulator posture</w:t>
      </w:r>
      <w:r>
        <w:rPr>
          <w:noProof/>
        </w:rPr>
        <w:tab/>
        <w:t>60</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Conclusion</w:t>
      </w:r>
      <w:r>
        <w:rPr>
          <w:noProof/>
        </w:rPr>
        <w:tab/>
        <w:t>66</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Is a different approach needed for regulating small business?</w:t>
      </w:r>
      <w:r>
        <w:rPr>
          <w:noProof/>
        </w:rPr>
        <w:tab/>
        <w:t>67</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Introduction</w:t>
      </w:r>
      <w:r>
        <w:rPr>
          <w:noProof/>
        </w:rPr>
        <w:tab/>
        <w:t>68</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sidRPr="00683FEC">
        <w:rPr>
          <w:noProof/>
          <w:spacing w:val="-2"/>
        </w:rPr>
        <w:t>Compliance is a challenge for small businesses</w:t>
      </w:r>
      <w:r>
        <w:rPr>
          <w:noProof/>
        </w:rPr>
        <w:tab/>
        <w:t>68</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Strategies to contain regulatory compliance costs</w:t>
      </w:r>
      <w:r>
        <w:rPr>
          <w:noProof/>
        </w:rPr>
        <w:tab/>
        <w:t>78</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When is different regulatory treatment appropriate?</w:t>
      </w:r>
      <w:r>
        <w:rPr>
          <w:noProof/>
        </w:rPr>
        <w:tab/>
        <w:t>89</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Does a risk based approach result in the efficient treatment of small businesses?</w:t>
      </w:r>
      <w:r>
        <w:rPr>
          <w:noProof/>
        </w:rPr>
        <w:tab/>
        <w:t>95</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Conclusion</w:t>
      </w:r>
      <w:r>
        <w:rPr>
          <w:noProof/>
        </w:rPr>
        <w:tab/>
        <w:t>102</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Compliance and enforcement strategies</w:t>
      </w:r>
      <w:r>
        <w:rPr>
          <w:noProof/>
        </w:rPr>
        <w:tab/>
        <w:t>103</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Introduction</w:t>
      </w:r>
      <w:r>
        <w:rPr>
          <w:noProof/>
        </w:rPr>
        <w:tab/>
        <w:t>104</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lastRenderedPageBreak/>
        <w:t>4.2</w:t>
      </w:r>
      <w:r>
        <w:rPr>
          <w:rFonts w:asciiTheme="minorHAnsi" w:eastAsiaTheme="minorEastAsia" w:hAnsiTheme="minorHAnsi" w:cstheme="minorBidi"/>
          <w:noProof/>
          <w:sz w:val="22"/>
          <w:szCs w:val="22"/>
          <w:lang w:eastAsia="en-AU"/>
        </w:rPr>
        <w:tab/>
      </w:r>
      <w:r>
        <w:rPr>
          <w:noProof/>
        </w:rPr>
        <w:t>Compliance and enforcement approaches that are commensurate with risks</w:t>
      </w:r>
      <w:r>
        <w:rPr>
          <w:noProof/>
        </w:rPr>
        <w:tab/>
        <w:t>105</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Ensuring requirements on business are the minimum necessary</w:t>
      </w:r>
      <w:r>
        <w:rPr>
          <w:noProof/>
        </w:rPr>
        <w:tab/>
        <w:t>108</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Ensuring enforcement responses are effective and proportionate</w:t>
      </w:r>
      <w:r>
        <w:rPr>
          <w:noProof/>
        </w:rPr>
        <w:tab/>
        <w:t>125</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Improving the quality of processes and decision making</w:t>
      </w:r>
      <w:r>
        <w:rPr>
          <w:noProof/>
        </w:rPr>
        <w:tab/>
        <w:t>131</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Conclusion</w:t>
      </w:r>
      <w:r>
        <w:rPr>
          <w:noProof/>
        </w:rPr>
        <w:tab/>
        <w:t>138</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Communication, information and consultation strategies</w:t>
      </w:r>
      <w:r>
        <w:rPr>
          <w:noProof/>
        </w:rPr>
        <w:tab/>
        <w:t>141</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Introduction</w:t>
      </w:r>
      <w:r>
        <w:rPr>
          <w:noProof/>
        </w:rPr>
        <w:tab/>
        <w:t>142</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Achieving better communication</w:t>
      </w:r>
      <w:r>
        <w:rPr>
          <w:noProof/>
        </w:rPr>
        <w:tab/>
        <w:t>143</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Streamlining reporting requirements</w:t>
      </w:r>
      <w:r>
        <w:rPr>
          <w:noProof/>
        </w:rPr>
        <w:tab/>
        <w:t>161</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Promoting regulator coordination and information sharing</w:t>
      </w:r>
      <w:r>
        <w:rPr>
          <w:noProof/>
        </w:rPr>
        <w:tab/>
        <w:t>166</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Strengthening consultation and feedback</w:t>
      </w:r>
      <w:r>
        <w:rPr>
          <w:noProof/>
        </w:rPr>
        <w:tab/>
        <w:t>171</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Better handling of complaints and appeals</w:t>
      </w:r>
      <w:r>
        <w:rPr>
          <w:noProof/>
        </w:rPr>
        <w:tab/>
        <w:t>178</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Conclusion</w:t>
      </w:r>
      <w:r>
        <w:rPr>
          <w:noProof/>
        </w:rPr>
        <w:tab/>
        <w:t>183</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Driving better regulator performance</w:t>
      </w:r>
      <w:r>
        <w:rPr>
          <w:noProof/>
        </w:rPr>
        <w:tab/>
        <w:t>185</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Introduction</w:t>
      </w:r>
      <w:r>
        <w:rPr>
          <w:noProof/>
        </w:rPr>
        <w:tab/>
        <w:t>186</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Regulator capacities</w:t>
      </w:r>
      <w:r>
        <w:rPr>
          <w:noProof/>
        </w:rPr>
        <w:tab/>
        <w:t>187</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Transparency and accountability</w:t>
      </w:r>
      <w:r>
        <w:rPr>
          <w:noProof/>
        </w:rPr>
        <w:tab/>
        <w:t>196</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Evaluation, review and performance monitoring</w:t>
      </w:r>
      <w:r>
        <w:rPr>
          <w:noProof/>
        </w:rPr>
        <w:tab/>
        <w:t>199</w:t>
      </w:r>
    </w:p>
    <w:p w:rsidR="00B6445D" w:rsidRDefault="00B6445D" w:rsidP="00B6445D">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Conclusion</w:t>
      </w:r>
      <w:r>
        <w:rPr>
          <w:noProof/>
        </w:rPr>
        <w:tab/>
        <w:t>220</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Study participants</w:t>
      </w:r>
      <w:r>
        <w:rPr>
          <w:noProof/>
        </w:rPr>
        <w:tab/>
        <w:t>225</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Survey of regulators</w:t>
      </w:r>
      <w:r>
        <w:rPr>
          <w:noProof/>
        </w:rPr>
        <w:tab/>
        <w:t>233</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Definitions of small business</w:t>
      </w:r>
      <w:r>
        <w:rPr>
          <w:noProof/>
        </w:rPr>
        <w:tab/>
        <w:t>265</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Risk based delivery of regulation</w:t>
      </w:r>
      <w:r>
        <w:rPr>
          <w:noProof/>
        </w:rPr>
        <w:tab/>
        <w:t>271</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Cumulative burden on small business</w:t>
      </w:r>
      <w:r>
        <w:rPr>
          <w:noProof/>
        </w:rPr>
        <w:tab/>
        <w:t>293</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Enforcement tools</w:t>
      </w:r>
      <w:r>
        <w:rPr>
          <w:noProof/>
        </w:rPr>
        <w:tab/>
        <w:t>303</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Communication modes</w:t>
      </w:r>
      <w:r>
        <w:rPr>
          <w:noProof/>
        </w:rPr>
        <w:tab/>
        <w:t>315</w:t>
      </w:r>
    </w:p>
    <w:p w:rsidR="00B6445D" w:rsidRDefault="00B6445D" w:rsidP="00B6445D">
      <w:pPr>
        <w:pStyle w:val="TOC1"/>
        <w:rPr>
          <w:rFonts w:asciiTheme="minorHAnsi" w:eastAsiaTheme="minorEastAsia" w:hAnsiTheme="minorHAnsi" w:cstheme="minorBidi"/>
          <w:b w:val="0"/>
          <w:noProof/>
          <w:sz w:val="22"/>
          <w:szCs w:val="22"/>
          <w:lang w:eastAsia="en-AU"/>
        </w:rPr>
      </w:pPr>
      <w:r>
        <w:rPr>
          <w:noProof/>
        </w:rPr>
        <w:t>References</w:t>
      </w:r>
      <w:r>
        <w:rPr>
          <w:noProof/>
        </w:rPr>
        <w:tab/>
        <w:t>325</w:t>
      </w:r>
    </w:p>
    <w:p w:rsidR="000F2F5F" w:rsidRDefault="000F2F5F" w:rsidP="00B6445D">
      <w:pPr>
        <w:pStyle w:val="Heading1"/>
      </w:pPr>
      <w:bookmarkStart w:id="5" w:name="Abbreviations"/>
      <w:bookmarkStart w:id="6" w:name="EndContents"/>
      <w:bookmarkStart w:id="7" w:name="RDnote"/>
      <w:bookmarkStart w:id="8" w:name="Glossary"/>
      <w:bookmarkEnd w:id="5"/>
      <w:bookmarkEnd w:id="6"/>
      <w:bookmarkEnd w:id="7"/>
      <w:bookmarkEnd w:id="8"/>
    </w:p>
    <w:sectPr w:rsidR="000F2F5F" w:rsidSect="00F72CDF">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start="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45D" w:rsidRDefault="00B6445D">
      <w:r>
        <w:separator/>
      </w:r>
    </w:p>
    <w:p w:rsidR="00B6445D" w:rsidRDefault="00B6445D"/>
    <w:p w:rsidR="00B6445D" w:rsidRDefault="00B6445D"/>
  </w:endnote>
  <w:endnote w:type="continuationSeparator" w:id="0">
    <w:p w:rsidR="00B6445D" w:rsidRDefault="00B6445D">
      <w:r>
        <w:continuationSeparator/>
      </w:r>
    </w:p>
    <w:p w:rsidR="00B6445D" w:rsidRDefault="00B6445D"/>
    <w:p w:rsidR="00B6445D" w:rsidRDefault="00B64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Myriad Pro">
    <w:altName w:val="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B6445D">
      <w:trPr>
        <w:trHeight w:hRule="exact" w:val="740"/>
      </w:trPr>
      <w:tc>
        <w:tcPr>
          <w:tcW w:w="510" w:type="dxa"/>
          <w:tcBorders>
            <w:top w:val="single" w:sz="6" w:space="0" w:color="auto"/>
          </w:tcBorders>
        </w:tcPr>
        <w:p w:rsidR="00B6445D" w:rsidRPr="008A654B" w:rsidRDefault="00B6445D">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Pr>
              <w:rStyle w:val="PageNumber"/>
              <w:caps w:val="0"/>
              <w:noProof/>
            </w:rPr>
            <w:t>iv</w:t>
          </w:r>
          <w:r w:rsidRPr="008A654B">
            <w:rPr>
              <w:rStyle w:val="PageNumber"/>
              <w:caps w:val="0"/>
            </w:rPr>
            <w:fldChar w:fldCharType="end"/>
          </w:r>
        </w:p>
      </w:tc>
      <w:tc>
        <w:tcPr>
          <w:tcW w:w="1830" w:type="dxa"/>
          <w:tcBorders>
            <w:top w:val="single" w:sz="6" w:space="0" w:color="auto"/>
          </w:tcBorders>
        </w:tcPr>
        <w:p w:rsidR="00B6445D" w:rsidRDefault="00DC2294">
          <w:pPr>
            <w:pStyle w:val="Footer"/>
          </w:pPr>
          <w:fldSimple w:instr=" STYLEREF &quot;Heading 1&quot; \* MERGEFORMAT ">
            <w:r w:rsidR="00F72CDF">
              <w:rPr>
                <w:noProof/>
              </w:rPr>
              <w:t>Foreword</w:t>
            </w:r>
          </w:fldSimple>
        </w:p>
      </w:tc>
      <w:tc>
        <w:tcPr>
          <w:tcW w:w="6448" w:type="dxa"/>
        </w:tcPr>
        <w:p w:rsidR="00B6445D" w:rsidRDefault="00B6445D">
          <w:pPr>
            <w:pStyle w:val="Footer"/>
          </w:pPr>
        </w:p>
      </w:tc>
    </w:tr>
  </w:tbl>
  <w:p w:rsidR="00B6445D" w:rsidRDefault="00B6445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B6445D">
      <w:trPr>
        <w:trHeight w:hRule="exact" w:val="740"/>
      </w:trPr>
      <w:tc>
        <w:tcPr>
          <w:tcW w:w="6480" w:type="dxa"/>
        </w:tcPr>
        <w:p w:rsidR="00B6445D" w:rsidRDefault="00B6445D">
          <w:pPr>
            <w:pStyle w:val="Footer"/>
          </w:pPr>
        </w:p>
      </w:tc>
      <w:tc>
        <w:tcPr>
          <w:tcW w:w="1798" w:type="dxa"/>
          <w:tcBorders>
            <w:top w:val="single" w:sz="6" w:space="0" w:color="auto"/>
          </w:tcBorders>
        </w:tcPr>
        <w:p w:rsidR="00B6445D" w:rsidRDefault="00DC2294">
          <w:pPr>
            <w:pStyle w:val="Footer"/>
            <w:rPr>
              <w:rStyle w:val="PageNumber"/>
              <w:b w:val="0"/>
            </w:rPr>
          </w:pPr>
          <w:fldSimple w:instr=" STYLEREF &quot;Heading 1&quot; \* MERGEFORMAT ">
            <w:r w:rsidR="00561DCE">
              <w:rPr>
                <w:noProof/>
              </w:rPr>
              <w:t>Foreword</w:t>
            </w:r>
          </w:fldSimple>
        </w:p>
      </w:tc>
      <w:tc>
        <w:tcPr>
          <w:tcW w:w="510" w:type="dxa"/>
          <w:tcBorders>
            <w:top w:val="single" w:sz="6" w:space="0" w:color="auto"/>
          </w:tcBorders>
        </w:tcPr>
        <w:p w:rsidR="00B6445D" w:rsidRPr="00B4787B" w:rsidRDefault="00B6445D"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561DCE">
            <w:rPr>
              <w:rStyle w:val="PageNumber"/>
              <w:smallCaps w:val="0"/>
              <w:noProof/>
            </w:rPr>
            <w:t>iii</w:t>
          </w:r>
          <w:r w:rsidRPr="00B4787B">
            <w:rPr>
              <w:rStyle w:val="PageNumber"/>
              <w:smallCaps w:val="0"/>
            </w:rPr>
            <w:fldChar w:fldCharType="end"/>
          </w:r>
        </w:p>
      </w:tc>
    </w:tr>
  </w:tbl>
  <w:p w:rsidR="00B6445D" w:rsidRDefault="00B6445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6445D">
      <w:trPr>
        <w:trHeight w:hRule="exact" w:val="740"/>
      </w:trPr>
      <w:tc>
        <w:tcPr>
          <w:tcW w:w="510" w:type="dxa"/>
          <w:tcBorders>
            <w:top w:val="single" w:sz="6" w:space="0" w:color="auto"/>
          </w:tcBorders>
        </w:tcPr>
        <w:p w:rsidR="00B6445D" w:rsidRPr="008206EE" w:rsidRDefault="00B6445D">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561DCE">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B6445D" w:rsidRPr="00603344" w:rsidRDefault="00DC2294" w:rsidP="006817C9">
          <w:pPr>
            <w:pStyle w:val="Footer"/>
          </w:pPr>
          <w:fldSimple w:instr=" STYLEREF &quot;Heading 1&quot; \* MERGEFORMAT ">
            <w:r w:rsidR="00561DCE" w:rsidRPr="00561DCE">
              <w:rPr>
                <w:bCs/>
                <w:noProof/>
                <w:lang w:val="en-US"/>
              </w:rPr>
              <w:t>Foreword</w:t>
            </w:r>
          </w:fldSimple>
        </w:p>
      </w:tc>
      <w:tc>
        <w:tcPr>
          <w:tcW w:w="6634" w:type="dxa"/>
        </w:tcPr>
        <w:p w:rsidR="00B6445D" w:rsidRPr="00603344" w:rsidRDefault="00B6445D">
          <w:pPr>
            <w:pStyle w:val="Footer"/>
            <w:rPr>
              <w:caps w:val="0"/>
            </w:rPr>
          </w:pPr>
        </w:p>
      </w:tc>
    </w:tr>
  </w:tbl>
  <w:p w:rsidR="00B6445D" w:rsidRDefault="00B6445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6445D" w:rsidTr="006817C9">
      <w:trPr>
        <w:trHeight w:hRule="exact" w:val="740"/>
      </w:trPr>
      <w:tc>
        <w:tcPr>
          <w:tcW w:w="6634" w:type="dxa"/>
        </w:tcPr>
        <w:p w:rsidR="00B6445D" w:rsidRPr="00B3203C" w:rsidRDefault="00B6445D">
          <w:pPr>
            <w:pStyle w:val="Footer"/>
          </w:pPr>
        </w:p>
      </w:tc>
      <w:tc>
        <w:tcPr>
          <w:tcW w:w="1644" w:type="dxa"/>
          <w:tcBorders>
            <w:top w:val="single" w:sz="6" w:space="0" w:color="auto"/>
          </w:tcBorders>
        </w:tcPr>
        <w:p w:rsidR="00B6445D" w:rsidRPr="00B3203C" w:rsidRDefault="00B6445D"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561DCE" w:rsidRPr="00561DCE">
            <w:rPr>
              <w:bCs/>
              <w:noProof/>
              <w:lang w:val="en-US"/>
            </w:rPr>
            <w:t>Terms</w:t>
          </w:r>
          <w:r w:rsidR="00561DCE">
            <w:rPr>
              <w:noProof/>
            </w:rPr>
            <w:t xml:space="preserve"> of reference</w:t>
          </w:r>
          <w:r w:rsidRPr="00B3203C">
            <w:rPr>
              <w:noProof/>
            </w:rPr>
            <w:fldChar w:fldCharType="end"/>
          </w:r>
        </w:p>
      </w:tc>
      <w:tc>
        <w:tcPr>
          <w:tcW w:w="510" w:type="dxa"/>
          <w:tcBorders>
            <w:top w:val="single" w:sz="6" w:space="0" w:color="auto"/>
          </w:tcBorders>
        </w:tcPr>
        <w:p w:rsidR="00B6445D" w:rsidRPr="00C55A45" w:rsidRDefault="00B6445D">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61DCE">
            <w:rPr>
              <w:rStyle w:val="PageNumber"/>
              <w:caps w:val="0"/>
              <w:noProof/>
            </w:rPr>
            <w:t>vii</w:t>
          </w:r>
          <w:r w:rsidRPr="00C55A45">
            <w:rPr>
              <w:rStyle w:val="PageNumber"/>
              <w:caps w:val="0"/>
              <w:noProof/>
            </w:rPr>
            <w:fldChar w:fldCharType="end"/>
          </w:r>
        </w:p>
      </w:tc>
    </w:tr>
  </w:tbl>
  <w:p w:rsidR="00B6445D" w:rsidRDefault="00B6445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61DCE">
            <w:rPr>
              <w:rStyle w:val="PageNumber"/>
              <w:caps w:val="0"/>
              <w:noProof/>
            </w:rPr>
            <w:t>x</w:t>
          </w:r>
          <w:r w:rsidRPr="00C55A45">
            <w:rPr>
              <w:rStyle w:val="PageNumber"/>
              <w:caps w:val="0"/>
              <w:noProof/>
            </w:rPr>
            <w:fldChar w:fldCharType="end"/>
          </w:r>
        </w:p>
      </w:tc>
      <w:tc>
        <w:tcPr>
          <w:tcW w:w="1758" w:type="dxa"/>
          <w:tcBorders>
            <w:top w:val="single" w:sz="6" w:space="0" w:color="auto"/>
          </w:tcBorders>
        </w:tcPr>
        <w:p w:rsidR="00D37AC2" w:rsidRDefault="00F72CDF" w:rsidP="00F72CDF">
          <w:pPr>
            <w:pStyle w:val="Footer"/>
            <w:rPr>
              <w:noProof/>
            </w:rPr>
          </w:pPr>
          <w:r>
            <w:rPr>
              <w:noProof/>
            </w:rPr>
            <w:t xml:space="preserve">CONTENTS </w:t>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F72CDF" w:rsidP="00F72CDF">
          <w:pPr>
            <w:pStyle w:val="Footer"/>
            <w:rPr>
              <w:rStyle w:val="PageNumber"/>
              <w:b w:val="0"/>
            </w:rPr>
          </w:pPr>
          <w:r>
            <w:t>CONTENTS</w:t>
          </w:r>
          <w:r>
            <w:rPr>
              <w:rStyle w:val="PageNumber"/>
              <w:b w:val="0"/>
            </w:rPr>
            <w:t xml:space="preserve"> </w:t>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561DCE">
            <w:rPr>
              <w:rStyle w:val="PageNumber"/>
              <w:caps w:val="0"/>
              <w:noProof/>
            </w:rPr>
            <w:t>ix</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45D" w:rsidRDefault="00B6445D">
      <w:r>
        <w:separator/>
      </w:r>
    </w:p>
    <w:p w:rsidR="00B6445D" w:rsidRDefault="00B6445D"/>
    <w:p w:rsidR="00B6445D" w:rsidRDefault="00B6445D"/>
  </w:footnote>
  <w:footnote w:type="continuationSeparator" w:id="0">
    <w:p w:rsidR="00B6445D" w:rsidRDefault="00B6445D">
      <w:r>
        <w:continuationSeparator/>
      </w:r>
    </w:p>
    <w:p w:rsidR="00B6445D" w:rsidRDefault="00B6445D"/>
    <w:p w:rsidR="00B6445D" w:rsidRDefault="00B644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6445D">
      <w:tc>
        <w:tcPr>
          <w:tcW w:w="2155" w:type="dxa"/>
          <w:tcBorders>
            <w:top w:val="single" w:sz="24" w:space="0" w:color="auto"/>
          </w:tcBorders>
        </w:tcPr>
        <w:p w:rsidR="00B6445D" w:rsidRDefault="00B6445D">
          <w:pPr>
            <w:pStyle w:val="HeaderEven"/>
          </w:pPr>
        </w:p>
      </w:tc>
      <w:tc>
        <w:tcPr>
          <w:tcW w:w="6634" w:type="dxa"/>
          <w:tcBorders>
            <w:top w:val="single" w:sz="6" w:space="0" w:color="auto"/>
          </w:tcBorders>
        </w:tcPr>
        <w:p w:rsidR="00B6445D" w:rsidRDefault="00B6445D">
          <w:pPr>
            <w:pStyle w:val="HeaderEven"/>
          </w:pPr>
        </w:p>
      </w:tc>
    </w:tr>
  </w:tbl>
  <w:p w:rsidR="00B6445D" w:rsidRDefault="00B6445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6445D">
      <w:tc>
        <w:tcPr>
          <w:tcW w:w="6634" w:type="dxa"/>
          <w:tcBorders>
            <w:top w:val="single" w:sz="6" w:space="0" w:color="auto"/>
          </w:tcBorders>
        </w:tcPr>
        <w:p w:rsidR="00B6445D" w:rsidRDefault="00B6445D">
          <w:pPr>
            <w:pStyle w:val="HeaderOdd"/>
          </w:pPr>
        </w:p>
      </w:tc>
      <w:tc>
        <w:tcPr>
          <w:tcW w:w="2155" w:type="dxa"/>
          <w:tcBorders>
            <w:top w:val="single" w:sz="24" w:space="0" w:color="auto"/>
          </w:tcBorders>
        </w:tcPr>
        <w:p w:rsidR="00B6445D" w:rsidRDefault="00B6445D">
          <w:pPr>
            <w:pStyle w:val="HeaderOdd"/>
          </w:pPr>
        </w:p>
      </w:tc>
    </w:tr>
  </w:tbl>
  <w:p w:rsidR="00B6445D" w:rsidRDefault="00B6445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6445D">
      <w:tc>
        <w:tcPr>
          <w:tcW w:w="2155" w:type="dxa"/>
          <w:tcBorders>
            <w:top w:val="single" w:sz="24" w:space="0" w:color="auto"/>
          </w:tcBorders>
        </w:tcPr>
        <w:p w:rsidR="00B6445D" w:rsidRDefault="00B6445D">
          <w:pPr>
            <w:pStyle w:val="Header"/>
          </w:pPr>
        </w:p>
      </w:tc>
      <w:tc>
        <w:tcPr>
          <w:tcW w:w="6634" w:type="dxa"/>
          <w:tcBorders>
            <w:top w:val="single" w:sz="6" w:space="0" w:color="auto"/>
          </w:tcBorders>
        </w:tcPr>
        <w:p w:rsidR="00B6445D" w:rsidRDefault="00B6445D">
          <w:pPr>
            <w:pStyle w:val="Header"/>
          </w:pPr>
        </w:p>
      </w:tc>
    </w:tr>
  </w:tbl>
  <w:p w:rsidR="00B6445D" w:rsidRDefault="00B6445D">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6445D" w:rsidTr="006817C9">
      <w:tc>
        <w:tcPr>
          <w:tcW w:w="6634" w:type="dxa"/>
          <w:tcBorders>
            <w:top w:val="single" w:sz="6" w:space="0" w:color="auto"/>
          </w:tcBorders>
        </w:tcPr>
        <w:p w:rsidR="00B6445D" w:rsidRDefault="00B6445D" w:rsidP="006817C9">
          <w:pPr>
            <w:pStyle w:val="HeaderOdd"/>
          </w:pPr>
        </w:p>
      </w:tc>
      <w:tc>
        <w:tcPr>
          <w:tcW w:w="2155" w:type="dxa"/>
          <w:tcBorders>
            <w:top w:val="single" w:sz="24" w:space="0" w:color="auto"/>
          </w:tcBorders>
        </w:tcPr>
        <w:p w:rsidR="00B6445D" w:rsidRDefault="00B6445D" w:rsidP="006817C9">
          <w:pPr>
            <w:pStyle w:val="HeaderOdd"/>
          </w:pPr>
        </w:p>
      </w:tc>
    </w:tr>
  </w:tbl>
  <w:p w:rsidR="00B6445D" w:rsidRPr="005C68FE" w:rsidRDefault="00B6445D" w:rsidP="006817C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478D355A"/>
    <w:multiLevelType w:val="hybridMultilevel"/>
    <w:tmpl w:val="132244D8"/>
    <w:lvl w:ilvl="0" w:tplc="0C090001">
      <w:start w:val="1"/>
      <w:numFmt w:val="bullet"/>
      <w:lvlText w:val=""/>
      <w:lvlJc w:val="left"/>
      <w:pPr>
        <w:ind w:left="837" w:hanging="360"/>
      </w:pPr>
      <w:rPr>
        <w:rFonts w:ascii="Symbol" w:hAnsi="Symbol" w:hint="default"/>
      </w:rPr>
    </w:lvl>
    <w:lvl w:ilvl="1" w:tplc="0C090003">
      <w:start w:val="1"/>
      <w:numFmt w:val="bullet"/>
      <w:lvlText w:val="o"/>
      <w:lvlJc w:val="left"/>
      <w:pPr>
        <w:ind w:left="1557" w:hanging="360"/>
      </w:pPr>
      <w:rPr>
        <w:rFonts w:ascii="Courier New" w:hAnsi="Courier New" w:cs="Courier New" w:hint="default"/>
      </w:rPr>
    </w:lvl>
    <w:lvl w:ilvl="2" w:tplc="0C090005">
      <w:start w:val="1"/>
      <w:numFmt w:val="bullet"/>
      <w:lvlText w:val=""/>
      <w:lvlJc w:val="left"/>
      <w:pPr>
        <w:ind w:left="2277" w:hanging="360"/>
      </w:pPr>
      <w:rPr>
        <w:rFonts w:ascii="Wingdings" w:hAnsi="Wingdings" w:hint="default"/>
      </w:rPr>
    </w:lvl>
    <w:lvl w:ilvl="3" w:tplc="0C090001">
      <w:start w:val="1"/>
      <w:numFmt w:val="bullet"/>
      <w:lvlText w:val=""/>
      <w:lvlJc w:val="left"/>
      <w:pPr>
        <w:ind w:left="2997" w:hanging="360"/>
      </w:pPr>
      <w:rPr>
        <w:rFonts w:ascii="Symbol" w:hAnsi="Symbol" w:hint="default"/>
      </w:rPr>
    </w:lvl>
    <w:lvl w:ilvl="4" w:tplc="0C090003">
      <w:start w:val="1"/>
      <w:numFmt w:val="bullet"/>
      <w:lvlText w:val="o"/>
      <w:lvlJc w:val="left"/>
      <w:pPr>
        <w:ind w:left="3717" w:hanging="360"/>
      </w:pPr>
      <w:rPr>
        <w:rFonts w:ascii="Courier New" w:hAnsi="Courier New" w:cs="Courier New" w:hint="default"/>
      </w:rPr>
    </w:lvl>
    <w:lvl w:ilvl="5" w:tplc="0C090005">
      <w:start w:val="1"/>
      <w:numFmt w:val="bullet"/>
      <w:lvlText w:val=""/>
      <w:lvlJc w:val="left"/>
      <w:pPr>
        <w:ind w:left="4437" w:hanging="360"/>
      </w:pPr>
      <w:rPr>
        <w:rFonts w:ascii="Wingdings" w:hAnsi="Wingdings" w:hint="default"/>
      </w:rPr>
    </w:lvl>
    <w:lvl w:ilvl="6" w:tplc="0C090001">
      <w:start w:val="1"/>
      <w:numFmt w:val="bullet"/>
      <w:lvlText w:val=""/>
      <w:lvlJc w:val="left"/>
      <w:pPr>
        <w:ind w:left="5157" w:hanging="360"/>
      </w:pPr>
      <w:rPr>
        <w:rFonts w:ascii="Symbol" w:hAnsi="Symbol" w:hint="default"/>
      </w:rPr>
    </w:lvl>
    <w:lvl w:ilvl="7" w:tplc="0C090003">
      <w:start w:val="1"/>
      <w:numFmt w:val="bullet"/>
      <w:lvlText w:val="o"/>
      <w:lvlJc w:val="left"/>
      <w:pPr>
        <w:ind w:left="5877" w:hanging="360"/>
      </w:pPr>
      <w:rPr>
        <w:rFonts w:ascii="Courier New" w:hAnsi="Courier New" w:cs="Courier New" w:hint="default"/>
      </w:rPr>
    </w:lvl>
    <w:lvl w:ilvl="8" w:tplc="0C090005">
      <w:start w:val="1"/>
      <w:numFmt w:val="bullet"/>
      <w:lvlText w:val=""/>
      <w:lvlJc w:val="left"/>
      <w:pPr>
        <w:ind w:left="6597" w:hanging="360"/>
      </w:pPr>
      <w:rPr>
        <w:rFonts w:ascii="Wingdings" w:hAnsi="Wingdings" w:hint="default"/>
      </w:rPr>
    </w:lvl>
  </w:abstractNum>
  <w:abstractNum w:abstractNumId="17">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8">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9">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0">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1">
    <w:nsid w:val="6B740744"/>
    <w:multiLevelType w:val="singleLevel"/>
    <w:tmpl w:val="B4744B66"/>
    <w:lvl w:ilvl="0">
      <w:start w:val="1"/>
      <w:numFmt w:val="decimal"/>
      <w:lvlText w:val="%1."/>
      <w:legacy w:legacy="1" w:legacySpace="0" w:legacyIndent="340"/>
      <w:lvlJc w:val="left"/>
      <w:pPr>
        <w:ind w:left="340" w:hanging="340"/>
      </w:pPr>
    </w:lvl>
  </w:abstractNum>
  <w:abstractNum w:abstractNumId="22">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3">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15"/>
  </w:num>
  <w:num w:numId="14">
    <w:abstractNumId w:val="8"/>
  </w:num>
  <w:num w:numId="15">
    <w:abstractNumId w:val="22"/>
  </w:num>
  <w:num w:numId="16">
    <w:abstractNumId w:val="17"/>
  </w:num>
  <w:num w:numId="17">
    <w:abstractNumId w:val="7"/>
  </w:num>
  <w:num w:numId="18">
    <w:abstractNumId w:val="20"/>
  </w:num>
  <w:num w:numId="19">
    <w:abstractNumId w:val="19"/>
  </w:num>
  <w:num w:numId="20">
    <w:abstractNumId w:val="23"/>
  </w:num>
  <w:num w:numId="21">
    <w:abstractNumId w:val="13"/>
  </w:num>
  <w:num w:numId="22">
    <w:abstractNumId w:val="11"/>
  </w:num>
  <w:num w:numId="23">
    <w:abstractNumId w:val="18"/>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7"/>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45D"/>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B41E0"/>
    <w:rsid w:val="003D624D"/>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1DCE"/>
    <w:rsid w:val="005654D0"/>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C305F"/>
    <w:rsid w:val="008C3AD2"/>
    <w:rsid w:val="008C7C3D"/>
    <w:rsid w:val="008D0873"/>
    <w:rsid w:val="008D6F66"/>
    <w:rsid w:val="008E1BEA"/>
    <w:rsid w:val="008E43D2"/>
    <w:rsid w:val="008F04C9"/>
    <w:rsid w:val="008F7C50"/>
    <w:rsid w:val="008F7DB7"/>
    <w:rsid w:val="009064D3"/>
    <w:rsid w:val="00915300"/>
    <w:rsid w:val="00933B0C"/>
    <w:rsid w:val="00935676"/>
    <w:rsid w:val="0098401D"/>
    <w:rsid w:val="009A789F"/>
    <w:rsid w:val="009B12EF"/>
    <w:rsid w:val="009B6185"/>
    <w:rsid w:val="009E1E78"/>
    <w:rsid w:val="00A1597D"/>
    <w:rsid w:val="00A46989"/>
    <w:rsid w:val="00A71CE9"/>
    <w:rsid w:val="00A72A19"/>
    <w:rsid w:val="00A75A30"/>
    <w:rsid w:val="00A93C82"/>
    <w:rsid w:val="00AB2A48"/>
    <w:rsid w:val="00AC3236"/>
    <w:rsid w:val="00AD4874"/>
    <w:rsid w:val="00AE1F8A"/>
    <w:rsid w:val="00B036B2"/>
    <w:rsid w:val="00B04D19"/>
    <w:rsid w:val="00B153C3"/>
    <w:rsid w:val="00B22087"/>
    <w:rsid w:val="00B6445D"/>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C02E8"/>
    <w:rsid w:val="00DC2294"/>
    <w:rsid w:val="00DC75C7"/>
    <w:rsid w:val="00DC78D3"/>
    <w:rsid w:val="00DF4592"/>
    <w:rsid w:val="00E15FDC"/>
    <w:rsid w:val="00E2651B"/>
    <w:rsid w:val="00E6632E"/>
    <w:rsid w:val="00E90CF2"/>
    <w:rsid w:val="00EB7FFE"/>
    <w:rsid w:val="00ED0F61"/>
    <w:rsid w:val="00EE73E1"/>
    <w:rsid w:val="00F12107"/>
    <w:rsid w:val="00F13165"/>
    <w:rsid w:val="00F4234E"/>
    <w:rsid w:val="00F72CDF"/>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B644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B6445D"/>
    <w:rPr>
      <w:caps/>
      <w:spacing w:val="-4"/>
      <w:sz w:val="16"/>
      <w:lang w:eastAsia="en-US"/>
    </w:rPr>
  </w:style>
  <w:style w:type="character" w:customStyle="1" w:styleId="Heading1Char">
    <w:name w:val="Heading 1 Char"/>
    <w:basedOn w:val="DefaultParagraphFont"/>
    <w:link w:val="Heading1"/>
    <w:rsid w:val="00B6445D"/>
    <w:rPr>
      <w:kern w:val="28"/>
      <w:sz w:val="52"/>
      <w:lang w:eastAsia="en-US"/>
    </w:rPr>
  </w:style>
  <w:style w:type="paragraph" w:customStyle="1" w:styleId="Default">
    <w:name w:val="Default"/>
    <w:uiPriority w:val="99"/>
    <w:rsid w:val="00B6445D"/>
    <w:pPr>
      <w:autoSpaceDE w:val="0"/>
      <w:autoSpaceDN w:val="0"/>
      <w:adjustRightInd w:val="0"/>
    </w:pPr>
    <w:rPr>
      <w:rFonts w:ascii="Myriad Pro" w:eastAsia="Calibri" w:hAnsi="Myriad Pro" w:cs="Myriad Pro"/>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B644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B6445D"/>
    <w:rPr>
      <w:caps/>
      <w:spacing w:val="-4"/>
      <w:sz w:val="16"/>
      <w:lang w:eastAsia="en-US"/>
    </w:rPr>
  </w:style>
  <w:style w:type="character" w:customStyle="1" w:styleId="Heading1Char">
    <w:name w:val="Heading 1 Char"/>
    <w:basedOn w:val="DefaultParagraphFont"/>
    <w:link w:val="Heading1"/>
    <w:rsid w:val="00B6445D"/>
    <w:rPr>
      <w:kern w:val="28"/>
      <w:sz w:val="52"/>
      <w:lang w:eastAsia="en-US"/>
    </w:rPr>
  </w:style>
  <w:style w:type="paragraph" w:customStyle="1" w:styleId="Default">
    <w:name w:val="Default"/>
    <w:uiPriority w:val="99"/>
    <w:rsid w:val="00B6445D"/>
    <w:pPr>
      <w:autoSpaceDE w:val="0"/>
      <w:autoSpaceDN w:val="0"/>
      <w:adjustRightInd w:val="0"/>
    </w:pPr>
    <w:rPr>
      <w:rFonts w:ascii="Myriad Pro" w:eastAsia="Calibri" w:hAnsi="Myriad Pro" w:cs="Myriad Pro"/>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8</TotalTime>
  <Pages>10</Pages>
  <Words>1453</Words>
  <Characters>9233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6</cp:revision>
  <cp:lastPrinted>2013-09-16T02:24:00Z</cp:lastPrinted>
  <dcterms:created xsi:type="dcterms:W3CDTF">2013-09-16T02:18:00Z</dcterms:created>
  <dcterms:modified xsi:type="dcterms:W3CDTF">2013-10-03T02:48:00Z</dcterms:modified>
</cp:coreProperties>
</file>