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15" w:rsidRDefault="000B4015" w:rsidP="00055EA7">
      <w:pPr>
        <w:pStyle w:val="Heading1"/>
        <w:spacing w:before="0" w:beforeAutospacing="0" w:after="0" w:afterAutospacing="0"/>
        <w:rPr>
          <w:sz w:val="32"/>
          <w:szCs w:val="32"/>
        </w:rPr>
      </w:pPr>
    </w:p>
    <w:p w:rsidR="000B4015" w:rsidRPr="000E383A" w:rsidRDefault="00871FA9" w:rsidP="00055EA7">
      <w:pPr>
        <w:spacing w:after="0" w:line="240" w:lineRule="auto"/>
        <w:ind w:right="-738"/>
      </w:pPr>
      <w:r>
        <w:rPr>
          <w:noProof/>
        </w:rPr>
        <w:drawing>
          <wp:anchor distT="0" distB="0" distL="114300" distR="114300" simplePos="0" relativeHeight="251658240" behindDoc="0" locked="0" layoutInCell="1" allowOverlap="0" wp14:anchorId="7FD3557A" wp14:editId="69832134">
            <wp:simplePos x="0" y="0"/>
            <wp:positionH relativeFrom="column">
              <wp:posOffset>1676400</wp:posOffset>
            </wp:positionH>
            <wp:positionV relativeFrom="paragraph">
              <wp:posOffset>102870</wp:posOffset>
            </wp:positionV>
            <wp:extent cx="2305050" cy="1819275"/>
            <wp:effectExtent l="0" t="0" r="0" b="9525"/>
            <wp:wrapNone/>
            <wp:docPr id="7" name="Picture 2" descr="AHA MASTER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A MASTER LOGO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1819275"/>
                    </a:xfrm>
                    <a:prstGeom prst="rect">
                      <a:avLst/>
                    </a:prstGeom>
                    <a:noFill/>
                  </pic:spPr>
                </pic:pic>
              </a:graphicData>
            </a:graphic>
            <wp14:sizeRelH relativeFrom="page">
              <wp14:pctWidth>0</wp14:pctWidth>
            </wp14:sizeRelH>
            <wp14:sizeRelV relativeFrom="page">
              <wp14:pctHeight>0</wp14:pctHeight>
            </wp14:sizeRelV>
          </wp:anchor>
        </w:drawing>
      </w:r>
    </w:p>
    <w:p w:rsidR="000B4015" w:rsidRDefault="000B4015" w:rsidP="00055EA7">
      <w:pPr>
        <w:pStyle w:val="Title"/>
        <w:spacing w:before="0" w:after="0" w:line="240" w:lineRule="auto"/>
        <w:ind w:right="-45"/>
        <w:jc w:val="left"/>
      </w:pPr>
    </w:p>
    <w:p w:rsidR="000B4015" w:rsidRDefault="000B4015" w:rsidP="00055EA7">
      <w:pPr>
        <w:pStyle w:val="Title"/>
        <w:spacing w:before="0" w:after="0" w:line="240" w:lineRule="auto"/>
        <w:ind w:right="-45"/>
        <w:jc w:val="left"/>
      </w:pPr>
    </w:p>
    <w:p w:rsidR="00871FA9" w:rsidRDefault="00871FA9" w:rsidP="00055EA7">
      <w:pPr>
        <w:pStyle w:val="Title"/>
        <w:spacing w:before="0" w:after="0" w:line="240" w:lineRule="auto"/>
        <w:ind w:right="-45"/>
        <w:jc w:val="left"/>
      </w:pPr>
    </w:p>
    <w:p w:rsidR="00871FA9" w:rsidRDefault="00871FA9" w:rsidP="00055EA7">
      <w:pPr>
        <w:pStyle w:val="Title"/>
        <w:spacing w:before="0" w:after="0" w:line="240" w:lineRule="auto"/>
        <w:ind w:right="-45"/>
        <w:jc w:val="left"/>
      </w:pPr>
    </w:p>
    <w:p w:rsidR="00871FA9" w:rsidRDefault="00871FA9" w:rsidP="00055EA7">
      <w:pPr>
        <w:pStyle w:val="Title"/>
        <w:spacing w:before="0" w:after="0" w:line="240" w:lineRule="auto"/>
        <w:ind w:right="-45"/>
        <w:jc w:val="left"/>
      </w:pPr>
    </w:p>
    <w:p w:rsidR="00871FA9" w:rsidRDefault="00871FA9" w:rsidP="00055EA7">
      <w:pPr>
        <w:pStyle w:val="Title"/>
        <w:spacing w:before="0" w:after="0" w:line="240" w:lineRule="auto"/>
        <w:ind w:right="-45"/>
        <w:jc w:val="left"/>
      </w:pPr>
    </w:p>
    <w:p w:rsidR="00871FA9" w:rsidRDefault="00871FA9" w:rsidP="00055EA7">
      <w:pPr>
        <w:pStyle w:val="Title"/>
        <w:spacing w:before="0" w:after="0" w:line="240" w:lineRule="auto"/>
        <w:ind w:right="-45"/>
        <w:jc w:val="left"/>
      </w:pPr>
      <w:bookmarkStart w:id="0" w:name="_GoBack"/>
      <w:bookmarkEnd w:id="0"/>
    </w:p>
    <w:p w:rsidR="000B4015" w:rsidRDefault="000B4015" w:rsidP="00055EA7">
      <w:pPr>
        <w:pStyle w:val="Title"/>
        <w:spacing w:before="0" w:after="0" w:line="240" w:lineRule="auto"/>
        <w:ind w:right="-45"/>
        <w:jc w:val="left"/>
      </w:pPr>
    </w:p>
    <w:p w:rsidR="000B4015" w:rsidRDefault="005A2AA3" w:rsidP="00055EA7">
      <w:pPr>
        <w:pStyle w:val="Title"/>
        <w:spacing w:before="0" w:after="0" w:line="240" w:lineRule="auto"/>
        <w:ind w:right="-45"/>
        <w:jc w:val="left"/>
      </w:pPr>
      <w:r>
        <w:rPr>
          <w:noProof/>
          <w:lang w:eastAsia="en-AU"/>
        </w:rPr>
        <w:drawing>
          <wp:inline distT="0" distB="0" distL="0" distR="0" wp14:anchorId="669DB9B4" wp14:editId="4BEA2B39">
            <wp:extent cx="828675" cy="1085850"/>
            <wp:effectExtent l="0" t="0" r="9525" b="0"/>
            <wp:docPr id="1" name="Picture 22" descr="Couran Cov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uran Cov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1085850"/>
                    </a:xfrm>
                    <a:prstGeom prst="rect">
                      <a:avLst/>
                    </a:prstGeom>
                    <a:noFill/>
                    <a:ln>
                      <a:noFill/>
                    </a:ln>
                  </pic:spPr>
                </pic:pic>
              </a:graphicData>
            </a:graphic>
          </wp:inline>
        </w:drawing>
      </w:r>
      <w:r w:rsidR="000B4015">
        <w:t xml:space="preserve">  </w:t>
      </w:r>
      <w:r>
        <w:rPr>
          <w:noProof/>
          <w:lang w:eastAsia="en-AU"/>
        </w:rPr>
        <w:drawing>
          <wp:inline distT="0" distB="0" distL="0" distR="0" wp14:anchorId="7188F4B5" wp14:editId="2E20BD24">
            <wp:extent cx="819150" cy="1085850"/>
            <wp:effectExtent l="0" t="0" r="0" b="0"/>
            <wp:docPr id="2" name="Picture 23" descr="Win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ne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1085850"/>
                    </a:xfrm>
                    <a:prstGeom prst="rect">
                      <a:avLst/>
                    </a:prstGeom>
                    <a:noFill/>
                    <a:ln>
                      <a:noFill/>
                    </a:ln>
                  </pic:spPr>
                </pic:pic>
              </a:graphicData>
            </a:graphic>
          </wp:inline>
        </w:drawing>
      </w:r>
      <w:r w:rsidR="000B4015">
        <w:t xml:space="preserve">  </w:t>
      </w:r>
      <w:r>
        <w:rPr>
          <w:noProof/>
          <w:lang w:eastAsia="en-AU"/>
        </w:rPr>
        <w:drawing>
          <wp:inline distT="0" distB="0" distL="0" distR="0" wp14:anchorId="3904CB72" wp14:editId="07FDA531">
            <wp:extent cx="847725" cy="1085850"/>
            <wp:effectExtent l="0" t="0" r="9525" b="0"/>
            <wp:docPr id="3" name="Picture 24" descr="fo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o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1085850"/>
                    </a:xfrm>
                    <a:prstGeom prst="rect">
                      <a:avLst/>
                    </a:prstGeom>
                    <a:noFill/>
                    <a:ln>
                      <a:noFill/>
                    </a:ln>
                  </pic:spPr>
                </pic:pic>
              </a:graphicData>
            </a:graphic>
          </wp:inline>
        </w:drawing>
      </w:r>
      <w:r w:rsidR="000B4015">
        <w:t xml:space="preserve">  </w:t>
      </w:r>
      <w:r>
        <w:rPr>
          <w:noProof/>
          <w:lang w:eastAsia="en-AU"/>
        </w:rPr>
        <w:drawing>
          <wp:inline distT="0" distB="0" distL="0" distR="0" wp14:anchorId="28B6F4EF" wp14:editId="0DDF4E24">
            <wp:extent cx="809625" cy="1066800"/>
            <wp:effectExtent l="0" t="0" r="9525" b="0"/>
            <wp:docPr id="4" name="Picture 25" descr="Breakfast Creek Hotel p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reakfast Creek Hotel pi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1066800"/>
                    </a:xfrm>
                    <a:prstGeom prst="rect">
                      <a:avLst/>
                    </a:prstGeom>
                    <a:noFill/>
                    <a:ln>
                      <a:noFill/>
                    </a:ln>
                  </pic:spPr>
                </pic:pic>
              </a:graphicData>
            </a:graphic>
          </wp:inline>
        </w:drawing>
      </w:r>
      <w:r w:rsidR="000B4015">
        <w:t xml:space="preserve">  </w:t>
      </w:r>
      <w:r>
        <w:rPr>
          <w:noProof/>
          <w:lang w:eastAsia="en-AU"/>
        </w:rPr>
        <w:drawing>
          <wp:inline distT="0" distB="0" distL="0" distR="0" wp14:anchorId="4AC58256" wp14:editId="1625ED1E">
            <wp:extent cx="828675" cy="1085850"/>
            <wp:effectExtent l="0" t="0" r="9525" b="0"/>
            <wp:docPr id="5" name="Picture 27" descr="stones_exterior_nigh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tones_exterior_nigh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1085850"/>
                    </a:xfrm>
                    <a:prstGeom prst="rect">
                      <a:avLst/>
                    </a:prstGeom>
                    <a:noFill/>
                    <a:ln>
                      <a:noFill/>
                    </a:ln>
                  </pic:spPr>
                </pic:pic>
              </a:graphicData>
            </a:graphic>
          </wp:inline>
        </w:drawing>
      </w:r>
      <w:r w:rsidR="000B4015">
        <w:t xml:space="preserve">  </w:t>
      </w:r>
      <w:r>
        <w:rPr>
          <w:noProof/>
          <w:lang w:eastAsia="en-AU"/>
        </w:rPr>
        <w:drawing>
          <wp:inline distT="0" distB="0" distL="0" distR="0" wp14:anchorId="48066380" wp14:editId="382409E8">
            <wp:extent cx="838200" cy="1085850"/>
            <wp:effectExtent l="0" t="0" r="0" b="0"/>
            <wp:docPr id="6" name="Picture 28" descr="birdsville p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irdsville pub-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1085850"/>
                    </a:xfrm>
                    <a:prstGeom prst="rect">
                      <a:avLst/>
                    </a:prstGeom>
                    <a:noFill/>
                    <a:ln>
                      <a:noFill/>
                    </a:ln>
                  </pic:spPr>
                </pic:pic>
              </a:graphicData>
            </a:graphic>
          </wp:inline>
        </w:drawing>
      </w:r>
    </w:p>
    <w:p w:rsidR="000B4015" w:rsidRDefault="000B4015" w:rsidP="00055EA7">
      <w:pPr>
        <w:pStyle w:val="Title"/>
        <w:spacing w:before="0" w:after="0" w:line="240" w:lineRule="auto"/>
        <w:ind w:right="-45"/>
        <w:jc w:val="left"/>
        <w:rPr>
          <w:rFonts w:ascii="Cambria" w:hAnsi="Cambria"/>
          <w:b/>
        </w:rPr>
      </w:pPr>
    </w:p>
    <w:p w:rsidR="000B4015" w:rsidRPr="000D02F5" w:rsidRDefault="000B4015" w:rsidP="00055EA7">
      <w:pPr>
        <w:pStyle w:val="Title"/>
        <w:spacing w:before="0" w:after="0" w:line="240" w:lineRule="auto"/>
        <w:ind w:right="-45"/>
        <w:jc w:val="right"/>
        <w:rPr>
          <w:rFonts w:ascii="Cambria" w:hAnsi="Cambria"/>
          <w:b/>
        </w:rPr>
      </w:pPr>
      <w:r w:rsidRPr="000D02F5">
        <w:rPr>
          <w:rFonts w:ascii="Cambria" w:hAnsi="Cambria"/>
          <w:b/>
        </w:rPr>
        <w:t xml:space="preserve">Australian Hotels Association </w:t>
      </w:r>
    </w:p>
    <w:p w:rsidR="000B4015" w:rsidRDefault="000B4015" w:rsidP="00055EA7">
      <w:pPr>
        <w:pStyle w:val="Title"/>
        <w:spacing w:before="0" w:after="0" w:line="240" w:lineRule="auto"/>
        <w:ind w:right="-45"/>
        <w:jc w:val="right"/>
        <w:rPr>
          <w:rFonts w:ascii="Cambria" w:hAnsi="Cambria"/>
          <w:sz w:val="28"/>
          <w:szCs w:val="28"/>
        </w:rPr>
      </w:pPr>
    </w:p>
    <w:p w:rsidR="000B4015" w:rsidRDefault="000B4015" w:rsidP="00055EA7">
      <w:pPr>
        <w:pStyle w:val="Title"/>
        <w:spacing w:before="0" w:after="0" w:line="240" w:lineRule="auto"/>
        <w:ind w:right="-45"/>
        <w:jc w:val="right"/>
        <w:rPr>
          <w:rFonts w:ascii="Cambria" w:hAnsi="Cambria"/>
          <w:sz w:val="28"/>
          <w:szCs w:val="28"/>
        </w:rPr>
      </w:pPr>
    </w:p>
    <w:p w:rsidR="000B4015" w:rsidRDefault="000B4015" w:rsidP="00055EA7">
      <w:pPr>
        <w:pStyle w:val="Title"/>
        <w:spacing w:before="0" w:after="0" w:line="240" w:lineRule="auto"/>
        <w:ind w:right="-45"/>
        <w:jc w:val="right"/>
        <w:rPr>
          <w:rFonts w:ascii="Cambria" w:hAnsi="Cambria"/>
          <w:sz w:val="28"/>
          <w:szCs w:val="28"/>
        </w:rPr>
      </w:pPr>
    </w:p>
    <w:p w:rsidR="000B4015" w:rsidRDefault="000B4015" w:rsidP="00055EA7">
      <w:pPr>
        <w:pStyle w:val="Title"/>
        <w:spacing w:before="0" w:after="0" w:line="240" w:lineRule="auto"/>
        <w:ind w:right="-45"/>
        <w:jc w:val="right"/>
        <w:rPr>
          <w:rFonts w:ascii="Cambria" w:hAnsi="Cambria"/>
          <w:sz w:val="28"/>
          <w:szCs w:val="28"/>
        </w:rPr>
      </w:pPr>
    </w:p>
    <w:p w:rsidR="000B4015" w:rsidRPr="000D02F5" w:rsidRDefault="000B4015" w:rsidP="00055EA7">
      <w:pPr>
        <w:pStyle w:val="Title"/>
        <w:spacing w:before="0" w:after="0" w:line="240" w:lineRule="auto"/>
        <w:ind w:right="-45"/>
        <w:jc w:val="right"/>
        <w:rPr>
          <w:rFonts w:ascii="Cambria" w:hAnsi="Cambria"/>
          <w:sz w:val="28"/>
          <w:szCs w:val="28"/>
        </w:rPr>
      </w:pPr>
    </w:p>
    <w:p w:rsidR="000B4015" w:rsidRDefault="00502295" w:rsidP="00055EA7">
      <w:pPr>
        <w:pStyle w:val="StyleTitleAfter18pt"/>
        <w:spacing w:before="0" w:after="0" w:line="240" w:lineRule="auto"/>
        <w:ind w:right="-45"/>
        <w:jc w:val="right"/>
        <w:rPr>
          <w:rFonts w:ascii="Cambria" w:hAnsi="Cambria"/>
          <w:sz w:val="28"/>
          <w:szCs w:val="28"/>
        </w:rPr>
      </w:pPr>
      <w:r>
        <w:rPr>
          <w:rFonts w:ascii="Cambria" w:hAnsi="Cambria"/>
          <w:sz w:val="28"/>
          <w:szCs w:val="28"/>
        </w:rPr>
        <w:t>Submission</w:t>
      </w:r>
      <w:r w:rsidR="004D1B89">
        <w:rPr>
          <w:rFonts w:ascii="Cambria" w:hAnsi="Cambria"/>
          <w:sz w:val="28"/>
          <w:szCs w:val="28"/>
        </w:rPr>
        <w:t xml:space="preserve"> in response </w:t>
      </w:r>
      <w:r w:rsidR="000B4015" w:rsidRPr="00622C49">
        <w:rPr>
          <w:rFonts w:ascii="Cambria" w:hAnsi="Cambria"/>
          <w:sz w:val="28"/>
          <w:szCs w:val="28"/>
        </w:rPr>
        <w:t>to:</w:t>
      </w:r>
    </w:p>
    <w:p w:rsidR="00952DEF" w:rsidRPr="00622C49" w:rsidRDefault="00952DEF" w:rsidP="00055EA7">
      <w:pPr>
        <w:pStyle w:val="StyleTitleAfter18pt"/>
        <w:spacing w:before="0" w:after="0" w:line="240" w:lineRule="auto"/>
        <w:ind w:right="-45"/>
        <w:jc w:val="right"/>
        <w:rPr>
          <w:rFonts w:ascii="Cambria" w:hAnsi="Cambria"/>
          <w:sz w:val="28"/>
          <w:szCs w:val="28"/>
        </w:rPr>
      </w:pPr>
    </w:p>
    <w:p w:rsidR="000B4015" w:rsidRDefault="004D1B89" w:rsidP="00055EA7">
      <w:pPr>
        <w:pStyle w:val="StyleTitleAfter18pt"/>
        <w:spacing w:before="0" w:after="0" w:line="240" w:lineRule="auto"/>
        <w:ind w:right="-45"/>
        <w:jc w:val="right"/>
        <w:rPr>
          <w:rFonts w:ascii="Cambria" w:hAnsi="Cambria"/>
          <w:b/>
        </w:rPr>
      </w:pPr>
      <w:r>
        <w:rPr>
          <w:rFonts w:ascii="Cambria" w:hAnsi="Cambria"/>
          <w:b/>
        </w:rPr>
        <w:t>Productivity Commission Inquiry into</w:t>
      </w:r>
    </w:p>
    <w:p w:rsidR="004D1B89" w:rsidRDefault="004D1B89" w:rsidP="00055EA7">
      <w:pPr>
        <w:pStyle w:val="StyleTitleAfter18pt"/>
        <w:spacing w:before="0" w:after="0" w:line="240" w:lineRule="auto"/>
        <w:ind w:right="-45"/>
        <w:jc w:val="right"/>
        <w:rPr>
          <w:rFonts w:ascii="Cambria" w:hAnsi="Cambria"/>
          <w:b/>
        </w:rPr>
      </w:pPr>
      <w:r>
        <w:rPr>
          <w:rFonts w:ascii="Cambria" w:hAnsi="Cambria"/>
          <w:b/>
        </w:rPr>
        <w:t>Regulator Engagement with Small Business</w:t>
      </w:r>
    </w:p>
    <w:p w:rsidR="000B4015" w:rsidRDefault="008831CC" w:rsidP="00055EA7">
      <w:pPr>
        <w:pStyle w:val="StyleTitleAfter18pt"/>
        <w:spacing w:before="0" w:after="0" w:line="240" w:lineRule="auto"/>
        <w:ind w:right="-45"/>
        <w:jc w:val="right"/>
        <w:rPr>
          <w:rFonts w:ascii="Cambria" w:hAnsi="Cambria"/>
          <w:sz w:val="28"/>
          <w:szCs w:val="28"/>
        </w:rPr>
      </w:pPr>
      <w:hyperlink r:id="rId16" w:history="1">
        <w:r w:rsidR="004D1B89" w:rsidRPr="00DE6E3E">
          <w:rPr>
            <w:rStyle w:val="Hyperlink"/>
            <w:rFonts w:ascii="Cambria" w:hAnsi="Cambria"/>
            <w:sz w:val="28"/>
            <w:szCs w:val="28"/>
          </w:rPr>
          <w:t>small.business@pc.gov.au</w:t>
        </w:r>
      </w:hyperlink>
      <w:r w:rsidR="004D1B89">
        <w:rPr>
          <w:rFonts w:ascii="Cambria" w:hAnsi="Cambria"/>
          <w:sz w:val="28"/>
          <w:szCs w:val="28"/>
        </w:rPr>
        <w:t xml:space="preserve"> </w:t>
      </w:r>
    </w:p>
    <w:p w:rsidR="000B4015" w:rsidRDefault="000B4015" w:rsidP="00055EA7">
      <w:pPr>
        <w:pStyle w:val="Title"/>
        <w:spacing w:before="0" w:after="0" w:line="240" w:lineRule="auto"/>
        <w:ind w:right="-737"/>
        <w:jc w:val="right"/>
        <w:rPr>
          <w:rFonts w:ascii="Cambria" w:hAnsi="Cambria"/>
          <w:sz w:val="28"/>
          <w:szCs w:val="28"/>
        </w:rPr>
      </w:pPr>
    </w:p>
    <w:p w:rsidR="006475DD" w:rsidRDefault="006475DD" w:rsidP="00055EA7">
      <w:pPr>
        <w:pStyle w:val="Title"/>
        <w:spacing w:before="0" w:after="0" w:line="240" w:lineRule="auto"/>
        <w:ind w:right="-737"/>
        <w:jc w:val="right"/>
        <w:rPr>
          <w:rFonts w:ascii="Cambria" w:hAnsi="Cambria"/>
          <w:sz w:val="28"/>
          <w:szCs w:val="28"/>
        </w:rPr>
      </w:pPr>
    </w:p>
    <w:p w:rsidR="00F004F2" w:rsidRDefault="004D1B89" w:rsidP="00055EA7">
      <w:pPr>
        <w:pStyle w:val="Title"/>
        <w:spacing w:before="0" w:after="0" w:line="240" w:lineRule="auto"/>
        <w:ind w:right="-45"/>
        <w:jc w:val="right"/>
        <w:rPr>
          <w:rFonts w:ascii="Cambria" w:hAnsi="Cambria"/>
          <w:b/>
        </w:rPr>
      </w:pPr>
      <w:r>
        <w:rPr>
          <w:rFonts w:ascii="Cambria" w:hAnsi="Cambria"/>
          <w:b/>
        </w:rPr>
        <w:t>18 March 2013</w:t>
      </w:r>
    </w:p>
    <w:p w:rsidR="00D07DF0" w:rsidRDefault="00D07DF0" w:rsidP="00055EA7">
      <w:pPr>
        <w:spacing w:after="0" w:line="240" w:lineRule="auto"/>
        <w:jc w:val="right"/>
        <w:rPr>
          <w:rFonts w:ascii="Cambria" w:hAnsi="Cambria"/>
          <w:b/>
        </w:rPr>
      </w:pPr>
    </w:p>
    <w:p w:rsidR="00D07DF0" w:rsidRDefault="00D07DF0" w:rsidP="00D07DF0">
      <w:pPr>
        <w:spacing w:after="120" w:line="240" w:lineRule="auto"/>
        <w:rPr>
          <w:rFonts w:ascii="Cambria" w:hAnsi="Cambria"/>
          <w:b/>
        </w:rPr>
      </w:pPr>
    </w:p>
    <w:p w:rsidR="00D07DF0" w:rsidRPr="00D07DF0" w:rsidRDefault="00D07DF0" w:rsidP="00D07DF0">
      <w:pPr>
        <w:spacing w:after="120" w:line="240" w:lineRule="auto"/>
        <w:rPr>
          <w:rFonts w:ascii="Cambria" w:hAnsi="Cambria"/>
          <w:b/>
          <w:sz w:val="28"/>
          <w:szCs w:val="28"/>
        </w:rPr>
      </w:pPr>
      <w:r w:rsidRPr="00D07DF0">
        <w:rPr>
          <w:rFonts w:ascii="Cambria" w:hAnsi="Cambria"/>
          <w:b/>
          <w:sz w:val="28"/>
          <w:szCs w:val="28"/>
        </w:rPr>
        <w:t>Contact:</w:t>
      </w:r>
    </w:p>
    <w:p w:rsidR="00D07DF0" w:rsidRPr="00D07DF0" w:rsidRDefault="00D07DF0" w:rsidP="00D07DF0">
      <w:pPr>
        <w:spacing w:after="0" w:line="240" w:lineRule="auto"/>
        <w:rPr>
          <w:rFonts w:ascii="Cambria" w:hAnsi="Cambria"/>
          <w:sz w:val="28"/>
          <w:szCs w:val="28"/>
        </w:rPr>
      </w:pPr>
      <w:r w:rsidRPr="00D07DF0">
        <w:rPr>
          <w:rFonts w:ascii="Cambria" w:hAnsi="Cambria"/>
          <w:sz w:val="28"/>
          <w:szCs w:val="28"/>
        </w:rPr>
        <w:t>Des Crowe</w:t>
      </w:r>
    </w:p>
    <w:p w:rsidR="00D07DF0" w:rsidRDefault="00D07DF0" w:rsidP="00D07DF0">
      <w:pPr>
        <w:spacing w:after="0" w:line="240" w:lineRule="auto"/>
        <w:rPr>
          <w:rFonts w:ascii="Cambria" w:hAnsi="Cambria"/>
          <w:sz w:val="28"/>
          <w:szCs w:val="28"/>
        </w:rPr>
      </w:pPr>
      <w:r w:rsidRPr="00D07DF0">
        <w:rPr>
          <w:rFonts w:ascii="Cambria" w:hAnsi="Cambria"/>
          <w:sz w:val="28"/>
          <w:szCs w:val="28"/>
        </w:rPr>
        <w:t>National Chief Executive Officer</w:t>
      </w:r>
    </w:p>
    <w:p w:rsidR="00D07DF0" w:rsidRPr="00D07DF0" w:rsidRDefault="00D07DF0" w:rsidP="00D07DF0">
      <w:pPr>
        <w:spacing w:after="0" w:line="240" w:lineRule="auto"/>
        <w:rPr>
          <w:rFonts w:ascii="Cambria" w:hAnsi="Cambria"/>
          <w:sz w:val="28"/>
          <w:szCs w:val="28"/>
        </w:rPr>
      </w:pPr>
      <w:r>
        <w:rPr>
          <w:rFonts w:ascii="Cambria" w:hAnsi="Cambria"/>
          <w:sz w:val="28"/>
          <w:szCs w:val="28"/>
        </w:rPr>
        <w:t>PO Box 4286 MANUKA ACT 2603</w:t>
      </w:r>
    </w:p>
    <w:p w:rsidR="00F004F2" w:rsidRDefault="00F004F2" w:rsidP="00D07DF0">
      <w:pPr>
        <w:spacing w:after="0" w:line="240" w:lineRule="auto"/>
        <w:rPr>
          <w:rFonts w:ascii="Cambria" w:hAnsi="Cambria"/>
          <w:b/>
          <w:sz w:val="36"/>
          <w:szCs w:val="36"/>
          <w:lang w:eastAsia="en-US"/>
        </w:rPr>
      </w:pPr>
      <w:r>
        <w:rPr>
          <w:rFonts w:ascii="Cambria" w:hAnsi="Cambria"/>
          <w:b/>
        </w:rPr>
        <w:br w:type="page"/>
      </w:r>
    </w:p>
    <w:p w:rsidR="000B4015" w:rsidRPr="000E33E9" w:rsidRDefault="000B4015" w:rsidP="00055EA7">
      <w:pPr>
        <w:pStyle w:val="Title"/>
        <w:spacing w:before="0" w:after="0" w:line="240" w:lineRule="auto"/>
        <w:ind w:right="-45"/>
        <w:jc w:val="left"/>
        <w:rPr>
          <w:rFonts w:ascii="Cambria" w:hAnsi="Cambria"/>
          <w:b/>
        </w:rPr>
      </w:pPr>
    </w:p>
    <w:p w:rsidR="000B4015" w:rsidRDefault="000B4015" w:rsidP="00055EA7">
      <w:pPr>
        <w:spacing w:after="0" w:line="240" w:lineRule="auto"/>
      </w:pPr>
    </w:p>
    <w:p w:rsidR="000B4015" w:rsidRPr="004B4FC6" w:rsidRDefault="000B4015" w:rsidP="00055EA7">
      <w:pPr>
        <w:spacing w:after="0" w:line="240" w:lineRule="auto"/>
      </w:pPr>
    </w:p>
    <w:bookmarkStart w:id="1" w:name="_Toc288468601" w:displacedByCustomXml="next"/>
    <w:sdt>
      <w:sdtPr>
        <w:rPr>
          <w:rFonts w:ascii="Arial" w:eastAsia="Times New Roman" w:hAnsi="Arial"/>
          <w:b w:val="0"/>
          <w:bCs w:val="0"/>
          <w:color w:val="auto"/>
          <w:sz w:val="18"/>
          <w:szCs w:val="20"/>
          <w:lang w:val="en-AU" w:eastAsia="en-AU"/>
        </w:rPr>
        <w:id w:val="1912423819"/>
        <w:docPartObj>
          <w:docPartGallery w:val="Table of Contents"/>
          <w:docPartUnique/>
        </w:docPartObj>
      </w:sdtPr>
      <w:sdtEndPr>
        <w:rPr>
          <w:noProof/>
          <w:sz w:val="22"/>
        </w:rPr>
      </w:sdtEndPr>
      <w:sdtContent>
        <w:p w:rsidR="009C0998" w:rsidRPr="00502295" w:rsidRDefault="009C0998" w:rsidP="00055EA7">
          <w:pPr>
            <w:pStyle w:val="TOCHeading"/>
            <w:spacing w:before="0" w:line="240" w:lineRule="auto"/>
            <w:rPr>
              <w:rFonts w:asciiTheme="minorHAnsi" w:hAnsiTheme="minorHAnsi" w:cstheme="minorHAnsi"/>
            </w:rPr>
          </w:pPr>
          <w:r w:rsidRPr="00502295">
            <w:rPr>
              <w:rFonts w:asciiTheme="minorHAnsi" w:hAnsiTheme="minorHAnsi" w:cstheme="minorHAnsi"/>
            </w:rPr>
            <w:t>Contents</w:t>
          </w:r>
        </w:p>
        <w:p w:rsidR="009C0998" w:rsidRPr="00F77501" w:rsidRDefault="009C0998" w:rsidP="00055EA7">
          <w:pPr>
            <w:pStyle w:val="TOC1"/>
            <w:tabs>
              <w:tab w:val="right" w:leader="dot" w:pos="9017"/>
            </w:tabs>
            <w:spacing w:before="0" w:after="0" w:line="240" w:lineRule="auto"/>
            <w:rPr>
              <w:rFonts w:asciiTheme="minorHAnsi" w:hAnsiTheme="minorHAnsi" w:cstheme="minorHAnsi"/>
              <w:sz w:val="32"/>
            </w:rPr>
          </w:pPr>
        </w:p>
        <w:p w:rsidR="0094757C" w:rsidRPr="0094757C" w:rsidRDefault="009C0998">
          <w:pPr>
            <w:pStyle w:val="TOC1"/>
            <w:tabs>
              <w:tab w:val="right" w:leader="dot" w:pos="9017"/>
            </w:tabs>
            <w:rPr>
              <w:rFonts w:asciiTheme="minorHAnsi" w:eastAsiaTheme="minorEastAsia" w:hAnsiTheme="minorHAnsi" w:cstheme="minorBidi"/>
              <w:noProof/>
              <w:sz w:val="28"/>
              <w:szCs w:val="22"/>
              <w:lang w:eastAsia="en-AU"/>
            </w:rPr>
          </w:pPr>
          <w:r w:rsidRPr="0094757C">
            <w:rPr>
              <w:rFonts w:asciiTheme="minorHAnsi" w:hAnsiTheme="minorHAnsi" w:cstheme="minorHAnsi"/>
              <w:sz w:val="44"/>
              <w:szCs w:val="28"/>
            </w:rPr>
            <w:fldChar w:fldCharType="begin"/>
          </w:r>
          <w:r w:rsidRPr="0094757C">
            <w:rPr>
              <w:rFonts w:asciiTheme="minorHAnsi" w:hAnsiTheme="minorHAnsi" w:cstheme="minorHAnsi"/>
              <w:sz w:val="44"/>
              <w:szCs w:val="28"/>
            </w:rPr>
            <w:instrText xml:space="preserve"> TOC \o "1-3" \h \z \u </w:instrText>
          </w:r>
          <w:r w:rsidRPr="0094757C">
            <w:rPr>
              <w:rFonts w:asciiTheme="minorHAnsi" w:hAnsiTheme="minorHAnsi" w:cstheme="minorHAnsi"/>
              <w:sz w:val="44"/>
              <w:szCs w:val="28"/>
            </w:rPr>
            <w:fldChar w:fldCharType="separate"/>
          </w:r>
          <w:hyperlink w:anchor="_Toc351363969" w:history="1">
            <w:r w:rsidR="0094757C" w:rsidRPr="0094757C">
              <w:rPr>
                <w:rStyle w:val="Hyperlink"/>
                <w:rFonts w:ascii="Calibri" w:hAnsi="Calibri" w:cs="Calibri"/>
                <w:noProof/>
                <w:sz w:val="24"/>
              </w:rPr>
              <w:t>About the AHA</w:t>
            </w:r>
            <w:r w:rsidR="0094757C" w:rsidRPr="0094757C">
              <w:rPr>
                <w:noProof/>
                <w:webHidden/>
                <w:sz w:val="24"/>
              </w:rPr>
              <w:tab/>
            </w:r>
            <w:r w:rsidR="0094757C" w:rsidRPr="0094757C">
              <w:rPr>
                <w:noProof/>
                <w:webHidden/>
                <w:sz w:val="24"/>
              </w:rPr>
              <w:fldChar w:fldCharType="begin"/>
            </w:r>
            <w:r w:rsidR="0094757C" w:rsidRPr="0094757C">
              <w:rPr>
                <w:noProof/>
                <w:webHidden/>
                <w:sz w:val="24"/>
              </w:rPr>
              <w:instrText xml:space="preserve"> PAGEREF _Toc351363969 \h </w:instrText>
            </w:r>
            <w:r w:rsidR="0094757C" w:rsidRPr="0094757C">
              <w:rPr>
                <w:noProof/>
                <w:webHidden/>
                <w:sz w:val="24"/>
              </w:rPr>
            </w:r>
            <w:r w:rsidR="0094757C" w:rsidRPr="0094757C">
              <w:rPr>
                <w:noProof/>
                <w:webHidden/>
                <w:sz w:val="24"/>
              </w:rPr>
              <w:fldChar w:fldCharType="separate"/>
            </w:r>
            <w:r w:rsidR="0094757C" w:rsidRPr="0094757C">
              <w:rPr>
                <w:noProof/>
                <w:webHidden/>
                <w:sz w:val="24"/>
              </w:rPr>
              <w:t>3</w:t>
            </w:r>
            <w:r w:rsidR="0094757C" w:rsidRPr="0094757C">
              <w:rPr>
                <w:noProof/>
                <w:webHidden/>
                <w:sz w:val="24"/>
              </w:rPr>
              <w:fldChar w:fldCharType="end"/>
            </w:r>
          </w:hyperlink>
        </w:p>
        <w:p w:rsidR="0094757C" w:rsidRPr="0094757C" w:rsidRDefault="008831CC">
          <w:pPr>
            <w:pStyle w:val="TOC1"/>
            <w:tabs>
              <w:tab w:val="right" w:leader="dot" w:pos="9017"/>
            </w:tabs>
            <w:rPr>
              <w:rFonts w:asciiTheme="minorHAnsi" w:eastAsiaTheme="minorEastAsia" w:hAnsiTheme="minorHAnsi" w:cstheme="minorBidi"/>
              <w:noProof/>
              <w:sz w:val="28"/>
              <w:szCs w:val="22"/>
              <w:lang w:eastAsia="en-AU"/>
            </w:rPr>
          </w:pPr>
          <w:hyperlink w:anchor="_Toc351363970" w:history="1">
            <w:r w:rsidR="0094757C" w:rsidRPr="0094757C">
              <w:rPr>
                <w:rStyle w:val="Hyperlink"/>
                <w:rFonts w:ascii="Calibri" w:hAnsi="Calibri" w:cs="Calibri"/>
                <w:noProof/>
                <w:sz w:val="24"/>
              </w:rPr>
              <w:t>The Australian tourism and hospitality industry</w:t>
            </w:r>
            <w:r w:rsidR="0094757C" w:rsidRPr="0094757C">
              <w:rPr>
                <w:noProof/>
                <w:webHidden/>
                <w:sz w:val="24"/>
              </w:rPr>
              <w:tab/>
            </w:r>
            <w:r w:rsidR="0094757C" w:rsidRPr="0094757C">
              <w:rPr>
                <w:noProof/>
                <w:webHidden/>
                <w:sz w:val="24"/>
              </w:rPr>
              <w:fldChar w:fldCharType="begin"/>
            </w:r>
            <w:r w:rsidR="0094757C" w:rsidRPr="0094757C">
              <w:rPr>
                <w:noProof/>
                <w:webHidden/>
                <w:sz w:val="24"/>
              </w:rPr>
              <w:instrText xml:space="preserve"> PAGEREF _Toc351363970 \h </w:instrText>
            </w:r>
            <w:r w:rsidR="0094757C" w:rsidRPr="0094757C">
              <w:rPr>
                <w:noProof/>
                <w:webHidden/>
                <w:sz w:val="24"/>
              </w:rPr>
            </w:r>
            <w:r w:rsidR="0094757C" w:rsidRPr="0094757C">
              <w:rPr>
                <w:noProof/>
                <w:webHidden/>
                <w:sz w:val="24"/>
              </w:rPr>
              <w:fldChar w:fldCharType="separate"/>
            </w:r>
            <w:r w:rsidR="0094757C" w:rsidRPr="0094757C">
              <w:rPr>
                <w:noProof/>
                <w:webHidden/>
                <w:sz w:val="24"/>
              </w:rPr>
              <w:t>3</w:t>
            </w:r>
            <w:r w:rsidR="0094757C" w:rsidRPr="0094757C">
              <w:rPr>
                <w:noProof/>
                <w:webHidden/>
                <w:sz w:val="24"/>
              </w:rPr>
              <w:fldChar w:fldCharType="end"/>
            </w:r>
          </w:hyperlink>
        </w:p>
        <w:p w:rsidR="0094757C" w:rsidRPr="0094757C" w:rsidRDefault="008831CC">
          <w:pPr>
            <w:pStyle w:val="TOC1"/>
            <w:tabs>
              <w:tab w:val="right" w:leader="dot" w:pos="9017"/>
            </w:tabs>
            <w:rPr>
              <w:rFonts w:asciiTheme="minorHAnsi" w:eastAsiaTheme="minorEastAsia" w:hAnsiTheme="minorHAnsi" w:cstheme="minorBidi"/>
              <w:noProof/>
              <w:sz w:val="28"/>
              <w:szCs w:val="22"/>
              <w:lang w:eastAsia="en-AU"/>
            </w:rPr>
          </w:pPr>
          <w:hyperlink w:anchor="_Toc351363971" w:history="1">
            <w:r w:rsidR="0094757C" w:rsidRPr="0094757C">
              <w:rPr>
                <w:rStyle w:val="Hyperlink"/>
                <w:rFonts w:ascii="Calibri" w:hAnsi="Calibri" w:cs="Calibri"/>
                <w:noProof/>
                <w:sz w:val="24"/>
              </w:rPr>
              <w:t>General principles</w:t>
            </w:r>
            <w:r w:rsidR="0094757C" w:rsidRPr="0094757C">
              <w:rPr>
                <w:noProof/>
                <w:webHidden/>
                <w:sz w:val="24"/>
              </w:rPr>
              <w:tab/>
            </w:r>
            <w:r w:rsidR="0094757C" w:rsidRPr="0094757C">
              <w:rPr>
                <w:noProof/>
                <w:webHidden/>
                <w:sz w:val="24"/>
              </w:rPr>
              <w:fldChar w:fldCharType="begin"/>
            </w:r>
            <w:r w:rsidR="0094757C" w:rsidRPr="0094757C">
              <w:rPr>
                <w:noProof/>
                <w:webHidden/>
                <w:sz w:val="24"/>
              </w:rPr>
              <w:instrText xml:space="preserve"> PAGEREF _Toc351363971 \h </w:instrText>
            </w:r>
            <w:r w:rsidR="0094757C" w:rsidRPr="0094757C">
              <w:rPr>
                <w:noProof/>
                <w:webHidden/>
                <w:sz w:val="24"/>
              </w:rPr>
            </w:r>
            <w:r w:rsidR="0094757C" w:rsidRPr="0094757C">
              <w:rPr>
                <w:noProof/>
                <w:webHidden/>
                <w:sz w:val="24"/>
              </w:rPr>
              <w:fldChar w:fldCharType="separate"/>
            </w:r>
            <w:r w:rsidR="0094757C" w:rsidRPr="0094757C">
              <w:rPr>
                <w:noProof/>
                <w:webHidden/>
                <w:sz w:val="24"/>
              </w:rPr>
              <w:t>4</w:t>
            </w:r>
            <w:r w:rsidR="0094757C" w:rsidRPr="0094757C">
              <w:rPr>
                <w:noProof/>
                <w:webHidden/>
                <w:sz w:val="24"/>
              </w:rPr>
              <w:fldChar w:fldCharType="end"/>
            </w:r>
          </w:hyperlink>
        </w:p>
        <w:p w:rsidR="0094757C" w:rsidRPr="0094757C" w:rsidRDefault="008831CC">
          <w:pPr>
            <w:pStyle w:val="TOC1"/>
            <w:tabs>
              <w:tab w:val="right" w:leader="dot" w:pos="9017"/>
            </w:tabs>
            <w:rPr>
              <w:rFonts w:asciiTheme="minorHAnsi" w:eastAsiaTheme="minorEastAsia" w:hAnsiTheme="minorHAnsi" w:cstheme="minorBidi"/>
              <w:noProof/>
              <w:sz w:val="28"/>
              <w:szCs w:val="22"/>
              <w:lang w:eastAsia="en-AU"/>
            </w:rPr>
          </w:pPr>
          <w:hyperlink w:anchor="_Toc351363972" w:history="1">
            <w:r w:rsidR="0094757C" w:rsidRPr="0094757C">
              <w:rPr>
                <w:rStyle w:val="Hyperlink"/>
                <w:rFonts w:ascii="Calibri" w:hAnsi="Calibri" w:cs="Calibri"/>
                <w:noProof/>
                <w:sz w:val="24"/>
              </w:rPr>
              <w:t>The hotel regulatory environment</w:t>
            </w:r>
            <w:r w:rsidR="0094757C" w:rsidRPr="0094757C">
              <w:rPr>
                <w:noProof/>
                <w:webHidden/>
                <w:sz w:val="24"/>
              </w:rPr>
              <w:tab/>
            </w:r>
            <w:r w:rsidR="0094757C" w:rsidRPr="0094757C">
              <w:rPr>
                <w:noProof/>
                <w:webHidden/>
                <w:sz w:val="24"/>
              </w:rPr>
              <w:fldChar w:fldCharType="begin"/>
            </w:r>
            <w:r w:rsidR="0094757C" w:rsidRPr="0094757C">
              <w:rPr>
                <w:noProof/>
                <w:webHidden/>
                <w:sz w:val="24"/>
              </w:rPr>
              <w:instrText xml:space="preserve"> PAGEREF _Toc351363972 \h </w:instrText>
            </w:r>
            <w:r w:rsidR="0094757C" w:rsidRPr="0094757C">
              <w:rPr>
                <w:noProof/>
                <w:webHidden/>
                <w:sz w:val="24"/>
              </w:rPr>
            </w:r>
            <w:r w:rsidR="0094757C" w:rsidRPr="0094757C">
              <w:rPr>
                <w:noProof/>
                <w:webHidden/>
                <w:sz w:val="24"/>
              </w:rPr>
              <w:fldChar w:fldCharType="separate"/>
            </w:r>
            <w:r w:rsidR="0094757C" w:rsidRPr="0094757C">
              <w:rPr>
                <w:noProof/>
                <w:webHidden/>
                <w:sz w:val="24"/>
              </w:rPr>
              <w:t>4</w:t>
            </w:r>
            <w:r w:rsidR="0094757C" w:rsidRPr="0094757C">
              <w:rPr>
                <w:noProof/>
                <w:webHidden/>
                <w:sz w:val="24"/>
              </w:rPr>
              <w:fldChar w:fldCharType="end"/>
            </w:r>
          </w:hyperlink>
        </w:p>
        <w:p w:rsidR="0094757C" w:rsidRPr="0094757C" w:rsidRDefault="008831CC">
          <w:pPr>
            <w:pStyle w:val="TOC1"/>
            <w:tabs>
              <w:tab w:val="right" w:leader="dot" w:pos="9017"/>
            </w:tabs>
            <w:rPr>
              <w:rFonts w:asciiTheme="minorHAnsi" w:eastAsiaTheme="minorEastAsia" w:hAnsiTheme="minorHAnsi" w:cstheme="minorBidi"/>
              <w:noProof/>
              <w:sz w:val="28"/>
              <w:szCs w:val="22"/>
              <w:lang w:eastAsia="en-AU"/>
            </w:rPr>
          </w:pPr>
          <w:hyperlink w:anchor="_Toc351363973" w:history="1">
            <w:r w:rsidR="0094757C" w:rsidRPr="0094757C">
              <w:rPr>
                <w:rStyle w:val="Hyperlink"/>
                <w:rFonts w:ascii="Calibri" w:hAnsi="Calibri" w:cs="Calibri"/>
                <w:noProof/>
                <w:sz w:val="24"/>
              </w:rPr>
              <w:t>A common definition of ‘small business’</w:t>
            </w:r>
            <w:r w:rsidR="0094757C" w:rsidRPr="0094757C">
              <w:rPr>
                <w:noProof/>
                <w:webHidden/>
                <w:sz w:val="24"/>
              </w:rPr>
              <w:tab/>
            </w:r>
            <w:r w:rsidR="0094757C" w:rsidRPr="0094757C">
              <w:rPr>
                <w:noProof/>
                <w:webHidden/>
                <w:sz w:val="24"/>
              </w:rPr>
              <w:fldChar w:fldCharType="begin"/>
            </w:r>
            <w:r w:rsidR="0094757C" w:rsidRPr="0094757C">
              <w:rPr>
                <w:noProof/>
                <w:webHidden/>
                <w:sz w:val="24"/>
              </w:rPr>
              <w:instrText xml:space="preserve"> PAGEREF _Toc351363973 \h </w:instrText>
            </w:r>
            <w:r w:rsidR="0094757C" w:rsidRPr="0094757C">
              <w:rPr>
                <w:noProof/>
                <w:webHidden/>
                <w:sz w:val="24"/>
              </w:rPr>
            </w:r>
            <w:r w:rsidR="0094757C" w:rsidRPr="0094757C">
              <w:rPr>
                <w:noProof/>
                <w:webHidden/>
                <w:sz w:val="24"/>
              </w:rPr>
              <w:fldChar w:fldCharType="separate"/>
            </w:r>
            <w:r w:rsidR="0094757C" w:rsidRPr="0094757C">
              <w:rPr>
                <w:noProof/>
                <w:webHidden/>
                <w:sz w:val="24"/>
              </w:rPr>
              <w:t>5</w:t>
            </w:r>
            <w:r w:rsidR="0094757C" w:rsidRPr="0094757C">
              <w:rPr>
                <w:noProof/>
                <w:webHidden/>
                <w:sz w:val="24"/>
              </w:rPr>
              <w:fldChar w:fldCharType="end"/>
            </w:r>
          </w:hyperlink>
        </w:p>
        <w:p w:rsidR="0094757C" w:rsidRPr="0094757C" w:rsidRDefault="008831CC">
          <w:pPr>
            <w:pStyle w:val="TOC1"/>
            <w:tabs>
              <w:tab w:val="right" w:leader="dot" w:pos="9017"/>
            </w:tabs>
            <w:rPr>
              <w:rFonts w:asciiTheme="minorHAnsi" w:eastAsiaTheme="minorEastAsia" w:hAnsiTheme="minorHAnsi" w:cstheme="minorBidi"/>
              <w:noProof/>
              <w:sz w:val="28"/>
              <w:szCs w:val="22"/>
              <w:lang w:eastAsia="en-AU"/>
            </w:rPr>
          </w:pPr>
          <w:hyperlink w:anchor="_Toc351363974" w:history="1">
            <w:r w:rsidR="0094757C" w:rsidRPr="0094757C">
              <w:rPr>
                <w:rStyle w:val="Hyperlink"/>
                <w:rFonts w:ascii="Calibri" w:hAnsi="Calibri" w:cs="Calibri"/>
                <w:noProof/>
                <w:sz w:val="24"/>
              </w:rPr>
              <w:t>Always consider small business exemptions</w:t>
            </w:r>
            <w:r w:rsidR="0094757C" w:rsidRPr="0094757C">
              <w:rPr>
                <w:noProof/>
                <w:webHidden/>
                <w:sz w:val="24"/>
              </w:rPr>
              <w:tab/>
            </w:r>
            <w:r w:rsidR="0094757C" w:rsidRPr="0094757C">
              <w:rPr>
                <w:noProof/>
                <w:webHidden/>
                <w:sz w:val="24"/>
              </w:rPr>
              <w:fldChar w:fldCharType="begin"/>
            </w:r>
            <w:r w:rsidR="0094757C" w:rsidRPr="0094757C">
              <w:rPr>
                <w:noProof/>
                <w:webHidden/>
                <w:sz w:val="24"/>
              </w:rPr>
              <w:instrText xml:space="preserve"> PAGEREF _Toc351363974 \h </w:instrText>
            </w:r>
            <w:r w:rsidR="0094757C" w:rsidRPr="0094757C">
              <w:rPr>
                <w:noProof/>
                <w:webHidden/>
                <w:sz w:val="24"/>
              </w:rPr>
            </w:r>
            <w:r w:rsidR="0094757C" w:rsidRPr="0094757C">
              <w:rPr>
                <w:noProof/>
                <w:webHidden/>
                <w:sz w:val="24"/>
              </w:rPr>
              <w:fldChar w:fldCharType="separate"/>
            </w:r>
            <w:r w:rsidR="0094757C" w:rsidRPr="0094757C">
              <w:rPr>
                <w:noProof/>
                <w:webHidden/>
                <w:sz w:val="24"/>
              </w:rPr>
              <w:t>5</w:t>
            </w:r>
            <w:r w:rsidR="0094757C" w:rsidRPr="0094757C">
              <w:rPr>
                <w:noProof/>
                <w:webHidden/>
                <w:sz w:val="24"/>
              </w:rPr>
              <w:fldChar w:fldCharType="end"/>
            </w:r>
          </w:hyperlink>
        </w:p>
        <w:p w:rsidR="0094757C" w:rsidRPr="0094757C" w:rsidRDefault="008831CC">
          <w:pPr>
            <w:pStyle w:val="TOC1"/>
            <w:tabs>
              <w:tab w:val="right" w:leader="dot" w:pos="9017"/>
            </w:tabs>
            <w:rPr>
              <w:rFonts w:asciiTheme="minorHAnsi" w:eastAsiaTheme="minorEastAsia" w:hAnsiTheme="minorHAnsi" w:cstheme="minorBidi"/>
              <w:noProof/>
              <w:sz w:val="28"/>
              <w:szCs w:val="22"/>
              <w:lang w:eastAsia="en-AU"/>
            </w:rPr>
          </w:pPr>
          <w:hyperlink w:anchor="_Toc351363975" w:history="1">
            <w:r w:rsidR="0094757C" w:rsidRPr="0094757C">
              <w:rPr>
                <w:rStyle w:val="Hyperlink"/>
                <w:rFonts w:ascii="Calibri" w:hAnsi="Calibri" w:cs="Calibri"/>
                <w:noProof/>
                <w:sz w:val="24"/>
              </w:rPr>
              <w:t>Avoid unnecessary Federal intervention</w:t>
            </w:r>
            <w:r w:rsidR="0094757C" w:rsidRPr="0094757C">
              <w:rPr>
                <w:noProof/>
                <w:webHidden/>
                <w:sz w:val="24"/>
              </w:rPr>
              <w:tab/>
            </w:r>
            <w:r w:rsidR="0094757C" w:rsidRPr="0094757C">
              <w:rPr>
                <w:noProof/>
                <w:webHidden/>
                <w:sz w:val="24"/>
              </w:rPr>
              <w:fldChar w:fldCharType="begin"/>
            </w:r>
            <w:r w:rsidR="0094757C" w:rsidRPr="0094757C">
              <w:rPr>
                <w:noProof/>
                <w:webHidden/>
                <w:sz w:val="24"/>
              </w:rPr>
              <w:instrText xml:space="preserve"> PAGEREF _Toc351363975 \h </w:instrText>
            </w:r>
            <w:r w:rsidR="0094757C" w:rsidRPr="0094757C">
              <w:rPr>
                <w:noProof/>
                <w:webHidden/>
                <w:sz w:val="24"/>
              </w:rPr>
            </w:r>
            <w:r w:rsidR="0094757C" w:rsidRPr="0094757C">
              <w:rPr>
                <w:noProof/>
                <w:webHidden/>
                <w:sz w:val="24"/>
              </w:rPr>
              <w:fldChar w:fldCharType="separate"/>
            </w:r>
            <w:r w:rsidR="0094757C" w:rsidRPr="0094757C">
              <w:rPr>
                <w:noProof/>
                <w:webHidden/>
                <w:sz w:val="24"/>
              </w:rPr>
              <w:t>6</w:t>
            </w:r>
            <w:r w:rsidR="0094757C" w:rsidRPr="0094757C">
              <w:rPr>
                <w:noProof/>
                <w:webHidden/>
                <w:sz w:val="24"/>
              </w:rPr>
              <w:fldChar w:fldCharType="end"/>
            </w:r>
          </w:hyperlink>
        </w:p>
        <w:p w:rsidR="0094757C" w:rsidRPr="0094757C" w:rsidRDefault="008831CC">
          <w:pPr>
            <w:pStyle w:val="TOC1"/>
            <w:tabs>
              <w:tab w:val="right" w:leader="dot" w:pos="9017"/>
            </w:tabs>
            <w:rPr>
              <w:rFonts w:asciiTheme="minorHAnsi" w:eastAsiaTheme="minorEastAsia" w:hAnsiTheme="minorHAnsi" w:cstheme="minorBidi"/>
              <w:noProof/>
              <w:sz w:val="28"/>
              <w:szCs w:val="22"/>
              <w:lang w:eastAsia="en-AU"/>
            </w:rPr>
          </w:pPr>
          <w:hyperlink w:anchor="_Toc351363976" w:history="1">
            <w:r w:rsidR="0094757C" w:rsidRPr="0094757C">
              <w:rPr>
                <w:rStyle w:val="Hyperlink"/>
                <w:rFonts w:ascii="Calibri" w:hAnsi="Calibri" w:cs="Calibri"/>
                <w:noProof/>
                <w:sz w:val="24"/>
              </w:rPr>
              <w:t>Conclusion</w:t>
            </w:r>
            <w:r w:rsidR="0094757C" w:rsidRPr="0094757C">
              <w:rPr>
                <w:noProof/>
                <w:webHidden/>
                <w:sz w:val="24"/>
              </w:rPr>
              <w:tab/>
            </w:r>
            <w:r w:rsidR="0094757C" w:rsidRPr="0094757C">
              <w:rPr>
                <w:noProof/>
                <w:webHidden/>
                <w:sz w:val="24"/>
              </w:rPr>
              <w:fldChar w:fldCharType="begin"/>
            </w:r>
            <w:r w:rsidR="0094757C" w:rsidRPr="0094757C">
              <w:rPr>
                <w:noProof/>
                <w:webHidden/>
                <w:sz w:val="24"/>
              </w:rPr>
              <w:instrText xml:space="preserve"> PAGEREF _Toc351363976 \h </w:instrText>
            </w:r>
            <w:r w:rsidR="0094757C" w:rsidRPr="0094757C">
              <w:rPr>
                <w:noProof/>
                <w:webHidden/>
                <w:sz w:val="24"/>
              </w:rPr>
            </w:r>
            <w:r w:rsidR="0094757C" w:rsidRPr="0094757C">
              <w:rPr>
                <w:noProof/>
                <w:webHidden/>
                <w:sz w:val="24"/>
              </w:rPr>
              <w:fldChar w:fldCharType="separate"/>
            </w:r>
            <w:r w:rsidR="0094757C" w:rsidRPr="0094757C">
              <w:rPr>
                <w:noProof/>
                <w:webHidden/>
                <w:sz w:val="24"/>
              </w:rPr>
              <w:t>6</w:t>
            </w:r>
            <w:r w:rsidR="0094757C" w:rsidRPr="0094757C">
              <w:rPr>
                <w:noProof/>
                <w:webHidden/>
                <w:sz w:val="24"/>
              </w:rPr>
              <w:fldChar w:fldCharType="end"/>
            </w:r>
          </w:hyperlink>
        </w:p>
        <w:p w:rsidR="0094757C" w:rsidRPr="0094757C" w:rsidRDefault="008831CC">
          <w:pPr>
            <w:pStyle w:val="TOC1"/>
            <w:tabs>
              <w:tab w:val="right" w:leader="dot" w:pos="9017"/>
            </w:tabs>
            <w:rPr>
              <w:rFonts w:asciiTheme="minorHAnsi" w:eastAsiaTheme="minorEastAsia" w:hAnsiTheme="minorHAnsi" w:cstheme="minorBidi"/>
              <w:noProof/>
              <w:sz w:val="28"/>
              <w:szCs w:val="22"/>
              <w:lang w:eastAsia="en-AU"/>
            </w:rPr>
          </w:pPr>
          <w:hyperlink w:anchor="_Toc351363977" w:history="1">
            <w:r w:rsidR="0094757C" w:rsidRPr="0094757C">
              <w:rPr>
                <w:rStyle w:val="Hyperlink"/>
                <w:rFonts w:ascii="Calibri" w:hAnsi="Calibri" w:cs="Calibri"/>
                <w:noProof/>
                <w:sz w:val="24"/>
              </w:rPr>
              <w:t>Contact</w:t>
            </w:r>
            <w:r w:rsidR="0094757C" w:rsidRPr="0094757C">
              <w:rPr>
                <w:noProof/>
                <w:webHidden/>
                <w:sz w:val="24"/>
              </w:rPr>
              <w:tab/>
            </w:r>
            <w:r w:rsidR="0094757C" w:rsidRPr="0094757C">
              <w:rPr>
                <w:noProof/>
                <w:webHidden/>
                <w:sz w:val="24"/>
              </w:rPr>
              <w:fldChar w:fldCharType="begin"/>
            </w:r>
            <w:r w:rsidR="0094757C" w:rsidRPr="0094757C">
              <w:rPr>
                <w:noProof/>
                <w:webHidden/>
                <w:sz w:val="24"/>
              </w:rPr>
              <w:instrText xml:space="preserve"> PAGEREF _Toc351363977 \h </w:instrText>
            </w:r>
            <w:r w:rsidR="0094757C" w:rsidRPr="0094757C">
              <w:rPr>
                <w:noProof/>
                <w:webHidden/>
                <w:sz w:val="24"/>
              </w:rPr>
            </w:r>
            <w:r w:rsidR="0094757C" w:rsidRPr="0094757C">
              <w:rPr>
                <w:noProof/>
                <w:webHidden/>
                <w:sz w:val="24"/>
              </w:rPr>
              <w:fldChar w:fldCharType="separate"/>
            </w:r>
            <w:r w:rsidR="0094757C" w:rsidRPr="0094757C">
              <w:rPr>
                <w:noProof/>
                <w:webHidden/>
                <w:sz w:val="24"/>
              </w:rPr>
              <w:t>6</w:t>
            </w:r>
            <w:r w:rsidR="0094757C" w:rsidRPr="0094757C">
              <w:rPr>
                <w:noProof/>
                <w:webHidden/>
                <w:sz w:val="24"/>
              </w:rPr>
              <w:fldChar w:fldCharType="end"/>
            </w:r>
          </w:hyperlink>
        </w:p>
        <w:p w:rsidR="009C0998" w:rsidRDefault="009C0998" w:rsidP="00055EA7">
          <w:pPr>
            <w:spacing w:after="0" w:line="240" w:lineRule="auto"/>
          </w:pPr>
          <w:r w:rsidRPr="0094757C">
            <w:rPr>
              <w:rFonts w:asciiTheme="minorHAnsi" w:hAnsiTheme="minorHAnsi" w:cstheme="minorHAnsi"/>
              <w:b/>
              <w:bCs/>
              <w:noProof/>
              <w:sz w:val="44"/>
              <w:szCs w:val="28"/>
            </w:rPr>
            <w:fldChar w:fldCharType="end"/>
          </w:r>
        </w:p>
      </w:sdtContent>
    </w:sdt>
    <w:p w:rsidR="009C0998" w:rsidRDefault="009C0998" w:rsidP="00055EA7">
      <w:pPr>
        <w:spacing w:after="0" w:line="240" w:lineRule="auto"/>
        <w:rPr>
          <w:rFonts w:ascii="Times New Roman" w:hAnsi="Times New Roman"/>
          <w:b/>
          <w:bCs/>
          <w:kern w:val="36"/>
          <w:sz w:val="48"/>
          <w:szCs w:val="48"/>
          <w:lang w:val="en-US" w:eastAsia="en-US"/>
        </w:rPr>
      </w:pPr>
      <w:r>
        <w:br w:type="page"/>
      </w:r>
    </w:p>
    <w:p w:rsidR="000B4015" w:rsidRPr="00502295" w:rsidRDefault="000B4015" w:rsidP="009F69FF">
      <w:pPr>
        <w:pStyle w:val="Heading1"/>
        <w:spacing w:before="0" w:beforeAutospacing="0" w:after="0" w:afterAutospacing="0"/>
        <w:rPr>
          <w:rFonts w:ascii="Calibri" w:hAnsi="Calibri" w:cs="Calibri"/>
          <w:color w:val="1F497D" w:themeColor="text2"/>
          <w:sz w:val="28"/>
          <w:szCs w:val="36"/>
        </w:rPr>
      </w:pPr>
      <w:bookmarkStart w:id="2" w:name="_Toc351363969"/>
      <w:r w:rsidRPr="00502295">
        <w:rPr>
          <w:rFonts w:ascii="Calibri" w:hAnsi="Calibri" w:cs="Calibri"/>
          <w:color w:val="1F497D" w:themeColor="text2"/>
          <w:sz w:val="28"/>
          <w:szCs w:val="36"/>
        </w:rPr>
        <w:lastRenderedPageBreak/>
        <w:t>About the AHA</w:t>
      </w:r>
      <w:bookmarkEnd w:id="2"/>
      <w:bookmarkEnd w:id="1"/>
    </w:p>
    <w:p w:rsidR="009F69FF" w:rsidRDefault="009F69FF" w:rsidP="00055EA7">
      <w:pPr>
        <w:spacing w:after="0" w:line="240" w:lineRule="auto"/>
        <w:rPr>
          <w:rFonts w:ascii="Calibri" w:hAnsi="Calibri" w:cs="Calibri"/>
          <w:szCs w:val="22"/>
        </w:rPr>
      </w:pPr>
    </w:p>
    <w:p w:rsidR="000B4015" w:rsidRDefault="000B4015" w:rsidP="00055EA7">
      <w:pPr>
        <w:spacing w:after="0" w:line="240" w:lineRule="auto"/>
        <w:rPr>
          <w:rFonts w:ascii="Calibri" w:hAnsi="Calibri" w:cs="Calibri"/>
          <w:szCs w:val="22"/>
        </w:rPr>
      </w:pPr>
      <w:r w:rsidRPr="006D5A03">
        <w:rPr>
          <w:rFonts w:ascii="Calibri" w:hAnsi="Calibri" w:cs="Calibri"/>
          <w:szCs w:val="22"/>
        </w:rPr>
        <w:t xml:space="preserve">The Australian Hotels Association (AHA) is an organisation of employers in the hotel and hospitality industry registered under the </w:t>
      </w:r>
      <w:r w:rsidRPr="006D5A03">
        <w:rPr>
          <w:rFonts w:ascii="Calibri" w:hAnsi="Calibri" w:cs="Calibri"/>
          <w:i/>
          <w:szCs w:val="22"/>
        </w:rPr>
        <w:t>Fair Work (Registered Organisations) Act 2009.</w:t>
      </w:r>
      <w:r w:rsidRPr="006D5A03">
        <w:rPr>
          <w:rFonts w:ascii="Calibri" w:hAnsi="Calibri" w:cs="Calibri"/>
          <w:szCs w:val="22"/>
        </w:rPr>
        <w:t xml:space="preserve">  Its membership of more than 5,000 licensed hotel businesses includes</w:t>
      </w:r>
      <w:r w:rsidR="00DB2913">
        <w:rPr>
          <w:rFonts w:ascii="Calibri" w:hAnsi="Calibri" w:cs="Calibri"/>
          <w:szCs w:val="22"/>
        </w:rPr>
        <w:t xml:space="preserve"> pub-style hotels plus</w:t>
      </w:r>
      <w:r w:rsidRPr="006D5A03">
        <w:rPr>
          <w:rFonts w:ascii="Calibri" w:hAnsi="Calibri" w:cs="Calibri"/>
          <w:szCs w:val="22"/>
        </w:rPr>
        <w:t xml:space="preserve"> three, four and five-star accommodation hotels located in eac</w:t>
      </w:r>
      <w:r w:rsidR="005F7702">
        <w:rPr>
          <w:rFonts w:ascii="Calibri" w:hAnsi="Calibri" w:cs="Calibri"/>
          <w:szCs w:val="22"/>
        </w:rPr>
        <w:t xml:space="preserve">h state and territory.  The AHA’s members are serviced by </w:t>
      </w:r>
      <w:r w:rsidRPr="006D5A03">
        <w:rPr>
          <w:rFonts w:ascii="Calibri" w:hAnsi="Calibri" w:cs="Calibri"/>
          <w:szCs w:val="22"/>
        </w:rPr>
        <w:t>branches located in every Australian capital city and a Canberra-based national office.</w:t>
      </w:r>
      <w:r w:rsidR="005F7702">
        <w:rPr>
          <w:rFonts w:ascii="Calibri" w:hAnsi="Calibri" w:cs="Calibri"/>
          <w:szCs w:val="22"/>
        </w:rPr>
        <w:t xml:space="preserve">  Accommodation hotels are represented by Tourism Accommodation Australia, a division of the AHA.</w:t>
      </w:r>
    </w:p>
    <w:p w:rsidR="002A35D3" w:rsidRDefault="002A35D3" w:rsidP="00055EA7">
      <w:pPr>
        <w:spacing w:after="0" w:line="240" w:lineRule="auto"/>
        <w:rPr>
          <w:rFonts w:ascii="Calibri" w:hAnsi="Calibri" w:cs="Calibri"/>
          <w:szCs w:val="22"/>
        </w:rPr>
      </w:pPr>
    </w:p>
    <w:p w:rsidR="002A35D3" w:rsidRDefault="002A35D3" w:rsidP="00055EA7">
      <w:pPr>
        <w:spacing w:after="0" w:line="240" w:lineRule="auto"/>
        <w:rPr>
          <w:rFonts w:ascii="Calibri" w:hAnsi="Calibri" w:cs="Calibri"/>
          <w:szCs w:val="22"/>
        </w:rPr>
      </w:pPr>
    </w:p>
    <w:p w:rsidR="00871FA9" w:rsidRPr="00502295" w:rsidRDefault="00F004F2" w:rsidP="009F69FF">
      <w:pPr>
        <w:pStyle w:val="Heading1"/>
        <w:spacing w:before="0" w:beforeAutospacing="0" w:after="0" w:afterAutospacing="0"/>
        <w:rPr>
          <w:rFonts w:ascii="Calibri" w:hAnsi="Calibri" w:cs="Calibri"/>
          <w:color w:val="1F497D" w:themeColor="text2"/>
          <w:sz w:val="28"/>
          <w:szCs w:val="36"/>
        </w:rPr>
      </w:pPr>
      <w:bookmarkStart w:id="3" w:name="_Toc351363970"/>
      <w:r w:rsidRPr="00502295">
        <w:rPr>
          <w:rFonts w:ascii="Calibri" w:hAnsi="Calibri" w:cs="Calibri"/>
          <w:color w:val="1F497D" w:themeColor="text2"/>
          <w:sz w:val="28"/>
          <w:szCs w:val="36"/>
        </w:rPr>
        <w:t>The Australian tourism and hospitality industry</w:t>
      </w:r>
      <w:bookmarkEnd w:id="3"/>
      <w:r w:rsidRPr="00502295">
        <w:rPr>
          <w:rFonts w:ascii="Calibri" w:hAnsi="Calibri" w:cs="Calibri"/>
          <w:color w:val="1F497D" w:themeColor="text2"/>
          <w:sz w:val="28"/>
          <w:szCs w:val="36"/>
        </w:rPr>
        <w:t xml:space="preserve"> </w:t>
      </w:r>
    </w:p>
    <w:p w:rsidR="009F69FF" w:rsidRDefault="009F69FF" w:rsidP="00055EA7">
      <w:pPr>
        <w:spacing w:after="0" w:line="240" w:lineRule="auto"/>
        <w:rPr>
          <w:rFonts w:ascii="Calibri" w:hAnsi="Calibri" w:cs="Calibri"/>
          <w:szCs w:val="22"/>
        </w:rPr>
      </w:pPr>
    </w:p>
    <w:p w:rsidR="00D951AC" w:rsidRPr="00340E98" w:rsidRDefault="00F75F6F" w:rsidP="00055EA7">
      <w:pPr>
        <w:spacing w:after="0" w:line="240" w:lineRule="auto"/>
        <w:rPr>
          <w:rFonts w:ascii="Calibri" w:hAnsi="Calibri" w:cs="Calibri"/>
          <w:szCs w:val="22"/>
        </w:rPr>
      </w:pPr>
      <w:r w:rsidRPr="00340E98">
        <w:rPr>
          <w:rFonts w:ascii="Calibri" w:hAnsi="Calibri" w:cs="Calibri"/>
          <w:szCs w:val="22"/>
        </w:rPr>
        <w:t>Within the $70 billion Australian tourism industry</w:t>
      </w:r>
      <w:r w:rsidRPr="00340E98">
        <w:rPr>
          <w:rStyle w:val="FootnoteReference"/>
          <w:rFonts w:ascii="Calibri" w:hAnsi="Calibri"/>
          <w:szCs w:val="22"/>
        </w:rPr>
        <w:footnoteReference w:id="1"/>
      </w:r>
      <w:r w:rsidRPr="00340E98">
        <w:rPr>
          <w:rFonts w:ascii="Calibri" w:hAnsi="Calibri" w:cs="Calibri"/>
          <w:szCs w:val="22"/>
        </w:rPr>
        <w:t>, t</w:t>
      </w:r>
      <w:r w:rsidR="00BC1E00" w:rsidRPr="00340E98">
        <w:rPr>
          <w:rFonts w:ascii="Calibri" w:hAnsi="Calibri" w:cs="Calibri"/>
          <w:szCs w:val="22"/>
        </w:rPr>
        <w:t xml:space="preserve">he hotel </w:t>
      </w:r>
      <w:r w:rsidRPr="00340E98">
        <w:rPr>
          <w:rFonts w:ascii="Calibri" w:hAnsi="Calibri" w:cs="Calibri"/>
          <w:szCs w:val="22"/>
        </w:rPr>
        <w:t>sector</w:t>
      </w:r>
      <w:r w:rsidR="00BC1E00" w:rsidRPr="00340E98">
        <w:rPr>
          <w:rFonts w:ascii="Calibri" w:hAnsi="Calibri" w:cs="Calibri"/>
          <w:szCs w:val="22"/>
        </w:rPr>
        <w:t xml:space="preserve"> is </w:t>
      </w:r>
      <w:r w:rsidR="007F1F55" w:rsidRPr="00340E98">
        <w:rPr>
          <w:rFonts w:ascii="Calibri" w:hAnsi="Calibri" w:cs="Calibri"/>
          <w:szCs w:val="22"/>
        </w:rPr>
        <w:t>the most</w:t>
      </w:r>
      <w:r w:rsidR="00BC1E00" w:rsidRPr="00340E98">
        <w:rPr>
          <w:rFonts w:ascii="Calibri" w:hAnsi="Calibri" w:cs="Calibri"/>
          <w:szCs w:val="22"/>
        </w:rPr>
        <w:t xml:space="preserve"> significant employer, with more than 278,000 persons employed between the pub sector (188,000)</w:t>
      </w:r>
      <w:r w:rsidR="00BC1E00" w:rsidRPr="00340E98">
        <w:rPr>
          <w:rStyle w:val="FootnoteReference"/>
          <w:rFonts w:ascii="Calibri" w:hAnsi="Calibri"/>
          <w:szCs w:val="22"/>
        </w:rPr>
        <w:footnoteReference w:id="2"/>
      </w:r>
      <w:r w:rsidR="00BC1E00" w:rsidRPr="00340E98">
        <w:rPr>
          <w:rFonts w:ascii="Calibri" w:hAnsi="Calibri" w:cs="Calibri"/>
          <w:szCs w:val="22"/>
        </w:rPr>
        <w:t xml:space="preserve"> and the accommodation sector (90,000)</w:t>
      </w:r>
      <w:r w:rsidR="00BC1E00" w:rsidRPr="00340E98">
        <w:rPr>
          <w:rStyle w:val="FootnoteReference"/>
          <w:rFonts w:ascii="Calibri" w:hAnsi="Calibri"/>
          <w:szCs w:val="22"/>
        </w:rPr>
        <w:t xml:space="preserve"> </w:t>
      </w:r>
      <w:r w:rsidR="00BC1E00" w:rsidRPr="00340E98">
        <w:rPr>
          <w:rStyle w:val="FootnoteReference"/>
          <w:rFonts w:ascii="Calibri" w:hAnsi="Calibri"/>
          <w:szCs w:val="22"/>
        </w:rPr>
        <w:footnoteReference w:id="3"/>
      </w:r>
      <w:r w:rsidR="00BC1E00" w:rsidRPr="00340E98">
        <w:rPr>
          <w:rFonts w:ascii="Calibri" w:hAnsi="Calibri" w:cs="Calibri"/>
          <w:szCs w:val="22"/>
        </w:rPr>
        <w:t>, and an annual wages and salaries contribution of $5.41 billion.  In addition there are an estimated 20,000 employees in the casino sector</w:t>
      </w:r>
      <w:r w:rsidR="00BC1E00" w:rsidRPr="00340E98">
        <w:rPr>
          <w:rStyle w:val="FootnoteReference"/>
          <w:rFonts w:ascii="Calibri" w:hAnsi="Calibri"/>
          <w:szCs w:val="22"/>
        </w:rPr>
        <w:footnoteReference w:id="4"/>
      </w:r>
      <w:r w:rsidR="00BC1E00" w:rsidRPr="00340E98">
        <w:rPr>
          <w:rFonts w:ascii="Calibri" w:hAnsi="Calibri" w:cs="Calibri"/>
          <w:szCs w:val="22"/>
        </w:rPr>
        <w:t xml:space="preserve">.  </w:t>
      </w:r>
      <w:r w:rsidR="00D951AC" w:rsidRPr="00340E98">
        <w:rPr>
          <w:rFonts w:ascii="Calibri" w:hAnsi="Calibri" w:cs="Calibri"/>
          <w:szCs w:val="22"/>
        </w:rPr>
        <w:t>Estimates of total industry revenue vary between $11.1 billion (ABS) and $14.4 billion (IBIS World) per annum.</w:t>
      </w:r>
      <w:r w:rsidR="00D951AC" w:rsidRPr="00340E98">
        <w:rPr>
          <w:rStyle w:val="FootnoteReference"/>
          <w:rFonts w:ascii="Calibri" w:hAnsi="Calibri"/>
          <w:szCs w:val="22"/>
        </w:rPr>
        <w:footnoteReference w:id="5"/>
      </w:r>
      <w:r w:rsidR="00D951AC" w:rsidRPr="00340E98">
        <w:rPr>
          <w:rFonts w:ascii="Calibri" w:hAnsi="Calibri" w:cs="Calibri"/>
          <w:szCs w:val="22"/>
        </w:rPr>
        <w:t xml:space="preserve"> </w:t>
      </w:r>
    </w:p>
    <w:p w:rsidR="00D951AC" w:rsidRPr="00340E98" w:rsidRDefault="00D951AC" w:rsidP="00055EA7">
      <w:pPr>
        <w:spacing w:after="0" w:line="240" w:lineRule="auto"/>
        <w:rPr>
          <w:rFonts w:ascii="Calibri" w:hAnsi="Calibri" w:cs="Calibri"/>
          <w:szCs w:val="22"/>
        </w:rPr>
      </w:pPr>
    </w:p>
    <w:p w:rsidR="00D951AC" w:rsidRPr="00340E98" w:rsidRDefault="00BC1E00" w:rsidP="00055EA7">
      <w:pPr>
        <w:spacing w:after="0" w:line="240" w:lineRule="auto"/>
        <w:rPr>
          <w:rFonts w:ascii="Calibri" w:hAnsi="Calibri" w:cs="Calibri"/>
          <w:szCs w:val="22"/>
        </w:rPr>
      </w:pPr>
      <w:r w:rsidRPr="00340E98">
        <w:rPr>
          <w:rFonts w:ascii="Calibri" w:hAnsi="Calibri" w:cs="Calibri"/>
          <w:szCs w:val="22"/>
        </w:rPr>
        <w:t xml:space="preserve">Although some hotels are large-scale operations with hundreds of employees which form part of national or international chains, the majority of </w:t>
      </w:r>
      <w:r w:rsidR="00D951AC" w:rsidRPr="00340E98">
        <w:rPr>
          <w:rFonts w:ascii="Calibri" w:hAnsi="Calibri" w:cs="Calibri"/>
          <w:szCs w:val="22"/>
        </w:rPr>
        <w:t>Australian hotels</w:t>
      </w:r>
      <w:r w:rsidRPr="00340E98">
        <w:rPr>
          <w:rFonts w:ascii="Calibri" w:hAnsi="Calibri" w:cs="Calibri"/>
          <w:szCs w:val="22"/>
        </w:rPr>
        <w:t xml:space="preserve"> are small, locally-owned businesses serving their surrounding communities.  In 2005-06 only 145 of 65,197 businesses in the ABS Accommodation, Cafes &amp; Restaurants sector employed more than 100 people.</w:t>
      </w:r>
      <w:r w:rsidRPr="00340E98">
        <w:rPr>
          <w:rStyle w:val="FootnoteReference"/>
          <w:rFonts w:ascii="Calibri" w:hAnsi="Calibri" w:cs="Calibri"/>
          <w:szCs w:val="22"/>
        </w:rPr>
        <w:footnoteReference w:id="6"/>
      </w:r>
      <w:r w:rsidR="00843EB3" w:rsidRPr="00340E98">
        <w:rPr>
          <w:rFonts w:ascii="Calibri" w:hAnsi="Calibri" w:cs="Calibri"/>
          <w:szCs w:val="22"/>
        </w:rPr>
        <w:t xml:space="preserve">  </w:t>
      </w:r>
      <w:r w:rsidR="00D951AC" w:rsidRPr="00340E98">
        <w:rPr>
          <w:rFonts w:ascii="Calibri" w:hAnsi="Calibri" w:cs="Calibri"/>
          <w:szCs w:val="22"/>
        </w:rPr>
        <w:t xml:space="preserve">In its 2009 report </w:t>
      </w:r>
      <w:r w:rsidR="00D951AC" w:rsidRPr="00F004F2">
        <w:rPr>
          <w:rFonts w:ascii="Calibri" w:hAnsi="Calibri" w:cs="Calibri"/>
          <w:i/>
          <w:szCs w:val="22"/>
        </w:rPr>
        <w:t>Australian Hotels: More than just a drink and a flutter</w:t>
      </w:r>
      <w:r w:rsidR="00D951AC" w:rsidRPr="00340E98">
        <w:rPr>
          <w:rFonts w:ascii="Calibri" w:hAnsi="Calibri" w:cs="Calibri"/>
          <w:szCs w:val="22"/>
        </w:rPr>
        <w:t>, PricewaterhouseCoopers stated:</w:t>
      </w:r>
    </w:p>
    <w:p w:rsidR="00D951AC" w:rsidRPr="00340E98" w:rsidRDefault="00D951AC" w:rsidP="00055EA7">
      <w:pPr>
        <w:spacing w:after="0" w:line="240" w:lineRule="auto"/>
        <w:rPr>
          <w:rFonts w:ascii="Calibri" w:hAnsi="Calibri" w:cs="Calibri"/>
          <w:szCs w:val="22"/>
        </w:rPr>
      </w:pPr>
    </w:p>
    <w:p w:rsidR="00D951AC" w:rsidRPr="00340E98" w:rsidRDefault="00D951AC" w:rsidP="00055EA7">
      <w:pPr>
        <w:spacing w:after="0" w:line="240" w:lineRule="auto"/>
        <w:ind w:left="720" w:right="805"/>
        <w:rPr>
          <w:rFonts w:ascii="Calibri" w:hAnsi="Calibri" w:cs="Calibri"/>
          <w:i/>
          <w:szCs w:val="22"/>
        </w:rPr>
      </w:pPr>
      <w:r w:rsidRPr="00340E98">
        <w:rPr>
          <w:rFonts w:ascii="Calibri" w:hAnsi="Calibri" w:cs="Calibri"/>
          <w:i/>
          <w:szCs w:val="22"/>
        </w:rPr>
        <w:t>“The industry remains characterised by small, independent pub owners who lack a chain or franchise affiliation. These businesses make up approximately 88% of the market share.”</w:t>
      </w:r>
      <w:r w:rsidRPr="00340E98">
        <w:rPr>
          <w:rStyle w:val="FootnoteReference"/>
          <w:rFonts w:ascii="Calibri" w:hAnsi="Calibri"/>
          <w:i/>
          <w:szCs w:val="22"/>
        </w:rPr>
        <w:footnoteReference w:id="7"/>
      </w:r>
    </w:p>
    <w:p w:rsidR="00BC1E00" w:rsidRPr="00340E98" w:rsidRDefault="00BC1E00" w:rsidP="00055EA7">
      <w:pPr>
        <w:spacing w:after="0" w:line="240" w:lineRule="auto"/>
        <w:rPr>
          <w:rFonts w:ascii="Calibri" w:hAnsi="Calibri" w:cs="Calibri"/>
          <w:szCs w:val="22"/>
        </w:rPr>
      </w:pPr>
    </w:p>
    <w:p w:rsidR="00BC1E00" w:rsidRDefault="00BA2F1A" w:rsidP="00055EA7">
      <w:pPr>
        <w:spacing w:after="0" w:line="240" w:lineRule="auto"/>
        <w:rPr>
          <w:rFonts w:ascii="Calibri" w:hAnsi="Calibri" w:cs="Calibri"/>
          <w:szCs w:val="22"/>
        </w:rPr>
      </w:pPr>
      <w:r>
        <w:rPr>
          <w:rFonts w:ascii="Calibri" w:hAnsi="Calibri" w:cs="Calibri"/>
          <w:szCs w:val="22"/>
        </w:rPr>
        <w:t>Around one-third of the AHA’s members are located in regional areas, where</w:t>
      </w:r>
      <w:r w:rsidR="00D951AC" w:rsidRPr="00340E98">
        <w:rPr>
          <w:rFonts w:ascii="Calibri" w:hAnsi="Calibri" w:cs="Calibri"/>
          <w:szCs w:val="22"/>
        </w:rPr>
        <w:t xml:space="preserve"> hotels play central roles as a social hub, a provider of food, entertainment and banking services and a community meeting place, but also as one of the larger employers.  Despite this, the</w:t>
      </w:r>
      <w:r w:rsidR="00BC1E00" w:rsidRPr="00340E98">
        <w:rPr>
          <w:rFonts w:ascii="Calibri" w:hAnsi="Calibri" w:cs="Calibri"/>
          <w:szCs w:val="22"/>
        </w:rPr>
        <w:t xml:space="preserve"> ability of the hospitality industry to employ large numbers of Australians is highly volatile.  For example, the change in the number of people employed in the industry between 2005 and 2008 fluctuated greatly: an increase of 46,100 in 2005 was followed by a 49,700 decrease in 2006, </w:t>
      </w:r>
      <w:r w:rsidR="00F80FEE" w:rsidRPr="00340E98">
        <w:rPr>
          <w:rFonts w:ascii="Calibri" w:hAnsi="Calibri" w:cs="Calibri"/>
          <w:szCs w:val="22"/>
        </w:rPr>
        <w:t>and</w:t>
      </w:r>
      <w:r w:rsidR="00BC1E00" w:rsidRPr="00340E98">
        <w:rPr>
          <w:rFonts w:ascii="Calibri" w:hAnsi="Calibri" w:cs="Calibri"/>
          <w:szCs w:val="22"/>
        </w:rPr>
        <w:t xml:space="preserve"> a 69,600 increase in 2007 was followed by a 12,700 drop in 2008.</w:t>
      </w:r>
      <w:r w:rsidR="00BC1E00" w:rsidRPr="00340E98">
        <w:rPr>
          <w:rStyle w:val="FootnoteReference"/>
          <w:rFonts w:ascii="Calibri" w:hAnsi="Calibri" w:cs="Calibri"/>
          <w:szCs w:val="22"/>
        </w:rPr>
        <w:footnoteReference w:id="8"/>
      </w:r>
    </w:p>
    <w:p w:rsidR="00BA2F1A" w:rsidRDefault="00BA2F1A" w:rsidP="00055EA7">
      <w:pPr>
        <w:spacing w:after="0" w:line="240" w:lineRule="auto"/>
        <w:rPr>
          <w:rFonts w:ascii="Calibri" w:hAnsi="Calibri" w:cs="Calibri"/>
          <w:szCs w:val="22"/>
        </w:rPr>
      </w:pPr>
    </w:p>
    <w:p w:rsidR="00BA2F1A" w:rsidRDefault="00BA2F1A" w:rsidP="00055EA7">
      <w:pPr>
        <w:spacing w:after="0" w:line="240" w:lineRule="auto"/>
        <w:rPr>
          <w:rFonts w:ascii="Calibri" w:hAnsi="Calibri" w:cs="Calibri"/>
          <w:szCs w:val="22"/>
        </w:rPr>
      </w:pPr>
      <w:r>
        <w:rPr>
          <w:rFonts w:ascii="Calibri" w:hAnsi="Calibri" w:cs="Calibri"/>
          <w:szCs w:val="22"/>
        </w:rPr>
        <w:t xml:space="preserve">Around one-third of the AHA’s members do not operate gaming machines and around ten per cent of members derive the majority of their income from providing overnight accommodation.  Although there </w:t>
      </w:r>
      <w:r w:rsidR="00AC7D36">
        <w:rPr>
          <w:rFonts w:ascii="Calibri" w:hAnsi="Calibri" w:cs="Calibri"/>
          <w:szCs w:val="22"/>
        </w:rPr>
        <w:t>are</w:t>
      </w:r>
      <w:r>
        <w:rPr>
          <w:rFonts w:ascii="Calibri" w:hAnsi="Calibri" w:cs="Calibri"/>
          <w:szCs w:val="22"/>
        </w:rPr>
        <w:t xml:space="preserve"> a small number of hoteliers who own the free-hold on their land and premises, the majority of hoteliers lease their premises.</w:t>
      </w:r>
    </w:p>
    <w:p w:rsidR="00F77501" w:rsidRPr="00340E98" w:rsidRDefault="00F77501" w:rsidP="00055EA7">
      <w:pPr>
        <w:spacing w:after="0" w:line="240" w:lineRule="auto"/>
        <w:rPr>
          <w:rFonts w:ascii="Calibri" w:hAnsi="Calibri" w:cs="Calibri"/>
          <w:szCs w:val="22"/>
        </w:rPr>
      </w:pPr>
    </w:p>
    <w:p w:rsidR="007F1F55" w:rsidRPr="00340E98" w:rsidRDefault="007F1F55" w:rsidP="00055EA7">
      <w:pPr>
        <w:spacing w:after="0" w:line="240" w:lineRule="auto"/>
        <w:rPr>
          <w:rFonts w:ascii="Calibri" w:hAnsi="Calibri" w:cs="Calibri"/>
          <w:szCs w:val="22"/>
        </w:rPr>
      </w:pPr>
    </w:p>
    <w:p w:rsidR="004B2300" w:rsidRPr="00502295" w:rsidRDefault="00F6250D" w:rsidP="009F69FF">
      <w:pPr>
        <w:pStyle w:val="Heading1"/>
        <w:spacing w:before="0" w:beforeAutospacing="0" w:after="0" w:afterAutospacing="0"/>
        <w:rPr>
          <w:rFonts w:ascii="Calibri" w:hAnsi="Calibri" w:cs="Calibri"/>
          <w:color w:val="1F497D" w:themeColor="text2"/>
          <w:sz w:val="28"/>
          <w:szCs w:val="36"/>
        </w:rPr>
      </w:pPr>
      <w:bookmarkStart w:id="4" w:name="_Toc351363971"/>
      <w:r w:rsidRPr="00502295">
        <w:rPr>
          <w:rFonts w:ascii="Calibri" w:hAnsi="Calibri" w:cs="Calibri"/>
          <w:color w:val="1F497D" w:themeColor="text2"/>
          <w:sz w:val="28"/>
          <w:szCs w:val="36"/>
        </w:rPr>
        <w:lastRenderedPageBreak/>
        <w:t>General principles</w:t>
      </w:r>
      <w:bookmarkEnd w:id="4"/>
    </w:p>
    <w:p w:rsidR="009F69FF" w:rsidRDefault="009F69FF" w:rsidP="00055EA7">
      <w:pPr>
        <w:spacing w:after="0" w:line="240" w:lineRule="auto"/>
        <w:rPr>
          <w:rFonts w:ascii="Calibri" w:hAnsi="Calibri" w:cs="Calibri"/>
          <w:szCs w:val="22"/>
        </w:rPr>
      </w:pPr>
    </w:p>
    <w:p w:rsidR="00BB1FAE" w:rsidRDefault="00F6250D" w:rsidP="00055EA7">
      <w:pPr>
        <w:spacing w:after="0" w:line="240" w:lineRule="auto"/>
        <w:rPr>
          <w:rFonts w:ascii="Calibri" w:hAnsi="Calibri" w:cs="Calibri"/>
          <w:szCs w:val="22"/>
        </w:rPr>
      </w:pPr>
      <w:r>
        <w:rPr>
          <w:rFonts w:ascii="Calibri" w:hAnsi="Calibri" w:cs="Calibri"/>
          <w:szCs w:val="22"/>
        </w:rPr>
        <w:t>The AHA understands that government regulation of business conduct is necessary in some areas to address to guard against unconscionable, anti-competitive or risky conduct.  The aim must be to find the appropriate balance of necessary, reasonable and efficient regulations that have minimal effect on the operation’s innovation, productivity, flexibility and aspiration – the factors which allow a business to maximise profitability, which ultimately benefits the whole economy.</w:t>
      </w:r>
      <w:r w:rsidR="00BB1FAE">
        <w:rPr>
          <w:rFonts w:ascii="Calibri" w:hAnsi="Calibri" w:cs="Calibri"/>
          <w:szCs w:val="22"/>
        </w:rPr>
        <w:t xml:space="preserve">  However the impact of regulation on business is not limited to the prohibition or limitation of certain practices.  The burden of time and additional cost that compliance with government legislation and regulation is known as ‘red tape’ and includes activities such as filling out forms, applying for permits and licences, reporting business information, and collating information for payment of fees and taxes.  </w:t>
      </w:r>
    </w:p>
    <w:p w:rsidR="00F6250D" w:rsidRDefault="00F6250D" w:rsidP="00055EA7">
      <w:pPr>
        <w:spacing w:after="0" w:line="240" w:lineRule="auto"/>
        <w:rPr>
          <w:rFonts w:ascii="Calibri" w:hAnsi="Calibri" w:cs="Calibri"/>
          <w:szCs w:val="22"/>
        </w:rPr>
      </w:pPr>
    </w:p>
    <w:p w:rsidR="00F6250D" w:rsidRDefault="00F6250D" w:rsidP="00055EA7">
      <w:pPr>
        <w:spacing w:after="120" w:line="240" w:lineRule="auto"/>
        <w:rPr>
          <w:rFonts w:ascii="Calibri" w:hAnsi="Calibri" w:cs="Calibri"/>
          <w:szCs w:val="22"/>
        </w:rPr>
      </w:pPr>
      <w:r>
        <w:rPr>
          <w:rFonts w:ascii="Calibri" w:hAnsi="Calibri" w:cs="Calibri"/>
          <w:szCs w:val="22"/>
        </w:rPr>
        <w:t xml:space="preserve">The AHA therefore </w:t>
      </w:r>
      <w:r w:rsidR="004D1B89">
        <w:rPr>
          <w:rFonts w:ascii="Calibri" w:hAnsi="Calibri" w:cs="Calibri"/>
          <w:szCs w:val="22"/>
        </w:rPr>
        <w:t>encourages</w:t>
      </w:r>
      <w:r>
        <w:rPr>
          <w:rFonts w:ascii="Calibri" w:hAnsi="Calibri" w:cs="Calibri"/>
          <w:szCs w:val="22"/>
        </w:rPr>
        <w:t xml:space="preserve"> </w:t>
      </w:r>
      <w:r w:rsidR="00161238">
        <w:rPr>
          <w:rFonts w:ascii="Calibri" w:hAnsi="Calibri" w:cs="Calibri"/>
          <w:szCs w:val="22"/>
        </w:rPr>
        <w:t>the following</w:t>
      </w:r>
      <w:r>
        <w:rPr>
          <w:rFonts w:ascii="Calibri" w:hAnsi="Calibri" w:cs="Calibri"/>
          <w:szCs w:val="22"/>
        </w:rPr>
        <w:t xml:space="preserve"> broad principles when considering </w:t>
      </w:r>
      <w:r w:rsidR="004D1B89">
        <w:rPr>
          <w:rFonts w:ascii="Calibri" w:hAnsi="Calibri" w:cs="Calibri"/>
          <w:szCs w:val="22"/>
        </w:rPr>
        <w:t>a whole-of-government</w:t>
      </w:r>
      <w:r>
        <w:rPr>
          <w:rFonts w:ascii="Calibri" w:hAnsi="Calibri" w:cs="Calibri"/>
          <w:szCs w:val="22"/>
        </w:rPr>
        <w:t xml:space="preserve"> approach to deregulation:</w:t>
      </w:r>
    </w:p>
    <w:p w:rsidR="00F6250D" w:rsidRDefault="00F6250D" w:rsidP="00055EA7">
      <w:pPr>
        <w:pStyle w:val="ListParagraph"/>
        <w:numPr>
          <w:ilvl w:val="0"/>
          <w:numId w:val="27"/>
        </w:numPr>
        <w:spacing w:after="120"/>
        <w:contextualSpacing w:val="0"/>
        <w:rPr>
          <w:rFonts w:cs="Calibri"/>
        </w:rPr>
      </w:pPr>
      <w:r>
        <w:rPr>
          <w:rFonts w:cs="Calibri"/>
        </w:rPr>
        <w:t>Wherever possible, seek other ways to address market failure than simply introducing more regulation.  Consider the many other options available, including working with industry to encourage self-regulation.</w:t>
      </w:r>
    </w:p>
    <w:p w:rsidR="00F6250D" w:rsidRDefault="00F6250D" w:rsidP="00055EA7">
      <w:pPr>
        <w:pStyle w:val="ListParagraph"/>
        <w:numPr>
          <w:ilvl w:val="0"/>
          <w:numId w:val="27"/>
        </w:numPr>
        <w:spacing w:after="120"/>
        <w:contextualSpacing w:val="0"/>
        <w:rPr>
          <w:rFonts w:cs="Calibri"/>
        </w:rPr>
      </w:pPr>
      <w:r>
        <w:rPr>
          <w:rFonts w:cs="Calibri"/>
        </w:rPr>
        <w:t>Always consider the overall costs of compliance, which include the cost of actually informing and training industry in understanding what the regulations are and how to comply.  In addition, continually changing regulations also constitutes a cost to business, in training, modifying procedures etc.</w:t>
      </w:r>
    </w:p>
    <w:p w:rsidR="00F6250D" w:rsidRDefault="00502A6C" w:rsidP="00055EA7">
      <w:pPr>
        <w:pStyle w:val="ListParagraph"/>
        <w:numPr>
          <w:ilvl w:val="0"/>
          <w:numId w:val="27"/>
        </w:numPr>
        <w:spacing w:after="120"/>
        <w:contextualSpacing w:val="0"/>
        <w:rPr>
          <w:rFonts w:cs="Calibri"/>
        </w:rPr>
      </w:pPr>
      <w:r>
        <w:rPr>
          <w:rFonts w:cs="Calibri"/>
        </w:rPr>
        <w:t>Consider the cost of</w:t>
      </w:r>
      <w:r w:rsidR="00F6250D">
        <w:rPr>
          <w:rFonts w:cs="Calibri"/>
        </w:rPr>
        <w:t xml:space="preserve"> industry of non-compliance, such as penalties or other sanctions, if</w:t>
      </w:r>
      <w:r>
        <w:rPr>
          <w:rFonts w:cs="Calibri"/>
        </w:rPr>
        <w:t xml:space="preserve"> </w:t>
      </w:r>
      <w:r w:rsidR="00F6250D">
        <w:rPr>
          <w:rFonts w:cs="Calibri"/>
        </w:rPr>
        <w:t>the compliance requirement is not fully understood or carried out.</w:t>
      </w:r>
    </w:p>
    <w:p w:rsidR="00F6250D" w:rsidRDefault="00F6250D" w:rsidP="00055EA7">
      <w:pPr>
        <w:pStyle w:val="ListParagraph"/>
        <w:numPr>
          <w:ilvl w:val="0"/>
          <w:numId w:val="27"/>
        </w:numPr>
        <w:spacing w:after="120"/>
        <w:contextualSpacing w:val="0"/>
        <w:rPr>
          <w:rFonts w:cs="Calibri"/>
        </w:rPr>
      </w:pPr>
      <w:r>
        <w:rPr>
          <w:rFonts w:cs="Calibri"/>
        </w:rPr>
        <w:t xml:space="preserve">Consider the implications of the </w:t>
      </w:r>
      <w:r w:rsidR="00502A6C">
        <w:rPr>
          <w:rFonts w:cs="Calibri"/>
        </w:rPr>
        <w:t>Australian</w:t>
      </w:r>
      <w:r>
        <w:rPr>
          <w:rFonts w:cs="Calibri"/>
        </w:rPr>
        <w:t xml:space="preserve"> situation, </w:t>
      </w:r>
      <w:r w:rsidR="00502A6C">
        <w:rPr>
          <w:rFonts w:cs="Calibri"/>
        </w:rPr>
        <w:t>whereby</w:t>
      </w:r>
      <w:r>
        <w:rPr>
          <w:rFonts w:cs="Calibri"/>
        </w:rPr>
        <w:t xml:space="preserve"> </w:t>
      </w:r>
      <w:r w:rsidR="004D1B89">
        <w:rPr>
          <w:rFonts w:cs="Calibri"/>
        </w:rPr>
        <w:t>state and territory g</w:t>
      </w:r>
      <w:r>
        <w:rPr>
          <w:rFonts w:cs="Calibri"/>
        </w:rPr>
        <w:t>overnments often fail to achieve national uniformity in regulations even where the circumstance</w:t>
      </w:r>
      <w:r w:rsidR="004D1B89">
        <w:rPr>
          <w:rFonts w:cs="Calibri"/>
        </w:rPr>
        <w:t>s bear little difference between jurisdictions</w:t>
      </w:r>
      <w:r>
        <w:rPr>
          <w:rFonts w:cs="Calibri"/>
        </w:rPr>
        <w:t>, as in the example of innkeepers’ liability laws.</w:t>
      </w:r>
    </w:p>
    <w:p w:rsidR="00F6250D" w:rsidRDefault="00F6250D" w:rsidP="00055EA7">
      <w:pPr>
        <w:pStyle w:val="ListParagraph"/>
        <w:numPr>
          <w:ilvl w:val="0"/>
          <w:numId w:val="27"/>
        </w:numPr>
        <w:spacing w:after="120"/>
        <w:contextualSpacing w:val="0"/>
        <w:rPr>
          <w:rFonts w:cs="Calibri"/>
        </w:rPr>
      </w:pPr>
      <w:r>
        <w:rPr>
          <w:rFonts w:cs="Calibri"/>
        </w:rPr>
        <w:t>Take account of the high volume of complex and detailed legislation and regulations imposed by all three levels of Australian governments.</w:t>
      </w:r>
    </w:p>
    <w:p w:rsidR="00BB1FAE" w:rsidRDefault="00BB1FAE" w:rsidP="00055EA7">
      <w:pPr>
        <w:pStyle w:val="ListParagraph"/>
        <w:numPr>
          <w:ilvl w:val="0"/>
          <w:numId w:val="27"/>
        </w:numPr>
        <w:contextualSpacing w:val="0"/>
        <w:rPr>
          <w:rFonts w:cs="Calibri"/>
        </w:rPr>
      </w:pPr>
      <w:r>
        <w:rPr>
          <w:rFonts w:cs="Calibri"/>
        </w:rPr>
        <w:t>Consider the time impact when setting standards for reporting frequency or the breadth of information to be required from businesses.</w:t>
      </w:r>
    </w:p>
    <w:p w:rsidR="00257BF4" w:rsidRPr="00F6250D" w:rsidRDefault="00257BF4" w:rsidP="00055EA7">
      <w:pPr>
        <w:pStyle w:val="ListParagraph"/>
        <w:contextualSpacing w:val="0"/>
        <w:rPr>
          <w:rFonts w:cs="Calibri"/>
        </w:rPr>
      </w:pPr>
    </w:p>
    <w:p w:rsidR="004B2300" w:rsidRDefault="004B2300" w:rsidP="00055EA7">
      <w:pPr>
        <w:spacing w:after="0" w:line="240" w:lineRule="auto"/>
        <w:rPr>
          <w:rFonts w:ascii="Calibri" w:hAnsi="Calibri" w:cs="Calibri"/>
          <w:szCs w:val="22"/>
        </w:rPr>
      </w:pPr>
    </w:p>
    <w:p w:rsidR="002B7C5F" w:rsidRPr="00502295" w:rsidRDefault="002B7C5F" w:rsidP="009F69FF">
      <w:pPr>
        <w:pStyle w:val="Heading1"/>
        <w:spacing w:before="0" w:beforeAutospacing="0" w:after="0" w:afterAutospacing="0"/>
        <w:rPr>
          <w:rFonts w:ascii="Calibri" w:hAnsi="Calibri" w:cs="Calibri"/>
          <w:color w:val="1F497D" w:themeColor="text2"/>
          <w:sz w:val="28"/>
          <w:szCs w:val="36"/>
        </w:rPr>
      </w:pPr>
      <w:bookmarkStart w:id="5" w:name="_Toc351363972"/>
      <w:r w:rsidRPr="00502295">
        <w:rPr>
          <w:rFonts w:ascii="Calibri" w:hAnsi="Calibri" w:cs="Calibri"/>
          <w:color w:val="1F497D" w:themeColor="text2"/>
          <w:sz w:val="28"/>
          <w:szCs w:val="36"/>
        </w:rPr>
        <w:t>The hotel regulatory environment</w:t>
      </w:r>
      <w:bookmarkEnd w:id="5"/>
    </w:p>
    <w:p w:rsidR="009F69FF" w:rsidRDefault="009F69FF" w:rsidP="00055EA7">
      <w:pPr>
        <w:spacing w:after="0" w:line="240" w:lineRule="auto"/>
        <w:rPr>
          <w:rFonts w:ascii="Calibri" w:hAnsi="Calibri" w:cs="Calibri"/>
          <w:szCs w:val="22"/>
        </w:rPr>
      </w:pPr>
    </w:p>
    <w:p w:rsidR="004B2300" w:rsidRDefault="002B7C5F" w:rsidP="00055EA7">
      <w:pPr>
        <w:spacing w:after="0" w:line="240" w:lineRule="auto"/>
        <w:rPr>
          <w:rFonts w:ascii="Calibri" w:hAnsi="Calibri" w:cs="Calibri"/>
          <w:szCs w:val="22"/>
        </w:rPr>
      </w:pPr>
      <w:r>
        <w:rPr>
          <w:rFonts w:ascii="Calibri" w:hAnsi="Calibri" w:cs="Calibri"/>
          <w:szCs w:val="22"/>
        </w:rPr>
        <w:t>The hotel industry is heavily regulated by a combination of local, state and federal government agencies in a manner which is often inconsistent, unsystematic and difficult to comprehend.  For an industry that remains dominated by small owner-operators, compliance with various regulatory and legislative requirements is a burden on time and productivity.</w:t>
      </w:r>
      <w:r w:rsidR="00F9387A">
        <w:rPr>
          <w:rFonts w:ascii="Calibri" w:hAnsi="Calibri" w:cs="Calibri"/>
          <w:szCs w:val="22"/>
        </w:rPr>
        <w:t xml:space="preserve">  Hotels are subject to various planning, zoning and access regulations from local councils, to liquor licensing, gaming and wagering and food safety regulations from state governments, and an increasing amount of federal regulation administered by agencies such as the Australian Taxation Office, Australian Competition and Consumer Commission, AUSTRAC, Australian Bureau of Statistics and the Fair Work Ombudsman.</w:t>
      </w:r>
    </w:p>
    <w:p w:rsidR="00BB1FAE" w:rsidRDefault="00BB1FAE" w:rsidP="00055EA7">
      <w:pPr>
        <w:spacing w:after="0" w:line="240" w:lineRule="auto"/>
        <w:rPr>
          <w:rFonts w:ascii="Calibri" w:hAnsi="Calibri" w:cs="Calibri"/>
          <w:szCs w:val="22"/>
        </w:rPr>
      </w:pPr>
    </w:p>
    <w:p w:rsidR="00BB1FAE" w:rsidRDefault="00BB1FAE" w:rsidP="00055EA7">
      <w:pPr>
        <w:spacing w:after="120" w:line="240" w:lineRule="auto"/>
        <w:rPr>
          <w:rFonts w:ascii="Calibri" w:hAnsi="Calibri" w:cs="Calibri"/>
          <w:szCs w:val="22"/>
        </w:rPr>
      </w:pPr>
      <w:r>
        <w:rPr>
          <w:rFonts w:ascii="Calibri" w:hAnsi="Calibri" w:cs="Calibri"/>
          <w:szCs w:val="22"/>
        </w:rPr>
        <w:t xml:space="preserve">The hotel industry is facing significant pressures in many parts of the country which are not benefitting from the mining boom, which is resulting in reduced profitability and increasing business uncertainty.  </w:t>
      </w:r>
      <w:r w:rsidR="00BA2F1A">
        <w:rPr>
          <w:rFonts w:ascii="Calibri" w:hAnsi="Calibri" w:cs="Calibri"/>
          <w:szCs w:val="22"/>
        </w:rPr>
        <w:t>The AHA estimates that around three-quarters of Australia’s hotels have suffered adverse trading conditions and reduced revenues in 2011-12.  These</w:t>
      </w:r>
      <w:r>
        <w:rPr>
          <w:rFonts w:ascii="Calibri" w:hAnsi="Calibri" w:cs="Calibri"/>
          <w:szCs w:val="22"/>
        </w:rPr>
        <w:t xml:space="preserve"> pressures include:</w:t>
      </w:r>
    </w:p>
    <w:p w:rsidR="00BB1FAE" w:rsidRDefault="00BB1FAE" w:rsidP="00055EA7">
      <w:pPr>
        <w:pStyle w:val="ListParagraph"/>
        <w:numPr>
          <w:ilvl w:val="0"/>
          <w:numId w:val="28"/>
        </w:numPr>
        <w:spacing w:after="120"/>
        <w:contextualSpacing w:val="0"/>
        <w:rPr>
          <w:rFonts w:cs="Calibri"/>
        </w:rPr>
      </w:pPr>
      <w:r>
        <w:rPr>
          <w:rFonts w:cs="Calibri"/>
        </w:rPr>
        <w:lastRenderedPageBreak/>
        <w:t>Rising wage costs and a lack of flexibility in employment regulations</w:t>
      </w:r>
      <w:r w:rsidR="00AD6604">
        <w:rPr>
          <w:rFonts w:cs="Calibri"/>
        </w:rPr>
        <w:t>.</w:t>
      </w:r>
    </w:p>
    <w:p w:rsidR="00BB1FAE" w:rsidRDefault="00BB1FAE" w:rsidP="00055EA7">
      <w:pPr>
        <w:pStyle w:val="ListParagraph"/>
        <w:numPr>
          <w:ilvl w:val="0"/>
          <w:numId w:val="28"/>
        </w:numPr>
        <w:spacing w:after="120"/>
        <w:contextualSpacing w:val="0"/>
        <w:rPr>
          <w:rFonts w:cs="Calibri"/>
        </w:rPr>
      </w:pPr>
      <w:r>
        <w:rPr>
          <w:rFonts w:cs="Calibri"/>
        </w:rPr>
        <w:t xml:space="preserve">Rising utility costs (water, energy) which </w:t>
      </w:r>
      <w:r w:rsidR="00AC7D36">
        <w:rPr>
          <w:rFonts w:cs="Calibri"/>
        </w:rPr>
        <w:t>have</w:t>
      </w:r>
      <w:r>
        <w:rPr>
          <w:rFonts w:cs="Calibri"/>
        </w:rPr>
        <w:t xml:space="preserve"> increase</w:t>
      </w:r>
      <w:r w:rsidR="00AC7D36">
        <w:rPr>
          <w:rFonts w:cs="Calibri"/>
        </w:rPr>
        <w:t>d</w:t>
      </w:r>
      <w:r>
        <w:rPr>
          <w:rFonts w:cs="Calibri"/>
        </w:rPr>
        <w:t xml:space="preserve"> further with the introduction of the carbon tax on 1 July 2012.</w:t>
      </w:r>
    </w:p>
    <w:p w:rsidR="00BB1FAE" w:rsidRDefault="00BB1FAE" w:rsidP="00055EA7">
      <w:pPr>
        <w:pStyle w:val="ListParagraph"/>
        <w:numPr>
          <w:ilvl w:val="0"/>
          <w:numId w:val="28"/>
        </w:numPr>
        <w:spacing w:after="120"/>
        <w:contextualSpacing w:val="0"/>
        <w:rPr>
          <w:rFonts w:cs="Calibri"/>
        </w:rPr>
      </w:pPr>
      <w:r>
        <w:rPr>
          <w:rFonts w:cs="Calibri"/>
        </w:rPr>
        <w:t>The continued strength of the Australian dollar acting simultaneously as a disincentive to inbound tourism and as an incentive for Australians to holiday overseas instead of locally.</w:t>
      </w:r>
    </w:p>
    <w:p w:rsidR="00BB1FAE" w:rsidRDefault="00BB1FAE" w:rsidP="00055EA7">
      <w:pPr>
        <w:pStyle w:val="ListParagraph"/>
        <w:numPr>
          <w:ilvl w:val="0"/>
          <w:numId w:val="28"/>
        </w:numPr>
        <w:spacing w:after="120"/>
        <w:ind w:left="714" w:hanging="357"/>
        <w:contextualSpacing w:val="0"/>
        <w:rPr>
          <w:rFonts w:cs="Calibri"/>
        </w:rPr>
      </w:pPr>
      <w:r>
        <w:rPr>
          <w:rFonts w:cs="Calibri"/>
        </w:rPr>
        <w:t>The increasing dominance of the retail alcohol sector is seeing an ever greater share of alcohol consumption taking place away from hotels and other licensed premises as consumers take advantage of below-cost prices available from bulk retail liquor outlets.</w:t>
      </w:r>
    </w:p>
    <w:p w:rsidR="00F77501" w:rsidRDefault="00F77501" w:rsidP="00055EA7">
      <w:pPr>
        <w:pStyle w:val="ListParagraph"/>
        <w:numPr>
          <w:ilvl w:val="0"/>
          <w:numId w:val="28"/>
        </w:numPr>
        <w:contextualSpacing w:val="0"/>
        <w:rPr>
          <w:rFonts w:cs="Calibri"/>
        </w:rPr>
      </w:pPr>
      <w:r>
        <w:rPr>
          <w:rFonts w:cs="Calibri"/>
        </w:rPr>
        <w:t>Concerns about the threat of looming regulation in the areas of gaming (pre-commitment for gaming machines) and preventative health (alcohol regulations) which are impacting on investor sentiment in the industry.</w:t>
      </w:r>
    </w:p>
    <w:p w:rsidR="00F9387A" w:rsidRDefault="00F9387A" w:rsidP="00055EA7">
      <w:pPr>
        <w:spacing w:after="0" w:line="240" w:lineRule="auto"/>
        <w:rPr>
          <w:rFonts w:ascii="Calibri" w:hAnsi="Calibri" w:cs="Calibri"/>
          <w:szCs w:val="22"/>
        </w:rPr>
      </w:pPr>
    </w:p>
    <w:p w:rsidR="002B7C5F" w:rsidRDefault="002B7C5F" w:rsidP="00055EA7">
      <w:pPr>
        <w:spacing w:after="0" w:line="240" w:lineRule="auto"/>
        <w:rPr>
          <w:rFonts w:ascii="Calibri" w:hAnsi="Calibri" w:cs="Calibri"/>
          <w:szCs w:val="22"/>
        </w:rPr>
      </w:pPr>
      <w:r>
        <w:rPr>
          <w:rFonts w:ascii="Calibri" w:hAnsi="Calibri" w:cs="Calibri"/>
          <w:szCs w:val="22"/>
        </w:rPr>
        <w:t xml:space="preserve">The AHA welcomes the </w:t>
      </w:r>
      <w:r w:rsidR="004D1B89">
        <w:rPr>
          <w:rFonts w:ascii="Calibri" w:hAnsi="Calibri" w:cs="Calibri"/>
          <w:szCs w:val="22"/>
        </w:rPr>
        <w:t>Commission’s interest in this important subject for the hotel industry and is pleased to provide the following comments in response to the discussion paper.</w:t>
      </w:r>
    </w:p>
    <w:p w:rsidR="00B84643" w:rsidRDefault="00B84643" w:rsidP="00D12298">
      <w:pPr>
        <w:spacing w:after="0" w:line="240" w:lineRule="auto"/>
        <w:rPr>
          <w:rFonts w:asciiTheme="minorHAnsi" w:hAnsiTheme="minorHAnsi" w:cstheme="minorHAnsi"/>
        </w:rPr>
      </w:pPr>
    </w:p>
    <w:p w:rsidR="00D12298" w:rsidRDefault="00D12298" w:rsidP="00D12298">
      <w:pPr>
        <w:spacing w:after="0" w:line="240" w:lineRule="auto"/>
        <w:rPr>
          <w:rFonts w:asciiTheme="minorHAnsi" w:hAnsiTheme="minorHAnsi" w:cstheme="minorHAnsi"/>
        </w:rPr>
      </w:pPr>
    </w:p>
    <w:p w:rsidR="00D12298" w:rsidRPr="00502295" w:rsidRDefault="00D12298" w:rsidP="009F69FF">
      <w:pPr>
        <w:pStyle w:val="Heading1"/>
        <w:spacing w:before="0" w:beforeAutospacing="0" w:after="0" w:afterAutospacing="0"/>
        <w:rPr>
          <w:rFonts w:ascii="Calibri" w:hAnsi="Calibri" w:cs="Calibri"/>
          <w:color w:val="1F497D" w:themeColor="text2"/>
          <w:sz w:val="28"/>
          <w:szCs w:val="36"/>
        </w:rPr>
      </w:pPr>
      <w:bookmarkStart w:id="6" w:name="_Toc351363973"/>
      <w:r w:rsidRPr="00502295">
        <w:rPr>
          <w:rFonts w:ascii="Calibri" w:hAnsi="Calibri" w:cs="Calibri"/>
          <w:color w:val="1F497D" w:themeColor="text2"/>
          <w:sz w:val="28"/>
          <w:szCs w:val="36"/>
        </w:rPr>
        <w:t>A common definition of ‘small business’</w:t>
      </w:r>
      <w:bookmarkEnd w:id="6"/>
    </w:p>
    <w:p w:rsidR="00D12298" w:rsidRDefault="00D12298" w:rsidP="00D12298">
      <w:pPr>
        <w:spacing w:after="0" w:line="240" w:lineRule="auto"/>
        <w:rPr>
          <w:rFonts w:asciiTheme="minorHAnsi" w:hAnsiTheme="minorHAnsi" w:cstheme="minorHAnsi"/>
        </w:rPr>
      </w:pPr>
    </w:p>
    <w:p w:rsidR="00824722" w:rsidRDefault="00D12298" w:rsidP="00D12298">
      <w:pPr>
        <w:spacing w:after="0" w:line="240" w:lineRule="auto"/>
        <w:rPr>
          <w:rFonts w:asciiTheme="minorHAnsi" w:hAnsiTheme="minorHAnsi" w:cstheme="minorHAnsi"/>
        </w:rPr>
      </w:pPr>
      <w:r>
        <w:rPr>
          <w:rFonts w:asciiTheme="minorHAnsi" w:hAnsiTheme="minorHAnsi" w:cstheme="minorHAnsi"/>
        </w:rPr>
        <w:t xml:space="preserve">As the Commission notes in the discussion paper, small business is defined in different ways by regulators with almost no consistency in definition across Government agencies.  The threshold for unfair dismissal laws </w:t>
      </w:r>
      <w:r w:rsidR="00B40FE1">
        <w:rPr>
          <w:rFonts w:asciiTheme="minorHAnsi" w:hAnsiTheme="minorHAnsi" w:cstheme="minorHAnsi"/>
        </w:rPr>
        <w:t>has changed several times in recent years and has been more of a political tool than a considered definition of what is or is not a small business.  Other small business definitions not included in the discussion paper relevant to the hotel industry include AUSTRAC cost recovery and compliance (15 or fewer gaming machines), and the various payroll tax thresholds applied by the states and territories.</w:t>
      </w:r>
      <w:r w:rsidR="00502295">
        <w:rPr>
          <w:rFonts w:asciiTheme="minorHAnsi" w:hAnsiTheme="minorHAnsi" w:cstheme="minorHAnsi"/>
        </w:rPr>
        <w:t xml:space="preserve">  </w:t>
      </w:r>
    </w:p>
    <w:p w:rsidR="00824722" w:rsidRDefault="00824722" w:rsidP="00D12298">
      <w:pPr>
        <w:spacing w:after="0" w:line="240" w:lineRule="auto"/>
        <w:rPr>
          <w:rFonts w:asciiTheme="minorHAnsi" w:hAnsiTheme="minorHAnsi" w:cstheme="minorHAnsi"/>
        </w:rPr>
      </w:pPr>
    </w:p>
    <w:p w:rsidR="00B40FE1" w:rsidRDefault="00B40FE1" w:rsidP="00D12298">
      <w:pPr>
        <w:spacing w:after="0" w:line="240" w:lineRule="auto"/>
        <w:rPr>
          <w:rFonts w:asciiTheme="minorHAnsi" w:hAnsiTheme="minorHAnsi" w:cstheme="minorHAnsi"/>
        </w:rPr>
      </w:pPr>
      <w:r>
        <w:rPr>
          <w:rFonts w:asciiTheme="minorHAnsi" w:hAnsiTheme="minorHAnsi" w:cstheme="minorHAnsi"/>
        </w:rPr>
        <w:t xml:space="preserve">The AHA </w:t>
      </w:r>
      <w:r w:rsidR="00824722">
        <w:rPr>
          <w:rFonts w:asciiTheme="minorHAnsi" w:hAnsiTheme="minorHAnsi" w:cstheme="minorHAnsi"/>
        </w:rPr>
        <w:t>agrees</w:t>
      </w:r>
      <w:r>
        <w:rPr>
          <w:rFonts w:asciiTheme="minorHAnsi" w:hAnsiTheme="minorHAnsi" w:cstheme="minorHAnsi"/>
        </w:rPr>
        <w:t xml:space="preserve"> there is merit in determining a consistent approach to defining a small business across Federal</w:t>
      </w:r>
      <w:r w:rsidR="00502295">
        <w:rPr>
          <w:rFonts w:asciiTheme="minorHAnsi" w:hAnsiTheme="minorHAnsi" w:cstheme="minorHAnsi"/>
        </w:rPr>
        <w:t xml:space="preserve"> Government regulatory agencies.</w:t>
      </w:r>
      <w:r w:rsidR="00824722">
        <w:rPr>
          <w:rFonts w:asciiTheme="minorHAnsi" w:hAnsiTheme="minorHAnsi" w:cstheme="minorHAnsi"/>
        </w:rPr>
        <w:t xml:space="preserve">  This would lead to improved data collection and analysis for better informed policy making and better understanding of eligibility for small business concessions, and </w:t>
      </w:r>
    </w:p>
    <w:p w:rsidR="00B53405" w:rsidRDefault="00B53405" w:rsidP="00D12298">
      <w:pPr>
        <w:spacing w:after="0" w:line="240" w:lineRule="auto"/>
        <w:rPr>
          <w:rFonts w:asciiTheme="minorHAnsi" w:hAnsiTheme="minorHAnsi" w:cstheme="minorHAnsi"/>
        </w:rPr>
      </w:pPr>
    </w:p>
    <w:p w:rsidR="00B53405" w:rsidRDefault="00B53405" w:rsidP="00D12298">
      <w:pPr>
        <w:spacing w:after="0" w:line="240" w:lineRule="auto"/>
        <w:rPr>
          <w:rFonts w:asciiTheme="minorHAnsi" w:hAnsiTheme="minorHAnsi" w:cstheme="minorHAnsi"/>
        </w:rPr>
      </w:pPr>
    </w:p>
    <w:p w:rsidR="00B53405" w:rsidRPr="00502295" w:rsidRDefault="00A13269" w:rsidP="009F69FF">
      <w:pPr>
        <w:pStyle w:val="Heading1"/>
        <w:spacing w:before="0" w:beforeAutospacing="0" w:after="0" w:afterAutospacing="0"/>
        <w:rPr>
          <w:rFonts w:ascii="Calibri" w:hAnsi="Calibri" w:cs="Calibri"/>
          <w:color w:val="1F497D" w:themeColor="text2"/>
          <w:sz w:val="28"/>
          <w:szCs w:val="36"/>
        </w:rPr>
      </w:pPr>
      <w:bookmarkStart w:id="7" w:name="_Toc351363974"/>
      <w:r w:rsidRPr="00502295">
        <w:rPr>
          <w:rFonts w:ascii="Calibri" w:hAnsi="Calibri" w:cs="Calibri"/>
          <w:color w:val="1F497D" w:themeColor="text2"/>
          <w:sz w:val="28"/>
          <w:szCs w:val="36"/>
        </w:rPr>
        <w:t>Always consider small business exemptions</w:t>
      </w:r>
      <w:bookmarkEnd w:id="7"/>
    </w:p>
    <w:p w:rsidR="00B53405" w:rsidRDefault="00B53405" w:rsidP="00D12298">
      <w:pPr>
        <w:spacing w:after="0" w:line="240" w:lineRule="auto"/>
        <w:rPr>
          <w:rFonts w:asciiTheme="minorHAnsi" w:hAnsiTheme="minorHAnsi" w:cstheme="minorHAnsi"/>
        </w:rPr>
      </w:pPr>
    </w:p>
    <w:p w:rsidR="0096227F" w:rsidRDefault="0096227F" w:rsidP="00D12298">
      <w:pPr>
        <w:spacing w:after="0" w:line="240" w:lineRule="auto"/>
        <w:rPr>
          <w:rFonts w:asciiTheme="minorHAnsi" w:hAnsiTheme="minorHAnsi" w:cstheme="minorHAnsi"/>
        </w:rPr>
      </w:pPr>
      <w:r>
        <w:rPr>
          <w:rFonts w:asciiTheme="minorHAnsi" w:hAnsiTheme="minorHAnsi" w:cstheme="minorHAnsi"/>
        </w:rPr>
        <w:t xml:space="preserve">The AHA accepts the Commission’s statement in the discussion paper that because the vast majority of businesses are small, blanket exemptions for small business would see regulation not achieve its objective.  However, the </w:t>
      </w:r>
      <w:r w:rsidR="00824722">
        <w:rPr>
          <w:rFonts w:asciiTheme="minorHAnsi" w:hAnsiTheme="minorHAnsi" w:cstheme="minorHAnsi"/>
        </w:rPr>
        <w:t xml:space="preserve">impact of red tape and compliance costs are proportionally greater when applied to small businesses, often impacting directly on the capacity of the small business to expand or to operate profitably.  The </w:t>
      </w:r>
      <w:r>
        <w:rPr>
          <w:rFonts w:asciiTheme="minorHAnsi" w:hAnsiTheme="minorHAnsi" w:cstheme="minorHAnsi"/>
        </w:rPr>
        <w:t>principle of imposing lower levels of red tape on small business is essential to fostering economic growth and innovation and should be adopted by regulators wherever possible.</w:t>
      </w:r>
    </w:p>
    <w:p w:rsidR="00824722" w:rsidRDefault="00824722" w:rsidP="00D12298">
      <w:pPr>
        <w:spacing w:after="0" w:line="240" w:lineRule="auto"/>
        <w:rPr>
          <w:rFonts w:asciiTheme="minorHAnsi" w:hAnsiTheme="minorHAnsi" w:cstheme="minorHAnsi"/>
        </w:rPr>
      </w:pPr>
    </w:p>
    <w:p w:rsidR="00824722" w:rsidRDefault="00824722" w:rsidP="00D12298">
      <w:pPr>
        <w:spacing w:after="0" w:line="240" w:lineRule="auto"/>
        <w:rPr>
          <w:rFonts w:asciiTheme="minorHAnsi" w:hAnsiTheme="minorHAnsi" w:cstheme="minorHAnsi"/>
        </w:rPr>
      </w:pPr>
      <w:r>
        <w:rPr>
          <w:rFonts w:asciiTheme="minorHAnsi" w:hAnsiTheme="minorHAnsi" w:cstheme="minorHAnsi"/>
        </w:rPr>
        <w:t>The AHA refers to the submission of the Australian Chamber of Commerce &amp; Industry (ACCI), which contains detailed quantitative and qualitative evidence of the impact of regulation on small business.</w:t>
      </w:r>
    </w:p>
    <w:p w:rsidR="0096227F" w:rsidRDefault="0096227F" w:rsidP="00D12298">
      <w:pPr>
        <w:spacing w:after="0" w:line="240" w:lineRule="auto"/>
        <w:rPr>
          <w:rFonts w:asciiTheme="minorHAnsi" w:hAnsiTheme="minorHAnsi" w:cstheme="minorHAnsi"/>
        </w:rPr>
      </w:pPr>
    </w:p>
    <w:p w:rsidR="00B53405" w:rsidRDefault="00B53405" w:rsidP="00D12298">
      <w:pPr>
        <w:spacing w:after="0" w:line="240" w:lineRule="auto"/>
        <w:rPr>
          <w:rFonts w:asciiTheme="minorHAnsi" w:hAnsiTheme="minorHAnsi" w:cstheme="minorHAnsi"/>
        </w:rPr>
      </w:pPr>
    </w:p>
    <w:p w:rsidR="0094757C" w:rsidRDefault="0094757C">
      <w:pPr>
        <w:spacing w:after="0" w:line="240" w:lineRule="auto"/>
        <w:rPr>
          <w:rFonts w:ascii="Calibri" w:hAnsi="Calibri" w:cs="Calibri"/>
          <w:b/>
          <w:bCs/>
          <w:color w:val="1F497D" w:themeColor="text2"/>
          <w:kern w:val="36"/>
          <w:sz w:val="28"/>
          <w:szCs w:val="36"/>
          <w:lang w:val="en-US" w:eastAsia="en-US"/>
        </w:rPr>
      </w:pPr>
      <w:bookmarkStart w:id="8" w:name="_Toc351363975"/>
      <w:r>
        <w:rPr>
          <w:rFonts w:ascii="Calibri" w:hAnsi="Calibri" w:cs="Calibri"/>
          <w:color w:val="1F497D" w:themeColor="text2"/>
          <w:sz w:val="28"/>
          <w:szCs w:val="36"/>
        </w:rPr>
        <w:br w:type="page"/>
      </w:r>
    </w:p>
    <w:p w:rsidR="00B53405" w:rsidRPr="00502295" w:rsidRDefault="00A13269" w:rsidP="009F69FF">
      <w:pPr>
        <w:pStyle w:val="Heading1"/>
        <w:spacing w:before="0" w:beforeAutospacing="0" w:after="0" w:afterAutospacing="0"/>
        <w:rPr>
          <w:rFonts w:ascii="Calibri" w:hAnsi="Calibri" w:cs="Calibri"/>
          <w:color w:val="1F497D" w:themeColor="text2"/>
          <w:sz w:val="28"/>
          <w:szCs w:val="36"/>
        </w:rPr>
      </w:pPr>
      <w:r w:rsidRPr="00502295">
        <w:rPr>
          <w:rFonts w:ascii="Calibri" w:hAnsi="Calibri" w:cs="Calibri"/>
          <w:color w:val="1F497D" w:themeColor="text2"/>
          <w:sz w:val="28"/>
          <w:szCs w:val="36"/>
        </w:rPr>
        <w:lastRenderedPageBreak/>
        <w:t>Avoid unnecessary Federal intervention</w:t>
      </w:r>
      <w:bookmarkEnd w:id="8"/>
    </w:p>
    <w:p w:rsidR="00B53405" w:rsidRDefault="00B53405" w:rsidP="00D12298">
      <w:pPr>
        <w:spacing w:after="0" w:line="240" w:lineRule="auto"/>
        <w:rPr>
          <w:rFonts w:asciiTheme="minorHAnsi" w:hAnsiTheme="minorHAnsi" w:cstheme="minorHAnsi"/>
        </w:rPr>
      </w:pPr>
    </w:p>
    <w:p w:rsidR="0096227F" w:rsidRDefault="0096227F" w:rsidP="00A13269">
      <w:pPr>
        <w:spacing w:after="120" w:line="240" w:lineRule="auto"/>
        <w:rPr>
          <w:rFonts w:asciiTheme="minorHAnsi" w:hAnsiTheme="minorHAnsi" w:cstheme="minorHAnsi"/>
        </w:rPr>
      </w:pPr>
      <w:r>
        <w:rPr>
          <w:rFonts w:asciiTheme="minorHAnsi" w:hAnsiTheme="minorHAnsi" w:cstheme="minorHAnsi"/>
        </w:rPr>
        <w:t>One a</w:t>
      </w:r>
      <w:r w:rsidR="00A13269">
        <w:rPr>
          <w:rFonts w:asciiTheme="minorHAnsi" w:hAnsiTheme="minorHAnsi" w:cstheme="minorHAnsi"/>
        </w:rPr>
        <w:t>rea of frustration for many AHA</w:t>
      </w:r>
      <w:r>
        <w:rPr>
          <w:rFonts w:asciiTheme="minorHAnsi" w:hAnsiTheme="minorHAnsi" w:cstheme="minorHAnsi"/>
        </w:rPr>
        <w:t xml:space="preserve"> members is the seemingly increasing level of Federal involvement in areas of business already regulated by the states and territories.  </w:t>
      </w:r>
      <w:r w:rsidR="00AC7D36">
        <w:rPr>
          <w:rFonts w:asciiTheme="minorHAnsi" w:hAnsiTheme="minorHAnsi" w:cstheme="minorHAnsi"/>
        </w:rPr>
        <w:t>These Federal interventions are confusing for business, arbitrarily create winners and losers, and very often impose</w:t>
      </w:r>
      <w:r>
        <w:rPr>
          <w:rFonts w:asciiTheme="minorHAnsi" w:hAnsiTheme="minorHAnsi" w:cstheme="minorHAnsi"/>
        </w:rPr>
        <w:t xml:space="preserve"> a ‘one size fits all’ model where the final result </w:t>
      </w:r>
      <w:r w:rsidR="00A13269">
        <w:rPr>
          <w:rFonts w:asciiTheme="minorHAnsi" w:hAnsiTheme="minorHAnsi" w:cstheme="minorHAnsi"/>
        </w:rPr>
        <w:t>does not reflect local realities</w:t>
      </w:r>
      <w:r>
        <w:rPr>
          <w:rFonts w:asciiTheme="minorHAnsi" w:hAnsiTheme="minorHAnsi" w:cstheme="minorHAnsi"/>
        </w:rPr>
        <w:t>.  Some examples of inefficient Federal interference in the hotel industry include:</w:t>
      </w:r>
    </w:p>
    <w:p w:rsidR="0096227F" w:rsidRDefault="000E6289" w:rsidP="00A13269">
      <w:pPr>
        <w:pStyle w:val="ListParagraph"/>
        <w:numPr>
          <w:ilvl w:val="0"/>
          <w:numId w:val="37"/>
        </w:numPr>
        <w:spacing w:after="120"/>
        <w:ind w:left="765" w:hanging="357"/>
        <w:contextualSpacing w:val="0"/>
        <w:rPr>
          <w:rFonts w:asciiTheme="minorHAnsi" w:hAnsiTheme="minorHAnsi" w:cstheme="minorHAnsi"/>
        </w:rPr>
      </w:pPr>
      <w:r>
        <w:rPr>
          <w:rFonts w:asciiTheme="minorHAnsi" w:hAnsiTheme="minorHAnsi" w:cstheme="minorHAnsi"/>
        </w:rPr>
        <w:t>T</w:t>
      </w:r>
      <w:r w:rsidR="0096227F" w:rsidRPr="0096227F">
        <w:rPr>
          <w:rFonts w:asciiTheme="minorHAnsi" w:hAnsiTheme="minorHAnsi" w:cstheme="minorHAnsi"/>
        </w:rPr>
        <w:t>he establishment of AUSTRAC and its Anti-Money Laundering / Counter-Terrorism Financing regulation</w:t>
      </w:r>
      <w:r w:rsidR="00502295">
        <w:rPr>
          <w:rFonts w:asciiTheme="minorHAnsi" w:hAnsiTheme="minorHAnsi" w:cstheme="minorHAnsi"/>
        </w:rPr>
        <w:t xml:space="preserve"> of hotels with gaming machines, despite widespread acceptance that hotels are at very low risk for this type of criminal activity.</w:t>
      </w:r>
    </w:p>
    <w:p w:rsidR="0096227F" w:rsidRDefault="0096227F" w:rsidP="00A13269">
      <w:pPr>
        <w:pStyle w:val="ListParagraph"/>
        <w:numPr>
          <w:ilvl w:val="0"/>
          <w:numId w:val="37"/>
        </w:numPr>
        <w:spacing w:after="120"/>
        <w:ind w:left="765" w:hanging="357"/>
        <w:contextualSpacing w:val="0"/>
        <w:rPr>
          <w:rFonts w:asciiTheme="minorHAnsi" w:hAnsiTheme="minorHAnsi" w:cstheme="minorHAnsi"/>
        </w:rPr>
      </w:pPr>
      <w:r>
        <w:rPr>
          <w:rFonts w:asciiTheme="minorHAnsi" w:hAnsiTheme="minorHAnsi" w:cstheme="minorHAnsi"/>
        </w:rPr>
        <w:t>The establishment of the Australian National Preventative Health Agency and its recent inquiry into alcohol advertising</w:t>
      </w:r>
      <w:r w:rsidR="00A23DF7">
        <w:rPr>
          <w:rFonts w:asciiTheme="minorHAnsi" w:hAnsiTheme="minorHAnsi" w:cstheme="minorHAnsi"/>
        </w:rPr>
        <w:t xml:space="preserve"> that includes consideration of promotions undertaken by licensed venues.  This is in ignorance of</w:t>
      </w:r>
      <w:r>
        <w:rPr>
          <w:rFonts w:asciiTheme="minorHAnsi" w:hAnsiTheme="minorHAnsi" w:cstheme="minorHAnsi"/>
        </w:rPr>
        <w:t xml:space="preserve"> the fact that </w:t>
      </w:r>
      <w:r w:rsidR="00A23DF7">
        <w:rPr>
          <w:rFonts w:asciiTheme="minorHAnsi" w:hAnsiTheme="minorHAnsi" w:cstheme="minorHAnsi"/>
        </w:rPr>
        <w:t>state and territory liquor licensing legislation already imposes conditions on venues that are enforced by well-resourced inspectors.</w:t>
      </w:r>
    </w:p>
    <w:p w:rsidR="00A23DF7" w:rsidRDefault="00A23DF7" w:rsidP="0096227F">
      <w:pPr>
        <w:pStyle w:val="ListParagraph"/>
        <w:numPr>
          <w:ilvl w:val="0"/>
          <w:numId w:val="37"/>
        </w:numPr>
        <w:rPr>
          <w:rFonts w:asciiTheme="minorHAnsi" w:hAnsiTheme="minorHAnsi" w:cstheme="minorHAnsi"/>
        </w:rPr>
      </w:pPr>
      <w:r>
        <w:rPr>
          <w:rFonts w:asciiTheme="minorHAnsi" w:hAnsiTheme="minorHAnsi" w:cstheme="minorHAnsi"/>
        </w:rPr>
        <w:t>The introduction of mandatory pre-commitment for gaming machines through Federal legislation even though each state and territory regulates the gaming industry through its own legislative framework and despite the vast differences in the structure and distribution of gaming machines between states and territories.</w:t>
      </w:r>
    </w:p>
    <w:p w:rsidR="0094757C" w:rsidRDefault="0094757C" w:rsidP="0094757C">
      <w:pPr>
        <w:rPr>
          <w:rFonts w:asciiTheme="minorHAnsi" w:hAnsiTheme="minorHAnsi" w:cstheme="minorHAnsi"/>
        </w:rPr>
      </w:pPr>
    </w:p>
    <w:p w:rsidR="008E70D2" w:rsidRPr="00502295" w:rsidRDefault="008E70D2" w:rsidP="009F69FF">
      <w:pPr>
        <w:pStyle w:val="Heading1"/>
        <w:spacing w:before="0" w:beforeAutospacing="0" w:after="0" w:afterAutospacing="0"/>
        <w:rPr>
          <w:rFonts w:ascii="Calibri" w:hAnsi="Calibri" w:cs="Calibri"/>
          <w:color w:val="1F497D" w:themeColor="text2"/>
          <w:sz w:val="28"/>
          <w:szCs w:val="36"/>
        </w:rPr>
      </w:pPr>
      <w:bookmarkStart w:id="9" w:name="_Toc351363976"/>
      <w:r w:rsidRPr="00502295">
        <w:rPr>
          <w:rFonts w:ascii="Calibri" w:hAnsi="Calibri" w:cs="Calibri"/>
          <w:color w:val="1F497D" w:themeColor="text2"/>
          <w:sz w:val="28"/>
          <w:szCs w:val="36"/>
        </w:rPr>
        <w:t>Conclusion</w:t>
      </w:r>
      <w:bookmarkEnd w:id="9"/>
    </w:p>
    <w:p w:rsidR="009F69FF" w:rsidRDefault="009F69FF" w:rsidP="00055EA7">
      <w:pPr>
        <w:pStyle w:val="ListParagraph"/>
        <w:ind w:left="0"/>
        <w:contextualSpacing w:val="0"/>
        <w:rPr>
          <w:rFonts w:asciiTheme="minorHAnsi" w:hAnsiTheme="minorHAnsi" w:cstheme="minorHAnsi"/>
        </w:rPr>
      </w:pPr>
    </w:p>
    <w:p w:rsidR="00275225" w:rsidRDefault="00275225" w:rsidP="00055EA7">
      <w:pPr>
        <w:pStyle w:val="ListParagraph"/>
        <w:ind w:left="0"/>
        <w:contextualSpacing w:val="0"/>
        <w:rPr>
          <w:rFonts w:asciiTheme="minorHAnsi" w:hAnsiTheme="minorHAnsi" w:cstheme="minorHAnsi"/>
        </w:rPr>
      </w:pPr>
      <w:r>
        <w:rPr>
          <w:rFonts w:asciiTheme="minorHAnsi" w:hAnsiTheme="minorHAnsi" w:cstheme="minorHAnsi"/>
        </w:rPr>
        <w:t>The Australian hotel industry is a major contributor to the national economy and also to the social fabric of local communities</w:t>
      </w:r>
      <w:r w:rsidR="00502295">
        <w:rPr>
          <w:rFonts w:asciiTheme="minorHAnsi" w:hAnsiTheme="minorHAnsi" w:cstheme="minorHAnsi"/>
        </w:rPr>
        <w:t>, but it is primarily a highly regulated small business industry</w:t>
      </w:r>
      <w:r>
        <w:rPr>
          <w:rFonts w:asciiTheme="minorHAnsi" w:hAnsiTheme="minorHAnsi" w:cstheme="minorHAnsi"/>
        </w:rPr>
        <w:t xml:space="preserve"> in which operators must engage in a constant, daily struggle to comply with various regulations imposed by local, state and federal governments.  </w:t>
      </w:r>
      <w:r w:rsidR="00502295">
        <w:rPr>
          <w:rFonts w:asciiTheme="minorHAnsi" w:hAnsiTheme="minorHAnsi" w:cstheme="minorHAnsi"/>
        </w:rPr>
        <w:t>The AHA is pleased to see consideration being given to a consistent definition of small business and supports special consideration for small businesses when regulatory compliance regimes are devised.</w:t>
      </w:r>
      <w:r w:rsidR="0094757C">
        <w:rPr>
          <w:rFonts w:asciiTheme="minorHAnsi" w:hAnsiTheme="minorHAnsi" w:cstheme="minorHAnsi"/>
        </w:rPr>
        <w:t xml:space="preserve">  Consideration should also be given to the cumulative impact of regulation and to opportunities to streamline regulatory activities within industries.</w:t>
      </w:r>
    </w:p>
    <w:p w:rsidR="00502295" w:rsidRDefault="00502295" w:rsidP="00055EA7">
      <w:pPr>
        <w:pStyle w:val="ListParagraph"/>
        <w:ind w:left="0"/>
        <w:contextualSpacing w:val="0"/>
        <w:rPr>
          <w:rFonts w:asciiTheme="minorHAnsi" w:hAnsiTheme="minorHAnsi" w:cstheme="minorHAnsi"/>
        </w:rPr>
      </w:pPr>
    </w:p>
    <w:p w:rsidR="00952DEF" w:rsidRPr="00502295" w:rsidRDefault="000E33E9" w:rsidP="009F69FF">
      <w:pPr>
        <w:pStyle w:val="Heading1"/>
        <w:spacing w:before="0" w:beforeAutospacing="0" w:after="0" w:afterAutospacing="0"/>
        <w:rPr>
          <w:rFonts w:ascii="Calibri" w:hAnsi="Calibri" w:cs="Calibri"/>
          <w:color w:val="1F497D" w:themeColor="text2"/>
          <w:sz w:val="28"/>
          <w:szCs w:val="36"/>
        </w:rPr>
      </w:pPr>
      <w:bookmarkStart w:id="10" w:name="_Toc351363977"/>
      <w:r w:rsidRPr="00502295">
        <w:rPr>
          <w:rFonts w:ascii="Calibri" w:hAnsi="Calibri" w:cs="Calibri"/>
          <w:color w:val="1F497D" w:themeColor="text2"/>
          <w:sz w:val="28"/>
          <w:szCs w:val="36"/>
        </w:rPr>
        <w:t>Contact</w:t>
      </w:r>
      <w:bookmarkEnd w:id="10"/>
    </w:p>
    <w:p w:rsidR="009F69FF" w:rsidRDefault="009F69FF" w:rsidP="00055EA7">
      <w:pPr>
        <w:spacing w:after="0" w:line="240" w:lineRule="auto"/>
        <w:rPr>
          <w:rFonts w:ascii="Calibri" w:hAnsi="Calibri" w:cs="Calibri"/>
          <w:szCs w:val="22"/>
        </w:rPr>
      </w:pPr>
    </w:p>
    <w:p w:rsidR="000E33E9" w:rsidRPr="000E33E9" w:rsidRDefault="00610830" w:rsidP="00055EA7">
      <w:pPr>
        <w:spacing w:after="0" w:line="240" w:lineRule="auto"/>
        <w:rPr>
          <w:rFonts w:ascii="Calibri" w:hAnsi="Calibri" w:cs="Calibri"/>
          <w:szCs w:val="22"/>
        </w:rPr>
      </w:pPr>
      <w:r>
        <w:rPr>
          <w:rFonts w:ascii="Calibri" w:hAnsi="Calibri" w:cs="Calibri"/>
          <w:szCs w:val="22"/>
        </w:rPr>
        <w:t>Des Crowe</w:t>
      </w:r>
    </w:p>
    <w:p w:rsidR="000E33E9" w:rsidRPr="000E33E9" w:rsidRDefault="00610830" w:rsidP="00055EA7">
      <w:pPr>
        <w:spacing w:after="0" w:line="240" w:lineRule="auto"/>
        <w:rPr>
          <w:rFonts w:ascii="Calibri" w:hAnsi="Calibri" w:cs="Calibri"/>
          <w:szCs w:val="22"/>
        </w:rPr>
      </w:pPr>
      <w:r>
        <w:rPr>
          <w:rFonts w:ascii="Calibri" w:hAnsi="Calibri" w:cs="Calibri"/>
          <w:szCs w:val="22"/>
        </w:rPr>
        <w:t>National Chief Executive Officer</w:t>
      </w:r>
    </w:p>
    <w:p w:rsidR="000E33E9" w:rsidRPr="00055EA7" w:rsidRDefault="000E33E9" w:rsidP="00055EA7">
      <w:pPr>
        <w:spacing w:after="0" w:line="240" w:lineRule="auto"/>
        <w:rPr>
          <w:rFonts w:ascii="Calibri" w:hAnsi="Calibri" w:cs="Calibri"/>
          <w:b/>
          <w:szCs w:val="22"/>
        </w:rPr>
      </w:pPr>
      <w:r w:rsidRPr="00055EA7">
        <w:rPr>
          <w:rFonts w:ascii="Calibri" w:hAnsi="Calibri" w:cs="Calibri"/>
          <w:b/>
          <w:szCs w:val="22"/>
        </w:rPr>
        <w:t>Australian Hotels Association</w:t>
      </w:r>
    </w:p>
    <w:sectPr w:rsidR="000E33E9" w:rsidRPr="00055EA7" w:rsidSect="00742C97">
      <w:footerReference w:type="even" r:id="rId17"/>
      <w:footerReference w:type="default" r:id="rId18"/>
      <w:headerReference w:type="first" r:id="rId19"/>
      <w:pgSz w:w="11907" w:h="16840" w:code="9"/>
      <w:pgMar w:top="1440" w:right="1440" w:bottom="1440" w:left="1440" w:header="56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F1A" w:rsidRDefault="00BA2F1A">
      <w:r>
        <w:separator/>
      </w:r>
    </w:p>
  </w:endnote>
  <w:endnote w:type="continuationSeparator" w:id="0">
    <w:p w:rsidR="00BA2F1A" w:rsidRDefault="00BA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panose1 w:val="00000000000000000000"/>
    <w:charset w:val="00"/>
    <w:family w:val="swiss"/>
    <w:notTrueType/>
    <w:pitch w:val="variable"/>
    <w:sig w:usb0="00000003" w:usb1="00000000" w:usb2="00000000" w:usb3="00000000" w:csb0="00000001" w:csb1="00000000"/>
  </w:font>
  <w:font w:name="Stone Sans">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1A" w:rsidRDefault="00BA2F1A" w:rsidP="00A40B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2F1A" w:rsidRDefault="00BA2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1A" w:rsidRPr="006B1DEE" w:rsidRDefault="00BA2F1A" w:rsidP="00A40B45">
    <w:pPr>
      <w:pStyle w:val="Footer"/>
      <w:framePr w:wrap="around" w:vAnchor="text" w:hAnchor="margin" w:xAlign="center" w:y="1"/>
      <w:rPr>
        <w:rStyle w:val="PageNumber"/>
        <w:rFonts w:ascii="Calibri" w:hAnsi="Calibri"/>
      </w:rPr>
    </w:pPr>
    <w:r w:rsidRPr="006B1DEE">
      <w:rPr>
        <w:rStyle w:val="PageNumber"/>
        <w:rFonts w:ascii="Calibri" w:hAnsi="Calibri"/>
      </w:rPr>
      <w:fldChar w:fldCharType="begin"/>
    </w:r>
    <w:r w:rsidRPr="006B1DEE">
      <w:rPr>
        <w:rStyle w:val="PageNumber"/>
        <w:rFonts w:ascii="Calibri" w:hAnsi="Calibri"/>
      </w:rPr>
      <w:instrText xml:space="preserve">PAGE  </w:instrText>
    </w:r>
    <w:r w:rsidRPr="006B1DEE">
      <w:rPr>
        <w:rStyle w:val="PageNumber"/>
        <w:rFonts w:ascii="Calibri" w:hAnsi="Calibri"/>
      </w:rPr>
      <w:fldChar w:fldCharType="separate"/>
    </w:r>
    <w:r w:rsidR="008831CC">
      <w:rPr>
        <w:rStyle w:val="PageNumber"/>
        <w:rFonts w:ascii="Calibri" w:hAnsi="Calibri"/>
        <w:noProof/>
      </w:rPr>
      <w:t>6</w:t>
    </w:r>
    <w:r w:rsidRPr="006B1DEE">
      <w:rPr>
        <w:rStyle w:val="PageNumber"/>
        <w:rFonts w:ascii="Calibri" w:hAnsi="Calibri"/>
      </w:rPr>
      <w:fldChar w:fldCharType="end"/>
    </w:r>
  </w:p>
  <w:p w:rsidR="00BA2F1A" w:rsidRPr="006B1DEE" w:rsidRDefault="00BA2F1A">
    <w:pPr>
      <w:pStyle w:val="Footer"/>
      <w:rPr>
        <w:rFonts w:ascii="Calibri" w:hAnsi="Calibri"/>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F1A" w:rsidRDefault="00BA2F1A">
      <w:r>
        <w:separator/>
      </w:r>
    </w:p>
  </w:footnote>
  <w:footnote w:type="continuationSeparator" w:id="0">
    <w:p w:rsidR="00BA2F1A" w:rsidRDefault="00BA2F1A">
      <w:r>
        <w:continuationSeparator/>
      </w:r>
    </w:p>
  </w:footnote>
  <w:footnote w:id="1">
    <w:p w:rsidR="00BA2F1A" w:rsidRPr="009C0998" w:rsidRDefault="00BA2F1A">
      <w:pPr>
        <w:pStyle w:val="FootnoteText"/>
        <w:rPr>
          <w:i/>
          <w:sz w:val="18"/>
        </w:rPr>
      </w:pPr>
      <w:r w:rsidRPr="009C0998">
        <w:rPr>
          <w:rStyle w:val="FootnoteReference"/>
          <w:sz w:val="18"/>
        </w:rPr>
        <w:footnoteRef/>
      </w:r>
      <w:r w:rsidRPr="009C0998">
        <w:rPr>
          <w:sz w:val="18"/>
        </w:rPr>
        <w:t xml:space="preserve"> Tourism Australia (2011) </w:t>
      </w:r>
      <w:r w:rsidRPr="009C0998">
        <w:rPr>
          <w:i/>
          <w:sz w:val="18"/>
        </w:rPr>
        <w:t>2020 Tourism Industry Potential one year on</w:t>
      </w:r>
    </w:p>
  </w:footnote>
  <w:footnote w:id="2">
    <w:p w:rsidR="00BA2F1A" w:rsidRPr="009C0998" w:rsidRDefault="00BA2F1A" w:rsidP="00BC1E00">
      <w:pPr>
        <w:pStyle w:val="FootnoteText"/>
        <w:rPr>
          <w:sz w:val="18"/>
        </w:rPr>
      </w:pPr>
      <w:r w:rsidRPr="009C0998">
        <w:rPr>
          <w:rStyle w:val="FootnoteReference"/>
          <w:sz w:val="18"/>
        </w:rPr>
        <w:footnoteRef/>
      </w:r>
      <w:r w:rsidRPr="009C0998">
        <w:rPr>
          <w:sz w:val="18"/>
        </w:rPr>
        <w:t xml:space="preserve"> PricewaterhouseCoopers (2009) </w:t>
      </w:r>
      <w:r w:rsidRPr="009C0998">
        <w:rPr>
          <w:i/>
          <w:sz w:val="18"/>
        </w:rPr>
        <w:t>Australian hotels: More than just a drink and a flutter</w:t>
      </w:r>
    </w:p>
  </w:footnote>
  <w:footnote w:id="3">
    <w:p w:rsidR="00BA2F1A" w:rsidRPr="009C0998" w:rsidRDefault="00BA2F1A" w:rsidP="00BC1E00">
      <w:pPr>
        <w:pStyle w:val="FootnoteText"/>
        <w:rPr>
          <w:sz w:val="18"/>
        </w:rPr>
      </w:pPr>
      <w:r w:rsidRPr="009C0998">
        <w:rPr>
          <w:rStyle w:val="FootnoteReference"/>
          <w:sz w:val="18"/>
        </w:rPr>
        <w:footnoteRef/>
      </w:r>
      <w:r w:rsidRPr="009C0998">
        <w:rPr>
          <w:sz w:val="18"/>
        </w:rPr>
        <w:t xml:space="preserve"> Australian Fair Pay Commission (August 2008), </w:t>
      </w:r>
      <w:r w:rsidRPr="009C0998">
        <w:rPr>
          <w:i/>
          <w:sz w:val="18"/>
        </w:rPr>
        <w:t>Accommodation, Cafes and Restaurants Industry Profile, Research Report No.1/09</w:t>
      </w:r>
    </w:p>
  </w:footnote>
  <w:footnote w:id="4">
    <w:p w:rsidR="00BA2F1A" w:rsidRPr="009C0998" w:rsidRDefault="00BA2F1A" w:rsidP="00BC1E00">
      <w:pPr>
        <w:pStyle w:val="FootnoteText"/>
        <w:rPr>
          <w:sz w:val="18"/>
        </w:rPr>
      </w:pPr>
      <w:r w:rsidRPr="009C0998">
        <w:rPr>
          <w:rStyle w:val="FootnoteReference"/>
          <w:sz w:val="18"/>
        </w:rPr>
        <w:footnoteRef/>
      </w:r>
      <w:r w:rsidRPr="009C0998">
        <w:rPr>
          <w:sz w:val="18"/>
        </w:rPr>
        <w:t xml:space="preserve"> Australasian Casino Association, </w:t>
      </w:r>
      <w:r w:rsidRPr="009C0998">
        <w:rPr>
          <w:i/>
          <w:sz w:val="18"/>
        </w:rPr>
        <w:t>Submission to the Parliamentary Joint Select Committee on Gambling Reform</w:t>
      </w:r>
      <w:r w:rsidRPr="009C0998">
        <w:rPr>
          <w:sz w:val="18"/>
        </w:rPr>
        <w:t>, 31 January 2011</w:t>
      </w:r>
    </w:p>
  </w:footnote>
  <w:footnote w:id="5">
    <w:p w:rsidR="00BA2F1A" w:rsidRPr="009C0998" w:rsidRDefault="00BA2F1A" w:rsidP="00D951AC">
      <w:pPr>
        <w:pStyle w:val="FootnoteText"/>
        <w:rPr>
          <w:sz w:val="18"/>
        </w:rPr>
      </w:pPr>
      <w:r w:rsidRPr="009C0998">
        <w:rPr>
          <w:rStyle w:val="FootnoteReference"/>
          <w:sz w:val="18"/>
        </w:rPr>
        <w:footnoteRef/>
      </w:r>
      <w:r w:rsidRPr="009C0998">
        <w:rPr>
          <w:sz w:val="18"/>
        </w:rPr>
        <w:t xml:space="preserve"> PricewaterhouseCoopers (2009), p6</w:t>
      </w:r>
    </w:p>
  </w:footnote>
  <w:footnote w:id="6">
    <w:p w:rsidR="00BA2F1A" w:rsidRPr="009C0998" w:rsidRDefault="00BA2F1A" w:rsidP="00BC1E00">
      <w:pPr>
        <w:pStyle w:val="FootnoteText"/>
        <w:rPr>
          <w:sz w:val="18"/>
        </w:rPr>
      </w:pPr>
      <w:r w:rsidRPr="009C0998">
        <w:rPr>
          <w:rStyle w:val="FootnoteReference"/>
          <w:sz w:val="18"/>
        </w:rPr>
        <w:footnoteRef/>
      </w:r>
      <w:r w:rsidRPr="009C0998">
        <w:rPr>
          <w:sz w:val="18"/>
        </w:rPr>
        <w:t xml:space="preserve"> Australian Bureau of Statistics (2007), </w:t>
      </w:r>
      <w:r w:rsidRPr="009C0998">
        <w:rPr>
          <w:i/>
          <w:sz w:val="18"/>
        </w:rPr>
        <w:t>Australian Industry 2005-06</w:t>
      </w:r>
    </w:p>
  </w:footnote>
  <w:footnote w:id="7">
    <w:p w:rsidR="00BA2F1A" w:rsidRPr="009C0998" w:rsidRDefault="00BA2F1A">
      <w:pPr>
        <w:pStyle w:val="FootnoteText"/>
        <w:rPr>
          <w:sz w:val="18"/>
        </w:rPr>
      </w:pPr>
      <w:r w:rsidRPr="009C0998">
        <w:rPr>
          <w:rStyle w:val="FootnoteReference"/>
          <w:sz w:val="18"/>
        </w:rPr>
        <w:footnoteRef/>
      </w:r>
      <w:r w:rsidRPr="009C0998">
        <w:rPr>
          <w:sz w:val="18"/>
        </w:rPr>
        <w:t xml:space="preserve"> PricewaterhouseCoopers (2009), p14</w:t>
      </w:r>
    </w:p>
  </w:footnote>
  <w:footnote w:id="8">
    <w:p w:rsidR="00BA2F1A" w:rsidRDefault="00BA2F1A" w:rsidP="00BC1E00">
      <w:pPr>
        <w:pStyle w:val="FootnoteText"/>
      </w:pPr>
      <w:r w:rsidRPr="009C0998">
        <w:rPr>
          <w:rStyle w:val="FootnoteReference"/>
          <w:sz w:val="18"/>
        </w:rPr>
        <w:footnoteRef/>
      </w:r>
      <w:r w:rsidRPr="009C0998">
        <w:rPr>
          <w:sz w:val="18"/>
        </w:rPr>
        <w:t xml:space="preserve"> Australian Bureau of Statistics (2007), p44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1A" w:rsidRDefault="00BA2F1A" w:rsidP="008D64C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1B9"/>
    <w:multiLevelType w:val="hybridMultilevel"/>
    <w:tmpl w:val="53DA21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94C5B9D"/>
    <w:multiLevelType w:val="hybridMultilevel"/>
    <w:tmpl w:val="BE94B3F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147225"/>
    <w:multiLevelType w:val="multilevel"/>
    <w:tmpl w:val="77E6506C"/>
    <w:lvl w:ilvl="0">
      <w:start w:val="4"/>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0E5573F1"/>
    <w:multiLevelType w:val="hybridMultilevel"/>
    <w:tmpl w:val="885C9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841CFA"/>
    <w:multiLevelType w:val="hybridMultilevel"/>
    <w:tmpl w:val="94701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885FB5"/>
    <w:multiLevelType w:val="hybridMultilevel"/>
    <w:tmpl w:val="CD140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0E6743E"/>
    <w:multiLevelType w:val="hybridMultilevel"/>
    <w:tmpl w:val="2408A222"/>
    <w:lvl w:ilvl="0" w:tplc="0409000F">
      <w:start w:val="7"/>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10FF426B"/>
    <w:multiLevelType w:val="hybridMultilevel"/>
    <w:tmpl w:val="6A7CB9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2D53816"/>
    <w:multiLevelType w:val="hybridMultilevel"/>
    <w:tmpl w:val="D480BD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E84238"/>
    <w:multiLevelType w:val="hybridMultilevel"/>
    <w:tmpl w:val="1C30CC0A"/>
    <w:lvl w:ilvl="0" w:tplc="0C090001">
      <w:start w:val="1"/>
      <w:numFmt w:val="bullet"/>
      <w:lvlText w:val=""/>
      <w:lvlJc w:val="left"/>
      <w:pPr>
        <w:ind w:left="3212" w:hanging="360"/>
      </w:pPr>
      <w:rPr>
        <w:rFonts w:ascii="Symbol" w:hAnsi="Symbol" w:hint="default"/>
      </w:rPr>
    </w:lvl>
    <w:lvl w:ilvl="1" w:tplc="0C090003" w:tentative="1">
      <w:start w:val="1"/>
      <w:numFmt w:val="bullet"/>
      <w:lvlText w:val="o"/>
      <w:lvlJc w:val="left"/>
      <w:pPr>
        <w:ind w:left="3932" w:hanging="360"/>
      </w:pPr>
      <w:rPr>
        <w:rFonts w:ascii="Courier New" w:hAnsi="Courier New" w:cs="Courier New" w:hint="default"/>
      </w:rPr>
    </w:lvl>
    <w:lvl w:ilvl="2" w:tplc="0C090005" w:tentative="1">
      <w:start w:val="1"/>
      <w:numFmt w:val="bullet"/>
      <w:lvlText w:val=""/>
      <w:lvlJc w:val="left"/>
      <w:pPr>
        <w:ind w:left="4652" w:hanging="360"/>
      </w:pPr>
      <w:rPr>
        <w:rFonts w:ascii="Wingdings" w:hAnsi="Wingdings" w:hint="default"/>
      </w:rPr>
    </w:lvl>
    <w:lvl w:ilvl="3" w:tplc="0C090001" w:tentative="1">
      <w:start w:val="1"/>
      <w:numFmt w:val="bullet"/>
      <w:lvlText w:val=""/>
      <w:lvlJc w:val="left"/>
      <w:pPr>
        <w:ind w:left="5372" w:hanging="360"/>
      </w:pPr>
      <w:rPr>
        <w:rFonts w:ascii="Symbol" w:hAnsi="Symbol" w:hint="default"/>
      </w:rPr>
    </w:lvl>
    <w:lvl w:ilvl="4" w:tplc="0C090003" w:tentative="1">
      <w:start w:val="1"/>
      <w:numFmt w:val="bullet"/>
      <w:lvlText w:val="o"/>
      <w:lvlJc w:val="left"/>
      <w:pPr>
        <w:ind w:left="6092" w:hanging="360"/>
      </w:pPr>
      <w:rPr>
        <w:rFonts w:ascii="Courier New" w:hAnsi="Courier New" w:cs="Courier New" w:hint="default"/>
      </w:rPr>
    </w:lvl>
    <w:lvl w:ilvl="5" w:tplc="0C090005" w:tentative="1">
      <w:start w:val="1"/>
      <w:numFmt w:val="bullet"/>
      <w:lvlText w:val=""/>
      <w:lvlJc w:val="left"/>
      <w:pPr>
        <w:ind w:left="6812" w:hanging="360"/>
      </w:pPr>
      <w:rPr>
        <w:rFonts w:ascii="Wingdings" w:hAnsi="Wingdings" w:hint="default"/>
      </w:rPr>
    </w:lvl>
    <w:lvl w:ilvl="6" w:tplc="0C090001" w:tentative="1">
      <w:start w:val="1"/>
      <w:numFmt w:val="bullet"/>
      <w:lvlText w:val=""/>
      <w:lvlJc w:val="left"/>
      <w:pPr>
        <w:ind w:left="7532" w:hanging="360"/>
      </w:pPr>
      <w:rPr>
        <w:rFonts w:ascii="Symbol" w:hAnsi="Symbol" w:hint="default"/>
      </w:rPr>
    </w:lvl>
    <w:lvl w:ilvl="7" w:tplc="0C090003" w:tentative="1">
      <w:start w:val="1"/>
      <w:numFmt w:val="bullet"/>
      <w:lvlText w:val="o"/>
      <w:lvlJc w:val="left"/>
      <w:pPr>
        <w:ind w:left="8252" w:hanging="360"/>
      </w:pPr>
      <w:rPr>
        <w:rFonts w:ascii="Courier New" w:hAnsi="Courier New" w:cs="Courier New" w:hint="default"/>
      </w:rPr>
    </w:lvl>
    <w:lvl w:ilvl="8" w:tplc="0C090005" w:tentative="1">
      <w:start w:val="1"/>
      <w:numFmt w:val="bullet"/>
      <w:lvlText w:val=""/>
      <w:lvlJc w:val="left"/>
      <w:pPr>
        <w:ind w:left="8972" w:hanging="360"/>
      </w:pPr>
      <w:rPr>
        <w:rFonts w:ascii="Wingdings" w:hAnsi="Wingdings" w:hint="default"/>
      </w:rPr>
    </w:lvl>
  </w:abstractNum>
  <w:abstractNum w:abstractNumId="10">
    <w:nsid w:val="16C526B3"/>
    <w:multiLevelType w:val="multilevel"/>
    <w:tmpl w:val="C57A7BE8"/>
    <w:lvl w:ilvl="0">
      <w:start w:val="4"/>
      <w:numFmt w:val="decimal"/>
      <w:lvlText w:val="%1"/>
      <w:lvlJc w:val="left"/>
      <w:pPr>
        <w:ind w:left="375" w:hanging="375"/>
      </w:pPr>
      <w:rPr>
        <w:rFonts w:cs="Times New Roman" w:hint="default"/>
      </w:rPr>
    </w:lvl>
    <w:lvl w:ilvl="1">
      <w:start w:val="1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180830FF"/>
    <w:multiLevelType w:val="hybridMultilevel"/>
    <w:tmpl w:val="D646F6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B9023D6"/>
    <w:multiLevelType w:val="hybridMultilevel"/>
    <w:tmpl w:val="88B88D50"/>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nsid w:val="25F8678F"/>
    <w:multiLevelType w:val="hybridMultilevel"/>
    <w:tmpl w:val="430A5776"/>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4">
    <w:nsid w:val="2AA95D9B"/>
    <w:multiLevelType w:val="hybridMultilevel"/>
    <w:tmpl w:val="1AEC1908"/>
    <w:lvl w:ilvl="0" w:tplc="A4BA10F4">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nsid w:val="304C1DD5"/>
    <w:multiLevelType w:val="hybridMultilevel"/>
    <w:tmpl w:val="31DAD0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7E5E78"/>
    <w:multiLevelType w:val="hybridMultilevel"/>
    <w:tmpl w:val="E14A7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E761FD"/>
    <w:multiLevelType w:val="hybridMultilevel"/>
    <w:tmpl w:val="EFD0C358"/>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452AFF"/>
    <w:multiLevelType w:val="hybridMultilevel"/>
    <w:tmpl w:val="41B2D16A"/>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
    <w:nsid w:val="3B700A25"/>
    <w:multiLevelType w:val="hybridMultilevel"/>
    <w:tmpl w:val="CDE207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nsid w:val="3B847DE8"/>
    <w:multiLevelType w:val="hybridMultilevel"/>
    <w:tmpl w:val="1D06D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4AE16006"/>
    <w:multiLevelType w:val="hybridMultilevel"/>
    <w:tmpl w:val="1012C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E420A15"/>
    <w:multiLevelType w:val="multilevel"/>
    <w:tmpl w:val="DFD2150E"/>
    <w:lvl w:ilvl="0">
      <w:start w:val="4"/>
      <w:numFmt w:val="decimal"/>
      <w:lvlText w:val="%1"/>
      <w:lvlJc w:val="left"/>
      <w:pPr>
        <w:ind w:left="360" w:hanging="360"/>
      </w:pPr>
      <w:rPr>
        <w:rFonts w:cs="Times New Roman" w:hint="default"/>
      </w:rPr>
    </w:lvl>
    <w:lvl w:ilvl="1">
      <w:start w:val="8"/>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4FB4020C"/>
    <w:multiLevelType w:val="hybridMultilevel"/>
    <w:tmpl w:val="626C62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5B32FC"/>
    <w:multiLevelType w:val="hybridMultilevel"/>
    <w:tmpl w:val="322295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B0F1F07"/>
    <w:multiLevelType w:val="hybridMultilevel"/>
    <w:tmpl w:val="A112C5F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6174734A"/>
    <w:multiLevelType w:val="hybridMultilevel"/>
    <w:tmpl w:val="54747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470417"/>
    <w:multiLevelType w:val="hybridMultilevel"/>
    <w:tmpl w:val="C8F4E3D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nsid w:val="62A34D47"/>
    <w:multiLevelType w:val="hybridMultilevel"/>
    <w:tmpl w:val="C8E8F2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68412A4"/>
    <w:multiLevelType w:val="hybridMultilevel"/>
    <w:tmpl w:val="A1442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6853D0C"/>
    <w:multiLevelType w:val="hybridMultilevel"/>
    <w:tmpl w:val="55AC15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714A0545"/>
    <w:multiLevelType w:val="hybridMultilevel"/>
    <w:tmpl w:val="F7FE8B52"/>
    <w:lvl w:ilvl="0" w:tplc="0C09000F">
      <w:start w:val="1"/>
      <w:numFmt w:val="decimal"/>
      <w:lvlText w:val="%1."/>
      <w:lvlJc w:val="left"/>
      <w:pPr>
        <w:ind w:left="4680" w:hanging="360"/>
      </w:pPr>
      <w:rPr>
        <w:rFonts w:hint="default"/>
      </w:rPr>
    </w:lvl>
    <w:lvl w:ilvl="1" w:tplc="0C090019" w:tentative="1">
      <w:start w:val="1"/>
      <w:numFmt w:val="lowerLetter"/>
      <w:lvlText w:val="%2."/>
      <w:lvlJc w:val="left"/>
      <w:pPr>
        <w:ind w:left="5400" w:hanging="360"/>
      </w:pPr>
    </w:lvl>
    <w:lvl w:ilvl="2" w:tplc="0C09001B" w:tentative="1">
      <w:start w:val="1"/>
      <w:numFmt w:val="lowerRoman"/>
      <w:lvlText w:val="%3."/>
      <w:lvlJc w:val="right"/>
      <w:pPr>
        <w:ind w:left="6120" w:hanging="180"/>
      </w:pPr>
    </w:lvl>
    <w:lvl w:ilvl="3" w:tplc="0C09000F" w:tentative="1">
      <w:start w:val="1"/>
      <w:numFmt w:val="decimal"/>
      <w:lvlText w:val="%4."/>
      <w:lvlJc w:val="left"/>
      <w:pPr>
        <w:ind w:left="6840" w:hanging="360"/>
      </w:pPr>
    </w:lvl>
    <w:lvl w:ilvl="4" w:tplc="0C090019" w:tentative="1">
      <w:start w:val="1"/>
      <w:numFmt w:val="lowerLetter"/>
      <w:lvlText w:val="%5."/>
      <w:lvlJc w:val="left"/>
      <w:pPr>
        <w:ind w:left="7560" w:hanging="360"/>
      </w:pPr>
    </w:lvl>
    <w:lvl w:ilvl="5" w:tplc="0C09001B" w:tentative="1">
      <w:start w:val="1"/>
      <w:numFmt w:val="lowerRoman"/>
      <w:lvlText w:val="%6."/>
      <w:lvlJc w:val="right"/>
      <w:pPr>
        <w:ind w:left="8280" w:hanging="180"/>
      </w:pPr>
    </w:lvl>
    <w:lvl w:ilvl="6" w:tplc="0C09000F" w:tentative="1">
      <w:start w:val="1"/>
      <w:numFmt w:val="decimal"/>
      <w:lvlText w:val="%7."/>
      <w:lvlJc w:val="left"/>
      <w:pPr>
        <w:ind w:left="9000" w:hanging="360"/>
      </w:pPr>
    </w:lvl>
    <w:lvl w:ilvl="7" w:tplc="0C090019" w:tentative="1">
      <w:start w:val="1"/>
      <w:numFmt w:val="lowerLetter"/>
      <w:lvlText w:val="%8."/>
      <w:lvlJc w:val="left"/>
      <w:pPr>
        <w:ind w:left="9720" w:hanging="360"/>
      </w:pPr>
    </w:lvl>
    <w:lvl w:ilvl="8" w:tplc="0C09001B" w:tentative="1">
      <w:start w:val="1"/>
      <w:numFmt w:val="lowerRoman"/>
      <w:lvlText w:val="%9."/>
      <w:lvlJc w:val="right"/>
      <w:pPr>
        <w:ind w:left="10440" w:hanging="180"/>
      </w:pPr>
    </w:lvl>
  </w:abstractNum>
  <w:abstractNum w:abstractNumId="32">
    <w:nsid w:val="721A1ED5"/>
    <w:multiLevelType w:val="hybridMultilevel"/>
    <w:tmpl w:val="027E1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6E73E7B"/>
    <w:multiLevelType w:val="hybridMultilevel"/>
    <w:tmpl w:val="879E5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DD062FB"/>
    <w:multiLevelType w:val="hybridMultilevel"/>
    <w:tmpl w:val="E3CA5A1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5">
    <w:nsid w:val="7E0D7E84"/>
    <w:multiLevelType w:val="hybridMultilevel"/>
    <w:tmpl w:val="A04645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3"/>
  </w:num>
  <w:num w:numId="2">
    <w:abstractNumId w:val="11"/>
  </w:num>
  <w:num w:numId="3">
    <w:abstractNumId w:val="12"/>
  </w:num>
  <w:num w:numId="4">
    <w:abstractNumId w:val="18"/>
  </w:num>
  <w:num w:numId="5">
    <w:abstractNumId w:val="2"/>
  </w:num>
  <w:num w:numId="6">
    <w:abstractNumId w:val="22"/>
  </w:num>
  <w:num w:numId="7">
    <w:abstractNumId w:val="1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26"/>
  </w:num>
  <w:num w:numId="12">
    <w:abstractNumId w:val="5"/>
  </w:num>
  <w:num w:numId="13">
    <w:abstractNumId w:val="31"/>
  </w:num>
  <w:num w:numId="14">
    <w:abstractNumId w:val="3"/>
  </w:num>
  <w:num w:numId="15">
    <w:abstractNumId w:val="8"/>
  </w:num>
  <w:num w:numId="16">
    <w:abstractNumId w:val="21"/>
  </w:num>
  <w:num w:numId="17">
    <w:abstractNumId w:val="28"/>
  </w:num>
  <w:num w:numId="18">
    <w:abstractNumId w:val="7"/>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9"/>
  </w:num>
  <w:num w:numId="25">
    <w:abstractNumId w:val="19"/>
  </w:num>
  <w:num w:numId="26">
    <w:abstractNumId w:val="25"/>
  </w:num>
  <w:num w:numId="27">
    <w:abstractNumId w:val="24"/>
  </w:num>
  <w:num w:numId="28">
    <w:abstractNumId w:val="33"/>
  </w:num>
  <w:num w:numId="29">
    <w:abstractNumId w:val="4"/>
  </w:num>
  <w:num w:numId="30">
    <w:abstractNumId w:val="17"/>
  </w:num>
  <w:num w:numId="31">
    <w:abstractNumId w:val="0"/>
  </w:num>
  <w:num w:numId="32">
    <w:abstractNumId w:val="30"/>
  </w:num>
  <w:num w:numId="33">
    <w:abstractNumId w:val="27"/>
  </w:num>
  <w:num w:numId="3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80"/>
    <w:rsid w:val="00001AFF"/>
    <w:rsid w:val="000127F6"/>
    <w:rsid w:val="00020A8A"/>
    <w:rsid w:val="0003730D"/>
    <w:rsid w:val="0004755D"/>
    <w:rsid w:val="0005558C"/>
    <w:rsid w:val="00055EA7"/>
    <w:rsid w:val="000611B5"/>
    <w:rsid w:val="00063206"/>
    <w:rsid w:val="00070245"/>
    <w:rsid w:val="000775DA"/>
    <w:rsid w:val="00077FDB"/>
    <w:rsid w:val="00081BD6"/>
    <w:rsid w:val="00095E81"/>
    <w:rsid w:val="00097C24"/>
    <w:rsid w:val="000A30B1"/>
    <w:rsid w:val="000A7BF9"/>
    <w:rsid w:val="000B4015"/>
    <w:rsid w:val="000C36E1"/>
    <w:rsid w:val="000C3D1B"/>
    <w:rsid w:val="000C67B1"/>
    <w:rsid w:val="000C705C"/>
    <w:rsid w:val="000D02F5"/>
    <w:rsid w:val="000E33E9"/>
    <w:rsid w:val="000E350C"/>
    <w:rsid w:val="000E383A"/>
    <w:rsid w:val="000E6289"/>
    <w:rsid w:val="000F0E5D"/>
    <w:rsid w:val="000F1CC7"/>
    <w:rsid w:val="0010059B"/>
    <w:rsid w:val="0010261E"/>
    <w:rsid w:val="00107073"/>
    <w:rsid w:val="00107446"/>
    <w:rsid w:val="00111F08"/>
    <w:rsid w:val="00112693"/>
    <w:rsid w:val="001170F0"/>
    <w:rsid w:val="001269D6"/>
    <w:rsid w:val="00133E37"/>
    <w:rsid w:val="00134939"/>
    <w:rsid w:val="00144451"/>
    <w:rsid w:val="00147F1A"/>
    <w:rsid w:val="00151AD1"/>
    <w:rsid w:val="001602AF"/>
    <w:rsid w:val="00161238"/>
    <w:rsid w:val="0016312D"/>
    <w:rsid w:val="00166C49"/>
    <w:rsid w:val="00175A05"/>
    <w:rsid w:val="00176ACC"/>
    <w:rsid w:val="00182479"/>
    <w:rsid w:val="001844C3"/>
    <w:rsid w:val="0018604D"/>
    <w:rsid w:val="00187A8A"/>
    <w:rsid w:val="00190139"/>
    <w:rsid w:val="001947F6"/>
    <w:rsid w:val="001972F5"/>
    <w:rsid w:val="001A252A"/>
    <w:rsid w:val="001A4E1F"/>
    <w:rsid w:val="001B1943"/>
    <w:rsid w:val="001B4736"/>
    <w:rsid w:val="001B7B6D"/>
    <w:rsid w:val="001C38B4"/>
    <w:rsid w:val="001D0F91"/>
    <w:rsid w:val="001D1E2C"/>
    <w:rsid w:val="001D5133"/>
    <w:rsid w:val="001D69EC"/>
    <w:rsid w:val="001E23FF"/>
    <w:rsid w:val="001E3284"/>
    <w:rsid w:val="001E6C3F"/>
    <w:rsid w:val="001F0630"/>
    <w:rsid w:val="001F516B"/>
    <w:rsid w:val="001F7398"/>
    <w:rsid w:val="001F7E7D"/>
    <w:rsid w:val="00200AE8"/>
    <w:rsid w:val="00207AFC"/>
    <w:rsid w:val="00212693"/>
    <w:rsid w:val="00213107"/>
    <w:rsid w:val="00215627"/>
    <w:rsid w:val="00216073"/>
    <w:rsid w:val="0022588E"/>
    <w:rsid w:val="00225FB3"/>
    <w:rsid w:val="00226942"/>
    <w:rsid w:val="00230A9A"/>
    <w:rsid w:val="00231E2D"/>
    <w:rsid w:val="00246B32"/>
    <w:rsid w:val="00251FAB"/>
    <w:rsid w:val="00252FF1"/>
    <w:rsid w:val="0025445A"/>
    <w:rsid w:val="00257809"/>
    <w:rsid w:val="00257BF4"/>
    <w:rsid w:val="00266CC9"/>
    <w:rsid w:val="00271596"/>
    <w:rsid w:val="0027192A"/>
    <w:rsid w:val="00272AC0"/>
    <w:rsid w:val="00273CBE"/>
    <w:rsid w:val="00275225"/>
    <w:rsid w:val="0027665A"/>
    <w:rsid w:val="002828D0"/>
    <w:rsid w:val="00292371"/>
    <w:rsid w:val="002A0A89"/>
    <w:rsid w:val="002A35D3"/>
    <w:rsid w:val="002B6816"/>
    <w:rsid w:val="002B7C5F"/>
    <w:rsid w:val="002C332F"/>
    <w:rsid w:val="002D4677"/>
    <w:rsid w:val="002D53BF"/>
    <w:rsid w:val="002E08A0"/>
    <w:rsid w:val="002E76FF"/>
    <w:rsid w:val="002F0D98"/>
    <w:rsid w:val="002F15F8"/>
    <w:rsid w:val="002F2900"/>
    <w:rsid w:val="002F5284"/>
    <w:rsid w:val="00302B6E"/>
    <w:rsid w:val="00310700"/>
    <w:rsid w:val="0031286B"/>
    <w:rsid w:val="00317907"/>
    <w:rsid w:val="00320BF6"/>
    <w:rsid w:val="00323175"/>
    <w:rsid w:val="00340E98"/>
    <w:rsid w:val="00341360"/>
    <w:rsid w:val="003548BE"/>
    <w:rsid w:val="00357781"/>
    <w:rsid w:val="00376B27"/>
    <w:rsid w:val="00377883"/>
    <w:rsid w:val="00381F1F"/>
    <w:rsid w:val="00383D39"/>
    <w:rsid w:val="00383F65"/>
    <w:rsid w:val="003858BD"/>
    <w:rsid w:val="0038636B"/>
    <w:rsid w:val="0039217B"/>
    <w:rsid w:val="00396BDA"/>
    <w:rsid w:val="003A0505"/>
    <w:rsid w:val="003A19EC"/>
    <w:rsid w:val="003A6E56"/>
    <w:rsid w:val="003A752A"/>
    <w:rsid w:val="003B340A"/>
    <w:rsid w:val="003C69D2"/>
    <w:rsid w:val="003E6E98"/>
    <w:rsid w:val="003F1F41"/>
    <w:rsid w:val="003F237B"/>
    <w:rsid w:val="003F3D22"/>
    <w:rsid w:val="003F6905"/>
    <w:rsid w:val="003F6918"/>
    <w:rsid w:val="00406B5C"/>
    <w:rsid w:val="00420B75"/>
    <w:rsid w:val="00436F6A"/>
    <w:rsid w:val="004378DA"/>
    <w:rsid w:val="00442B20"/>
    <w:rsid w:val="00445807"/>
    <w:rsid w:val="00450867"/>
    <w:rsid w:val="00450AC8"/>
    <w:rsid w:val="00456A5E"/>
    <w:rsid w:val="00456E3A"/>
    <w:rsid w:val="004650A0"/>
    <w:rsid w:val="004653BF"/>
    <w:rsid w:val="0047445E"/>
    <w:rsid w:val="00475E1E"/>
    <w:rsid w:val="00476645"/>
    <w:rsid w:val="00482B84"/>
    <w:rsid w:val="004906AE"/>
    <w:rsid w:val="00490F84"/>
    <w:rsid w:val="00490FDA"/>
    <w:rsid w:val="004A3906"/>
    <w:rsid w:val="004A70A6"/>
    <w:rsid w:val="004B2300"/>
    <w:rsid w:val="004B3AB4"/>
    <w:rsid w:val="004B4FC6"/>
    <w:rsid w:val="004D0B0C"/>
    <w:rsid w:val="004D1B89"/>
    <w:rsid w:val="004E2B32"/>
    <w:rsid w:val="004F2E25"/>
    <w:rsid w:val="004F7D8C"/>
    <w:rsid w:val="00501490"/>
    <w:rsid w:val="00502295"/>
    <w:rsid w:val="00502A6C"/>
    <w:rsid w:val="0050361D"/>
    <w:rsid w:val="00504CE2"/>
    <w:rsid w:val="0051424A"/>
    <w:rsid w:val="005147F3"/>
    <w:rsid w:val="00530C2B"/>
    <w:rsid w:val="00531A88"/>
    <w:rsid w:val="00532ADF"/>
    <w:rsid w:val="00532EA7"/>
    <w:rsid w:val="00533BEB"/>
    <w:rsid w:val="005443ED"/>
    <w:rsid w:val="005479DB"/>
    <w:rsid w:val="005709FD"/>
    <w:rsid w:val="00571AA0"/>
    <w:rsid w:val="00575744"/>
    <w:rsid w:val="005757A9"/>
    <w:rsid w:val="00587285"/>
    <w:rsid w:val="005A2AA3"/>
    <w:rsid w:val="005A5698"/>
    <w:rsid w:val="005A57A8"/>
    <w:rsid w:val="005B2D46"/>
    <w:rsid w:val="005B3216"/>
    <w:rsid w:val="005B5D73"/>
    <w:rsid w:val="005C3BAB"/>
    <w:rsid w:val="005C778A"/>
    <w:rsid w:val="005D5235"/>
    <w:rsid w:val="005D55FD"/>
    <w:rsid w:val="005F53D4"/>
    <w:rsid w:val="005F7702"/>
    <w:rsid w:val="00602E8C"/>
    <w:rsid w:val="00604E88"/>
    <w:rsid w:val="00610830"/>
    <w:rsid w:val="00613DE2"/>
    <w:rsid w:val="00622C49"/>
    <w:rsid w:val="00624C06"/>
    <w:rsid w:val="006256BA"/>
    <w:rsid w:val="006312B5"/>
    <w:rsid w:val="0063514A"/>
    <w:rsid w:val="006475DD"/>
    <w:rsid w:val="0065021C"/>
    <w:rsid w:val="00654540"/>
    <w:rsid w:val="00661A00"/>
    <w:rsid w:val="00662F1A"/>
    <w:rsid w:val="00675CEA"/>
    <w:rsid w:val="00675D91"/>
    <w:rsid w:val="0068200C"/>
    <w:rsid w:val="00687E68"/>
    <w:rsid w:val="0069361C"/>
    <w:rsid w:val="006B1DEE"/>
    <w:rsid w:val="006D5A03"/>
    <w:rsid w:val="006E0E41"/>
    <w:rsid w:val="006E1B40"/>
    <w:rsid w:val="006E1FA0"/>
    <w:rsid w:val="006E4D91"/>
    <w:rsid w:val="006F0915"/>
    <w:rsid w:val="006F2D5F"/>
    <w:rsid w:val="007010B0"/>
    <w:rsid w:val="00726C2B"/>
    <w:rsid w:val="0073743B"/>
    <w:rsid w:val="0074046C"/>
    <w:rsid w:val="00742C97"/>
    <w:rsid w:val="00746041"/>
    <w:rsid w:val="00747BAD"/>
    <w:rsid w:val="00751FBE"/>
    <w:rsid w:val="007547DD"/>
    <w:rsid w:val="00767E63"/>
    <w:rsid w:val="00770212"/>
    <w:rsid w:val="00770274"/>
    <w:rsid w:val="00790BBB"/>
    <w:rsid w:val="00792688"/>
    <w:rsid w:val="00795803"/>
    <w:rsid w:val="007B0CF4"/>
    <w:rsid w:val="007B1D12"/>
    <w:rsid w:val="007B60BF"/>
    <w:rsid w:val="007C31F0"/>
    <w:rsid w:val="007D251D"/>
    <w:rsid w:val="007D2964"/>
    <w:rsid w:val="007D2BEA"/>
    <w:rsid w:val="007E093D"/>
    <w:rsid w:val="007E3712"/>
    <w:rsid w:val="007E3E3E"/>
    <w:rsid w:val="007E3FFE"/>
    <w:rsid w:val="007E68F0"/>
    <w:rsid w:val="007F1F55"/>
    <w:rsid w:val="007F49CF"/>
    <w:rsid w:val="007F63B5"/>
    <w:rsid w:val="008075F0"/>
    <w:rsid w:val="0081152E"/>
    <w:rsid w:val="008123C2"/>
    <w:rsid w:val="00813B79"/>
    <w:rsid w:val="00824722"/>
    <w:rsid w:val="0084208E"/>
    <w:rsid w:val="00843EB3"/>
    <w:rsid w:val="00850C87"/>
    <w:rsid w:val="00853650"/>
    <w:rsid w:val="00854E18"/>
    <w:rsid w:val="00855984"/>
    <w:rsid w:val="00857636"/>
    <w:rsid w:val="008607F4"/>
    <w:rsid w:val="00871FA9"/>
    <w:rsid w:val="008831CC"/>
    <w:rsid w:val="008835C4"/>
    <w:rsid w:val="008861D6"/>
    <w:rsid w:val="00897888"/>
    <w:rsid w:val="008A083B"/>
    <w:rsid w:val="008A14EA"/>
    <w:rsid w:val="008A2D6D"/>
    <w:rsid w:val="008A3534"/>
    <w:rsid w:val="008A68F3"/>
    <w:rsid w:val="008C6AA3"/>
    <w:rsid w:val="008C73F6"/>
    <w:rsid w:val="008D64C1"/>
    <w:rsid w:val="008E3A0B"/>
    <w:rsid w:val="008E70D2"/>
    <w:rsid w:val="008E7DFC"/>
    <w:rsid w:val="008F56EA"/>
    <w:rsid w:val="008F626E"/>
    <w:rsid w:val="0090052C"/>
    <w:rsid w:val="009026D5"/>
    <w:rsid w:val="00902EF3"/>
    <w:rsid w:val="00914927"/>
    <w:rsid w:val="009152B4"/>
    <w:rsid w:val="00931C84"/>
    <w:rsid w:val="0093684A"/>
    <w:rsid w:val="009379E0"/>
    <w:rsid w:val="0094757C"/>
    <w:rsid w:val="00952DEF"/>
    <w:rsid w:val="0095311A"/>
    <w:rsid w:val="00955723"/>
    <w:rsid w:val="009619B1"/>
    <w:rsid w:val="0096227F"/>
    <w:rsid w:val="00963BA4"/>
    <w:rsid w:val="00965025"/>
    <w:rsid w:val="0097242A"/>
    <w:rsid w:val="00977349"/>
    <w:rsid w:val="009836A5"/>
    <w:rsid w:val="0099583D"/>
    <w:rsid w:val="00997C2E"/>
    <w:rsid w:val="009A113B"/>
    <w:rsid w:val="009A2DB0"/>
    <w:rsid w:val="009B337C"/>
    <w:rsid w:val="009C0998"/>
    <w:rsid w:val="009C6D07"/>
    <w:rsid w:val="009C73DC"/>
    <w:rsid w:val="009C7D02"/>
    <w:rsid w:val="009E36F7"/>
    <w:rsid w:val="009E7F6B"/>
    <w:rsid w:val="009F2616"/>
    <w:rsid w:val="009F69FF"/>
    <w:rsid w:val="009F71A4"/>
    <w:rsid w:val="009F7727"/>
    <w:rsid w:val="00A00674"/>
    <w:rsid w:val="00A10985"/>
    <w:rsid w:val="00A13269"/>
    <w:rsid w:val="00A14283"/>
    <w:rsid w:val="00A175D3"/>
    <w:rsid w:val="00A217AB"/>
    <w:rsid w:val="00A23DF7"/>
    <w:rsid w:val="00A25A0A"/>
    <w:rsid w:val="00A276BD"/>
    <w:rsid w:val="00A3234B"/>
    <w:rsid w:val="00A33B45"/>
    <w:rsid w:val="00A40B45"/>
    <w:rsid w:val="00A40BE5"/>
    <w:rsid w:val="00A43E54"/>
    <w:rsid w:val="00A513C3"/>
    <w:rsid w:val="00A52621"/>
    <w:rsid w:val="00A6301B"/>
    <w:rsid w:val="00A80298"/>
    <w:rsid w:val="00A901B4"/>
    <w:rsid w:val="00A91F33"/>
    <w:rsid w:val="00AA256A"/>
    <w:rsid w:val="00AA72BC"/>
    <w:rsid w:val="00AB6527"/>
    <w:rsid w:val="00AB7842"/>
    <w:rsid w:val="00AC2FF6"/>
    <w:rsid w:val="00AC3316"/>
    <w:rsid w:val="00AC711B"/>
    <w:rsid w:val="00AC7D36"/>
    <w:rsid w:val="00AD4CEF"/>
    <w:rsid w:val="00AD6604"/>
    <w:rsid w:val="00AE0AEE"/>
    <w:rsid w:val="00AE0D3C"/>
    <w:rsid w:val="00AE5023"/>
    <w:rsid w:val="00AE7499"/>
    <w:rsid w:val="00AE7D3D"/>
    <w:rsid w:val="00AF4D76"/>
    <w:rsid w:val="00B00168"/>
    <w:rsid w:val="00B06AE2"/>
    <w:rsid w:val="00B103CC"/>
    <w:rsid w:val="00B2471F"/>
    <w:rsid w:val="00B3066B"/>
    <w:rsid w:val="00B31194"/>
    <w:rsid w:val="00B40881"/>
    <w:rsid w:val="00B40FE1"/>
    <w:rsid w:val="00B51659"/>
    <w:rsid w:val="00B53405"/>
    <w:rsid w:val="00B64F24"/>
    <w:rsid w:val="00B77722"/>
    <w:rsid w:val="00B81267"/>
    <w:rsid w:val="00B81578"/>
    <w:rsid w:val="00B83B25"/>
    <w:rsid w:val="00B84452"/>
    <w:rsid w:val="00B84643"/>
    <w:rsid w:val="00BA08F8"/>
    <w:rsid w:val="00BA2F1A"/>
    <w:rsid w:val="00BB1FAE"/>
    <w:rsid w:val="00BC1E00"/>
    <w:rsid w:val="00BE0FD5"/>
    <w:rsid w:val="00BE4C14"/>
    <w:rsid w:val="00BF2010"/>
    <w:rsid w:val="00BF34AF"/>
    <w:rsid w:val="00BF5F9C"/>
    <w:rsid w:val="00BF7CC2"/>
    <w:rsid w:val="00C005F6"/>
    <w:rsid w:val="00C00C07"/>
    <w:rsid w:val="00C07FC0"/>
    <w:rsid w:val="00C13276"/>
    <w:rsid w:val="00C162CD"/>
    <w:rsid w:val="00C24B29"/>
    <w:rsid w:val="00C30EBD"/>
    <w:rsid w:val="00C329C5"/>
    <w:rsid w:val="00C32FA0"/>
    <w:rsid w:val="00C36F37"/>
    <w:rsid w:val="00C4125C"/>
    <w:rsid w:val="00C42876"/>
    <w:rsid w:val="00C447E1"/>
    <w:rsid w:val="00C44F3D"/>
    <w:rsid w:val="00C45B4E"/>
    <w:rsid w:val="00C538F6"/>
    <w:rsid w:val="00C6412B"/>
    <w:rsid w:val="00C7127B"/>
    <w:rsid w:val="00C72AE2"/>
    <w:rsid w:val="00C73D5A"/>
    <w:rsid w:val="00C75FF1"/>
    <w:rsid w:val="00C813E6"/>
    <w:rsid w:val="00C81713"/>
    <w:rsid w:val="00C9649E"/>
    <w:rsid w:val="00C97AC6"/>
    <w:rsid w:val="00CA5CDF"/>
    <w:rsid w:val="00CA66CB"/>
    <w:rsid w:val="00CA7A2B"/>
    <w:rsid w:val="00CB017A"/>
    <w:rsid w:val="00CB0DAE"/>
    <w:rsid w:val="00CB1597"/>
    <w:rsid w:val="00CB4E7F"/>
    <w:rsid w:val="00CB512C"/>
    <w:rsid w:val="00CC4C99"/>
    <w:rsid w:val="00CC6745"/>
    <w:rsid w:val="00CE1E58"/>
    <w:rsid w:val="00CF0760"/>
    <w:rsid w:val="00CF552A"/>
    <w:rsid w:val="00D06B4F"/>
    <w:rsid w:val="00D07DF0"/>
    <w:rsid w:val="00D12298"/>
    <w:rsid w:val="00D13CF7"/>
    <w:rsid w:val="00D13E11"/>
    <w:rsid w:val="00D21FEC"/>
    <w:rsid w:val="00D24B85"/>
    <w:rsid w:val="00D47512"/>
    <w:rsid w:val="00D54FE1"/>
    <w:rsid w:val="00D57D26"/>
    <w:rsid w:val="00D60BE9"/>
    <w:rsid w:val="00D6479A"/>
    <w:rsid w:val="00D73241"/>
    <w:rsid w:val="00D83F3B"/>
    <w:rsid w:val="00D919D4"/>
    <w:rsid w:val="00D951AC"/>
    <w:rsid w:val="00D96D18"/>
    <w:rsid w:val="00DA17A3"/>
    <w:rsid w:val="00DA1A10"/>
    <w:rsid w:val="00DA1A26"/>
    <w:rsid w:val="00DA7D1C"/>
    <w:rsid w:val="00DB0F89"/>
    <w:rsid w:val="00DB2913"/>
    <w:rsid w:val="00DC049D"/>
    <w:rsid w:val="00DC29C0"/>
    <w:rsid w:val="00DC4D61"/>
    <w:rsid w:val="00DC683D"/>
    <w:rsid w:val="00DD2FF7"/>
    <w:rsid w:val="00DF132C"/>
    <w:rsid w:val="00DF23DA"/>
    <w:rsid w:val="00E01978"/>
    <w:rsid w:val="00E05241"/>
    <w:rsid w:val="00E06F81"/>
    <w:rsid w:val="00E46306"/>
    <w:rsid w:val="00E6364C"/>
    <w:rsid w:val="00E63C04"/>
    <w:rsid w:val="00E6539F"/>
    <w:rsid w:val="00E660B3"/>
    <w:rsid w:val="00E6689D"/>
    <w:rsid w:val="00E672DB"/>
    <w:rsid w:val="00E72D96"/>
    <w:rsid w:val="00E760B9"/>
    <w:rsid w:val="00E8351E"/>
    <w:rsid w:val="00E84738"/>
    <w:rsid w:val="00E85075"/>
    <w:rsid w:val="00E9752F"/>
    <w:rsid w:val="00EA3E69"/>
    <w:rsid w:val="00EA7815"/>
    <w:rsid w:val="00EB029C"/>
    <w:rsid w:val="00EB1DFB"/>
    <w:rsid w:val="00EB27D4"/>
    <w:rsid w:val="00EB5E10"/>
    <w:rsid w:val="00EC1D30"/>
    <w:rsid w:val="00EC2CE9"/>
    <w:rsid w:val="00EC4423"/>
    <w:rsid w:val="00ED2537"/>
    <w:rsid w:val="00ED5056"/>
    <w:rsid w:val="00EE198C"/>
    <w:rsid w:val="00EF4432"/>
    <w:rsid w:val="00EF63D0"/>
    <w:rsid w:val="00F004F2"/>
    <w:rsid w:val="00F06DC3"/>
    <w:rsid w:val="00F13580"/>
    <w:rsid w:val="00F17B5D"/>
    <w:rsid w:val="00F267C0"/>
    <w:rsid w:val="00F27981"/>
    <w:rsid w:val="00F3314D"/>
    <w:rsid w:val="00F33592"/>
    <w:rsid w:val="00F41488"/>
    <w:rsid w:val="00F60817"/>
    <w:rsid w:val="00F6250D"/>
    <w:rsid w:val="00F62A36"/>
    <w:rsid w:val="00F63AF2"/>
    <w:rsid w:val="00F75F6F"/>
    <w:rsid w:val="00F77501"/>
    <w:rsid w:val="00F80FEE"/>
    <w:rsid w:val="00F81213"/>
    <w:rsid w:val="00F827F0"/>
    <w:rsid w:val="00F84484"/>
    <w:rsid w:val="00F8518C"/>
    <w:rsid w:val="00F85298"/>
    <w:rsid w:val="00F87C6D"/>
    <w:rsid w:val="00F9267F"/>
    <w:rsid w:val="00F9387A"/>
    <w:rsid w:val="00F95D75"/>
    <w:rsid w:val="00FA4E4B"/>
    <w:rsid w:val="00FB1274"/>
    <w:rsid w:val="00FB27CC"/>
    <w:rsid w:val="00FD13E9"/>
    <w:rsid w:val="00FD4682"/>
    <w:rsid w:val="00FD6290"/>
    <w:rsid w:val="00FE2EDE"/>
    <w:rsid w:val="00FE38C8"/>
    <w:rsid w:val="00FF7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1F"/>
    <w:pPr>
      <w:spacing w:after="160" w:line="240" w:lineRule="atLeast"/>
    </w:pPr>
    <w:rPr>
      <w:rFonts w:ascii="Arial" w:hAnsi="Arial"/>
      <w:sz w:val="22"/>
    </w:rPr>
  </w:style>
  <w:style w:type="paragraph" w:styleId="Heading1">
    <w:name w:val="heading 1"/>
    <w:basedOn w:val="Normal"/>
    <w:link w:val="Heading1Char"/>
    <w:uiPriority w:val="99"/>
    <w:qFormat/>
    <w:rsid w:val="0097242A"/>
    <w:pPr>
      <w:spacing w:before="100" w:beforeAutospacing="1" w:after="100" w:afterAutospacing="1" w:line="240" w:lineRule="auto"/>
      <w:outlineLvl w:val="0"/>
    </w:pPr>
    <w:rPr>
      <w:rFonts w:ascii="Times New Roman" w:hAnsi="Times New Roman"/>
      <w:b/>
      <w:bCs/>
      <w:kern w:val="36"/>
      <w:sz w:val="48"/>
      <w:szCs w:val="48"/>
      <w:lang w:val="en-US" w:eastAsia="en-US"/>
    </w:rPr>
  </w:style>
  <w:style w:type="paragraph" w:styleId="Heading3">
    <w:name w:val="heading 3"/>
    <w:basedOn w:val="Normal"/>
    <w:next w:val="Normal"/>
    <w:link w:val="Heading3Char"/>
    <w:uiPriority w:val="99"/>
    <w:qFormat/>
    <w:rsid w:val="00FA4E4B"/>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FA4E4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Header">
    <w:name w:val="header"/>
    <w:basedOn w:val="Normal"/>
    <w:link w:val="HeaderChar"/>
    <w:uiPriority w:val="99"/>
    <w:rsid w:val="009F71A4"/>
    <w:pPr>
      <w:tabs>
        <w:tab w:val="center" w:pos="4153"/>
        <w:tab w:val="right" w:pos="8306"/>
      </w:tabs>
    </w:pPr>
  </w:style>
  <w:style w:type="character" w:customStyle="1" w:styleId="HeaderChar">
    <w:name w:val="Header Char"/>
    <w:link w:val="Header"/>
    <w:uiPriority w:val="99"/>
    <w:semiHidden/>
    <w:locked/>
    <w:rPr>
      <w:rFonts w:ascii="Arial" w:hAnsi="Arial" w:cs="Times New Roman"/>
      <w:sz w:val="20"/>
      <w:szCs w:val="20"/>
    </w:rPr>
  </w:style>
  <w:style w:type="paragraph" w:styleId="Footer">
    <w:name w:val="footer"/>
    <w:basedOn w:val="Normal"/>
    <w:link w:val="FooterChar"/>
    <w:uiPriority w:val="99"/>
    <w:rsid w:val="009F71A4"/>
    <w:pPr>
      <w:tabs>
        <w:tab w:val="center" w:pos="4153"/>
        <w:tab w:val="right" w:pos="8306"/>
      </w:tabs>
    </w:pPr>
  </w:style>
  <w:style w:type="character" w:customStyle="1" w:styleId="FooterChar">
    <w:name w:val="Footer Char"/>
    <w:link w:val="Footer"/>
    <w:uiPriority w:val="99"/>
    <w:semiHidden/>
    <w:locked/>
    <w:rPr>
      <w:rFonts w:ascii="Arial" w:hAnsi="Arial" w:cs="Times New Roman"/>
      <w:sz w:val="20"/>
      <w:szCs w:val="20"/>
    </w:rPr>
  </w:style>
  <w:style w:type="table" w:styleId="TableGrid">
    <w:name w:val="Table Grid"/>
    <w:basedOn w:val="TableNormal"/>
    <w:uiPriority w:val="99"/>
    <w:rsid w:val="009F7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B512C"/>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FWDDate">
    <w:name w:val="FWD Date"/>
    <w:basedOn w:val="Normal"/>
    <w:next w:val="FWDRecipientAddress"/>
    <w:uiPriority w:val="99"/>
    <w:rsid w:val="009B337C"/>
    <w:pPr>
      <w:spacing w:before="1400" w:after="240"/>
    </w:pPr>
  </w:style>
  <w:style w:type="paragraph" w:customStyle="1" w:styleId="FWDFooterAddress">
    <w:name w:val="FWD FooterAddress"/>
    <w:basedOn w:val="Footer"/>
    <w:uiPriority w:val="99"/>
    <w:rsid w:val="009619B1"/>
    <w:pPr>
      <w:spacing w:after="0" w:line="240" w:lineRule="auto"/>
    </w:pPr>
    <w:rPr>
      <w:sz w:val="16"/>
    </w:rPr>
  </w:style>
  <w:style w:type="paragraph" w:customStyle="1" w:styleId="FWDRecipientAddress">
    <w:name w:val="FWD Recipient Address"/>
    <w:basedOn w:val="FWDDate"/>
    <w:uiPriority w:val="99"/>
    <w:rsid w:val="00AE5023"/>
    <w:pPr>
      <w:spacing w:before="0" w:after="0" w:line="240" w:lineRule="auto"/>
    </w:pPr>
  </w:style>
  <w:style w:type="paragraph" w:customStyle="1" w:styleId="FWDSalutation">
    <w:name w:val="FWD Salutation"/>
    <w:basedOn w:val="FWDRecipientAddress"/>
    <w:next w:val="Normal"/>
    <w:uiPriority w:val="99"/>
    <w:rsid w:val="000F1CC7"/>
    <w:pPr>
      <w:spacing w:before="540" w:after="540"/>
    </w:pPr>
  </w:style>
  <w:style w:type="paragraph" w:customStyle="1" w:styleId="FWDSubject">
    <w:name w:val="FWD Subject"/>
    <w:basedOn w:val="Normal"/>
    <w:uiPriority w:val="99"/>
    <w:rsid w:val="000F1CC7"/>
    <w:pPr>
      <w:spacing w:after="240"/>
    </w:pPr>
    <w:rPr>
      <w:b/>
    </w:rPr>
  </w:style>
  <w:style w:type="paragraph" w:customStyle="1" w:styleId="FWDSignedBy">
    <w:name w:val="FWD Signed By"/>
    <w:basedOn w:val="Normal"/>
    <w:uiPriority w:val="99"/>
    <w:rsid w:val="009B337C"/>
    <w:pPr>
      <w:spacing w:after="0"/>
    </w:pPr>
  </w:style>
  <w:style w:type="paragraph" w:customStyle="1" w:styleId="FWDYours">
    <w:name w:val="FWD Yours"/>
    <w:basedOn w:val="Normal"/>
    <w:next w:val="FWDSignedBy"/>
    <w:uiPriority w:val="99"/>
    <w:rsid w:val="000F1CC7"/>
    <w:pPr>
      <w:spacing w:after="540" w:line="240" w:lineRule="auto"/>
    </w:pPr>
  </w:style>
  <w:style w:type="paragraph" w:customStyle="1" w:styleId="FWDMembersName">
    <w:name w:val="FWD Members Name"/>
    <w:basedOn w:val="Normal"/>
    <w:next w:val="Normal"/>
    <w:uiPriority w:val="99"/>
    <w:rsid w:val="003F237B"/>
    <w:pPr>
      <w:spacing w:before="240"/>
    </w:pPr>
    <w:rPr>
      <w:rFonts w:ascii="Frutiger 55 Roman" w:hAnsi="Frutiger 55 Roman"/>
      <w:caps/>
    </w:rPr>
  </w:style>
  <w:style w:type="paragraph" w:styleId="Title">
    <w:name w:val="Title"/>
    <w:basedOn w:val="Normal"/>
    <w:link w:val="TitleChar"/>
    <w:uiPriority w:val="99"/>
    <w:qFormat/>
    <w:rsid w:val="00FA4E4B"/>
    <w:pPr>
      <w:spacing w:before="1080" w:after="1080" w:line="360" w:lineRule="auto"/>
      <w:jc w:val="center"/>
    </w:pPr>
    <w:rPr>
      <w:rFonts w:ascii="Stone Sans" w:hAnsi="Stone Sans"/>
      <w:sz w:val="36"/>
      <w:szCs w:val="36"/>
      <w:lang w:eastAsia="en-US"/>
    </w:rPr>
  </w:style>
  <w:style w:type="character" w:customStyle="1" w:styleId="TitleChar">
    <w:name w:val="Title Char"/>
    <w:link w:val="Title"/>
    <w:uiPriority w:val="99"/>
    <w:locked/>
    <w:rPr>
      <w:rFonts w:ascii="Cambria" w:hAnsi="Cambria" w:cs="Times New Roman"/>
      <w:b/>
      <w:bCs/>
      <w:kern w:val="28"/>
      <w:sz w:val="32"/>
      <w:szCs w:val="32"/>
    </w:rPr>
  </w:style>
  <w:style w:type="paragraph" w:styleId="TOC1">
    <w:name w:val="toc 1"/>
    <w:basedOn w:val="Normal"/>
    <w:next w:val="Normal"/>
    <w:autoRedefine/>
    <w:uiPriority w:val="39"/>
    <w:rsid w:val="00FA4E4B"/>
    <w:pPr>
      <w:spacing w:before="40" w:after="40" w:line="360" w:lineRule="auto"/>
    </w:pPr>
    <w:rPr>
      <w:rFonts w:ascii="Tahoma" w:hAnsi="Tahoma"/>
      <w:sz w:val="20"/>
      <w:lang w:eastAsia="en-US"/>
    </w:rPr>
  </w:style>
  <w:style w:type="character" w:styleId="Hyperlink">
    <w:name w:val="Hyperlink"/>
    <w:uiPriority w:val="99"/>
    <w:rsid w:val="00FA4E4B"/>
    <w:rPr>
      <w:rFonts w:cs="Times New Roman"/>
      <w:color w:val="0000FF"/>
      <w:u w:val="single"/>
    </w:rPr>
  </w:style>
  <w:style w:type="paragraph" w:customStyle="1" w:styleId="StyleTitleAfter18pt">
    <w:name w:val="Style Title + After:  18 pt"/>
    <w:basedOn w:val="Title"/>
    <w:uiPriority w:val="99"/>
    <w:rsid w:val="00FA4E4B"/>
    <w:pPr>
      <w:spacing w:before="360" w:after="360"/>
    </w:pPr>
    <w:rPr>
      <w:szCs w:val="20"/>
    </w:rPr>
  </w:style>
  <w:style w:type="character" w:styleId="CommentReference">
    <w:name w:val="annotation reference"/>
    <w:uiPriority w:val="99"/>
    <w:semiHidden/>
    <w:rsid w:val="003E6E98"/>
    <w:rPr>
      <w:rFonts w:cs="Times New Roman"/>
      <w:sz w:val="16"/>
      <w:szCs w:val="16"/>
    </w:rPr>
  </w:style>
  <w:style w:type="paragraph" w:styleId="CommentText">
    <w:name w:val="annotation text"/>
    <w:basedOn w:val="Normal"/>
    <w:link w:val="CommentTextChar"/>
    <w:uiPriority w:val="99"/>
    <w:semiHidden/>
    <w:rsid w:val="003E6E98"/>
    <w:rPr>
      <w:sz w:val="20"/>
    </w:rPr>
  </w:style>
  <w:style w:type="character" w:customStyle="1" w:styleId="CommentTextChar">
    <w:name w:val="Comment Text Char"/>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E6E98"/>
    <w:rPr>
      <w:b/>
      <w:bCs/>
    </w:rPr>
  </w:style>
  <w:style w:type="character" w:customStyle="1" w:styleId="CommentSubjectChar">
    <w:name w:val="Comment Subject Char"/>
    <w:link w:val="CommentSubject"/>
    <w:uiPriority w:val="99"/>
    <w:semiHidden/>
    <w:locked/>
    <w:rPr>
      <w:rFonts w:ascii="Arial" w:hAnsi="Arial" w:cs="Times New Roman"/>
      <w:b/>
      <w:bCs/>
      <w:sz w:val="20"/>
      <w:szCs w:val="20"/>
    </w:rPr>
  </w:style>
  <w:style w:type="character" w:styleId="PageNumber">
    <w:name w:val="page number"/>
    <w:uiPriority w:val="99"/>
    <w:rsid w:val="001B4736"/>
    <w:rPr>
      <w:rFonts w:cs="Times New Roman"/>
    </w:rPr>
  </w:style>
  <w:style w:type="paragraph" w:styleId="ListParagraph">
    <w:name w:val="List Paragraph"/>
    <w:basedOn w:val="Normal"/>
    <w:uiPriority w:val="34"/>
    <w:qFormat/>
    <w:rsid w:val="00216073"/>
    <w:pPr>
      <w:spacing w:after="0" w:line="240" w:lineRule="auto"/>
      <w:ind w:left="720"/>
      <w:contextualSpacing/>
    </w:pPr>
    <w:rPr>
      <w:rFonts w:ascii="Calibri" w:hAnsi="Calibri"/>
      <w:szCs w:val="22"/>
      <w:lang w:eastAsia="en-US"/>
    </w:rPr>
  </w:style>
  <w:style w:type="paragraph" w:styleId="FootnoteText">
    <w:name w:val="footnote text"/>
    <w:basedOn w:val="Normal"/>
    <w:link w:val="FootnoteTextChar"/>
    <w:uiPriority w:val="99"/>
    <w:rsid w:val="00D96D18"/>
    <w:pPr>
      <w:spacing w:after="0" w:line="240" w:lineRule="auto"/>
    </w:pPr>
    <w:rPr>
      <w:sz w:val="20"/>
    </w:rPr>
  </w:style>
  <w:style w:type="character" w:customStyle="1" w:styleId="FootnoteTextChar">
    <w:name w:val="Footnote Text Char"/>
    <w:link w:val="FootnoteText"/>
    <w:uiPriority w:val="99"/>
    <w:locked/>
    <w:rsid w:val="00D96D18"/>
    <w:rPr>
      <w:rFonts w:ascii="Arial" w:hAnsi="Arial" w:cs="Times New Roman"/>
    </w:rPr>
  </w:style>
  <w:style w:type="character" w:styleId="FootnoteReference">
    <w:name w:val="footnote reference"/>
    <w:uiPriority w:val="99"/>
    <w:rsid w:val="00D96D18"/>
    <w:rPr>
      <w:rFonts w:cs="Times New Roman"/>
      <w:vertAlign w:val="superscript"/>
    </w:rPr>
  </w:style>
  <w:style w:type="character" w:customStyle="1" w:styleId="apple-style-span">
    <w:name w:val="apple-style-span"/>
    <w:uiPriority w:val="99"/>
    <w:rsid w:val="00622C49"/>
    <w:rPr>
      <w:rFonts w:cs="Times New Roman"/>
    </w:rPr>
  </w:style>
  <w:style w:type="paragraph" w:styleId="TOCHeading">
    <w:name w:val="TOC Heading"/>
    <w:basedOn w:val="Heading1"/>
    <w:next w:val="Normal"/>
    <w:uiPriority w:val="39"/>
    <w:semiHidden/>
    <w:unhideWhenUsed/>
    <w:qFormat/>
    <w:rsid w:val="006D5A03"/>
    <w:pPr>
      <w:keepNext/>
      <w:keepLines/>
      <w:spacing w:before="480" w:beforeAutospacing="0" w:after="0" w:afterAutospacing="0" w:line="276" w:lineRule="auto"/>
      <w:outlineLvl w:val="9"/>
    </w:pPr>
    <w:rPr>
      <w:rFonts w:ascii="Cambria" w:eastAsia="MS Gothic" w:hAnsi="Cambria"/>
      <w:color w:val="365F91"/>
      <w:kern w:val="0"/>
      <w:sz w:val="28"/>
      <w:szCs w:val="28"/>
      <w:lang w:eastAsia="ja-JP"/>
    </w:rPr>
  </w:style>
  <w:style w:type="paragraph" w:styleId="TOC3">
    <w:name w:val="toc 3"/>
    <w:basedOn w:val="Normal"/>
    <w:next w:val="Normal"/>
    <w:autoRedefine/>
    <w:uiPriority w:val="39"/>
    <w:locked/>
    <w:rsid w:val="006D5A03"/>
    <w:pPr>
      <w:ind w:left="440"/>
    </w:pPr>
  </w:style>
  <w:style w:type="character" w:styleId="Strong">
    <w:name w:val="Strong"/>
    <w:basedOn w:val="DefaultParagraphFont"/>
    <w:uiPriority w:val="22"/>
    <w:qFormat/>
    <w:locked/>
    <w:rsid w:val="00257B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1F"/>
    <w:pPr>
      <w:spacing w:after="160" w:line="240" w:lineRule="atLeast"/>
    </w:pPr>
    <w:rPr>
      <w:rFonts w:ascii="Arial" w:hAnsi="Arial"/>
      <w:sz w:val="22"/>
    </w:rPr>
  </w:style>
  <w:style w:type="paragraph" w:styleId="Heading1">
    <w:name w:val="heading 1"/>
    <w:basedOn w:val="Normal"/>
    <w:link w:val="Heading1Char"/>
    <w:uiPriority w:val="99"/>
    <w:qFormat/>
    <w:rsid w:val="0097242A"/>
    <w:pPr>
      <w:spacing w:before="100" w:beforeAutospacing="1" w:after="100" w:afterAutospacing="1" w:line="240" w:lineRule="auto"/>
      <w:outlineLvl w:val="0"/>
    </w:pPr>
    <w:rPr>
      <w:rFonts w:ascii="Times New Roman" w:hAnsi="Times New Roman"/>
      <w:b/>
      <w:bCs/>
      <w:kern w:val="36"/>
      <w:sz w:val="48"/>
      <w:szCs w:val="48"/>
      <w:lang w:val="en-US" w:eastAsia="en-US"/>
    </w:rPr>
  </w:style>
  <w:style w:type="paragraph" w:styleId="Heading3">
    <w:name w:val="heading 3"/>
    <w:basedOn w:val="Normal"/>
    <w:next w:val="Normal"/>
    <w:link w:val="Heading3Char"/>
    <w:uiPriority w:val="99"/>
    <w:qFormat/>
    <w:rsid w:val="00FA4E4B"/>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FA4E4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Header">
    <w:name w:val="header"/>
    <w:basedOn w:val="Normal"/>
    <w:link w:val="HeaderChar"/>
    <w:uiPriority w:val="99"/>
    <w:rsid w:val="009F71A4"/>
    <w:pPr>
      <w:tabs>
        <w:tab w:val="center" w:pos="4153"/>
        <w:tab w:val="right" w:pos="8306"/>
      </w:tabs>
    </w:pPr>
  </w:style>
  <w:style w:type="character" w:customStyle="1" w:styleId="HeaderChar">
    <w:name w:val="Header Char"/>
    <w:link w:val="Header"/>
    <w:uiPriority w:val="99"/>
    <w:semiHidden/>
    <w:locked/>
    <w:rPr>
      <w:rFonts w:ascii="Arial" w:hAnsi="Arial" w:cs="Times New Roman"/>
      <w:sz w:val="20"/>
      <w:szCs w:val="20"/>
    </w:rPr>
  </w:style>
  <w:style w:type="paragraph" w:styleId="Footer">
    <w:name w:val="footer"/>
    <w:basedOn w:val="Normal"/>
    <w:link w:val="FooterChar"/>
    <w:uiPriority w:val="99"/>
    <w:rsid w:val="009F71A4"/>
    <w:pPr>
      <w:tabs>
        <w:tab w:val="center" w:pos="4153"/>
        <w:tab w:val="right" w:pos="8306"/>
      </w:tabs>
    </w:pPr>
  </w:style>
  <w:style w:type="character" w:customStyle="1" w:styleId="FooterChar">
    <w:name w:val="Footer Char"/>
    <w:link w:val="Footer"/>
    <w:uiPriority w:val="99"/>
    <w:semiHidden/>
    <w:locked/>
    <w:rPr>
      <w:rFonts w:ascii="Arial" w:hAnsi="Arial" w:cs="Times New Roman"/>
      <w:sz w:val="20"/>
      <w:szCs w:val="20"/>
    </w:rPr>
  </w:style>
  <w:style w:type="table" w:styleId="TableGrid">
    <w:name w:val="Table Grid"/>
    <w:basedOn w:val="TableNormal"/>
    <w:uiPriority w:val="99"/>
    <w:rsid w:val="009F7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B512C"/>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FWDDate">
    <w:name w:val="FWD Date"/>
    <w:basedOn w:val="Normal"/>
    <w:next w:val="FWDRecipientAddress"/>
    <w:uiPriority w:val="99"/>
    <w:rsid w:val="009B337C"/>
    <w:pPr>
      <w:spacing w:before="1400" w:after="240"/>
    </w:pPr>
  </w:style>
  <w:style w:type="paragraph" w:customStyle="1" w:styleId="FWDFooterAddress">
    <w:name w:val="FWD FooterAddress"/>
    <w:basedOn w:val="Footer"/>
    <w:uiPriority w:val="99"/>
    <w:rsid w:val="009619B1"/>
    <w:pPr>
      <w:spacing w:after="0" w:line="240" w:lineRule="auto"/>
    </w:pPr>
    <w:rPr>
      <w:sz w:val="16"/>
    </w:rPr>
  </w:style>
  <w:style w:type="paragraph" w:customStyle="1" w:styleId="FWDRecipientAddress">
    <w:name w:val="FWD Recipient Address"/>
    <w:basedOn w:val="FWDDate"/>
    <w:uiPriority w:val="99"/>
    <w:rsid w:val="00AE5023"/>
    <w:pPr>
      <w:spacing w:before="0" w:after="0" w:line="240" w:lineRule="auto"/>
    </w:pPr>
  </w:style>
  <w:style w:type="paragraph" w:customStyle="1" w:styleId="FWDSalutation">
    <w:name w:val="FWD Salutation"/>
    <w:basedOn w:val="FWDRecipientAddress"/>
    <w:next w:val="Normal"/>
    <w:uiPriority w:val="99"/>
    <w:rsid w:val="000F1CC7"/>
    <w:pPr>
      <w:spacing w:before="540" w:after="540"/>
    </w:pPr>
  </w:style>
  <w:style w:type="paragraph" w:customStyle="1" w:styleId="FWDSubject">
    <w:name w:val="FWD Subject"/>
    <w:basedOn w:val="Normal"/>
    <w:uiPriority w:val="99"/>
    <w:rsid w:val="000F1CC7"/>
    <w:pPr>
      <w:spacing w:after="240"/>
    </w:pPr>
    <w:rPr>
      <w:b/>
    </w:rPr>
  </w:style>
  <w:style w:type="paragraph" w:customStyle="1" w:styleId="FWDSignedBy">
    <w:name w:val="FWD Signed By"/>
    <w:basedOn w:val="Normal"/>
    <w:uiPriority w:val="99"/>
    <w:rsid w:val="009B337C"/>
    <w:pPr>
      <w:spacing w:after="0"/>
    </w:pPr>
  </w:style>
  <w:style w:type="paragraph" w:customStyle="1" w:styleId="FWDYours">
    <w:name w:val="FWD Yours"/>
    <w:basedOn w:val="Normal"/>
    <w:next w:val="FWDSignedBy"/>
    <w:uiPriority w:val="99"/>
    <w:rsid w:val="000F1CC7"/>
    <w:pPr>
      <w:spacing w:after="540" w:line="240" w:lineRule="auto"/>
    </w:pPr>
  </w:style>
  <w:style w:type="paragraph" w:customStyle="1" w:styleId="FWDMembersName">
    <w:name w:val="FWD Members Name"/>
    <w:basedOn w:val="Normal"/>
    <w:next w:val="Normal"/>
    <w:uiPriority w:val="99"/>
    <w:rsid w:val="003F237B"/>
    <w:pPr>
      <w:spacing w:before="240"/>
    </w:pPr>
    <w:rPr>
      <w:rFonts w:ascii="Frutiger 55 Roman" w:hAnsi="Frutiger 55 Roman"/>
      <w:caps/>
    </w:rPr>
  </w:style>
  <w:style w:type="paragraph" w:styleId="Title">
    <w:name w:val="Title"/>
    <w:basedOn w:val="Normal"/>
    <w:link w:val="TitleChar"/>
    <w:uiPriority w:val="99"/>
    <w:qFormat/>
    <w:rsid w:val="00FA4E4B"/>
    <w:pPr>
      <w:spacing w:before="1080" w:after="1080" w:line="360" w:lineRule="auto"/>
      <w:jc w:val="center"/>
    </w:pPr>
    <w:rPr>
      <w:rFonts w:ascii="Stone Sans" w:hAnsi="Stone Sans"/>
      <w:sz w:val="36"/>
      <w:szCs w:val="36"/>
      <w:lang w:eastAsia="en-US"/>
    </w:rPr>
  </w:style>
  <w:style w:type="character" w:customStyle="1" w:styleId="TitleChar">
    <w:name w:val="Title Char"/>
    <w:link w:val="Title"/>
    <w:uiPriority w:val="99"/>
    <w:locked/>
    <w:rPr>
      <w:rFonts w:ascii="Cambria" w:hAnsi="Cambria" w:cs="Times New Roman"/>
      <w:b/>
      <w:bCs/>
      <w:kern w:val="28"/>
      <w:sz w:val="32"/>
      <w:szCs w:val="32"/>
    </w:rPr>
  </w:style>
  <w:style w:type="paragraph" w:styleId="TOC1">
    <w:name w:val="toc 1"/>
    <w:basedOn w:val="Normal"/>
    <w:next w:val="Normal"/>
    <w:autoRedefine/>
    <w:uiPriority w:val="39"/>
    <w:rsid w:val="00FA4E4B"/>
    <w:pPr>
      <w:spacing w:before="40" w:after="40" w:line="360" w:lineRule="auto"/>
    </w:pPr>
    <w:rPr>
      <w:rFonts w:ascii="Tahoma" w:hAnsi="Tahoma"/>
      <w:sz w:val="20"/>
      <w:lang w:eastAsia="en-US"/>
    </w:rPr>
  </w:style>
  <w:style w:type="character" w:styleId="Hyperlink">
    <w:name w:val="Hyperlink"/>
    <w:uiPriority w:val="99"/>
    <w:rsid w:val="00FA4E4B"/>
    <w:rPr>
      <w:rFonts w:cs="Times New Roman"/>
      <w:color w:val="0000FF"/>
      <w:u w:val="single"/>
    </w:rPr>
  </w:style>
  <w:style w:type="paragraph" w:customStyle="1" w:styleId="StyleTitleAfter18pt">
    <w:name w:val="Style Title + After:  18 pt"/>
    <w:basedOn w:val="Title"/>
    <w:uiPriority w:val="99"/>
    <w:rsid w:val="00FA4E4B"/>
    <w:pPr>
      <w:spacing w:before="360" w:after="360"/>
    </w:pPr>
    <w:rPr>
      <w:szCs w:val="20"/>
    </w:rPr>
  </w:style>
  <w:style w:type="character" w:styleId="CommentReference">
    <w:name w:val="annotation reference"/>
    <w:uiPriority w:val="99"/>
    <w:semiHidden/>
    <w:rsid w:val="003E6E98"/>
    <w:rPr>
      <w:rFonts w:cs="Times New Roman"/>
      <w:sz w:val="16"/>
      <w:szCs w:val="16"/>
    </w:rPr>
  </w:style>
  <w:style w:type="paragraph" w:styleId="CommentText">
    <w:name w:val="annotation text"/>
    <w:basedOn w:val="Normal"/>
    <w:link w:val="CommentTextChar"/>
    <w:uiPriority w:val="99"/>
    <w:semiHidden/>
    <w:rsid w:val="003E6E98"/>
    <w:rPr>
      <w:sz w:val="20"/>
    </w:rPr>
  </w:style>
  <w:style w:type="character" w:customStyle="1" w:styleId="CommentTextChar">
    <w:name w:val="Comment Text Char"/>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E6E98"/>
    <w:rPr>
      <w:b/>
      <w:bCs/>
    </w:rPr>
  </w:style>
  <w:style w:type="character" w:customStyle="1" w:styleId="CommentSubjectChar">
    <w:name w:val="Comment Subject Char"/>
    <w:link w:val="CommentSubject"/>
    <w:uiPriority w:val="99"/>
    <w:semiHidden/>
    <w:locked/>
    <w:rPr>
      <w:rFonts w:ascii="Arial" w:hAnsi="Arial" w:cs="Times New Roman"/>
      <w:b/>
      <w:bCs/>
      <w:sz w:val="20"/>
      <w:szCs w:val="20"/>
    </w:rPr>
  </w:style>
  <w:style w:type="character" w:styleId="PageNumber">
    <w:name w:val="page number"/>
    <w:uiPriority w:val="99"/>
    <w:rsid w:val="001B4736"/>
    <w:rPr>
      <w:rFonts w:cs="Times New Roman"/>
    </w:rPr>
  </w:style>
  <w:style w:type="paragraph" w:styleId="ListParagraph">
    <w:name w:val="List Paragraph"/>
    <w:basedOn w:val="Normal"/>
    <w:uiPriority w:val="34"/>
    <w:qFormat/>
    <w:rsid w:val="00216073"/>
    <w:pPr>
      <w:spacing w:after="0" w:line="240" w:lineRule="auto"/>
      <w:ind w:left="720"/>
      <w:contextualSpacing/>
    </w:pPr>
    <w:rPr>
      <w:rFonts w:ascii="Calibri" w:hAnsi="Calibri"/>
      <w:szCs w:val="22"/>
      <w:lang w:eastAsia="en-US"/>
    </w:rPr>
  </w:style>
  <w:style w:type="paragraph" w:styleId="FootnoteText">
    <w:name w:val="footnote text"/>
    <w:basedOn w:val="Normal"/>
    <w:link w:val="FootnoteTextChar"/>
    <w:uiPriority w:val="99"/>
    <w:rsid w:val="00D96D18"/>
    <w:pPr>
      <w:spacing w:after="0" w:line="240" w:lineRule="auto"/>
    </w:pPr>
    <w:rPr>
      <w:sz w:val="20"/>
    </w:rPr>
  </w:style>
  <w:style w:type="character" w:customStyle="1" w:styleId="FootnoteTextChar">
    <w:name w:val="Footnote Text Char"/>
    <w:link w:val="FootnoteText"/>
    <w:uiPriority w:val="99"/>
    <w:locked/>
    <w:rsid w:val="00D96D18"/>
    <w:rPr>
      <w:rFonts w:ascii="Arial" w:hAnsi="Arial" w:cs="Times New Roman"/>
    </w:rPr>
  </w:style>
  <w:style w:type="character" w:styleId="FootnoteReference">
    <w:name w:val="footnote reference"/>
    <w:uiPriority w:val="99"/>
    <w:rsid w:val="00D96D18"/>
    <w:rPr>
      <w:rFonts w:cs="Times New Roman"/>
      <w:vertAlign w:val="superscript"/>
    </w:rPr>
  </w:style>
  <w:style w:type="character" w:customStyle="1" w:styleId="apple-style-span">
    <w:name w:val="apple-style-span"/>
    <w:uiPriority w:val="99"/>
    <w:rsid w:val="00622C49"/>
    <w:rPr>
      <w:rFonts w:cs="Times New Roman"/>
    </w:rPr>
  </w:style>
  <w:style w:type="paragraph" w:styleId="TOCHeading">
    <w:name w:val="TOC Heading"/>
    <w:basedOn w:val="Heading1"/>
    <w:next w:val="Normal"/>
    <w:uiPriority w:val="39"/>
    <w:semiHidden/>
    <w:unhideWhenUsed/>
    <w:qFormat/>
    <w:rsid w:val="006D5A03"/>
    <w:pPr>
      <w:keepNext/>
      <w:keepLines/>
      <w:spacing w:before="480" w:beforeAutospacing="0" w:after="0" w:afterAutospacing="0" w:line="276" w:lineRule="auto"/>
      <w:outlineLvl w:val="9"/>
    </w:pPr>
    <w:rPr>
      <w:rFonts w:ascii="Cambria" w:eastAsia="MS Gothic" w:hAnsi="Cambria"/>
      <w:color w:val="365F91"/>
      <w:kern w:val="0"/>
      <w:sz w:val="28"/>
      <w:szCs w:val="28"/>
      <w:lang w:eastAsia="ja-JP"/>
    </w:rPr>
  </w:style>
  <w:style w:type="paragraph" w:styleId="TOC3">
    <w:name w:val="toc 3"/>
    <w:basedOn w:val="Normal"/>
    <w:next w:val="Normal"/>
    <w:autoRedefine/>
    <w:uiPriority w:val="39"/>
    <w:locked/>
    <w:rsid w:val="006D5A03"/>
    <w:pPr>
      <w:ind w:left="440"/>
    </w:pPr>
  </w:style>
  <w:style w:type="character" w:styleId="Strong">
    <w:name w:val="Strong"/>
    <w:basedOn w:val="DefaultParagraphFont"/>
    <w:uiPriority w:val="22"/>
    <w:qFormat/>
    <w:locked/>
    <w:rsid w:val="00257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1712">
      <w:bodyDiv w:val="1"/>
      <w:marLeft w:val="0"/>
      <w:marRight w:val="0"/>
      <w:marTop w:val="0"/>
      <w:marBottom w:val="0"/>
      <w:divBdr>
        <w:top w:val="none" w:sz="0" w:space="0" w:color="auto"/>
        <w:left w:val="none" w:sz="0" w:space="0" w:color="auto"/>
        <w:bottom w:val="none" w:sz="0" w:space="0" w:color="auto"/>
        <w:right w:val="none" w:sz="0" w:space="0" w:color="auto"/>
      </w:divBdr>
    </w:div>
    <w:div w:id="884408551">
      <w:bodyDiv w:val="1"/>
      <w:marLeft w:val="0"/>
      <w:marRight w:val="0"/>
      <w:marTop w:val="0"/>
      <w:marBottom w:val="0"/>
      <w:divBdr>
        <w:top w:val="none" w:sz="0" w:space="0" w:color="auto"/>
        <w:left w:val="none" w:sz="0" w:space="0" w:color="auto"/>
        <w:bottom w:val="none" w:sz="0" w:space="0" w:color="auto"/>
        <w:right w:val="none" w:sz="0" w:space="0" w:color="auto"/>
      </w:divBdr>
    </w:div>
    <w:div w:id="935359571">
      <w:bodyDiv w:val="1"/>
      <w:marLeft w:val="0"/>
      <w:marRight w:val="0"/>
      <w:marTop w:val="0"/>
      <w:marBottom w:val="0"/>
      <w:divBdr>
        <w:top w:val="none" w:sz="0" w:space="0" w:color="auto"/>
        <w:left w:val="none" w:sz="0" w:space="0" w:color="auto"/>
        <w:bottom w:val="none" w:sz="0" w:space="0" w:color="auto"/>
        <w:right w:val="none" w:sz="0" w:space="0" w:color="auto"/>
      </w:divBdr>
    </w:div>
    <w:div w:id="1026563521">
      <w:bodyDiv w:val="1"/>
      <w:marLeft w:val="0"/>
      <w:marRight w:val="0"/>
      <w:marTop w:val="0"/>
      <w:marBottom w:val="0"/>
      <w:divBdr>
        <w:top w:val="none" w:sz="0" w:space="0" w:color="auto"/>
        <w:left w:val="none" w:sz="0" w:space="0" w:color="auto"/>
        <w:bottom w:val="none" w:sz="0" w:space="0" w:color="auto"/>
        <w:right w:val="none" w:sz="0" w:space="0" w:color="auto"/>
      </w:divBdr>
    </w:div>
    <w:div w:id="1439834712">
      <w:bodyDiv w:val="1"/>
      <w:marLeft w:val="0"/>
      <w:marRight w:val="0"/>
      <w:marTop w:val="0"/>
      <w:marBottom w:val="0"/>
      <w:divBdr>
        <w:top w:val="none" w:sz="0" w:space="0" w:color="auto"/>
        <w:left w:val="none" w:sz="0" w:space="0" w:color="auto"/>
        <w:bottom w:val="none" w:sz="0" w:space="0" w:color="auto"/>
        <w:right w:val="none" w:sz="0" w:space="0" w:color="auto"/>
      </w:divBdr>
    </w:div>
    <w:div w:id="160950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mall.business@p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90961-4DA8-4402-97FC-8DBA2571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1719</Words>
  <Characters>10718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SUBMISSION TO THE ANNUAL WAGE REVIEW 2009–10</vt:lpstr>
    </vt:vector>
  </TitlesOfParts>
  <Company>Australian Industrial Registry</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Australian Hotels Association - Regulator Engagement with Small Business Commissioned study</dc:title>
  <dc:creator>Australian Hotels Association</dc:creator>
  <cp:lastModifiedBy>Productivity Commission</cp:lastModifiedBy>
  <cp:revision>2</cp:revision>
  <cp:lastPrinted>2012-06-19T06:00:00Z</cp:lastPrinted>
  <dcterms:created xsi:type="dcterms:W3CDTF">2013-03-18T03:51:00Z</dcterms:created>
  <dcterms:modified xsi:type="dcterms:W3CDTF">2013-03-18T03:51:00Z</dcterms:modified>
</cp:coreProperties>
</file>