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1EC" w:rsidRDefault="005C01EC" w:rsidP="005C01EC">
      <w:pPr>
        <w:spacing w:after="0"/>
        <w:jc w:val="center"/>
      </w:pPr>
      <w:bookmarkStart w:id="0" w:name="_GoBack"/>
      <w:bookmarkEnd w:id="0"/>
      <w:r>
        <w:t xml:space="preserve">Excerpt from The Society for Chaos Theory in Psychology &amp; Life Sciences </w:t>
      </w:r>
    </w:p>
    <w:p w:rsidR="005C01EC" w:rsidRDefault="005C01EC" w:rsidP="005C01EC">
      <w:pPr>
        <w:jc w:val="center"/>
      </w:pPr>
      <w:r>
        <w:t>Newsletter Vol.20, No. 4 July 2013</w:t>
      </w:r>
    </w:p>
    <w:p w:rsidR="005C01EC" w:rsidRPr="005C01EC" w:rsidRDefault="005C01EC" w:rsidP="005C01EC">
      <w:pPr>
        <w:pStyle w:val="Heading1"/>
        <w:spacing w:before="120"/>
        <w:jc w:val="center"/>
        <w:rPr>
          <w:sz w:val="40"/>
          <w:szCs w:val="40"/>
        </w:rPr>
      </w:pPr>
      <w:r w:rsidRPr="005C01EC">
        <w:rPr>
          <w:sz w:val="40"/>
          <w:szCs w:val="40"/>
        </w:rPr>
        <w:t>Feature Article</w:t>
      </w:r>
    </w:p>
    <w:p w:rsidR="005C01EC" w:rsidRDefault="005C01EC" w:rsidP="005C01EC">
      <w:pPr>
        <w:pStyle w:val="Heading1"/>
        <w:spacing w:before="240"/>
        <w:jc w:val="center"/>
      </w:pPr>
      <w:r w:rsidRPr="00EB05F5">
        <w:t xml:space="preserve">Practical Application of Complexity Theories to Lobbying </w:t>
      </w:r>
      <w:r>
        <w:t>.</w:t>
      </w:r>
    </w:p>
    <w:p w:rsidR="005C01EC" w:rsidRPr="005C01EC" w:rsidRDefault="005C01EC" w:rsidP="005C01EC">
      <w:pPr>
        <w:jc w:val="center"/>
      </w:pPr>
      <w:r>
        <w:t xml:space="preserve"> John Strong CEO </w:t>
      </w:r>
      <w:r w:rsidR="00413541">
        <w:t>Strong Strategies Pty Ltd.</w:t>
      </w:r>
    </w:p>
    <w:p w:rsidR="000E635C" w:rsidRDefault="000E635C" w:rsidP="00211BCC">
      <w:pPr>
        <w:spacing w:after="120"/>
        <w:jc w:val="both"/>
        <w:rPr>
          <w:b/>
        </w:rPr>
        <w:sectPr w:rsidR="000E635C" w:rsidSect="006507B5">
          <w:pgSz w:w="11906" w:h="16838"/>
          <w:pgMar w:top="426" w:right="707" w:bottom="993" w:left="709" w:header="708" w:footer="708" w:gutter="0"/>
          <w:cols w:space="568"/>
          <w:docGrid w:linePitch="360"/>
        </w:sectPr>
      </w:pPr>
    </w:p>
    <w:p w:rsidR="005C01EC" w:rsidRDefault="00997346" w:rsidP="00EB05F5">
      <w:pPr>
        <w:jc w:val="both"/>
      </w:pPr>
      <w:r w:rsidRPr="00997346">
        <w:rPr>
          <w:b/>
        </w:rPr>
        <w:lastRenderedPageBreak/>
        <w:t>Small Business is made up of people.</w:t>
      </w:r>
      <w:r>
        <w:t xml:space="preserve"> </w:t>
      </w:r>
      <w:r w:rsidR="007E7706">
        <w:t xml:space="preserve">The council </w:t>
      </w:r>
      <w:r w:rsidR="003451E1">
        <w:t>is</w:t>
      </w:r>
      <w:r w:rsidR="00DE23D6">
        <w:t xml:space="preserve"> running a campaign based on humanising small bus</w:t>
      </w:r>
      <w:r w:rsidR="00A04056">
        <w:t xml:space="preserve">iness. The theme </w:t>
      </w:r>
      <w:r w:rsidR="003451E1">
        <w:t>is</w:t>
      </w:r>
      <w:r w:rsidR="00A04056">
        <w:t xml:space="preserve"> that s</w:t>
      </w:r>
      <w:r w:rsidR="00DE23D6">
        <w:t xml:space="preserve">mall businesses </w:t>
      </w:r>
      <w:r w:rsidR="00C31ACE">
        <w:t xml:space="preserve">are </w:t>
      </w:r>
      <w:r w:rsidR="00DE23D6">
        <w:t>really people rather than a</w:t>
      </w:r>
      <w:r w:rsidR="00C31ACE">
        <w:t xml:space="preserve"> </w:t>
      </w:r>
      <w:r w:rsidR="008F0AE5">
        <w:t>non-human</w:t>
      </w:r>
      <w:r w:rsidR="00C31ACE">
        <w:t xml:space="preserve"> </w:t>
      </w:r>
      <w:r w:rsidR="00DE23D6">
        <w:t>entity</w:t>
      </w:r>
      <w:r w:rsidR="00C31ACE">
        <w:t xml:space="preserve"> or structure</w:t>
      </w:r>
      <w:r w:rsidR="00DE23D6">
        <w:t xml:space="preserve">.  As such they need to be treated </w:t>
      </w:r>
      <w:r w:rsidR="00DD26B8">
        <w:t xml:space="preserve">by Government regulators </w:t>
      </w:r>
      <w:r w:rsidR="00DE23D6">
        <w:t xml:space="preserve">very </w:t>
      </w:r>
      <w:r w:rsidR="007E7706">
        <w:t>differently to large</w:t>
      </w:r>
      <w:r w:rsidR="00A04056">
        <w:t>,</w:t>
      </w:r>
      <w:r w:rsidR="007E7706">
        <w:t xml:space="preserve"> </w:t>
      </w:r>
      <w:r w:rsidR="008F0AE5">
        <w:t>well-resourced</w:t>
      </w:r>
      <w:r w:rsidR="007E7706">
        <w:t xml:space="preserve"> </w:t>
      </w:r>
      <w:r w:rsidR="006B69EA">
        <w:t>corporate</w:t>
      </w:r>
      <w:r w:rsidR="00DD26B8">
        <w:t xml:space="preserve"> </w:t>
      </w:r>
      <w:r w:rsidR="007E7706">
        <w:t>businesses</w:t>
      </w:r>
      <w:r w:rsidR="00C60A66">
        <w:t xml:space="preserve">. </w:t>
      </w:r>
    </w:p>
    <w:p w:rsidR="00373D42" w:rsidRPr="00373D42" w:rsidRDefault="00373D42" w:rsidP="00EB05F5">
      <w:pPr>
        <w:jc w:val="both"/>
      </w:pPr>
      <w:r>
        <w:t xml:space="preserve">COSBOA’s policy </w:t>
      </w:r>
      <w:r w:rsidR="00924E11">
        <w:t>includes;</w:t>
      </w:r>
      <w:r w:rsidRPr="00A204C9">
        <w:rPr>
          <w:i/>
        </w:rPr>
        <w:t> </w:t>
      </w:r>
      <w:r w:rsidR="001C1ED9">
        <w:rPr>
          <w:i/>
        </w:rPr>
        <w:t xml:space="preserve">  </w:t>
      </w:r>
      <w:r w:rsidRPr="00A204C9">
        <w:rPr>
          <w:i/>
        </w:rPr>
        <w:t>1.</w:t>
      </w:r>
      <w:r w:rsidR="001C1ED9">
        <w:rPr>
          <w:i/>
        </w:rPr>
        <w:t xml:space="preserve"> </w:t>
      </w:r>
      <w:r w:rsidR="001C1ED9" w:rsidRPr="00373D42">
        <w:rPr>
          <w:i/>
        </w:rPr>
        <w:t>Have</w:t>
      </w:r>
      <w:r w:rsidRPr="00373D42">
        <w:rPr>
          <w:i/>
        </w:rPr>
        <w:t xml:space="preserve"> governments treat small business as individuals and not expect them to have the same skills, knowledge, resources and capacity of big business;</w:t>
      </w:r>
      <w:r w:rsidRPr="00A204C9">
        <w:rPr>
          <w:i/>
        </w:rPr>
        <w:t xml:space="preserve"> 2.</w:t>
      </w:r>
      <w:r w:rsidRPr="00373D42">
        <w:rPr>
          <w:i/>
        </w:rPr>
        <w:t> </w:t>
      </w:r>
      <w:r w:rsidR="001C1ED9" w:rsidRPr="00373D42">
        <w:rPr>
          <w:i/>
        </w:rPr>
        <w:t>Decrease</w:t>
      </w:r>
      <w:r w:rsidRPr="00373D42">
        <w:rPr>
          <w:i/>
        </w:rPr>
        <w:t xml:space="preserve"> red tape and compliance costs on small business owners; </w:t>
      </w:r>
      <w:r>
        <w:rPr>
          <w:rStyle w:val="EndnoteReference"/>
        </w:rPr>
        <w:endnoteReference w:id="1"/>
      </w:r>
      <w:r w:rsidRPr="00373D42">
        <w:t> </w:t>
      </w:r>
    </w:p>
    <w:p w:rsidR="00D22847" w:rsidRDefault="00373D42" w:rsidP="00EB05F5">
      <w:pPr>
        <w:jc w:val="both"/>
      </w:pPr>
      <w:r>
        <w:t xml:space="preserve">COSBOA representatives have access to the highest levels of </w:t>
      </w:r>
      <w:r w:rsidR="002208F5">
        <w:t xml:space="preserve">the National </w:t>
      </w:r>
      <w:r>
        <w:t xml:space="preserve">Government and </w:t>
      </w:r>
      <w:r w:rsidR="002208F5">
        <w:t xml:space="preserve">are represented </w:t>
      </w:r>
      <w:r>
        <w:t xml:space="preserve">on </w:t>
      </w:r>
      <w:r w:rsidR="00A52FD7">
        <w:t>Government Consultative committees</w:t>
      </w:r>
      <w:r w:rsidR="00EB05F5">
        <w:t>.</w:t>
      </w:r>
      <w:r w:rsidR="00A52FD7">
        <w:t xml:space="preserve"> </w:t>
      </w:r>
      <w:r w:rsidR="00EB05F5">
        <w:t>John Strong</w:t>
      </w:r>
      <w:r w:rsidR="002208F5">
        <w:t>,</w:t>
      </w:r>
      <w:r w:rsidR="00EB05F5">
        <w:t xml:space="preserve"> an SCTPLS member</w:t>
      </w:r>
      <w:r w:rsidR="006B69EA">
        <w:t>,</w:t>
      </w:r>
      <w:r w:rsidR="00EB05F5">
        <w:t xml:space="preserve"> represented COSBOA </w:t>
      </w:r>
      <w:r w:rsidR="00A52FD7">
        <w:t>as a technical specialist</w:t>
      </w:r>
      <w:r w:rsidR="007D40B5">
        <w:t xml:space="preserve"> on a Superannuation review committee</w:t>
      </w:r>
      <w:r w:rsidR="00A52FD7">
        <w:t xml:space="preserve">. </w:t>
      </w:r>
      <w:r w:rsidR="00C4134B">
        <w:t>Superannuation</w:t>
      </w:r>
      <w:r w:rsidR="00A52FD7">
        <w:t xml:space="preserve"> is</w:t>
      </w:r>
      <w:r w:rsidR="00C4134B">
        <w:t xml:space="preserve"> the Australian </w:t>
      </w:r>
      <w:r w:rsidR="008F0AE5">
        <w:t>r</w:t>
      </w:r>
      <w:r w:rsidR="00C4134B">
        <w:t xml:space="preserve">etirement </w:t>
      </w:r>
      <w:r w:rsidR="008F0AE5">
        <w:t>s</w:t>
      </w:r>
      <w:r w:rsidR="00C4134B">
        <w:t>avings System similar to 401 plans in the US and Pension Funds in Europe.</w:t>
      </w:r>
      <w:r w:rsidR="0008288B">
        <w:t xml:space="preserve">  In the Australian system it is the responsibility of employers</w:t>
      </w:r>
      <w:r w:rsidR="002208F5">
        <w:t xml:space="preserve"> </w:t>
      </w:r>
      <w:r w:rsidR="0008288B">
        <w:t xml:space="preserve">to administer </w:t>
      </w:r>
      <w:r w:rsidR="001C1ED9">
        <w:t xml:space="preserve">the </w:t>
      </w:r>
      <w:r w:rsidR="00DD26B8">
        <w:t xml:space="preserve">payment of the </w:t>
      </w:r>
      <w:r w:rsidR="001C1ED9">
        <w:t xml:space="preserve">superannuation </w:t>
      </w:r>
      <w:r w:rsidR="0008288B">
        <w:t xml:space="preserve">for </w:t>
      </w:r>
      <w:r w:rsidR="00D22847">
        <w:t>their</w:t>
      </w:r>
      <w:r w:rsidR="0008288B">
        <w:t xml:space="preserve"> employees.</w:t>
      </w:r>
      <w:r w:rsidR="00A52FD7">
        <w:t xml:space="preserve"> </w:t>
      </w:r>
    </w:p>
    <w:p w:rsidR="00D22847" w:rsidRDefault="00CE5107" w:rsidP="00EB05F5">
      <w:pPr>
        <w:jc w:val="both"/>
      </w:pPr>
      <w:r w:rsidRPr="00CE5107">
        <w:rPr>
          <w:b/>
        </w:rPr>
        <w:t>Identifying complacent attitudes towards Small Business people</w:t>
      </w:r>
      <w:r>
        <w:t xml:space="preserve">. </w:t>
      </w:r>
      <w:r w:rsidR="007D40B5">
        <w:t>Part of the</w:t>
      </w:r>
      <w:r w:rsidR="00D22847">
        <w:t xml:space="preserve"> brief </w:t>
      </w:r>
      <w:r w:rsidR="001C1ED9">
        <w:t xml:space="preserve">given to John </w:t>
      </w:r>
      <w:r w:rsidR="00D22847">
        <w:t>was to</w:t>
      </w:r>
      <w:r w:rsidR="00725968">
        <w:t xml:space="preserve"> </w:t>
      </w:r>
      <w:r w:rsidR="007D40B5">
        <w:t>emphasise</w:t>
      </w:r>
      <w:r w:rsidR="00D22847">
        <w:t xml:space="preserve"> the significant complexity </w:t>
      </w:r>
      <w:r w:rsidR="007D40B5">
        <w:t>in</w:t>
      </w:r>
      <w:r w:rsidR="00D22847">
        <w:t xml:space="preserve"> the Superannuation regulations </w:t>
      </w:r>
      <w:r w:rsidR="00A04056">
        <w:t xml:space="preserve">foisted on </w:t>
      </w:r>
      <w:r w:rsidR="00777D33">
        <w:t xml:space="preserve">small business </w:t>
      </w:r>
      <w:r w:rsidR="00A04056">
        <w:t xml:space="preserve">employers and the lack of </w:t>
      </w:r>
      <w:r w:rsidR="00AC2A97">
        <w:t xml:space="preserve">common sense </w:t>
      </w:r>
      <w:r w:rsidR="00A04056">
        <w:t xml:space="preserve">in expecting the local </w:t>
      </w:r>
      <w:r w:rsidR="00C31ACE">
        <w:t>business person (</w:t>
      </w:r>
      <w:r w:rsidR="001C1ED9">
        <w:t xml:space="preserve">e.g. </w:t>
      </w:r>
      <w:r w:rsidR="00A04056">
        <w:t>hairdresser</w:t>
      </w:r>
      <w:r w:rsidR="001C1ED9">
        <w:t>s</w:t>
      </w:r>
      <w:r w:rsidR="00C31ACE">
        <w:t>, butcher</w:t>
      </w:r>
      <w:r w:rsidR="001C1ED9">
        <w:t>s</w:t>
      </w:r>
      <w:r w:rsidR="00C31ACE">
        <w:t>, convenience shop retailer</w:t>
      </w:r>
      <w:r w:rsidR="001C1ED9">
        <w:t>s</w:t>
      </w:r>
      <w:r w:rsidR="00C31ACE">
        <w:t xml:space="preserve"> </w:t>
      </w:r>
      <w:r w:rsidR="00AC2A97">
        <w:t>etc.)</w:t>
      </w:r>
      <w:r w:rsidR="00C31ACE">
        <w:t xml:space="preserve"> to </w:t>
      </w:r>
      <w:r w:rsidR="001C1ED9">
        <w:t>be responsible for administering</w:t>
      </w:r>
      <w:r w:rsidR="00DD26B8">
        <w:t xml:space="preserve"> a system that highly trained experts have difficulty understanding</w:t>
      </w:r>
      <w:r w:rsidR="00C31ACE">
        <w:t xml:space="preserve">. </w:t>
      </w:r>
      <w:r w:rsidR="00A04056">
        <w:t xml:space="preserve"> Th</w:t>
      </w:r>
      <w:r w:rsidR="001C1ED9">
        <w:t>is complexity can be seen on the</w:t>
      </w:r>
      <w:r w:rsidR="00A04056">
        <w:t xml:space="preserve"> Australian Tax office website</w:t>
      </w:r>
      <w:r w:rsidR="00DD26B8">
        <w:t xml:space="preserve"> which</w:t>
      </w:r>
      <w:r w:rsidR="00A04056">
        <w:t xml:space="preserve"> </w:t>
      </w:r>
      <w:r w:rsidR="001C1ED9">
        <w:t>contain</w:t>
      </w:r>
      <w:r w:rsidR="00DD26B8">
        <w:t>s</w:t>
      </w:r>
      <w:r w:rsidR="001C1ED9">
        <w:t xml:space="preserve"> </w:t>
      </w:r>
      <w:r w:rsidR="00A04056">
        <w:t xml:space="preserve">multiple pages </w:t>
      </w:r>
      <w:r w:rsidR="002208F5">
        <w:t>of</w:t>
      </w:r>
      <w:r w:rsidR="00A04056">
        <w:t xml:space="preserve"> </w:t>
      </w:r>
      <w:r w:rsidR="001C1ED9">
        <w:t xml:space="preserve">complex </w:t>
      </w:r>
      <w:r w:rsidR="002208F5">
        <w:t>instructions for</w:t>
      </w:r>
      <w:r w:rsidR="006B69EA">
        <w:t xml:space="preserve"> employer</w:t>
      </w:r>
      <w:r w:rsidR="001C1ED9">
        <w:t xml:space="preserve">s </w:t>
      </w:r>
      <w:r w:rsidR="002208F5">
        <w:t>paying</w:t>
      </w:r>
      <w:r w:rsidR="00A04056">
        <w:t xml:space="preserve"> superannuation</w:t>
      </w:r>
      <w:r w:rsidR="00A04056">
        <w:rPr>
          <w:rStyle w:val="EndnoteReference"/>
        </w:rPr>
        <w:endnoteReference w:id="2"/>
      </w:r>
      <w:r w:rsidR="002208F5">
        <w:t>.</w:t>
      </w:r>
    </w:p>
    <w:p w:rsidR="001C1ED9" w:rsidRDefault="00AC2A97" w:rsidP="00EB05F5">
      <w:pPr>
        <w:jc w:val="both"/>
      </w:pPr>
      <w:r>
        <w:t xml:space="preserve">The committee was made up of representatives from </w:t>
      </w:r>
      <w:r w:rsidR="001C1ED9">
        <w:t>pension fund, p</w:t>
      </w:r>
      <w:r w:rsidR="00777D33">
        <w:t xml:space="preserve">eak union bodies, </w:t>
      </w:r>
      <w:r w:rsidR="00997346">
        <w:t>actuarial</w:t>
      </w:r>
      <w:r w:rsidR="001C1ED9">
        <w:t xml:space="preserve"> organisations</w:t>
      </w:r>
      <w:r w:rsidR="00777D33">
        <w:t>,</w:t>
      </w:r>
      <w:r w:rsidR="001C1ED9">
        <w:t xml:space="preserve"> the financial industry</w:t>
      </w:r>
      <w:r w:rsidR="00777D33">
        <w:t xml:space="preserve"> and government departments including tax</w:t>
      </w:r>
      <w:r w:rsidR="002208F5">
        <w:t xml:space="preserve"> and</w:t>
      </w:r>
      <w:r w:rsidR="00777D33">
        <w:t xml:space="preserve"> treasury</w:t>
      </w:r>
      <w:r w:rsidR="002208F5">
        <w:t>.</w:t>
      </w:r>
      <w:r w:rsidR="007D40B5">
        <w:t xml:space="preserve"> When </w:t>
      </w:r>
      <w:r w:rsidR="001015BF">
        <w:t xml:space="preserve">the </w:t>
      </w:r>
      <w:r w:rsidR="00997346">
        <w:t xml:space="preserve">lack </w:t>
      </w:r>
      <w:r w:rsidR="00997346">
        <w:lastRenderedPageBreak/>
        <w:t xml:space="preserve">of </w:t>
      </w:r>
      <w:r w:rsidR="001015BF">
        <w:t xml:space="preserve">capacity of an individual </w:t>
      </w:r>
      <w:r w:rsidR="00DD26B8">
        <w:t xml:space="preserve">small business person </w:t>
      </w:r>
      <w:r w:rsidR="001015BF">
        <w:t xml:space="preserve">to understand the regulations </w:t>
      </w:r>
      <w:r>
        <w:t xml:space="preserve">to which </w:t>
      </w:r>
      <w:r w:rsidR="001015BF">
        <w:t>they were subject</w:t>
      </w:r>
      <w:r w:rsidR="007D40B5">
        <w:t xml:space="preserve"> was bought </w:t>
      </w:r>
      <w:r w:rsidR="00DD26B8">
        <w:t>to the committee’s</w:t>
      </w:r>
      <w:r w:rsidR="00924E11">
        <w:t xml:space="preserve"> attention</w:t>
      </w:r>
      <w:r w:rsidR="00C31ACE">
        <w:t xml:space="preserve"> the general response was </w:t>
      </w:r>
      <w:r w:rsidR="001015BF">
        <w:t xml:space="preserve">“It’s the Law they have to comply”.  </w:t>
      </w:r>
      <w:r w:rsidR="007D40B5">
        <w:t>T</w:t>
      </w:r>
      <w:r w:rsidR="001015BF">
        <w:t xml:space="preserve">he </w:t>
      </w:r>
      <w:r w:rsidR="007D40B5">
        <w:t>people on</w:t>
      </w:r>
      <w:r w:rsidR="00C31ACE">
        <w:t xml:space="preserve"> the committee</w:t>
      </w:r>
      <w:r w:rsidR="001015BF">
        <w:t xml:space="preserve"> were</w:t>
      </w:r>
      <w:r w:rsidR="00277F28">
        <w:t xml:space="preserve"> </w:t>
      </w:r>
      <w:r w:rsidR="001015BF">
        <w:t xml:space="preserve">highly educated and worked in large organisations </w:t>
      </w:r>
      <w:r w:rsidR="002208F5">
        <w:t>giving</w:t>
      </w:r>
      <w:r w:rsidR="00C31ACE">
        <w:t xml:space="preserve"> them</w:t>
      </w:r>
      <w:r w:rsidR="001015BF">
        <w:t xml:space="preserve"> </w:t>
      </w:r>
      <w:r w:rsidR="002208F5">
        <w:t xml:space="preserve">a </w:t>
      </w:r>
      <w:r w:rsidR="001015BF">
        <w:t xml:space="preserve">significant depth of support and </w:t>
      </w:r>
      <w:r w:rsidR="00C31ACE">
        <w:t xml:space="preserve">technical resources. Some even </w:t>
      </w:r>
      <w:r w:rsidR="007D40B5">
        <w:t>indicated</w:t>
      </w:r>
      <w:r w:rsidR="00C31ACE">
        <w:t xml:space="preserve"> they understood small business as they had friends or relations </w:t>
      </w:r>
      <w:r w:rsidR="00277F28">
        <w:t xml:space="preserve">who were small business people.  </w:t>
      </w:r>
    </w:p>
    <w:p w:rsidR="00A04056" w:rsidRDefault="007D40B5" w:rsidP="00EB05F5">
      <w:pPr>
        <w:jc w:val="both"/>
      </w:pPr>
      <w:r>
        <w:t xml:space="preserve">Rather than continue with futile argument </w:t>
      </w:r>
      <w:r w:rsidR="00514B59">
        <w:t xml:space="preserve">appealing to common sense </w:t>
      </w:r>
      <w:r>
        <w:t xml:space="preserve">a </w:t>
      </w:r>
      <w:r w:rsidR="00277F28">
        <w:t>tact</w:t>
      </w:r>
      <w:r>
        <w:t xml:space="preserve">ical change was made to </w:t>
      </w:r>
      <w:r w:rsidR="00514B59">
        <w:t>seek m</w:t>
      </w:r>
      <w:r w:rsidR="00277F28">
        <w:t xml:space="preserve">ore substantial theoretical and practical </w:t>
      </w:r>
      <w:r w:rsidR="00DD295C">
        <w:t>information that</w:t>
      </w:r>
      <w:r w:rsidR="00514B59">
        <w:t xml:space="preserve"> could help disrupt the complacent attitude of the large end of town towards small business operators</w:t>
      </w:r>
      <w:r w:rsidR="00277F28">
        <w:t xml:space="preserve">.  </w:t>
      </w:r>
      <w:r w:rsidR="001015BF">
        <w:t xml:space="preserve"> </w:t>
      </w:r>
    </w:p>
    <w:p w:rsidR="00DD295C" w:rsidRDefault="002208F5" w:rsidP="00EB05F5">
      <w:pPr>
        <w:jc w:val="both"/>
      </w:pPr>
      <w:r>
        <w:rPr>
          <w:b/>
        </w:rPr>
        <w:t>Introduction of Complexity T</w:t>
      </w:r>
      <w:r w:rsidR="00777D33" w:rsidRPr="00777D33">
        <w:rPr>
          <w:b/>
        </w:rPr>
        <w:t>heories</w:t>
      </w:r>
      <w:r w:rsidR="00777D33">
        <w:t xml:space="preserve">. </w:t>
      </w:r>
      <w:r w:rsidR="00A52FD7">
        <w:t xml:space="preserve">As part of </w:t>
      </w:r>
      <w:r w:rsidR="00514B59">
        <w:t>a</w:t>
      </w:r>
      <w:r w:rsidR="00A52FD7">
        <w:t xml:space="preserve"> review </w:t>
      </w:r>
      <w:r w:rsidR="00514B59">
        <w:t>of available theories</w:t>
      </w:r>
      <w:r w:rsidR="00777D33">
        <w:t>,</w:t>
      </w:r>
      <w:r w:rsidR="00EB7FE2">
        <w:t xml:space="preserve"> the sciences of complexity were prime candidates and </w:t>
      </w:r>
      <w:r w:rsidR="00A52FD7">
        <w:t xml:space="preserve">input </w:t>
      </w:r>
      <w:r w:rsidR="00924E11">
        <w:t xml:space="preserve">was sought </w:t>
      </w:r>
      <w:r w:rsidR="00A52FD7">
        <w:t>from other SC</w:t>
      </w:r>
      <w:r w:rsidR="00DD295C">
        <w:t>TPLS members on</w:t>
      </w:r>
      <w:r w:rsidR="00232BD8">
        <w:t xml:space="preserve"> the </w:t>
      </w:r>
      <w:r w:rsidR="00514B59">
        <w:t xml:space="preserve">areas </w:t>
      </w:r>
      <w:r w:rsidR="00232BD8">
        <w:t>that would help further the COSBOA cause</w:t>
      </w:r>
      <w:r w:rsidR="00D22847">
        <w:t xml:space="preserve">. </w:t>
      </w:r>
      <w:r w:rsidR="00924E11">
        <w:t>P</w:t>
      </w:r>
      <w:r w:rsidR="00D22847">
        <w:t xml:space="preserve">ractical theories </w:t>
      </w:r>
      <w:r w:rsidR="00924E11">
        <w:t xml:space="preserve">were </w:t>
      </w:r>
      <w:r w:rsidR="00E5384E">
        <w:t>favoured</w:t>
      </w:r>
      <w:r w:rsidR="00924E11">
        <w:t xml:space="preserve"> </w:t>
      </w:r>
      <w:r w:rsidR="00D22847">
        <w:t xml:space="preserve">that </w:t>
      </w:r>
      <w:r w:rsidR="00EB7FE2">
        <w:t>showed the differences between small and large business as well understanding the capacity of an individual to handle complexity.</w:t>
      </w:r>
      <w:r w:rsidR="00232BD8">
        <w:t xml:space="preserve">   </w:t>
      </w:r>
    </w:p>
    <w:p w:rsidR="001F123F" w:rsidRDefault="002208F5" w:rsidP="00EB05F5">
      <w:pPr>
        <w:jc w:val="both"/>
      </w:pPr>
      <w:r>
        <w:t>The</w:t>
      </w:r>
      <w:r w:rsidR="00232BD8">
        <w:t xml:space="preserve"> best</w:t>
      </w:r>
      <w:r w:rsidR="00DD295C">
        <w:t xml:space="preserve"> initial</w:t>
      </w:r>
      <w:r w:rsidR="00232BD8">
        <w:t xml:space="preserve"> fit was Ashby’s Requisite Variety</w:t>
      </w:r>
      <w:r w:rsidR="00232BD8">
        <w:rPr>
          <w:rStyle w:val="EndnoteReference"/>
        </w:rPr>
        <w:endnoteReference w:id="3"/>
      </w:r>
      <w:r w:rsidR="00836057">
        <w:t xml:space="preserve"> which indicated a regulator is forced to be as complex as the system it regulates. </w:t>
      </w:r>
      <w:r w:rsidR="00924E11">
        <w:t xml:space="preserve">This meant that </w:t>
      </w:r>
      <w:r w:rsidR="00836057">
        <w:t>Government regulator</w:t>
      </w:r>
      <w:r w:rsidR="00924E11">
        <w:t>s needed</w:t>
      </w:r>
      <w:r w:rsidR="00836057">
        <w:t xml:space="preserve"> to be functionally as compl</w:t>
      </w:r>
      <w:r>
        <w:t>ex as the largest Corporations they</w:t>
      </w:r>
      <w:r w:rsidR="00836057">
        <w:t xml:space="preserve"> tr</w:t>
      </w:r>
      <w:r>
        <w:t>y</w:t>
      </w:r>
      <w:r w:rsidR="00836057">
        <w:t xml:space="preserve"> to control</w:t>
      </w:r>
      <w:r w:rsidR="00D82918">
        <w:t xml:space="preserve">. </w:t>
      </w:r>
      <w:r w:rsidR="00514B59">
        <w:t>Th</w:t>
      </w:r>
      <w:r w:rsidR="00EB7FE2">
        <w:t xml:space="preserve">e regulators then applied this same level of </w:t>
      </w:r>
      <w:r w:rsidR="00514B59">
        <w:t xml:space="preserve">complexity to </w:t>
      </w:r>
      <w:r w:rsidR="00EB7FE2">
        <w:t xml:space="preserve">the individual </w:t>
      </w:r>
      <w:r w:rsidR="00514B59">
        <w:t xml:space="preserve">small </w:t>
      </w:r>
      <w:r w:rsidR="00EB7FE2">
        <w:t>business person</w:t>
      </w:r>
      <w:r w:rsidR="00514B59">
        <w:t xml:space="preserve"> without any considered adjustment. </w:t>
      </w:r>
      <w:r w:rsidR="00D82918">
        <w:t xml:space="preserve">This theme was incorporated into COSBOA policy </w:t>
      </w:r>
      <w:r w:rsidR="00096060">
        <w:t>and</w:t>
      </w:r>
      <w:r w:rsidR="00EB7FE2">
        <w:t xml:space="preserve"> specific </w:t>
      </w:r>
      <w:r w:rsidR="00D22847">
        <w:t xml:space="preserve">arguments </w:t>
      </w:r>
      <w:r w:rsidR="00096060">
        <w:t xml:space="preserve">developed. It </w:t>
      </w:r>
      <w:r w:rsidR="00277F28">
        <w:t>was used in opinion pieces</w:t>
      </w:r>
      <w:r w:rsidR="00641826">
        <w:rPr>
          <w:rStyle w:val="EndnoteReference"/>
        </w:rPr>
        <w:endnoteReference w:id="4"/>
      </w:r>
      <w:r w:rsidR="00277F28">
        <w:t xml:space="preserve"> </w:t>
      </w:r>
      <w:r w:rsidR="00096060">
        <w:t xml:space="preserve">and Requisite Variety </w:t>
      </w:r>
      <w:r w:rsidR="00277F28">
        <w:t xml:space="preserve">even </w:t>
      </w:r>
      <w:r w:rsidR="00096060">
        <w:t>represented as</w:t>
      </w:r>
      <w:r w:rsidR="00277F28">
        <w:t xml:space="preserve"> a cartoon</w:t>
      </w:r>
      <w:r w:rsidR="00641826">
        <w:rPr>
          <w:rStyle w:val="EndnoteReference"/>
        </w:rPr>
        <w:endnoteReference w:id="5"/>
      </w:r>
      <w:r w:rsidR="00D82918">
        <w:t xml:space="preserve">. </w:t>
      </w:r>
      <w:r w:rsidR="001F123F">
        <w:t xml:space="preserve"> </w:t>
      </w:r>
      <w:r w:rsidR="00096060">
        <w:t>Very basic</w:t>
      </w:r>
      <w:r w:rsidR="00277F28">
        <w:t xml:space="preserve"> system dynamics analysis</w:t>
      </w:r>
      <w:r w:rsidR="00277F28">
        <w:rPr>
          <w:rStyle w:val="EndnoteReference"/>
        </w:rPr>
        <w:endnoteReference w:id="6"/>
      </w:r>
      <w:r w:rsidR="00641826">
        <w:t xml:space="preserve"> </w:t>
      </w:r>
      <w:r w:rsidR="00D82918">
        <w:t>was applied to</w:t>
      </w:r>
      <w:r w:rsidR="00641826">
        <w:t xml:space="preserve"> show how</w:t>
      </w:r>
      <w:r w:rsidR="00DD295C">
        <w:t xml:space="preserve"> superannuation </w:t>
      </w:r>
      <w:r w:rsidR="00641826">
        <w:t>legislation could be simplified</w:t>
      </w:r>
      <w:r w:rsidR="00836057">
        <w:t xml:space="preserve"> for small business employers</w:t>
      </w:r>
      <w:r w:rsidR="00641826">
        <w:t xml:space="preserve">.  </w:t>
      </w:r>
    </w:p>
    <w:p w:rsidR="00514B59" w:rsidRDefault="001F123F" w:rsidP="00EB05F5">
      <w:pPr>
        <w:jc w:val="both"/>
      </w:pPr>
      <w:r>
        <w:t xml:space="preserve">Understanding the concept of Requisite Variety allowed the COSBOA Executive to develop more specific argument such as </w:t>
      </w:r>
      <w:r w:rsidRPr="00514B59">
        <w:rPr>
          <w:i/>
        </w:rPr>
        <w:t>“</w:t>
      </w:r>
      <w:r w:rsidR="00C60A66">
        <w:rPr>
          <w:i/>
        </w:rPr>
        <w:t>Regulations</w:t>
      </w:r>
      <w:r w:rsidRPr="00514B59">
        <w:rPr>
          <w:i/>
        </w:rPr>
        <w:t xml:space="preserve"> designed to be </w:t>
      </w:r>
      <w:r w:rsidRPr="00514B59">
        <w:rPr>
          <w:i/>
        </w:rPr>
        <w:lastRenderedPageBreak/>
        <w:t>understood by a fully staffed Human Resources department with access to legal counsel and institute trained accountant</w:t>
      </w:r>
      <w:r>
        <w:rPr>
          <w:i/>
        </w:rPr>
        <w:t>s,</w:t>
      </w:r>
      <w:r w:rsidRPr="00514B59">
        <w:rPr>
          <w:i/>
        </w:rPr>
        <w:t xml:space="preserve"> cannot be </w:t>
      </w:r>
      <w:r w:rsidR="00C60A66">
        <w:rPr>
          <w:i/>
        </w:rPr>
        <w:t>understood easily by</w:t>
      </w:r>
      <w:r w:rsidRPr="00514B59">
        <w:rPr>
          <w:i/>
        </w:rPr>
        <w:t xml:space="preserve"> a hair dressing business”</w:t>
      </w:r>
      <w:r>
        <w:t>.</w:t>
      </w:r>
    </w:p>
    <w:p w:rsidR="00DD26B8" w:rsidRDefault="001F123F" w:rsidP="00EB05F5">
      <w:pPr>
        <w:jc w:val="both"/>
      </w:pPr>
      <w:r>
        <w:t xml:space="preserve">Because </w:t>
      </w:r>
      <w:r w:rsidR="00641826">
        <w:t>the intended audience</w:t>
      </w:r>
      <w:r>
        <w:t xml:space="preserve"> did not have a background in complexity</w:t>
      </w:r>
      <w:r w:rsidR="00641826">
        <w:t xml:space="preserve"> </w:t>
      </w:r>
      <w:r>
        <w:t xml:space="preserve">sciences </w:t>
      </w:r>
      <w:r w:rsidR="00AF7C12">
        <w:t>references to the actual underlying theories were simplified to sound bites such as “</w:t>
      </w:r>
      <w:r w:rsidR="00E50D8A">
        <w:t>Systems Management T</w:t>
      </w:r>
      <w:r w:rsidR="00AF7C12">
        <w:t>heory”</w:t>
      </w:r>
      <w:r w:rsidR="00514B59">
        <w:t xml:space="preserve"> </w:t>
      </w:r>
      <w:r w:rsidR="00E50D8A">
        <w:t>rather than refer to Cybernetics</w:t>
      </w:r>
      <w:r w:rsidR="00893611">
        <w:t xml:space="preserve">, Game Theory </w:t>
      </w:r>
      <w:r w:rsidR="00E50D8A">
        <w:t xml:space="preserve">or </w:t>
      </w:r>
      <w:r w:rsidR="00A17A4D">
        <w:t>other C</w:t>
      </w:r>
      <w:r w:rsidR="00E50D8A">
        <w:t xml:space="preserve">omplexity theories. </w:t>
      </w:r>
      <w:r w:rsidR="00A204C9">
        <w:t xml:space="preserve">   </w:t>
      </w:r>
    </w:p>
    <w:p w:rsidR="00E50D8A" w:rsidRDefault="00B8314B" w:rsidP="00EB05F5">
      <w:pPr>
        <w:jc w:val="both"/>
      </w:pPr>
      <w:r w:rsidRPr="00B8314B">
        <w:rPr>
          <w:b/>
        </w:rPr>
        <w:t xml:space="preserve"> An In Depth Review Announced. </w:t>
      </w:r>
      <w:r w:rsidR="00FD5CF9">
        <w:t>T</w:t>
      </w:r>
      <w:r w:rsidR="00D82918">
        <w:t>he</w:t>
      </w:r>
      <w:r w:rsidR="00DB1EBA">
        <w:t xml:space="preserve"> executive of COSBOA continued</w:t>
      </w:r>
      <w:r w:rsidR="00C81420">
        <w:t xml:space="preserve"> to </w:t>
      </w:r>
      <w:r w:rsidR="00893611">
        <w:t>lobby hard for regulators to take into account the</w:t>
      </w:r>
      <w:r w:rsidR="00C81420">
        <w:t xml:space="preserve"> lack of </w:t>
      </w:r>
      <w:r w:rsidR="00893611">
        <w:t xml:space="preserve">capacity </w:t>
      </w:r>
      <w:r w:rsidR="00932DC4">
        <w:t xml:space="preserve">of </w:t>
      </w:r>
      <w:r w:rsidR="00893611">
        <w:t xml:space="preserve">a small business person </w:t>
      </w:r>
      <w:r w:rsidR="00932DC4">
        <w:t>to understand complex regulations</w:t>
      </w:r>
      <w:r w:rsidR="00C81420">
        <w:t xml:space="preserve">. </w:t>
      </w:r>
      <w:r w:rsidR="00893611">
        <w:t xml:space="preserve"> </w:t>
      </w:r>
    </w:p>
    <w:p w:rsidR="00201BDB" w:rsidRDefault="00C81420" w:rsidP="00EB05F5">
      <w:pPr>
        <w:jc w:val="both"/>
      </w:pPr>
      <w:r>
        <w:t xml:space="preserve">This paid off with </w:t>
      </w:r>
      <w:r w:rsidR="00E5384E">
        <w:t xml:space="preserve">the </w:t>
      </w:r>
      <w:r>
        <w:t xml:space="preserve">Australian </w:t>
      </w:r>
      <w:r w:rsidR="00201BDB">
        <w:t xml:space="preserve">Productivity Commission </w:t>
      </w:r>
      <w:r w:rsidR="00FD5CF9">
        <w:t xml:space="preserve">instructed to </w:t>
      </w:r>
      <w:r w:rsidR="004F16CF">
        <w:t xml:space="preserve">investigate the </w:t>
      </w:r>
      <w:r w:rsidR="00201BDB">
        <w:t>best practice behaviour</w:t>
      </w:r>
      <w:r w:rsidR="00E5384E">
        <w:t>s</w:t>
      </w:r>
      <w:r w:rsidR="00201BDB">
        <w:t xml:space="preserve"> of Regulators </w:t>
      </w:r>
      <w:r w:rsidR="00FD5CF9">
        <w:t>towards</w:t>
      </w:r>
      <w:r w:rsidR="00201BDB">
        <w:t xml:space="preserve"> small </w:t>
      </w:r>
      <w:r w:rsidR="00E5384E">
        <w:t>business</w:t>
      </w:r>
      <w:r w:rsidR="004F6DAD">
        <w:rPr>
          <w:rStyle w:val="EndnoteReference"/>
        </w:rPr>
        <w:endnoteReference w:id="7"/>
      </w:r>
      <w:r w:rsidR="00201BDB">
        <w:t>.</w:t>
      </w:r>
      <w:r>
        <w:t xml:space="preserve">  The Australian Productivity Commission is </w:t>
      </w:r>
      <w:r w:rsidRPr="00D82918">
        <w:rPr>
          <w:i/>
        </w:rPr>
        <w:t>“the Australian Government's independent research and advisory body on a range of economic, social and environmental issues affecting the welfare of Australians.”</w:t>
      </w:r>
      <w:r>
        <w:rPr>
          <w:rStyle w:val="EndnoteReference"/>
        </w:rPr>
        <w:endnoteReference w:id="8"/>
      </w:r>
      <w:r w:rsidRPr="00C81420">
        <w:t>.</w:t>
      </w:r>
      <w:r>
        <w:t xml:space="preserve"> </w:t>
      </w:r>
      <w:r w:rsidR="00E530A8">
        <w:t xml:space="preserve"> In </w:t>
      </w:r>
      <w:r w:rsidR="00DD26B8">
        <w:t>its</w:t>
      </w:r>
      <w:r w:rsidR="00E530A8">
        <w:t xml:space="preserve"> terms of reference document</w:t>
      </w:r>
      <w:r w:rsidR="00E530A8">
        <w:rPr>
          <w:rStyle w:val="EndnoteReference"/>
        </w:rPr>
        <w:endnoteReference w:id="9"/>
      </w:r>
      <w:r w:rsidR="00E530A8">
        <w:t xml:space="preserve"> the Commission note</w:t>
      </w:r>
      <w:r w:rsidR="00DD26B8">
        <w:t>d</w:t>
      </w:r>
      <w:r w:rsidR="00E530A8">
        <w:t xml:space="preserve"> that there are 1100 Regulators covering a vast array of regulations from </w:t>
      </w:r>
      <w:r w:rsidR="007D062A">
        <w:t xml:space="preserve">food laws </w:t>
      </w:r>
      <w:r w:rsidR="00E530A8">
        <w:t xml:space="preserve">through to financial services. </w:t>
      </w:r>
    </w:p>
    <w:p w:rsidR="00DD26B8" w:rsidRDefault="00FD5CF9" w:rsidP="00EB05F5">
      <w:pPr>
        <w:jc w:val="both"/>
      </w:pPr>
      <w:r>
        <w:t xml:space="preserve">The </w:t>
      </w:r>
      <w:r w:rsidR="004F6DAD">
        <w:t xml:space="preserve">Commission is a fully resourced research unit </w:t>
      </w:r>
      <w:r w:rsidR="00D82918">
        <w:t>with</w:t>
      </w:r>
      <w:r w:rsidR="00A204C9">
        <w:t xml:space="preserve"> access to advisers of the highest calibre </w:t>
      </w:r>
      <w:r w:rsidR="00D82918">
        <w:t>in</w:t>
      </w:r>
      <w:r w:rsidR="00A204C9">
        <w:t xml:space="preserve"> technical and scientific training. </w:t>
      </w:r>
      <w:r w:rsidR="004F6DAD">
        <w:t xml:space="preserve"> </w:t>
      </w:r>
      <w:r w:rsidR="00A204C9">
        <w:t xml:space="preserve">This presented an opportunity to introduce </w:t>
      </w:r>
      <w:r w:rsidR="004F16CF">
        <w:t xml:space="preserve">more </w:t>
      </w:r>
      <w:r w:rsidR="00D82918">
        <w:t>fully</w:t>
      </w:r>
      <w:r w:rsidR="004F16CF">
        <w:t xml:space="preserve"> referenced </w:t>
      </w:r>
      <w:r w:rsidR="00D82918">
        <w:t>and technical argument</w:t>
      </w:r>
      <w:r w:rsidR="00CC002A">
        <w:t>s</w:t>
      </w:r>
      <w:r w:rsidR="00D82918">
        <w:t xml:space="preserve"> on the effect of legislative complexity on a small business</w:t>
      </w:r>
      <w:r>
        <w:t xml:space="preserve"> person</w:t>
      </w:r>
      <w:r w:rsidR="00D82918">
        <w:t xml:space="preserve">. </w:t>
      </w:r>
      <w:r w:rsidR="004F16CF">
        <w:t xml:space="preserve"> </w:t>
      </w:r>
    </w:p>
    <w:p w:rsidR="00201BDB" w:rsidRDefault="00FD5CF9" w:rsidP="00EB05F5">
      <w:pPr>
        <w:jc w:val="both"/>
      </w:pPr>
      <w:r>
        <w:t>Two</w:t>
      </w:r>
      <w:r w:rsidR="004C7818">
        <w:t xml:space="preserve"> submissions</w:t>
      </w:r>
      <w:r>
        <w:t xml:space="preserve"> were prepared</w:t>
      </w:r>
      <w:r w:rsidR="004C7818">
        <w:t>, one by COSBOA following their own policy agenda</w:t>
      </w:r>
      <w:r w:rsidR="004C7818">
        <w:rPr>
          <w:rStyle w:val="EndnoteReference"/>
        </w:rPr>
        <w:endnoteReference w:id="10"/>
      </w:r>
      <w:r w:rsidR="004C7818">
        <w:t xml:space="preserve"> </w:t>
      </w:r>
      <w:r w:rsidR="00323BE6">
        <w:t xml:space="preserve">and one by </w:t>
      </w:r>
      <w:r w:rsidR="00D82918">
        <w:t xml:space="preserve">John Strong </w:t>
      </w:r>
      <w:r w:rsidR="00323BE6">
        <w:t xml:space="preserve">exploring the </w:t>
      </w:r>
      <w:r w:rsidR="00C60A66">
        <w:t xml:space="preserve">application of complexity </w:t>
      </w:r>
      <w:r w:rsidR="00323BE6">
        <w:t>science</w:t>
      </w:r>
      <w:r w:rsidR="00C60A66">
        <w:t>s</w:t>
      </w:r>
      <w:r w:rsidR="00323BE6">
        <w:t xml:space="preserve">. </w:t>
      </w:r>
      <w:r w:rsidR="00DD26B8">
        <w:t>That</w:t>
      </w:r>
      <w:r w:rsidR="00E530A8">
        <w:t xml:space="preserve"> submission</w:t>
      </w:r>
      <w:r w:rsidR="00DD26B8">
        <w:rPr>
          <w:rStyle w:val="EndnoteReference"/>
        </w:rPr>
        <w:endnoteReference w:id="11"/>
      </w:r>
      <w:r w:rsidR="00E530A8">
        <w:t xml:space="preserve"> </w:t>
      </w:r>
      <w:r w:rsidR="00DD26B8">
        <w:t xml:space="preserve">introduced </w:t>
      </w:r>
      <w:r w:rsidR="00E178B3">
        <w:t>references to complexity and behavioural psychology theor</w:t>
      </w:r>
      <w:r w:rsidR="002727E0">
        <w:t>ies</w:t>
      </w:r>
      <w:r w:rsidR="00E178B3">
        <w:t xml:space="preserve"> that </w:t>
      </w:r>
      <w:r w:rsidR="002727E0">
        <w:t xml:space="preserve">illustrated the argument of unmanageable complexity. </w:t>
      </w:r>
      <w:r w:rsidR="00182773">
        <w:t>Due to time constraints and the pro</w:t>
      </w:r>
      <w:r w:rsidR="003E1955">
        <w:t xml:space="preserve"> </w:t>
      </w:r>
      <w:r w:rsidR="00182773">
        <w:t xml:space="preserve">bono nature </w:t>
      </w:r>
      <w:r w:rsidR="003E1955">
        <w:t>of the work this submission was written</w:t>
      </w:r>
      <w:r w:rsidR="00C1369C">
        <w:t xml:space="preserve"> quickly </w:t>
      </w:r>
      <w:r w:rsidR="003E1955">
        <w:t>over a forty eight hour period.</w:t>
      </w:r>
      <w:r w:rsidR="00C60A66">
        <w:t xml:space="preserve"> The</w:t>
      </w:r>
      <w:r w:rsidR="00CF5544">
        <w:t xml:space="preserve"> rest</w:t>
      </w:r>
      <w:r w:rsidR="00C60A66">
        <w:t xml:space="preserve"> </w:t>
      </w:r>
      <w:r w:rsidR="008F0AE5">
        <w:t>of this article explores</w:t>
      </w:r>
      <w:r w:rsidR="00C60A66">
        <w:t xml:space="preserve"> the arguments</w:t>
      </w:r>
      <w:r w:rsidR="008F0AE5">
        <w:t xml:space="preserve"> made</w:t>
      </w:r>
      <w:r w:rsidR="00C60A66">
        <w:t xml:space="preserve"> in that submission</w:t>
      </w:r>
      <w:r w:rsidR="008F0AE5">
        <w:t>.</w:t>
      </w:r>
      <w:r w:rsidR="00C60A66">
        <w:t xml:space="preserve"> </w:t>
      </w:r>
    </w:p>
    <w:p w:rsidR="00585F0C" w:rsidRDefault="00323BE6" w:rsidP="00EB05F5">
      <w:pPr>
        <w:jc w:val="both"/>
      </w:pPr>
      <w:r w:rsidRPr="00323BE6">
        <w:rPr>
          <w:b/>
        </w:rPr>
        <w:t>The System Grooms the Regulator.</w:t>
      </w:r>
      <w:r>
        <w:t xml:space="preserve"> </w:t>
      </w:r>
      <w:r w:rsidR="00585F0C">
        <w:t>The opening argument identified “business” as a complex adaptive system</w:t>
      </w:r>
      <w:r w:rsidR="00585F0C">
        <w:rPr>
          <w:rStyle w:val="EndnoteReference"/>
        </w:rPr>
        <w:endnoteReference w:id="12"/>
      </w:r>
      <w:r w:rsidR="00585F0C">
        <w:t xml:space="preserve"> and reasoned that therefore a regulator had </w:t>
      </w:r>
      <w:r w:rsidR="00585F0C">
        <w:lastRenderedPageBreak/>
        <w:t>to be a model (reflective fractal?) of the system it regulated</w:t>
      </w:r>
      <w:r w:rsidR="00585F0C">
        <w:rPr>
          <w:rStyle w:val="EndnoteReference"/>
        </w:rPr>
        <w:endnoteReference w:id="13"/>
      </w:r>
      <w:r w:rsidR="00585F0C">
        <w:t xml:space="preserve">. </w:t>
      </w:r>
      <w:r w:rsidR="00974DF6">
        <w:t xml:space="preserve"> This meant that a regulator </w:t>
      </w:r>
      <w:r w:rsidR="00666BC6">
        <w:t>develops</w:t>
      </w:r>
      <w:r w:rsidR="00974DF6">
        <w:t xml:space="preserve"> a culture that was equivalent to a large complex corporation. In the paper this was presented as the system grooming the regulator</w:t>
      </w:r>
      <w:r w:rsidR="00C661BE">
        <w:t>’</w:t>
      </w:r>
      <w:r w:rsidR="00974DF6">
        <w:t xml:space="preserve">s structure.  </w:t>
      </w:r>
      <w:r w:rsidR="00E03CD1">
        <w:t xml:space="preserve">In exploring the interaction of a large corporation and a government regulator it was argued that the corporation’s internal hierarchy of managers provided layers of protection that kept the productive employees buffered away from direct interference from a regulator’s actions.   </w:t>
      </w:r>
    </w:p>
    <w:p w:rsidR="004246DC" w:rsidRDefault="00E03CD1" w:rsidP="00EB05F5">
      <w:pPr>
        <w:jc w:val="both"/>
      </w:pPr>
      <w:r>
        <w:t>The interaction between the regulators and small business was then addressed and it was noted that the regulat</w:t>
      </w:r>
      <w:r w:rsidR="00CC002A">
        <w:t>or now had a task of interacting</w:t>
      </w:r>
      <w:r>
        <w:t xml:space="preserve"> with two million small business people </w:t>
      </w:r>
      <w:r w:rsidR="0000632F">
        <w:t>compared to</w:t>
      </w:r>
      <w:r>
        <w:t xml:space="preserve"> eighty seven thousand medium to large businesses.  This is an increase of 2300% in potential interactions </w:t>
      </w:r>
      <w:r w:rsidR="00CF5544">
        <w:t xml:space="preserve">and </w:t>
      </w:r>
      <w:r>
        <w:t xml:space="preserve">raised the complexity for the regulator significantly. </w:t>
      </w:r>
    </w:p>
    <w:p w:rsidR="00A74F4A" w:rsidRDefault="00A74F4A" w:rsidP="00EB05F5">
      <w:pPr>
        <w:jc w:val="both"/>
      </w:pPr>
      <w:r>
        <w:t xml:space="preserve">As a result of a regulator being groomed to act like a large business and faced with the daunting task of handling such a large number of individuals the response of a regulator is to </w:t>
      </w:r>
      <w:r w:rsidR="0000632F">
        <w:t>consider</w:t>
      </w:r>
      <w:r>
        <w:t xml:space="preserve"> all businesses as if they </w:t>
      </w:r>
      <w:r w:rsidR="007B4773">
        <w:t>were</w:t>
      </w:r>
      <w:r>
        <w:t xml:space="preserve"> large businesses and treat them all the same. </w:t>
      </w:r>
      <w:r w:rsidR="00470082">
        <w:t xml:space="preserve">It was highlighted that each small business did not have the layers of management protection between the regulator and the </w:t>
      </w:r>
      <w:r w:rsidR="004246DC">
        <w:t xml:space="preserve">person making the income in </w:t>
      </w:r>
      <w:r w:rsidR="00DB7545">
        <w:t xml:space="preserve">a </w:t>
      </w:r>
      <w:r w:rsidR="004246DC">
        <w:t>small businesses</w:t>
      </w:r>
      <w:r w:rsidR="00C661BE">
        <w:t>. T</w:t>
      </w:r>
      <w:r w:rsidR="004246DC">
        <w:t xml:space="preserve">his meant that the actions of a regulator could </w:t>
      </w:r>
      <w:r w:rsidR="00C661BE">
        <w:t>easily disrupt the income of a small business and threaten its</w:t>
      </w:r>
      <w:r w:rsidR="004246DC">
        <w:t xml:space="preserve"> </w:t>
      </w:r>
      <w:r w:rsidR="00C661BE">
        <w:t>v</w:t>
      </w:r>
      <w:r w:rsidR="004246DC">
        <w:t>iability</w:t>
      </w:r>
      <w:r w:rsidR="00C661BE">
        <w:t xml:space="preserve"> more quickly</w:t>
      </w:r>
      <w:r w:rsidR="004246DC">
        <w:t xml:space="preserve"> </w:t>
      </w:r>
      <w:r w:rsidR="00C661BE">
        <w:t xml:space="preserve">than </w:t>
      </w:r>
      <w:r w:rsidR="004246DC">
        <w:t xml:space="preserve">the </w:t>
      </w:r>
      <w:r w:rsidR="007B4773">
        <w:t>better</w:t>
      </w:r>
      <w:r w:rsidR="004246DC">
        <w:t xml:space="preserve"> protected large business</w:t>
      </w:r>
      <w:r w:rsidR="00C661BE">
        <w:t>es</w:t>
      </w:r>
      <w:r w:rsidR="004246DC">
        <w:t xml:space="preserve">. </w:t>
      </w:r>
    </w:p>
    <w:p w:rsidR="00670BB1" w:rsidRDefault="00E53DE7" w:rsidP="00EB05F5">
      <w:pPr>
        <w:jc w:val="both"/>
      </w:pPr>
      <w:proofErr w:type="spellStart"/>
      <w:r w:rsidRPr="00E53DE7">
        <w:rPr>
          <w:b/>
        </w:rPr>
        <w:t>Delusionally</w:t>
      </w:r>
      <w:proofErr w:type="spellEnd"/>
      <w:r w:rsidRPr="00E53DE7">
        <w:rPr>
          <w:b/>
        </w:rPr>
        <w:t xml:space="preserve"> Optimistic Small Business People</w:t>
      </w:r>
      <w:r>
        <w:t xml:space="preserve">.  </w:t>
      </w:r>
      <w:r w:rsidR="00A74F4A">
        <w:t xml:space="preserve">The point of view a small business was then investigated and the fact </w:t>
      </w:r>
      <w:r w:rsidR="007B4773">
        <w:t xml:space="preserve">was </w:t>
      </w:r>
      <w:r w:rsidR="00261221">
        <w:t xml:space="preserve">noted </w:t>
      </w:r>
      <w:r w:rsidR="00A74F4A">
        <w:t xml:space="preserve">that a small business </w:t>
      </w:r>
      <w:r w:rsidR="007B4773">
        <w:t xml:space="preserve">person </w:t>
      </w:r>
      <w:r w:rsidR="00A74F4A">
        <w:t xml:space="preserve">was in effect alone </w:t>
      </w:r>
      <w:r w:rsidR="007B4773">
        <w:t xml:space="preserve">with little support </w:t>
      </w:r>
      <w:r w:rsidR="00A74F4A">
        <w:t xml:space="preserve">and </w:t>
      </w:r>
      <w:r w:rsidR="00670BB1">
        <w:t xml:space="preserve">potentially </w:t>
      </w:r>
      <w:r w:rsidR="00A74F4A">
        <w:t xml:space="preserve">facing eleven hundred regulators who may try and control their behaviour. </w:t>
      </w:r>
      <w:r>
        <w:t xml:space="preserve"> The non</w:t>
      </w:r>
      <w:r w:rsidR="004246DC">
        <w:t>-</w:t>
      </w:r>
      <w:r>
        <w:t>linear nature of this interaction was examined, however the true potential f</w:t>
      </w:r>
      <w:r w:rsidR="00470082">
        <w:t>or a chaotic outcome from such</w:t>
      </w:r>
      <w:r>
        <w:t xml:space="preserve"> an unbalanced network was not investigated due to time constraints and the lack of access to experts in this area who could </w:t>
      </w:r>
      <w:r w:rsidR="00470082">
        <w:t>properly express that concept.</w:t>
      </w:r>
    </w:p>
    <w:p w:rsidR="00A2203C" w:rsidRDefault="00470082" w:rsidP="00EB05F5">
      <w:pPr>
        <w:jc w:val="both"/>
      </w:pPr>
      <w:r>
        <w:t xml:space="preserve">Given this obviously overwhelming lack of capacity </w:t>
      </w:r>
      <w:r w:rsidR="00465249">
        <w:t>of</w:t>
      </w:r>
      <w:r>
        <w:t xml:space="preserve"> an individual to understand and meet Government regulator’s requirements it was argued that Small Business people suffer from delusional optimism</w:t>
      </w:r>
      <w:r w:rsidR="00CC002A">
        <w:rPr>
          <w:rStyle w:val="EndnoteReference"/>
        </w:rPr>
        <w:endnoteReference w:id="14"/>
      </w:r>
      <w:r>
        <w:t xml:space="preserve"> </w:t>
      </w:r>
      <w:r w:rsidR="00261221">
        <w:t>to enable them to</w:t>
      </w:r>
      <w:r>
        <w:t xml:space="preserve"> operate within </w:t>
      </w:r>
      <w:r w:rsidR="00261221">
        <w:t>the</w:t>
      </w:r>
      <w:r>
        <w:t xml:space="preserve"> system.</w:t>
      </w:r>
      <w:r w:rsidR="00465249">
        <w:t xml:space="preserve">  </w:t>
      </w:r>
      <w:r w:rsidR="00A2203C">
        <w:t xml:space="preserve">The ability </w:t>
      </w:r>
      <w:r w:rsidR="00A2203C">
        <w:lastRenderedPageBreak/>
        <w:t>of humans to apply selective attention in situations of cognitive overload</w:t>
      </w:r>
      <w:r w:rsidR="00A2203C">
        <w:rPr>
          <w:rStyle w:val="EndnoteReference"/>
        </w:rPr>
        <w:endnoteReference w:id="15"/>
      </w:r>
      <w:r w:rsidR="00A2203C">
        <w:t xml:space="preserve"> was referenced and used to explain how small business </w:t>
      </w:r>
      <w:r w:rsidR="00161775">
        <w:t xml:space="preserve">actually </w:t>
      </w:r>
      <w:r w:rsidR="000366DD">
        <w:t>work within this system</w:t>
      </w:r>
      <w:r w:rsidR="00161775">
        <w:t xml:space="preserve"> by ignoring most of the regulations until they are proved to be important.</w:t>
      </w:r>
      <w:r w:rsidR="00A2203C">
        <w:t xml:space="preserve"> </w:t>
      </w:r>
    </w:p>
    <w:p w:rsidR="00465249" w:rsidRDefault="00465249" w:rsidP="00EB05F5">
      <w:pPr>
        <w:jc w:val="both"/>
      </w:pPr>
      <w:r>
        <w:t>The potential outcome of depression when such optimism breaks down was then raised</w:t>
      </w:r>
      <w:r w:rsidR="00CC002A">
        <w:t>. T</w:t>
      </w:r>
      <w:r>
        <w:t xml:space="preserve">he fact that employees have </w:t>
      </w:r>
      <w:r w:rsidR="00242F3B">
        <w:t xml:space="preserve">legislated </w:t>
      </w:r>
      <w:r>
        <w:t>protections from the stress of working in an overly complex environment but the employer doesn’t</w:t>
      </w:r>
      <w:r w:rsidR="00CC002A">
        <w:t>,</w:t>
      </w:r>
      <w:r>
        <w:t xml:space="preserve"> was emphasised.</w:t>
      </w:r>
    </w:p>
    <w:p w:rsidR="00E53DE7" w:rsidRDefault="00465249" w:rsidP="00EB05F5">
      <w:pPr>
        <w:jc w:val="both"/>
      </w:pPr>
      <w:r>
        <w:t xml:space="preserve">In line with the warnings of regulators </w:t>
      </w:r>
      <w:r w:rsidR="00CF29D5">
        <w:t xml:space="preserve">potentially </w:t>
      </w:r>
      <w:r>
        <w:t>being part of the cause of depression</w:t>
      </w:r>
      <w:r w:rsidR="00CC002A">
        <w:t>,</w:t>
      </w:r>
      <w:r>
        <w:t xml:space="preserve"> the Stanford prisoner</w:t>
      </w:r>
      <w:r w:rsidR="00CF29D5">
        <w:t>/guard experiment</w:t>
      </w:r>
      <w:r>
        <w:rPr>
          <w:rStyle w:val="EndnoteReference"/>
        </w:rPr>
        <w:endnoteReference w:id="16"/>
      </w:r>
      <w:r>
        <w:t xml:space="preserve"> and Janet Elliot’s Blue eye Brown Eye</w:t>
      </w:r>
      <w:r w:rsidR="006E0605">
        <w:rPr>
          <w:rStyle w:val="EndnoteReference"/>
        </w:rPr>
        <w:endnoteReference w:id="17"/>
      </w:r>
      <w:r>
        <w:t xml:space="preserve"> work </w:t>
      </w:r>
      <w:r w:rsidR="00CC002A">
        <w:t>was bought to the Productivity Commission</w:t>
      </w:r>
      <w:r w:rsidR="0086306C">
        <w:t>’</w:t>
      </w:r>
      <w:r w:rsidR="00CC002A">
        <w:t>s</w:t>
      </w:r>
      <w:r w:rsidR="006E0605">
        <w:t xml:space="preserve"> attention</w:t>
      </w:r>
      <w:r w:rsidR="00CF29D5">
        <w:t xml:space="preserve"> to emphasise the need for nuanced application of a regulator</w:t>
      </w:r>
      <w:r w:rsidR="0086306C">
        <w:t>’</w:t>
      </w:r>
      <w:r w:rsidR="00CF29D5">
        <w:t>s authority</w:t>
      </w:r>
      <w:r w:rsidR="006E0605">
        <w:t>.</w:t>
      </w:r>
    </w:p>
    <w:p w:rsidR="006E0605" w:rsidRDefault="0095488C" w:rsidP="00EB05F5">
      <w:pPr>
        <w:jc w:val="both"/>
      </w:pPr>
      <w:r w:rsidRPr="0095488C">
        <w:rPr>
          <w:b/>
        </w:rPr>
        <w:t>Shadow Regulators</w:t>
      </w:r>
      <w:r>
        <w:t xml:space="preserve">. The ability for other </w:t>
      </w:r>
      <w:r w:rsidR="002562CD">
        <w:t xml:space="preserve">larger </w:t>
      </w:r>
      <w:r>
        <w:t xml:space="preserve">business entities to </w:t>
      </w:r>
      <w:r w:rsidR="005156A4">
        <w:t>cause</w:t>
      </w:r>
      <w:r>
        <w:t xml:space="preserve"> quick and dramatic effects in changing business rules was canvassed through practical examples and reference to personal experience.  This introduced an aspect of Network theory to the argument. A shadow regulator was defined as </w:t>
      </w:r>
      <w:r w:rsidR="00D1538A">
        <w:t xml:space="preserve">a </w:t>
      </w:r>
      <w:r>
        <w:t xml:space="preserve">large and influential business entity which could demand changes to business rules </w:t>
      </w:r>
      <w:r w:rsidR="0021000C">
        <w:t xml:space="preserve">in a network </w:t>
      </w:r>
      <w:r>
        <w:t>with little warning and potentially drastic consequences to the smallest players in the business world. An example</w:t>
      </w:r>
      <w:r w:rsidR="00045BFC">
        <w:t xml:space="preserve"> </w:t>
      </w:r>
      <w:r>
        <w:t>of an Insurer who threatened to withdraw insurance</w:t>
      </w:r>
      <w:r w:rsidR="00CC002A">
        <w:t xml:space="preserve"> cover</w:t>
      </w:r>
      <w:r>
        <w:t xml:space="preserve"> unless a specific change was made to business practices was used to illustrate this point. This was bought to the Productivity Commission’s attention because some of the official regulators were responsible for regulating competition policy and contract rules and had a duty to ensure the</w:t>
      </w:r>
      <w:r w:rsidR="00CC002A">
        <w:t>se</w:t>
      </w:r>
      <w:r>
        <w:t xml:space="preserve"> shadow regulators played fair.</w:t>
      </w:r>
    </w:p>
    <w:p w:rsidR="00053395" w:rsidRDefault="005F04A4" w:rsidP="00EB05F5">
      <w:pPr>
        <w:jc w:val="both"/>
        <w:rPr>
          <w:b/>
        </w:rPr>
      </w:pPr>
      <w:r w:rsidRPr="005F04A4">
        <w:rPr>
          <w:b/>
        </w:rPr>
        <w:t xml:space="preserve">Recommendations. </w:t>
      </w:r>
      <w:r w:rsidR="00053395" w:rsidRPr="00CC002A">
        <w:t xml:space="preserve">The </w:t>
      </w:r>
      <w:r w:rsidR="00053395">
        <w:t xml:space="preserve">submission </w:t>
      </w:r>
      <w:r w:rsidR="00053395" w:rsidRPr="00A2203C">
        <w:t xml:space="preserve">paper then </w:t>
      </w:r>
      <w:r w:rsidR="00053395">
        <w:t>addressed the best practice options for regulators dealing with small business.</w:t>
      </w:r>
      <w:r w:rsidR="00CC002A">
        <w:rPr>
          <w:b/>
        </w:rPr>
        <w:t xml:space="preserve"> </w:t>
      </w:r>
    </w:p>
    <w:p w:rsidR="001A0E86" w:rsidRDefault="005C01EC" w:rsidP="00EB05F5">
      <w:pPr>
        <w:jc w:val="both"/>
      </w:pPr>
      <w:r>
        <w:rPr>
          <w:b/>
        </w:rPr>
        <w:t>Formalise a Guild System</w:t>
      </w:r>
      <w:r w:rsidR="00053395">
        <w:rPr>
          <w:b/>
        </w:rPr>
        <w:t xml:space="preserve">. </w:t>
      </w:r>
      <w:r w:rsidR="00617B72">
        <w:t>T</w:t>
      </w:r>
      <w:r w:rsidR="004E2EBC">
        <w:t xml:space="preserve">he first recommendation was to look at </w:t>
      </w:r>
      <w:r w:rsidR="00A2203C">
        <w:t xml:space="preserve">the </w:t>
      </w:r>
      <w:r w:rsidR="009231DE">
        <w:t xml:space="preserve">current </w:t>
      </w:r>
      <w:r w:rsidR="00A2203C">
        <w:t xml:space="preserve">system </w:t>
      </w:r>
      <w:r w:rsidR="00730662">
        <w:t>for</w:t>
      </w:r>
      <w:r w:rsidR="00A2203C">
        <w:t xml:space="preserve"> what </w:t>
      </w:r>
      <w:r w:rsidR="002562CD">
        <w:t>was working.</w:t>
      </w:r>
      <w:r w:rsidR="00A2203C">
        <w:t xml:space="preserve">  </w:t>
      </w:r>
      <w:r w:rsidR="00730662">
        <w:t xml:space="preserve">The </w:t>
      </w:r>
      <w:r w:rsidR="009231DE">
        <w:t xml:space="preserve">ancient </w:t>
      </w:r>
      <w:r w:rsidR="00730662">
        <w:t xml:space="preserve">guild system </w:t>
      </w:r>
      <w:r w:rsidR="009231DE">
        <w:t>was identified as a strategy</w:t>
      </w:r>
      <w:r w:rsidR="002562CD">
        <w:t xml:space="preserve"> that</w:t>
      </w:r>
      <w:r w:rsidR="009231DE">
        <w:t xml:space="preserve"> </w:t>
      </w:r>
      <w:r w:rsidR="003079E3">
        <w:t xml:space="preserve">has evolved within </w:t>
      </w:r>
      <w:r w:rsidR="009231DE">
        <w:t xml:space="preserve">the ecosystem of business and government interactions to </w:t>
      </w:r>
      <w:r w:rsidR="003079E3">
        <w:t>control</w:t>
      </w:r>
      <w:r w:rsidR="009231DE">
        <w:t xml:space="preserve"> the </w:t>
      </w:r>
      <w:r w:rsidR="00053395">
        <w:t xml:space="preserve">potential for </w:t>
      </w:r>
      <w:r w:rsidR="00D1538A">
        <w:t xml:space="preserve">a breakout of </w:t>
      </w:r>
      <w:r w:rsidR="00053395">
        <w:t>chaotic behaviour</w:t>
      </w:r>
      <w:r w:rsidR="00D1538A">
        <w:t>.</w:t>
      </w:r>
      <w:r w:rsidR="009231DE">
        <w:t xml:space="preserve"> It was suggested that this system be formalised to place small business into categories. </w:t>
      </w:r>
      <w:r w:rsidR="00053395">
        <w:t xml:space="preserve">Guilds or in more modern </w:t>
      </w:r>
      <w:r w:rsidR="00053395">
        <w:lastRenderedPageBreak/>
        <w:t>parlance Business Associations are already recognised and consulted by regulators</w:t>
      </w:r>
      <w:r w:rsidR="00076B60">
        <w:t>. This</w:t>
      </w:r>
      <w:r w:rsidR="00053395">
        <w:t xml:space="preserve"> present</w:t>
      </w:r>
      <w:r w:rsidR="00076B60">
        <w:t>s</w:t>
      </w:r>
      <w:r w:rsidR="00053395">
        <w:t xml:space="preserve"> an opportunity to reduce complexity </w:t>
      </w:r>
      <w:r w:rsidR="00076B60">
        <w:t xml:space="preserve">using these categories </w:t>
      </w:r>
      <w:r w:rsidR="00053395">
        <w:t xml:space="preserve">to be more specific in legislating business behaviour. This would more closely match the </w:t>
      </w:r>
      <w:r w:rsidR="00D1538A">
        <w:t xml:space="preserve">current </w:t>
      </w:r>
      <w:r w:rsidR="00053395">
        <w:t xml:space="preserve">system </w:t>
      </w:r>
      <w:r w:rsidR="00076B60">
        <w:t xml:space="preserve">where </w:t>
      </w:r>
      <w:r w:rsidR="00053395">
        <w:t xml:space="preserve">regulators </w:t>
      </w:r>
      <w:r w:rsidR="00076B60">
        <w:t>are structured t</w:t>
      </w:r>
      <w:r w:rsidR="00053395">
        <w:t xml:space="preserve">o </w:t>
      </w:r>
      <w:r w:rsidR="00076B60">
        <w:t xml:space="preserve">deal with </w:t>
      </w:r>
      <w:r w:rsidR="00053395">
        <w:t>large</w:t>
      </w:r>
      <w:r w:rsidR="00076B60">
        <w:t>r</w:t>
      </w:r>
      <w:r w:rsidR="00053395">
        <w:t xml:space="preserve"> </w:t>
      </w:r>
      <w:r w:rsidR="00076B60">
        <w:t>organisations</w:t>
      </w:r>
      <w:r w:rsidR="00D1538A">
        <w:t>. This would</w:t>
      </w:r>
      <w:r w:rsidR="00053395">
        <w:t xml:space="preserve"> bring</w:t>
      </w:r>
      <w:r w:rsidR="00D1538A">
        <w:t xml:space="preserve"> the</w:t>
      </w:r>
      <w:r w:rsidR="00053395">
        <w:t xml:space="preserve"> two systems closer together.</w:t>
      </w:r>
      <w:r w:rsidR="0015148D">
        <w:t xml:space="preserve"> Discussions with COSBOA executives </w:t>
      </w:r>
      <w:r w:rsidR="00076B60">
        <w:t>determined</w:t>
      </w:r>
      <w:r w:rsidR="0015148D">
        <w:t xml:space="preserve"> that such guilds</w:t>
      </w:r>
      <w:r w:rsidR="00076B60">
        <w:t xml:space="preserve"> should be favoured by legislation but not mandatory</w:t>
      </w:r>
      <w:r w:rsidR="0015148D">
        <w:t xml:space="preserve"> </w:t>
      </w:r>
      <w:r w:rsidR="00076B60">
        <w:t>so that a</w:t>
      </w:r>
      <w:r w:rsidR="0015148D">
        <w:t xml:space="preserve"> competitive </w:t>
      </w:r>
      <w:r w:rsidR="00076B60">
        <w:t xml:space="preserve">and </w:t>
      </w:r>
      <w:r w:rsidR="0015148D">
        <w:t xml:space="preserve">dynamic </w:t>
      </w:r>
      <w:r w:rsidR="00076B60">
        <w:t xml:space="preserve">business environment is maintained. </w:t>
      </w:r>
    </w:p>
    <w:p w:rsidR="003A3EFD" w:rsidRDefault="003A3EFD" w:rsidP="00EB05F5">
      <w:pPr>
        <w:jc w:val="both"/>
      </w:pPr>
      <w:r w:rsidRPr="003A3EFD">
        <w:rPr>
          <w:b/>
        </w:rPr>
        <w:t>Systems Dynamics.</w:t>
      </w:r>
      <w:r>
        <w:t xml:space="preserve"> A second recommendation was to apply systems dynamics analysis </w:t>
      </w:r>
      <w:r w:rsidR="004A1AB6">
        <w:t>to</w:t>
      </w:r>
      <w:r>
        <w:t xml:space="preserve"> </w:t>
      </w:r>
      <w:r w:rsidR="004A1AB6">
        <w:t xml:space="preserve">specific </w:t>
      </w:r>
      <w:r>
        <w:t>regulations to understand</w:t>
      </w:r>
      <w:r w:rsidR="004A1AB6">
        <w:t xml:space="preserve"> how </w:t>
      </w:r>
      <w:r w:rsidR="00DC6467">
        <w:t>they were</w:t>
      </w:r>
      <w:r>
        <w:t xml:space="preserve"> actually working rather than </w:t>
      </w:r>
      <w:r w:rsidR="004A1AB6">
        <w:t xml:space="preserve">just </w:t>
      </w:r>
      <w:r>
        <w:t xml:space="preserve">assume </w:t>
      </w:r>
      <w:r w:rsidR="00DC6467">
        <w:t>they were</w:t>
      </w:r>
      <w:r>
        <w:t xml:space="preserve"> working. An excellent paper </w:t>
      </w:r>
      <w:r w:rsidR="008E0AFB">
        <w:t>by Tim Haslett</w:t>
      </w:r>
      <w:r w:rsidR="008E0AFB">
        <w:rPr>
          <w:rStyle w:val="EndnoteReference"/>
        </w:rPr>
        <w:endnoteReference w:id="18"/>
      </w:r>
      <w:r w:rsidR="008E0AFB">
        <w:t xml:space="preserve"> </w:t>
      </w:r>
      <w:r>
        <w:t>was referenced where this had been carried out withi</w:t>
      </w:r>
      <w:r w:rsidR="008E0AFB">
        <w:t>n the Australian Tax Office specifically on Superannuation. The opportunity</w:t>
      </w:r>
      <w:r w:rsidR="00BF4087">
        <w:t xml:space="preserve"> through </w:t>
      </w:r>
      <w:r w:rsidR="008E0AFB">
        <w:t xml:space="preserve">using this method to understand the actual drivers </w:t>
      </w:r>
      <w:r w:rsidR="00BF4087">
        <w:t xml:space="preserve">of the system </w:t>
      </w:r>
      <w:r w:rsidR="008E0AFB">
        <w:t xml:space="preserve">and be more specific in regulations rather than write all-encompassing legislation was emphasised.  A specific technique that could be seen as having aspects of system dynamics analysis was commented upon, this being a </w:t>
      </w:r>
      <w:r w:rsidR="008E0AFB" w:rsidRPr="008E0AFB">
        <w:t>risk based outcome oriented approach</w:t>
      </w:r>
      <w:r w:rsidR="00F7217E">
        <w:t xml:space="preserve"> to food regulation called Hazard Analysis and Critical Control Points. A subsequent submission by one Australian food safety regulator expanded on this process</w:t>
      </w:r>
      <w:r w:rsidR="00F7217E">
        <w:rPr>
          <w:rStyle w:val="EndnoteReference"/>
        </w:rPr>
        <w:endnoteReference w:id="19"/>
      </w:r>
      <w:r w:rsidR="00F7217E">
        <w:t xml:space="preserve"> .</w:t>
      </w:r>
      <w:r w:rsidR="00BF4087">
        <w:t xml:space="preserve"> I</w:t>
      </w:r>
      <w:r w:rsidR="005434A5">
        <w:t xml:space="preserve">t is to be noted that several other submissions called for the application of </w:t>
      </w:r>
      <w:r w:rsidR="005434A5" w:rsidRPr="008E0AFB">
        <w:t>risk based outcome oriented approach</w:t>
      </w:r>
      <w:r w:rsidR="005434A5">
        <w:t>es.</w:t>
      </w:r>
    </w:p>
    <w:p w:rsidR="006A4488" w:rsidRDefault="00013DFA" w:rsidP="00F7217E">
      <w:pPr>
        <w:jc w:val="both"/>
      </w:pPr>
      <w:r w:rsidRPr="00013DFA">
        <w:rPr>
          <w:b/>
        </w:rPr>
        <w:t>Behavioural Psychology</w:t>
      </w:r>
      <w:r w:rsidR="00843F7F">
        <w:rPr>
          <w:b/>
        </w:rPr>
        <w:t xml:space="preserve"> and Cheating</w:t>
      </w:r>
      <w:r>
        <w:t xml:space="preserve">. </w:t>
      </w:r>
      <w:r w:rsidR="00F7217E">
        <w:t>Another</w:t>
      </w:r>
      <w:r>
        <w:t xml:space="preserve"> recommendation referenced the programme in</w:t>
      </w:r>
      <w:r w:rsidR="00DC6467">
        <w:t>itiated by the British Cabinet O</w:t>
      </w:r>
      <w:r>
        <w:t>ffice</w:t>
      </w:r>
      <w:r>
        <w:rPr>
          <w:rStyle w:val="EndnoteReference"/>
        </w:rPr>
        <w:endnoteReference w:id="20"/>
      </w:r>
      <w:r>
        <w:t xml:space="preserve"> which </w:t>
      </w:r>
      <w:r w:rsidR="001A1CEB">
        <w:t>formed a “Behavioural I</w:t>
      </w:r>
      <w:r>
        <w:t>nsights</w:t>
      </w:r>
      <w:r w:rsidR="001A1CEB">
        <w:t>”</w:t>
      </w:r>
      <w:r>
        <w:t xml:space="preserve"> team to understand and utilise behavioural psychology in applying regulations. </w:t>
      </w:r>
      <w:r w:rsidR="001A1CEB">
        <w:t xml:space="preserve"> A recommendation </w:t>
      </w:r>
      <w:r w:rsidR="003A3EFD">
        <w:t>was made fo</w:t>
      </w:r>
      <w:r w:rsidR="001A1CEB">
        <w:t xml:space="preserve">r regulators </w:t>
      </w:r>
      <w:r w:rsidR="003A3EFD">
        <w:t xml:space="preserve">to look </w:t>
      </w:r>
      <w:r w:rsidR="004646F2">
        <w:t>at</w:t>
      </w:r>
      <w:r w:rsidR="003A3EFD">
        <w:t xml:space="preserve"> behavioural psychology to help regulate small business rather than only concentrate on punishing miscreants. </w:t>
      </w:r>
    </w:p>
    <w:p w:rsidR="00F7217E" w:rsidRDefault="003A3EFD" w:rsidP="00F7217E">
      <w:pPr>
        <w:jc w:val="both"/>
      </w:pPr>
      <w:r>
        <w:t xml:space="preserve">The paper canvassed the difference </w:t>
      </w:r>
      <w:r w:rsidR="00AB052E">
        <w:t>of</w:t>
      </w:r>
      <w:r>
        <w:t xml:space="preserve"> being treated </w:t>
      </w:r>
      <w:r w:rsidR="008E0AFB">
        <w:t>as</w:t>
      </w:r>
      <w:r>
        <w:t xml:space="preserve"> </w:t>
      </w:r>
      <w:r w:rsidR="00DC6467">
        <w:t xml:space="preserve">a </w:t>
      </w:r>
      <w:r>
        <w:t xml:space="preserve">potential miscreant </w:t>
      </w:r>
      <w:proofErr w:type="spellStart"/>
      <w:r>
        <w:t>vs</w:t>
      </w:r>
      <w:proofErr w:type="spellEnd"/>
      <w:r>
        <w:t xml:space="preserve"> </w:t>
      </w:r>
      <w:r w:rsidR="00F7217E">
        <w:t xml:space="preserve">being advised of the expected behaviour. This was illustrated </w:t>
      </w:r>
      <w:r w:rsidR="00A22162">
        <w:t>in the submission via logical argument</w:t>
      </w:r>
      <w:r w:rsidR="00F7217E">
        <w:t xml:space="preserve"> however </w:t>
      </w:r>
      <w:r w:rsidR="00125CDF">
        <w:t>subsequent</w:t>
      </w:r>
      <w:r w:rsidR="006A4488">
        <w:t xml:space="preserve"> to the submission </w:t>
      </w:r>
      <w:r w:rsidR="00F7217E">
        <w:t>the author sourced a</w:t>
      </w:r>
      <w:r w:rsidR="00843F7F">
        <w:t>n excellent</w:t>
      </w:r>
      <w:r w:rsidR="00F7217E">
        <w:t xml:space="preserve"> reference from Francesca Gino</w:t>
      </w:r>
      <w:r w:rsidR="00843F7F">
        <w:t>’s</w:t>
      </w:r>
      <w:r w:rsidR="00F7217E">
        <w:t xml:space="preserve"> book “</w:t>
      </w:r>
      <w:proofErr w:type="spellStart"/>
      <w:r w:rsidR="00F7217E">
        <w:t>Sidetracked</w:t>
      </w:r>
      <w:proofErr w:type="spellEnd"/>
      <w:r w:rsidR="00F7217E">
        <w:t>”</w:t>
      </w:r>
      <w:r w:rsidR="00F7217E">
        <w:rPr>
          <w:rStyle w:val="EndnoteReference"/>
        </w:rPr>
        <w:endnoteReference w:id="21"/>
      </w:r>
      <w:r w:rsidR="00F7217E">
        <w:t xml:space="preserve">. In </w:t>
      </w:r>
      <w:r w:rsidR="00843F7F">
        <w:t xml:space="preserve">the introduction to that book Francesca shows how people </w:t>
      </w:r>
      <w:r w:rsidR="00843F7F">
        <w:lastRenderedPageBreak/>
        <w:t>were more likely to cheat if they had the impression they were wearing fake designer sunglasses than if they thought they were wearing authentic glasses. This emphasise</w:t>
      </w:r>
      <w:r w:rsidR="005E7B10">
        <w:t>d</w:t>
      </w:r>
      <w:r w:rsidR="00843F7F">
        <w:t xml:space="preserve"> the opportunity for regulators to lower </w:t>
      </w:r>
      <w:r w:rsidR="006A4488">
        <w:t>noncompliance</w:t>
      </w:r>
      <w:r w:rsidR="00843F7F">
        <w:t xml:space="preserve"> by defining </w:t>
      </w:r>
      <w:r w:rsidR="009576EA">
        <w:t xml:space="preserve">and promoting </w:t>
      </w:r>
      <w:r w:rsidR="00843F7F">
        <w:t>good behaviour rather than concentrating o</w:t>
      </w:r>
      <w:r w:rsidR="006A4488">
        <w:t xml:space="preserve">n </w:t>
      </w:r>
      <w:r w:rsidR="009576EA">
        <w:t>legislating and regulating everyone as if they are potential miscreants.</w:t>
      </w:r>
      <w:r w:rsidR="00843F7F">
        <w:t xml:space="preserve"> </w:t>
      </w:r>
      <w:r w:rsidR="00DA180E">
        <w:t>Knowing you are a potential miscreant is akin to wearing fake</w:t>
      </w:r>
      <w:r w:rsidR="00603D6A">
        <w:t xml:space="preserve"> </w:t>
      </w:r>
      <w:r w:rsidR="00DA180E">
        <w:t>sunglasses</w:t>
      </w:r>
      <w:r w:rsidR="00564F38">
        <w:t xml:space="preserve"> and therefore </w:t>
      </w:r>
      <w:r w:rsidR="00603D6A">
        <w:t xml:space="preserve">subconsciously </w:t>
      </w:r>
      <w:r w:rsidR="00564F38">
        <w:t>you are expected to cheat.</w:t>
      </w:r>
      <w:r w:rsidR="00603D6A">
        <w:t xml:space="preserve"> </w:t>
      </w:r>
      <w:r w:rsidR="00564F38">
        <w:t xml:space="preserve"> </w:t>
      </w:r>
      <w:r w:rsidR="00A22162">
        <w:t>In the authors experience this theme can be expressed as promoting the concept of stewardship rather than accepting a culture of entitlement</w:t>
      </w:r>
      <w:r w:rsidR="00D77D77">
        <w:t xml:space="preserve">. </w:t>
      </w:r>
    </w:p>
    <w:p w:rsidR="007A4050" w:rsidRDefault="005434A5" w:rsidP="00FA2A50">
      <w:pPr>
        <w:jc w:val="both"/>
      </w:pPr>
      <w:r>
        <w:rPr>
          <w:b/>
        </w:rPr>
        <w:t xml:space="preserve">Ongoing: </w:t>
      </w:r>
      <w:r w:rsidRPr="005434A5">
        <w:t xml:space="preserve">The Commission investigation is </w:t>
      </w:r>
      <w:r>
        <w:t>still in the early stages as of the writing of this paper. Their final report is not due until September.</w:t>
      </w:r>
    </w:p>
    <w:p w:rsidR="00FA2A50" w:rsidRDefault="00FA2A50" w:rsidP="00FA2A50">
      <w:pPr>
        <w:jc w:val="both"/>
      </w:pPr>
      <w:r w:rsidRPr="003A3EFD">
        <w:rPr>
          <w:b/>
        </w:rPr>
        <w:t>Acknowledgements</w:t>
      </w:r>
      <w:r>
        <w:rPr>
          <w:b/>
        </w:rPr>
        <w:t xml:space="preserve">: </w:t>
      </w:r>
      <w:r>
        <w:t>The author would like to acknowledge and thank Ste</w:t>
      </w:r>
      <w:r w:rsidR="00125CDF">
        <w:t>ph</w:t>
      </w:r>
      <w:r>
        <w:t xml:space="preserve">en </w:t>
      </w:r>
      <w:proofErr w:type="spellStart"/>
      <w:r>
        <w:t>Guastello</w:t>
      </w:r>
      <w:proofErr w:type="spellEnd"/>
      <w:r>
        <w:t xml:space="preserve"> and Tim Haslett for their help and guidance in advising on different approaches to incorporating complexity theories into this work.</w:t>
      </w:r>
    </w:p>
    <w:sectPr w:rsidR="00FA2A50" w:rsidSect="00413541">
      <w:endnotePr>
        <w:numFmt w:val="decimal"/>
      </w:endnotePr>
      <w:type w:val="continuous"/>
      <w:pgSz w:w="11906" w:h="16838"/>
      <w:pgMar w:top="851" w:right="707" w:bottom="993" w:left="709" w:header="708" w:footer="708" w:gutter="0"/>
      <w:cols w:num="2" w:space="56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E3B" w:rsidRDefault="00D21E3B" w:rsidP="00DE23D6">
      <w:pPr>
        <w:spacing w:after="0" w:line="240" w:lineRule="auto"/>
      </w:pPr>
      <w:r>
        <w:separator/>
      </w:r>
    </w:p>
  </w:endnote>
  <w:endnote w:type="continuationSeparator" w:id="0">
    <w:p w:rsidR="00D21E3B" w:rsidRDefault="00D21E3B" w:rsidP="00DE23D6">
      <w:pPr>
        <w:spacing w:after="0" w:line="240" w:lineRule="auto"/>
      </w:pPr>
      <w:r>
        <w:continuationSeparator/>
      </w:r>
    </w:p>
  </w:endnote>
  <w:endnote w:id="1">
    <w:p w:rsidR="00373D42" w:rsidRDefault="00373D42">
      <w:pPr>
        <w:pStyle w:val="EndnoteText"/>
      </w:pPr>
      <w:r>
        <w:rPr>
          <w:rStyle w:val="EndnoteReference"/>
        </w:rPr>
        <w:endnoteRef/>
      </w:r>
      <w:r>
        <w:t xml:space="preserve"> </w:t>
      </w:r>
      <w:hyperlink r:id="rId1" w:history="1">
        <w:r>
          <w:rPr>
            <w:rStyle w:val="Hyperlink"/>
          </w:rPr>
          <w:t>http://www.cosboa.org.au/Page/COSBOA-Policy</w:t>
        </w:r>
      </w:hyperlink>
    </w:p>
  </w:endnote>
  <w:endnote w:id="2">
    <w:p w:rsidR="00A04056" w:rsidRDefault="00A04056">
      <w:pPr>
        <w:pStyle w:val="EndnoteText"/>
      </w:pPr>
      <w:r>
        <w:rPr>
          <w:rStyle w:val="EndnoteReference"/>
        </w:rPr>
        <w:endnoteRef/>
      </w:r>
      <w:r>
        <w:t xml:space="preserve">  </w:t>
      </w:r>
      <w:hyperlink r:id="rId2" w:history="1">
        <w:r w:rsidRPr="00B27357">
          <w:rPr>
            <w:rStyle w:val="Hyperlink"/>
          </w:rPr>
          <w:t>http://www.ato.gov.au/businesses/pathway.aspx?pc=001/003/090</w:t>
        </w:r>
      </w:hyperlink>
    </w:p>
  </w:endnote>
  <w:endnote w:id="3">
    <w:p w:rsidR="00232BD8" w:rsidRDefault="00232BD8">
      <w:pPr>
        <w:pStyle w:val="EndnoteText"/>
      </w:pPr>
      <w:r>
        <w:rPr>
          <w:rStyle w:val="EndnoteReference"/>
        </w:rPr>
        <w:endnoteRef/>
      </w:r>
      <w:r>
        <w:t xml:space="preserve"> </w:t>
      </w:r>
      <w:r w:rsidR="00836057">
        <w:t xml:space="preserve">“Law of Requisite Variety” Chapter 11 p 206. </w:t>
      </w:r>
      <w:r w:rsidR="00836057" w:rsidRPr="00836057">
        <w:t>W. Ross Ashby (1956): An Introduction to Cybernetics, (Chapman &amp; Hall, London)</w:t>
      </w:r>
      <w:r w:rsidR="00836057">
        <w:t xml:space="preserve"> available electronically at </w:t>
      </w:r>
      <w:hyperlink r:id="rId3" w:history="1">
        <w:r w:rsidRPr="00311CC8">
          <w:rPr>
            <w:rStyle w:val="Hyperlink"/>
            <w:rFonts w:ascii="Times New Roman" w:hAnsi="Times New Roman" w:cs="Times New Roman"/>
          </w:rPr>
          <w:t>http://pespmc1.vub.ac.be/ASHBBOOK.html</w:t>
        </w:r>
      </w:hyperlink>
      <w:r w:rsidRPr="00311CC8">
        <w:rPr>
          <w:rFonts w:ascii="Times New Roman" w:hAnsi="Times New Roman" w:cs="Times New Roman"/>
        </w:rPr>
        <w:t xml:space="preserve"> </w:t>
      </w:r>
      <w:r w:rsidRPr="0023263D">
        <w:rPr>
          <w:rFonts w:ascii="Times New Roman" w:hAnsi="Times New Roman" w:cs="Times New Roman"/>
          <w:color w:val="000000"/>
          <w:sz w:val="22"/>
          <w:szCs w:val="22"/>
          <w:shd w:val="clear" w:color="auto" w:fill="FFFFFF"/>
        </w:rPr>
        <w:t>and</w:t>
      </w:r>
      <w:r w:rsidRPr="00311CC8">
        <w:rPr>
          <w:rFonts w:ascii="Times New Roman" w:hAnsi="Times New Roman" w:cs="Times New Roman"/>
        </w:rPr>
        <w:t xml:space="preserve"> </w:t>
      </w:r>
      <w:hyperlink r:id="rId4" w:history="1">
        <w:r w:rsidRPr="00311CC8">
          <w:rPr>
            <w:rStyle w:val="Hyperlink"/>
            <w:rFonts w:ascii="Times New Roman" w:hAnsi="Times New Roman" w:cs="Times New Roman"/>
          </w:rPr>
          <w:t>http://pespmc1.vub.ac.be/books/IntroCyb.pdf</w:t>
        </w:r>
      </w:hyperlink>
      <w:r w:rsidRPr="00311CC8">
        <w:rPr>
          <w:rFonts w:ascii="Times New Roman" w:hAnsi="Times New Roman" w:cs="Times New Roman"/>
        </w:rPr>
        <w:t>)</w:t>
      </w:r>
    </w:p>
  </w:endnote>
  <w:endnote w:id="4">
    <w:p w:rsidR="00641826" w:rsidRDefault="00641826">
      <w:pPr>
        <w:pStyle w:val="EndnoteText"/>
      </w:pPr>
      <w:r>
        <w:rPr>
          <w:rStyle w:val="EndnoteReference"/>
        </w:rPr>
        <w:endnoteRef/>
      </w:r>
      <w:r>
        <w:t xml:space="preserve"> </w:t>
      </w:r>
      <w:hyperlink r:id="rId5" w:history="1">
        <w:r>
          <w:rPr>
            <w:rStyle w:val="Hyperlink"/>
          </w:rPr>
          <w:t>http://www.cosboa.org.au/Post/SimplicityinLegislationCreatesProductivity</w:t>
        </w:r>
      </w:hyperlink>
    </w:p>
  </w:endnote>
  <w:endnote w:id="5">
    <w:p w:rsidR="00641826" w:rsidRDefault="00641826">
      <w:pPr>
        <w:pStyle w:val="EndnoteText"/>
      </w:pPr>
      <w:r>
        <w:rPr>
          <w:rStyle w:val="EndnoteReference"/>
        </w:rPr>
        <w:endnoteRef/>
      </w:r>
      <w:r>
        <w:t xml:space="preserve"> </w:t>
      </w:r>
      <w:hyperlink r:id="rId6" w:history="1">
        <w:r>
          <w:rPr>
            <w:rStyle w:val="Hyperlink"/>
          </w:rPr>
          <w:t>http://www.cosboa.org.au/Post/Isthereaseachangeinthewaysmallbusinessisviewedandtreated</w:t>
        </w:r>
      </w:hyperlink>
    </w:p>
  </w:endnote>
  <w:endnote w:id="6">
    <w:p w:rsidR="00277F28" w:rsidRPr="006507B5" w:rsidRDefault="00277F28">
      <w:pPr>
        <w:pStyle w:val="EndnoteText"/>
      </w:pPr>
      <w:r>
        <w:rPr>
          <w:rStyle w:val="EndnoteReference"/>
        </w:rPr>
        <w:endnoteRef/>
      </w:r>
      <w:r>
        <w:t xml:space="preserve"> </w:t>
      </w:r>
      <w:hyperlink r:id="rId7" w:tgtFrame="_blank" w:history="1">
        <w:r w:rsidR="006507B5" w:rsidRPr="006507B5">
          <w:rPr>
            <w:rStyle w:val="Hyperlink"/>
            <w:rFonts w:cs="Arial"/>
            <w:color w:val="1155CC"/>
            <w:shd w:val="clear" w:color="auto" w:fill="FFFFFF"/>
          </w:rPr>
          <w:t>http://www.strongs.biz/Portals/105/Transcape/Compare%20the%20pair%20+.pdf</w:t>
        </w:r>
      </w:hyperlink>
    </w:p>
  </w:endnote>
  <w:endnote w:id="7">
    <w:p w:rsidR="004F6DAD" w:rsidRPr="004F6DAD" w:rsidRDefault="004F6DAD" w:rsidP="004F6DAD">
      <w:pPr>
        <w:spacing w:after="0"/>
        <w:rPr>
          <w:rStyle w:val="Hyperlink"/>
          <w:sz w:val="20"/>
          <w:szCs w:val="20"/>
        </w:rPr>
      </w:pPr>
      <w:r w:rsidRPr="004F6DAD">
        <w:rPr>
          <w:rStyle w:val="EndnoteReference"/>
        </w:rPr>
        <w:endnoteRef/>
      </w:r>
      <w:r w:rsidRPr="004F6DAD">
        <w:rPr>
          <w:rStyle w:val="EndnoteReference"/>
        </w:rPr>
        <w:t xml:space="preserve"> </w:t>
      </w:r>
      <w:hyperlink r:id="rId8" w:history="1">
        <w:r w:rsidRPr="004F6DAD">
          <w:rPr>
            <w:rStyle w:val="Hyperlink"/>
            <w:sz w:val="20"/>
            <w:szCs w:val="20"/>
          </w:rPr>
          <w:t>http://www.pc.gov.au/projects/study/small-business</w:t>
        </w:r>
      </w:hyperlink>
    </w:p>
  </w:endnote>
  <w:endnote w:id="8">
    <w:p w:rsidR="00C81420" w:rsidRPr="004F6DAD" w:rsidRDefault="00C81420">
      <w:pPr>
        <w:pStyle w:val="EndnoteText"/>
        <w:rPr>
          <w:rStyle w:val="Hyperlink"/>
        </w:rPr>
      </w:pPr>
      <w:r w:rsidRPr="004F6DAD">
        <w:rPr>
          <w:rStyle w:val="EndnoteReference"/>
          <w:sz w:val="22"/>
          <w:szCs w:val="22"/>
        </w:rPr>
        <w:endnoteRef/>
      </w:r>
      <w:r w:rsidRPr="004F6DAD">
        <w:rPr>
          <w:rStyle w:val="EndnoteReference"/>
          <w:sz w:val="22"/>
          <w:szCs w:val="22"/>
        </w:rPr>
        <w:t xml:space="preserve"> </w:t>
      </w:r>
      <w:hyperlink r:id="rId9" w:history="1">
        <w:r>
          <w:rPr>
            <w:rStyle w:val="Hyperlink"/>
          </w:rPr>
          <w:t>http://www.pc.gov.au/about-us/quick-guide</w:t>
        </w:r>
      </w:hyperlink>
    </w:p>
  </w:endnote>
  <w:endnote w:id="9">
    <w:p w:rsidR="00E530A8" w:rsidRDefault="00E530A8">
      <w:pPr>
        <w:pStyle w:val="EndnoteText"/>
      </w:pPr>
      <w:r>
        <w:rPr>
          <w:rStyle w:val="EndnoteReference"/>
        </w:rPr>
        <w:endnoteRef/>
      </w:r>
      <w:r>
        <w:t xml:space="preserve"> </w:t>
      </w:r>
      <w:hyperlink r:id="rId10" w:history="1">
        <w:r>
          <w:rPr>
            <w:rStyle w:val="Hyperlink"/>
          </w:rPr>
          <w:t>http://www.pc.gov.au/__data/assets/pdf_file/0006/121677/small-business-issues.pdf</w:t>
        </w:r>
      </w:hyperlink>
    </w:p>
  </w:endnote>
  <w:endnote w:id="10">
    <w:p w:rsidR="004C7818" w:rsidRDefault="004C7818">
      <w:pPr>
        <w:pStyle w:val="EndnoteText"/>
      </w:pPr>
      <w:r>
        <w:rPr>
          <w:rStyle w:val="EndnoteReference"/>
        </w:rPr>
        <w:endnoteRef/>
      </w:r>
      <w:r>
        <w:t xml:space="preserve"> </w:t>
      </w:r>
      <w:hyperlink r:id="rId11" w:history="1">
        <w:r>
          <w:rPr>
            <w:rStyle w:val="Hyperlink"/>
          </w:rPr>
          <w:t>http://www.pc.gov.au/__data/assets/pdf_file/0017/122444/sub015-small-business.pdf</w:t>
        </w:r>
      </w:hyperlink>
    </w:p>
  </w:endnote>
  <w:endnote w:id="11">
    <w:p w:rsidR="00DD26B8" w:rsidRDefault="00DD26B8" w:rsidP="00DD26B8">
      <w:pPr>
        <w:pStyle w:val="EndnoteText"/>
      </w:pPr>
      <w:r>
        <w:rPr>
          <w:rStyle w:val="EndnoteReference"/>
        </w:rPr>
        <w:endnoteRef/>
      </w:r>
      <w:r>
        <w:t xml:space="preserve"> </w:t>
      </w:r>
      <w:hyperlink r:id="rId12" w:history="1">
        <w:r>
          <w:rPr>
            <w:rStyle w:val="Hyperlink"/>
          </w:rPr>
          <w:t>http://www.pc.gov.au/__data/assets/pdf_file/0003/122466/sub019-small-business.pdf</w:t>
        </w:r>
      </w:hyperlink>
    </w:p>
  </w:endnote>
  <w:endnote w:id="12">
    <w:p w:rsidR="00585F0C" w:rsidRPr="00340196" w:rsidRDefault="00585F0C">
      <w:pPr>
        <w:pStyle w:val="EndnoteText"/>
      </w:pPr>
      <w:r w:rsidRPr="00340196">
        <w:rPr>
          <w:rStyle w:val="EndnoteReference"/>
        </w:rPr>
        <w:endnoteRef/>
      </w:r>
      <w:r w:rsidRPr="00340196">
        <w:t xml:space="preserve"> </w:t>
      </w:r>
      <w:r w:rsidRPr="00340196">
        <w:rPr>
          <w:rFonts w:ascii="Times New Roman" w:hAnsi="Times New Roman" w:cs="Times New Roman"/>
          <w:color w:val="000000"/>
          <w:shd w:val="clear" w:color="auto" w:fill="FFFFFF"/>
        </w:rPr>
        <w:t xml:space="preserve">McDaniel, Reuben R., Jr. (2007). Management strategies for complex adaptive systems: </w:t>
      </w:r>
      <w:proofErr w:type="spellStart"/>
      <w:r w:rsidRPr="00340196">
        <w:rPr>
          <w:rFonts w:ascii="Times New Roman" w:hAnsi="Times New Roman" w:cs="Times New Roman"/>
          <w:color w:val="000000"/>
          <w:shd w:val="clear" w:color="auto" w:fill="FFFFFF"/>
        </w:rPr>
        <w:t>Sensemaking</w:t>
      </w:r>
      <w:proofErr w:type="spellEnd"/>
      <w:r w:rsidRPr="00340196">
        <w:rPr>
          <w:rFonts w:ascii="Times New Roman" w:hAnsi="Times New Roman" w:cs="Times New Roman"/>
          <w:color w:val="000000"/>
          <w:shd w:val="clear" w:color="auto" w:fill="FFFFFF"/>
        </w:rPr>
        <w:t>, learning, and improvisation, Performance Improvement Quarterly, 20(2), 21-42.</w:t>
      </w:r>
    </w:p>
  </w:endnote>
  <w:endnote w:id="13">
    <w:p w:rsidR="00585F0C" w:rsidRDefault="00585F0C">
      <w:pPr>
        <w:pStyle w:val="EndnoteText"/>
      </w:pPr>
      <w:r w:rsidRPr="00340196">
        <w:rPr>
          <w:rStyle w:val="EndnoteReference"/>
        </w:rPr>
        <w:endnoteRef/>
      </w:r>
      <w:r w:rsidRPr="00340196">
        <w:t xml:space="preserve"> </w:t>
      </w:r>
      <w:r w:rsidRPr="00340196">
        <w:rPr>
          <w:rFonts w:ascii="Times New Roman" w:hAnsi="Times New Roman" w:cs="Times New Roman"/>
          <w:color w:val="000000"/>
          <w:shd w:val="clear" w:color="auto" w:fill="FFFFFF"/>
        </w:rPr>
        <w:t xml:space="preserve">Conant, Roger C, W. Ashby, Ross.  </w:t>
      </w:r>
      <w:r w:rsidR="00C43142" w:rsidRPr="00340196">
        <w:rPr>
          <w:rFonts w:ascii="Times New Roman" w:hAnsi="Times New Roman" w:cs="Times New Roman"/>
          <w:color w:val="000000"/>
          <w:shd w:val="clear" w:color="auto" w:fill="FFFFFF"/>
        </w:rPr>
        <w:t>Every good regulator of a system must be a model of that system</w:t>
      </w:r>
      <w:r w:rsidR="00C43142">
        <w:rPr>
          <w:rFonts w:ascii="Times New Roman" w:hAnsi="Times New Roman" w:cs="Times New Roman"/>
          <w:color w:val="000000"/>
          <w:shd w:val="clear" w:color="auto" w:fill="FFFFFF"/>
        </w:rPr>
        <w:t>.</w:t>
      </w:r>
      <w:r w:rsidRPr="00340196">
        <w:rPr>
          <w:rFonts w:ascii="Times New Roman" w:hAnsi="Times New Roman" w:cs="Times New Roman"/>
          <w:color w:val="000000"/>
          <w:shd w:val="clear" w:color="auto" w:fill="FFFFFF"/>
        </w:rPr>
        <w:t xml:space="preserve">  Int. J. Systems Sci., 1970, vol. 1, No. 2, 89-97</w:t>
      </w:r>
    </w:p>
  </w:endnote>
  <w:endnote w:id="14">
    <w:p w:rsidR="00CC002A" w:rsidRDefault="00CC002A" w:rsidP="00CC002A">
      <w:pPr>
        <w:pStyle w:val="EndnoteText"/>
      </w:pPr>
      <w:r>
        <w:rPr>
          <w:rStyle w:val="EndnoteReference"/>
        </w:rPr>
        <w:endnoteRef/>
      </w:r>
      <w:r>
        <w:t xml:space="preserve"> </w:t>
      </w:r>
      <w:r w:rsidRPr="00470082">
        <w:rPr>
          <w:rFonts w:ascii="Times New Roman" w:hAnsi="Times New Roman" w:cs="Times New Roman"/>
          <w:color w:val="000000"/>
          <w:shd w:val="clear" w:color="auto" w:fill="FFFFFF"/>
        </w:rPr>
        <w:t xml:space="preserve">Weinstein, Neil D. “Unrealistic optimism about future life events”. Journal of Personality and Social Psychology, </w:t>
      </w:r>
      <w:proofErr w:type="spellStart"/>
      <w:r w:rsidRPr="00470082">
        <w:rPr>
          <w:rFonts w:ascii="Times New Roman" w:hAnsi="Times New Roman" w:cs="Times New Roman"/>
          <w:color w:val="000000"/>
          <w:shd w:val="clear" w:color="auto" w:fill="FFFFFF"/>
        </w:rPr>
        <w:t>Vol</w:t>
      </w:r>
      <w:proofErr w:type="spellEnd"/>
      <w:r w:rsidRPr="00470082">
        <w:rPr>
          <w:rFonts w:ascii="Times New Roman" w:hAnsi="Times New Roman" w:cs="Times New Roman"/>
          <w:color w:val="000000"/>
          <w:shd w:val="clear" w:color="auto" w:fill="FFFFFF"/>
        </w:rPr>
        <w:t xml:space="preserve"> 39(5), Nov 1980, 806-820</w:t>
      </w:r>
    </w:p>
  </w:endnote>
  <w:endnote w:id="15">
    <w:p w:rsidR="00A2203C" w:rsidRDefault="00A2203C">
      <w:pPr>
        <w:pStyle w:val="EndnoteText"/>
      </w:pPr>
      <w:r>
        <w:rPr>
          <w:rStyle w:val="EndnoteReference"/>
        </w:rPr>
        <w:endnoteRef/>
      </w:r>
      <w:r>
        <w:t xml:space="preserve"> </w:t>
      </w:r>
      <w:proofErr w:type="spellStart"/>
      <w:r w:rsidRPr="00A2203C">
        <w:rPr>
          <w:rFonts w:ascii="Times New Roman" w:hAnsi="Times New Roman" w:cs="Times New Roman"/>
          <w:color w:val="000000"/>
          <w:shd w:val="clear" w:color="auto" w:fill="FFFFFF"/>
        </w:rPr>
        <w:t>Peng</w:t>
      </w:r>
      <w:proofErr w:type="spellEnd"/>
      <w:r w:rsidRPr="00A2203C">
        <w:rPr>
          <w:rFonts w:ascii="Times New Roman" w:hAnsi="Times New Roman" w:cs="Times New Roman"/>
          <w:color w:val="000000"/>
          <w:shd w:val="clear" w:color="auto" w:fill="FFFFFF"/>
        </w:rPr>
        <w:t xml:space="preserve"> Liu, </w:t>
      </w:r>
      <w:proofErr w:type="spellStart"/>
      <w:r w:rsidRPr="00A2203C">
        <w:rPr>
          <w:rFonts w:ascii="Times New Roman" w:hAnsi="Times New Roman" w:cs="Times New Roman"/>
          <w:color w:val="000000"/>
          <w:shd w:val="clear" w:color="auto" w:fill="FFFFFF"/>
        </w:rPr>
        <w:t>Zhizhong</w:t>
      </w:r>
      <w:proofErr w:type="spellEnd"/>
      <w:r w:rsidRPr="00A2203C">
        <w:rPr>
          <w:rFonts w:ascii="Times New Roman" w:hAnsi="Times New Roman" w:cs="Times New Roman"/>
          <w:color w:val="000000"/>
          <w:shd w:val="clear" w:color="auto" w:fill="FFFFFF"/>
        </w:rPr>
        <w:t xml:space="preserve"> Li “Task complexity: A review and conceptualization framework”. International Journal of Industrial Ergonomics Volume 42, Issue 6, November 2012, Pages 553–568</w:t>
      </w:r>
    </w:p>
  </w:endnote>
  <w:endnote w:id="16">
    <w:p w:rsidR="00465249" w:rsidRDefault="00465249" w:rsidP="00465249">
      <w:pPr>
        <w:pStyle w:val="EndnoteText"/>
      </w:pPr>
      <w:r>
        <w:rPr>
          <w:rStyle w:val="EndnoteReference"/>
        </w:rPr>
        <w:endnoteRef/>
      </w:r>
      <w:r>
        <w:t xml:space="preserve"> </w:t>
      </w:r>
      <w:hyperlink r:id="rId13" w:history="1">
        <w:r>
          <w:rPr>
            <w:rStyle w:val="Hyperlink"/>
          </w:rPr>
          <w:t>http://www.prisonexp.org/</w:t>
        </w:r>
      </w:hyperlink>
    </w:p>
  </w:endnote>
  <w:endnote w:id="17">
    <w:p w:rsidR="006E0605" w:rsidRDefault="006E0605">
      <w:pPr>
        <w:pStyle w:val="EndnoteText"/>
      </w:pPr>
      <w:r>
        <w:rPr>
          <w:rStyle w:val="EndnoteReference"/>
        </w:rPr>
        <w:endnoteRef/>
      </w:r>
      <w:r>
        <w:t xml:space="preserve"> </w:t>
      </w:r>
      <w:hyperlink r:id="rId14" w:tooltip="Stephen Bloom" w:history="1">
        <w:r>
          <w:rPr>
            <w:rStyle w:val="Hyperlink"/>
            <w:rFonts w:ascii="Arial" w:hAnsi="Arial" w:cs="Arial"/>
            <w:color w:val="0B0080"/>
            <w:sz w:val="18"/>
            <w:szCs w:val="18"/>
          </w:rPr>
          <w:t>Bloom, Stephen G</w:t>
        </w:r>
      </w:hyperlink>
      <w:r>
        <w:rPr>
          <w:rStyle w:val="apple-converted-space"/>
          <w:rFonts w:ascii="Arial" w:hAnsi="Arial" w:cs="Arial"/>
          <w:color w:val="000000"/>
          <w:sz w:val="18"/>
          <w:szCs w:val="18"/>
        </w:rPr>
        <w:t> </w:t>
      </w:r>
      <w:r>
        <w:rPr>
          <w:rStyle w:val="citation"/>
          <w:rFonts w:ascii="Arial" w:hAnsi="Arial" w:cs="Arial"/>
          <w:color w:val="000000"/>
          <w:sz w:val="18"/>
          <w:szCs w:val="18"/>
        </w:rPr>
        <w:t>(September 2005).</w:t>
      </w:r>
      <w:r>
        <w:rPr>
          <w:rStyle w:val="apple-converted-space"/>
          <w:rFonts w:ascii="Arial" w:hAnsi="Arial" w:cs="Arial"/>
          <w:color w:val="000000"/>
          <w:sz w:val="18"/>
          <w:szCs w:val="18"/>
        </w:rPr>
        <w:t> </w:t>
      </w:r>
      <w:hyperlink r:id="rId15" w:history="1">
        <w:r>
          <w:rPr>
            <w:rStyle w:val="Hyperlink"/>
            <w:rFonts w:ascii="Arial" w:hAnsi="Arial" w:cs="Arial"/>
            <w:color w:val="663366"/>
            <w:sz w:val="18"/>
            <w:szCs w:val="18"/>
          </w:rPr>
          <w:t>"Lesson of a Lifetime"</w:t>
        </w:r>
      </w:hyperlink>
      <w:r>
        <w:rPr>
          <w:rStyle w:val="citation"/>
          <w:rFonts w:ascii="Arial" w:hAnsi="Arial" w:cs="Arial"/>
          <w:color w:val="000000"/>
          <w:sz w:val="18"/>
          <w:szCs w:val="18"/>
        </w:rPr>
        <w:t>.</w:t>
      </w:r>
      <w:r>
        <w:rPr>
          <w:rStyle w:val="apple-converted-space"/>
          <w:rFonts w:ascii="Arial" w:hAnsi="Arial" w:cs="Arial"/>
          <w:color w:val="000000"/>
          <w:sz w:val="18"/>
          <w:szCs w:val="18"/>
        </w:rPr>
        <w:t> </w:t>
      </w:r>
      <w:r>
        <w:rPr>
          <w:rStyle w:val="citation"/>
          <w:rFonts w:ascii="Arial" w:hAnsi="Arial" w:cs="Arial"/>
          <w:i/>
          <w:iCs/>
          <w:color w:val="000000"/>
          <w:sz w:val="18"/>
          <w:szCs w:val="18"/>
        </w:rPr>
        <w:t>Smithsonian Magazine</w:t>
      </w:r>
    </w:p>
  </w:endnote>
  <w:endnote w:id="18">
    <w:p w:rsidR="008E0AFB" w:rsidRDefault="008E0AFB">
      <w:pPr>
        <w:pStyle w:val="EndnoteText"/>
      </w:pPr>
      <w:r>
        <w:rPr>
          <w:rStyle w:val="EndnoteReference"/>
        </w:rPr>
        <w:endnoteRef/>
      </w:r>
      <w:r>
        <w:t xml:space="preserve"> </w:t>
      </w:r>
      <w:r w:rsidRPr="008E0AFB">
        <w:rPr>
          <w:rFonts w:ascii="Times New Roman" w:hAnsi="Times New Roman" w:cs="Times New Roman"/>
          <w:color w:val="000000"/>
          <w:shd w:val="clear" w:color="auto" w:fill="FFFFFF"/>
        </w:rPr>
        <w:t xml:space="preserve">Haslett, T. &amp; Sarah, R. (2006). Mapping and </w:t>
      </w:r>
      <w:proofErr w:type="spellStart"/>
      <w:r w:rsidRPr="008E0AFB">
        <w:rPr>
          <w:rFonts w:ascii="Times New Roman" w:hAnsi="Times New Roman" w:cs="Times New Roman"/>
          <w:color w:val="000000"/>
          <w:shd w:val="clear" w:color="auto" w:fill="FFFFFF"/>
        </w:rPr>
        <w:t>Modeling</w:t>
      </w:r>
      <w:proofErr w:type="spellEnd"/>
      <w:r w:rsidRPr="008E0AFB">
        <w:rPr>
          <w:rFonts w:ascii="Times New Roman" w:hAnsi="Times New Roman" w:cs="Times New Roman"/>
          <w:color w:val="000000"/>
          <w:shd w:val="clear" w:color="auto" w:fill="FFFFFF"/>
        </w:rPr>
        <w:t xml:space="preserve"> in the Australian Taxation Office: A Case Study. Systemic Practice and Action Research 19, (3) p. 273 – 307</w:t>
      </w:r>
      <w:r>
        <w:rPr>
          <w:rFonts w:ascii="Times New Roman" w:hAnsi="Times New Roman" w:cs="Times New Roman"/>
          <w:color w:val="000000"/>
          <w:sz w:val="22"/>
          <w:szCs w:val="22"/>
          <w:shd w:val="clear" w:color="auto" w:fill="FFFFFF"/>
        </w:rPr>
        <w:t xml:space="preserve">  </w:t>
      </w:r>
    </w:p>
  </w:endnote>
  <w:endnote w:id="19">
    <w:p w:rsidR="00F7217E" w:rsidRDefault="00F7217E">
      <w:pPr>
        <w:pStyle w:val="EndnoteText"/>
      </w:pPr>
      <w:r>
        <w:rPr>
          <w:rStyle w:val="EndnoteReference"/>
        </w:rPr>
        <w:endnoteRef/>
      </w:r>
      <w:r>
        <w:t xml:space="preserve"> </w:t>
      </w:r>
      <w:hyperlink r:id="rId16" w:history="1">
        <w:r>
          <w:rPr>
            <w:rStyle w:val="Hyperlink"/>
          </w:rPr>
          <w:t>http://www.pc.gov.au/__data/assets/pdf_file/0017/122552/sub028-small-business.pdf</w:t>
        </w:r>
      </w:hyperlink>
    </w:p>
  </w:endnote>
  <w:endnote w:id="20">
    <w:p w:rsidR="00013DFA" w:rsidRDefault="00013DFA">
      <w:pPr>
        <w:pStyle w:val="EndnoteText"/>
      </w:pPr>
      <w:r>
        <w:rPr>
          <w:rStyle w:val="EndnoteReference"/>
        </w:rPr>
        <w:endnoteRef/>
      </w:r>
      <w:r>
        <w:t xml:space="preserve"> </w:t>
      </w:r>
      <w:hyperlink r:id="rId17" w:history="1">
        <w:r w:rsidRPr="00D33173">
          <w:rPr>
            <w:rStyle w:val="Hyperlink"/>
            <w:rFonts w:ascii="Arial" w:hAnsi="Arial" w:cs="Arial"/>
          </w:rPr>
          <w:t>https://www.gov.uk/government/organisations/behavioural-insights-team</w:t>
        </w:r>
      </w:hyperlink>
    </w:p>
  </w:endnote>
  <w:endnote w:id="21">
    <w:p w:rsidR="00F7217E" w:rsidRDefault="00F7217E" w:rsidP="00F7217E">
      <w:pPr>
        <w:pStyle w:val="EndnoteText"/>
      </w:pPr>
      <w:r>
        <w:rPr>
          <w:rStyle w:val="EndnoteReference"/>
        </w:rPr>
        <w:endnoteRef/>
      </w:r>
      <w:r>
        <w:t xml:space="preserve"> Gino, Francesca (2013-02-12). </w:t>
      </w:r>
      <w:proofErr w:type="spellStart"/>
      <w:r>
        <w:t>Sidetracked</w:t>
      </w:r>
      <w:proofErr w:type="spellEnd"/>
      <w:r>
        <w:t>: Why Our Decisions Get Derailed, and How We Can Stick to the Plan (p. 199). Harvard Business Review Press. Kindle Edition.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E3B" w:rsidRDefault="00D21E3B" w:rsidP="00DE23D6">
      <w:pPr>
        <w:spacing w:after="0" w:line="240" w:lineRule="auto"/>
      </w:pPr>
      <w:r>
        <w:separator/>
      </w:r>
    </w:p>
  </w:footnote>
  <w:footnote w:type="continuationSeparator" w:id="0">
    <w:p w:rsidR="00D21E3B" w:rsidRDefault="00D21E3B" w:rsidP="00DE23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45960"/>
    <w:multiLevelType w:val="hybridMultilevel"/>
    <w:tmpl w:val="F44EFF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466A0C07"/>
    <w:multiLevelType w:val="multilevel"/>
    <w:tmpl w:val="4BE4D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050"/>
    <w:rsid w:val="0000632F"/>
    <w:rsid w:val="00013DFA"/>
    <w:rsid w:val="00021717"/>
    <w:rsid w:val="000366DD"/>
    <w:rsid w:val="00045BFC"/>
    <w:rsid w:val="00053395"/>
    <w:rsid w:val="00062514"/>
    <w:rsid w:val="0006456C"/>
    <w:rsid w:val="00072A15"/>
    <w:rsid w:val="00076B60"/>
    <w:rsid w:val="0008288B"/>
    <w:rsid w:val="00096060"/>
    <w:rsid w:val="000C713C"/>
    <w:rsid w:val="000E635C"/>
    <w:rsid w:val="000F7376"/>
    <w:rsid w:val="001015BF"/>
    <w:rsid w:val="00112A3F"/>
    <w:rsid w:val="00125CDF"/>
    <w:rsid w:val="00134C48"/>
    <w:rsid w:val="0015148D"/>
    <w:rsid w:val="00161775"/>
    <w:rsid w:val="0016557A"/>
    <w:rsid w:val="00182773"/>
    <w:rsid w:val="001A0E86"/>
    <w:rsid w:val="001A1CEB"/>
    <w:rsid w:val="001A7B3E"/>
    <w:rsid w:val="001C1ED9"/>
    <w:rsid w:val="001F123F"/>
    <w:rsid w:val="00201BDB"/>
    <w:rsid w:val="0021000C"/>
    <w:rsid w:val="00211BCC"/>
    <w:rsid w:val="002208F5"/>
    <w:rsid w:val="00232BD8"/>
    <w:rsid w:val="00237D51"/>
    <w:rsid w:val="00240256"/>
    <w:rsid w:val="00242F3B"/>
    <w:rsid w:val="002562CD"/>
    <w:rsid w:val="00261221"/>
    <w:rsid w:val="002727E0"/>
    <w:rsid w:val="00277F28"/>
    <w:rsid w:val="002A1469"/>
    <w:rsid w:val="003079E3"/>
    <w:rsid w:val="00323BE6"/>
    <w:rsid w:val="00340196"/>
    <w:rsid w:val="00344D7D"/>
    <w:rsid w:val="003451E1"/>
    <w:rsid w:val="00373D42"/>
    <w:rsid w:val="0037761F"/>
    <w:rsid w:val="00384CD5"/>
    <w:rsid w:val="003912FD"/>
    <w:rsid w:val="003A3EFD"/>
    <w:rsid w:val="003E1955"/>
    <w:rsid w:val="003E2066"/>
    <w:rsid w:val="00402534"/>
    <w:rsid w:val="00404FC0"/>
    <w:rsid w:val="00413541"/>
    <w:rsid w:val="0041702A"/>
    <w:rsid w:val="004246DC"/>
    <w:rsid w:val="004419EF"/>
    <w:rsid w:val="004646F2"/>
    <w:rsid w:val="00465249"/>
    <w:rsid w:val="00470082"/>
    <w:rsid w:val="004830BC"/>
    <w:rsid w:val="004A1AB6"/>
    <w:rsid w:val="004C7818"/>
    <w:rsid w:val="004D0D09"/>
    <w:rsid w:val="004E2EBC"/>
    <w:rsid w:val="004E33BE"/>
    <w:rsid w:val="004F0164"/>
    <w:rsid w:val="004F16CF"/>
    <w:rsid w:val="004F24B9"/>
    <w:rsid w:val="004F6DAD"/>
    <w:rsid w:val="00514B59"/>
    <w:rsid w:val="005156A4"/>
    <w:rsid w:val="00536A65"/>
    <w:rsid w:val="005434A5"/>
    <w:rsid w:val="00564F38"/>
    <w:rsid w:val="00585F0C"/>
    <w:rsid w:val="005A55EF"/>
    <w:rsid w:val="005C01EC"/>
    <w:rsid w:val="005C388E"/>
    <w:rsid w:val="005E7B10"/>
    <w:rsid w:val="005F04A4"/>
    <w:rsid w:val="00603D6A"/>
    <w:rsid w:val="00617B72"/>
    <w:rsid w:val="00625212"/>
    <w:rsid w:val="00641826"/>
    <w:rsid w:val="00641E1E"/>
    <w:rsid w:val="006507B5"/>
    <w:rsid w:val="00666BC6"/>
    <w:rsid w:val="00670BB1"/>
    <w:rsid w:val="006918CD"/>
    <w:rsid w:val="00692EF4"/>
    <w:rsid w:val="00694A15"/>
    <w:rsid w:val="006A4488"/>
    <w:rsid w:val="006B69EA"/>
    <w:rsid w:val="006E0605"/>
    <w:rsid w:val="006F6C44"/>
    <w:rsid w:val="00716171"/>
    <w:rsid w:val="00725968"/>
    <w:rsid w:val="00730662"/>
    <w:rsid w:val="00733494"/>
    <w:rsid w:val="007737BE"/>
    <w:rsid w:val="007762BA"/>
    <w:rsid w:val="00777D33"/>
    <w:rsid w:val="007A4050"/>
    <w:rsid w:val="007B4773"/>
    <w:rsid w:val="007D062A"/>
    <w:rsid w:val="007D40B5"/>
    <w:rsid w:val="007E7706"/>
    <w:rsid w:val="00836057"/>
    <w:rsid w:val="00843F7F"/>
    <w:rsid w:val="0086306C"/>
    <w:rsid w:val="00893611"/>
    <w:rsid w:val="008C0178"/>
    <w:rsid w:val="008E0AFB"/>
    <w:rsid w:val="008F0AE5"/>
    <w:rsid w:val="009231DE"/>
    <w:rsid w:val="00924E11"/>
    <w:rsid w:val="00925F31"/>
    <w:rsid w:val="00932DC4"/>
    <w:rsid w:val="00953534"/>
    <w:rsid w:val="0095488C"/>
    <w:rsid w:val="00954D79"/>
    <w:rsid w:val="009576EA"/>
    <w:rsid w:val="00974DF6"/>
    <w:rsid w:val="00997346"/>
    <w:rsid w:val="009B39C1"/>
    <w:rsid w:val="00A04056"/>
    <w:rsid w:val="00A07B50"/>
    <w:rsid w:val="00A17A4D"/>
    <w:rsid w:val="00A204C9"/>
    <w:rsid w:val="00A2203C"/>
    <w:rsid w:val="00A22162"/>
    <w:rsid w:val="00A52FD7"/>
    <w:rsid w:val="00A74F4A"/>
    <w:rsid w:val="00AB052E"/>
    <w:rsid w:val="00AC2A97"/>
    <w:rsid w:val="00AC3F23"/>
    <w:rsid w:val="00AD7B9A"/>
    <w:rsid w:val="00AF7C12"/>
    <w:rsid w:val="00B8314B"/>
    <w:rsid w:val="00BF4087"/>
    <w:rsid w:val="00BF5957"/>
    <w:rsid w:val="00C1369C"/>
    <w:rsid w:val="00C147C3"/>
    <w:rsid w:val="00C31ACE"/>
    <w:rsid w:val="00C4134B"/>
    <w:rsid w:val="00C43142"/>
    <w:rsid w:val="00C507EC"/>
    <w:rsid w:val="00C60A66"/>
    <w:rsid w:val="00C661BE"/>
    <w:rsid w:val="00C81420"/>
    <w:rsid w:val="00CB1FB4"/>
    <w:rsid w:val="00CC002A"/>
    <w:rsid w:val="00CD3F85"/>
    <w:rsid w:val="00CE5107"/>
    <w:rsid w:val="00CF29D5"/>
    <w:rsid w:val="00CF5544"/>
    <w:rsid w:val="00D1538A"/>
    <w:rsid w:val="00D21E3B"/>
    <w:rsid w:val="00D22847"/>
    <w:rsid w:val="00D51557"/>
    <w:rsid w:val="00D77D77"/>
    <w:rsid w:val="00D82918"/>
    <w:rsid w:val="00D93165"/>
    <w:rsid w:val="00DA180E"/>
    <w:rsid w:val="00DB1EBA"/>
    <w:rsid w:val="00DB7545"/>
    <w:rsid w:val="00DC219F"/>
    <w:rsid w:val="00DC6467"/>
    <w:rsid w:val="00DD26B8"/>
    <w:rsid w:val="00DD295C"/>
    <w:rsid w:val="00DE23D6"/>
    <w:rsid w:val="00E03CD1"/>
    <w:rsid w:val="00E178B3"/>
    <w:rsid w:val="00E50D8A"/>
    <w:rsid w:val="00E530A8"/>
    <w:rsid w:val="00E5384E"/>
    <w:rsid w:val="00E53DE7"/>
    <w:rsid w:val="00E87D5A"/>
    <w:rsid w:val="00EA111D"/>
    <w:rsid w:val="00EB05F5"/>
    <w:rsid w:val="00EB6F6E"/>
    <w:rsid w:val="00EB7FE2"/>
    <w:rsid w:val="00F7217E"/>
    <w:rsid w:val="00F95AAA"/>
    <w:rsid w:val="00FA2A50"/>
    <w:rsid w:val="00FD2ED1"/>
    <w:rsid w:val="00FD5C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11BC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1354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7D51"/>
    <w:rPr>
      <w:color w:val="0000FF"/>
      <w:u w:val="single"/>
    </w:rPr>
  </w:style>
  <w:style w:type="paragraph" w:styleId="ListParagraph">
    <w:name w:val="List Paragraph"/>
    <w:basedOn w:val="Normal"/>
    <w:uiPriority w:val="34"/>
    <w:qFormat/>
    <w:rsid w:val="00EA111D"/>
    <w:pPr>
      <w:ind w:left="720"/>
      <w:contextualSpacing/>
    </w:pPr>
  </w:style>
  <w:style w:type="paragraph" w:styleId="EndnoteText">
    <w:name w:val="endnote text"/>
    <w:basedOn w:val="Normal"/>
    <w:link w:val="EndnoteTextChar"/>
    <w:uiPriority w:val="99"/>
    <w:unhideWhenUsed/>
    <w:rsid w:val="00DE23D6"/>
    <w:pPr>
      <w:spacing w:after="0" w:line="240" w:lineRule="auto"/>
    </w:pPr>
    <w:rPr>
      <w:sz w:val="20"/>
      <w:szCs w:val="20"/>
    </w:rPr>
  </w:style>
  <w:style w:type="character" w:customStyle="1" w:styleId="EndnoteTextChar">
    <w:name w:val="Endnote Text Char"/>
    <w:basedOn w:val="DefaultParagraphFont"/>
    <w:link w:val="EndnoteText"/>
    <w:uiPriority w:val="99"/>
    <w:rsid w:val="00DE23D6"/>
    <w:rPr>
      <w:sz w:val="20"/>
      <w:szCs w:val="20"/>
    </w:rPr>
  </w:style>
  <w:style w:type="character" w:styleId="EndnoteReference">
    <w:name w:val="endnote reference"/>
    <w:basedOn w:val="DefaultParagraphFont"/>
    <w:uiPriority w:val="99"/>
    <w:semiHidden/>
    <w:unhideWhenUsed/>
    <w:rsid w:val="00DE23D6"/>
    <w:rPr>
      <w:vertAlign w:val="superscript"/>
    </w:rPr>
  </w:style>
  <w:style w:type="character" w:styleId="FollowedHyperlink">
    <w:name w:val="FollowedHyperlink"/>
    <w:basedOn w:val="DefaultParagraphFont"/>
    <w:uiPriority w:val="99"/>
    <w:semiHidden/>
    <w:unhideWhenUsed/>
    <w:rsid w:val="004F6DAD"/>
    <w:rPr>
      <w:color w:val="800080" w:themeColor="followedHyperlink"/>
      <w:u w:val="single"/>
    </w:rPr>
  </w:style>
  <w:style w:type="paragraph" w:styleId="BalloonText">
    <w:name w:val="Balloon Text"/>
    <w:basedOn w:val="Normal"/>
    <w:link w:val="BalloonTextChar"/>
    <w:uiPriority w:val="99"/>
    <w:semiHidden/>
    <w:unhideWhenUsed/>
    <w:rsid w:val="004652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5249"/>
    <w:rPr>
      <w:rFonts w:ascii="Tahoma" w:hAnsi="Tahoma" w:cs="Tahoma"/>
      <w:sz w:val="16"/>
      <w:szCs w:val="16"/>
    </w:rPr>
  </w:style>
  <w:style w:type="character" w:customStyle="1" w:styleId="apple-converted-space">
    <w:name w:val="apple-converted-space"/>
    <w:basedOn w:val="DefaultParagraphFont"/>
    <w:rsid w:val="00465249"/>
  </w:style>
  <w:style w:type="character" w:customStyle="1" w:styleId="citation">
    <w:name w:val="citation"/>
    <w:basedOn w:val="DefaultParagraphFont"/>
    <w:rsid w:val="00465249"/>
  </w:style>
  <w:style w:type="character" w:customStyle="1" w:styleId="Heading1Char">
    <w:name w:val="Heading 1 Char"/>
    <w:basedOn w:val="DefaultParagraphFont"/>
    <w:link w:val="Heading1"/>
    <w:uiPriority w:val="9"/>
    <w:rsid w:val="00211BCC"/>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41354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13541"/>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413541"/>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11BC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1354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7D51"/>
    <w:rPr>
      <w:color w:val="0000FF"/>
      <w:u w:val="single"/>
    </w:rPr>
  </w:style>
  <w:style w:type="paragraph" w:styleId="ListParagraph">
    <w:name w:val="List Paragraph"/>
    <w:basedOn w:val="Normal"/>
    <w:uiPriority w:val="34"/>
    <w:qFormat/>
    <w:rsid w:val="00EA111D"/>
    <w:pPr>
      <w:ind w:left="720"/>
      <w:contextualSpacing/>
    </w:pPr>
  </w:style>
  <w:style w:type="paragraph" w:styleId="EndnoteText">
    <w:name w:val="endnote text"/>
    <w:basedOn w:val="Normal"/>
    <w:link w:val="EndnoteTextChar"/>
    <w:uiPriority w:val="99"/>
    <w:unhideWhenUsed/>
    <w:rsid w:val="00DE23D6"/>
    <w:pPr>
      <w:spacing w:after="0" w:line="240" w:lineRule="auto"/>
    </w:pPr>
    <w:rPr>
      <w:sz w:val="20"/>
      <w:szCs w:val="20"/>
    </w:rPr>
  </w:style>
  <w:style w:type="character" w:customStyle="1" w:styleId="EndnoteTextChar">
    <w:name w:val="Endnote Text Char"/>
    <w:basedOn w:val="DefaultParagraphFont"/>
    <w:link w:val="EndnoteText"/>
    <w:uiPriority w:val="99"/>
    <w:rsid w:val="00DE23D6"/>
    <w:rPr>
      <w:sz w:val="20"/>
      <w:szCs w:val="20"/>
    </w:rPr>
  </w:style>
  <w:style w:type="character" w:styleId="EndnoteReference">
    <w:name w:val="endnote reference"/>
    <w:basedOn w:val="DefaultParagraphFont"/>
    <w:uiPriority w:val="99"/>
    <w:semiHidden/>
    <w:unhideWhenUsed/>
    <w:rsid w:val="00DE23D6"/>
    <w:rPr>
      <w:vertAlign w:val="superscript"/>
    </w:rPr>
  </w:style>
  <w:style w:type="character" w:styleId="FollowedHyperlink">
    <w:name w:val="FollowedHyperlink"/>
    <w:basedOn w:val="DefaultParagraphFont"/>
    <w:uiPriority w:val="99"/>
    <w:semiHidden/>
    <w:unhideWhenUsed/>
    <w:rsid w:val="004F6DAD"/>
    <w:rPr>
      <w:color w:val="800080" w:themeColor="followedHyperlink"/>
      <w:u w:val="single"/>
    </w:rPr>
  </w:style>
  <w:style w:type="paragraph" w:styleId="BalloonText">
    <w:name w:val="Balloon Text"/>
    <w:basedOn w:val="Normal"/>
    <w:link w:val="BalloonTextChar"/>
    <w:uiPriority w:val="99"/>
    <w:semiHidden/>
    <w:unhideWhenUsed/>
    <w:rsid w:val="004652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5249"/>
    <w:rPr>
      <w:rFonts w:ascii="Tahoma" w:hAnsi="Tahoma" w:cs="Tahoma"/>
      <w:sz w:val="16"/>
      <w:szCs w:val="16"/>
    </w:rPr>
  </w:style>
  <w:style w:type="character" w:customStyle="1" w:styleId="apple-converted-space">
    <w:name w:val="apple-converted-space"/>
    <w:basedOn w:val="DefaultParagraphFont"/>
    <w:rsid w:val="00465249"/>
  </w:style>
  <w:style w:type="character" w:customStyle="1" w:styleId="citation">
    <w:name w:val="citation"/>
    <w:basedOn w:val="DefaultParagraphFont"/>
    <w:rsid w:val="00465249"/>
  </w:style>
  <w:style w:type="character" w:customStyle="1" w:styleId="Heading1Char">
    <w:name w:val="Heading 1 Char"/>
    <w:basedOn w:val="DefaultParagraphFont"/>
    <w:link w:val="Heading1"/>
    <w:uiPriority w:val="9"/>
    <w:rsid w:val="00211BCC"/>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41354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13541"/>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413541"/>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91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www.pc.gov.au/projects/study/small-business" TargetMode="External"/><Relationship Id="rId13" Type="http://schemas.openxmlformats.org/officeDocument/2006/relationships/hyperlink" Target="http://www.prisonexp.org/" TargetMode="External"/><Relationship Id="rId3" Type="http://schemas.openxmlformats.org/officeDocument/2006/relationships/hyperlink" Target="http://pespmc1.vub.ac.be/ASHBBOOK.html" TargetMode="External"/><Relationship Id="rId7" Type="http://schemas.openxmlformats.org/officeDocument/2006/relationships/hyperlink" Target="http://www.strongs.biz/Portals/105/Transcape/Compare%20the%20pair%20+.pdf" TargetMode="External"/><Relationship Id="rId12" Type="http://schemas.openxmlformats.org/officeDocument/2006/relationships/hyperlink" Target="http://www.pc.gov.au/__data/assets/pdf_file/0003/122466/sub019-small-business.pdf" TargetMode="External"/><Relationship Id="rId17" Type="http://schemas.openxmlformats.org/officeDocument/2006/relationships/hyperlink" Target="https://www.gov.uk/government/organisations/behavioural-insights-team" TargetMode="External"/><Relationship Id="rId2" Type="http://schemas.openxmlformats.org/officeDocument/2006/relationships/hyperlink" Target="http://www.ato.gov.au/businesses/pathway.aspx?pc=001/003/090" TargetMode="External"/><Relationship Id="rId16" Type="http://schemas.openxmlformats.org/officeDocument/2006/relationships/hyperlink" Target="http://www.pc.gov.au/__data/assets/pdf_file/0017/122552/sub028-small-business.pdf" TargetMode="External"/><Relationship Id="rId1" Type="http://schemas.openxmlformats.org/officeDocument/2006/relationships/hyperlink" Target="http://www.cosboa.org.au/Page/COSBOA-Policy" TargetMode="External"/><Relationship Id="rId6" Type="http://schemas.openxmlformats.org/officeDocument/2006/relationships/hyperlink" Target="http://www.cosboa.org.au/Post/Isthereaseachangeinthewaysmallbusinessisviewedandtreated" TargetMode="External"/><Relationship Id="rId11" Type="http://schemas.openxmlformats.org/officeDocument/2006/relationships/hyperlink" Target="http://www.pc.gov.au/__data/assets/pdf_file/0017/122444/sub015-small-business.pdf" TargetMode="External"/><Relationship Id="rId5" Type="http://schemas.openxmlformats.org/officeDocument/2006/relationships/hyperlink" Target="http://www.cosboa.org.au/Post/SimplicityinLegislationCreatesProductivity" TargetMode="External"/><Relationship Id="rId15" Type="http://schemas.openxmlformats.org/officeDocument/2006/relationships/hyperlink" Target="http://www.smithsonianmag.com/history-archaeology/lesson_lifetime.html" TargetMode="External"/><Relationship Id="rId10" Type="http://schemas.openxmlformats.org/officeDocument/2006/relationships/hyperlink" Target="http://www.pc.gov.au/__data/assets/pdf_file/0006/121677/small-business-issues.pdf" TargetMode="External"/><Relationship Id="rId4" Type="http://schemas.openxmlformats.org/officeDocument/2006/relationships/hyperlink" Target="http://pespmc1.vub.ac.be/books/IntroCyb.pdf" TargetMode="External"/><Relationship Id="rId9" Type="http://schemas.openxmlformats.org/officeDocument/2006/relationships/hyperlink" Target="http://www.pc.gov.au/about-us/quick-guide" TargetMode="External"/><Relationship Id="rId14" Type="http://schemas.openxmlformats.org/officeDocument/2006/relationships/hyperlink" Target="http://en.wikipedia.org/wiki/Stephen_Blo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28520-6418-4C90-923D-C36DC0A5E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2102</Words>
  <Characters>11988</Characters>
  <Application>Microsoft Office Word</Application>
  <DocSecurity>4</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19 attachement 1 - Strong Strategies Pty Ltd - Regulator Engagement with Small Business commissioned study</dc:title>
  <dc:creator>Strong Strategies Pty Ltd</dc:creator>
  <cp:lastModifiedBy>Productivity Commission</cp:lastModifiedBy>
  <cp:revision>2</cp:revision>
  <dcterms:created xsi:type="dcterms:W3CDTF">2013-08-15T00:46:00Z</dcterms:created>
  <dcterms:modified xsi:type="dcterms:W3CDTF">2013-08-15T00:46:00Z</dcterms:modified>
</cp:coreProperties>
</file>