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6EAEAB" w14:textId="7518DF39" w:rsidR="00415F39" w:rsidRPr="00C46775" w:rsidRDefault="00C46775" w:rsidP="00C46775">
      <w:pPr>
        <w:pStyle w:val="Heading2"/>
        <w:ind w:left="0" w:firstLine="0"/>
        <w:rPr>
          <w:color w:val="FFFFFF" w:themeColor="background1"/>
          <w:sz w:val="16"/>
          <w:szCs w:val="16"/>
        </w:rPr>
      </w:pPr>
      <w:bookmarkStart w:id="0" w:name="ChapterNumber"/>
      <w:bookmarkStart w:id="1" w:name="_GoBack"/>
      <w:bookmarkEnd w:id="1"/>
      <w:r>
        <w:rPr>
          <w:noProof/>
          <w:color w:val="FFFFFF" w:themeColor="background1"/>
          <w:sz w:val="16"/>
          <w:szCs w:val="16"/>
        </w:rPr>
        <w:drawing>
          <wp:anchor distT="0" distB="0" distL="114300" distR="114300" simplePos="0" relativeHeight="251658240" behindDoc="0" locked="0" layoutInCell="1" allowOverlap="1" wp14:anchorId="041BAEDB" wp14:editId="647066AA">
            <wp:simplePos x="1152525" y="-6315075"/>
            <wp:positionH relativeFrom="page">
              <wp:align>center</wp:align>
            </wp:positionH>
            <wp:positionV relativeFrom="page">
              <wp:align>center</wp:align>
            </wp:positionV>
            <wp:extent cx="7560000" cy="10692000"/>
            <wp:effectExtent l="0" t="0" r="3175" b="0"/>
            <wp:wrapNone/>
            <wp:docPr id="4" name="Picture 4" descr="Superannuation: Alternative Default Models. Productivity Commission Issues Paper. September 2016. &#10;The Commission has released this issues paper to assist individuals and organisations to prepare submissions. It contains and outlines:&#10;• the scope of the inquiry&#10;• the Commission’s procedures&#10;• matters about which the Commission is seeking comment and information&#10;• how to make a submission.&#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sues-paper-cover-super-inquiry.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r w:rsidRPr="00C46775">
        <w:rPr>
          <w:color w:val="FFFFFF" w:themeColor="background1"/>
          <w:sz w:val="16"/>
          <w:szCs w:val="16"/>
        </w:rPr>
        <w:t xml:space="preserve">Superannuation: Alternative Default Models. Productivity Commission Issues Paper. September 2016. </w:t>
      </w:r>
    </w:p>
    <w:p w14:paraId="6840C98F" w14:textId="020FF421" w:rsidR="00C46775" w:rsidRPr="00C46775" w:rsidRDefault="00C46775" w:rsidP="00C46775">
      <w:pPr>
        <w:pStyle w:val="BodyText"/>
        <w:jc w:val="left"/>
        <w:rPr>
          <w:color w:val="FFFFFF" w:themeColor="background1"/>
          <w:sz w:val="16"/>
          <w:szCs w:val="16"/>
        </w:rPr>
      </w:pPr>
      <w:r w:rsidRPr="00C46775">
        <w:rPr>
          <w:color w:val="FFFFFF" w:themeColor="background1"/>
          <w:sz w:val="16"/>
          <w:szCs w:val="16"/>
        </w:rPr>
        <w:t>The Commission has released this issues paper to assist individuals and organisations to prepare submissions. It contains and outlines:</w:t>
      </w:r>
    </w:p>
    <w:p w14:paraId="188174CD" w14:textId="77777777" w:rsidR="00C46775" w:rsidRPr="00C46775" w:rsidRDefault="00C46775" w:rsidP="00C46775">
      <w:pPr>
        <w:pStyle w:val="ListBullet"/>
        <w:jc w:val="left"/>
        <w:rPr>
          <w:color w:val="FFFFFF" w:themeColor="background1"/>
          <w:sz w:val="16"/>
          <w:szCs w:val="16"/>
        </w:rPr>
      </w:pPr>
      <w:r w:rsidRPr="00C46775">
        <w:rPr>
          <w:color w:val="FFFFFF" w:themeColor="background1"/>
          <w:sz w:val="16"/>
          <w:szCs w:val="16"/>
        </w:rPr>
        <w:t>the scope of the inquiry</w:t>
      </w:r>
    </w:p>
    <w:p w14:paraId="396AADFF" w14:textId="77777777" w:rsidR="00C46775" w:rsidRPr="00C46775" w:rsidRDefault="00C46775" w:rsidP="00C46775">
      <w:pPr>
        <w:pStyle w:val="ListBullet"/>
        <w:jc w:val="left"/>
        <w:rPr>
          <w:color w:val="FFFFFF" w:themeColor="background1"/>
          <w:sz w:val="16"/>
          <w:szCs w:val="16"/>
        </w:rPr>
      </w:pPr>
      <w:r w:rsidRPr="00C46775">
        <w:rPr>
          <w:color w:val="FFFFFF" w:themeColor="background1"/>
          <w:sz w:val="16"/>
          <w:szCs w:val="16"/>
        </w:rPr>
        <w:t>the Commission’s procedures</w:t>
      </w:r>
    </w:p>
    <w:p w14:paraId="4CA1DB17" w14:textId="0336EECF" w:rsidR="00C46775" w:rsidRPr="00C46775" w:rsidRDefault="00C46775" w:rsidP="00C46775">
      <w:pPr>
        <w:pStyle w:val="ListBullet"/>
        <w:jc w:val="left"/>
        <w:rPr>
          <w:color w:val="FFFFFF" w:themeColor="background1"/>
          <w:sz w:val="16"/>
          <w:szCs w:val="16"/>
        </w:rPr>
      </w:pPr>
      <w:r w:rsidRPr="00C46775">
        <w:rPr>
          <w:color w:val="FFFFFF" w:themeColor="background1"/>
          <w:sz w:val="16"/>
          <w:szCs w:val="16"/>
        </w:rPr>
        <w:t>matters about which the Commission is seeking comment and information</w:t>
      </w:r>
    </w:p>
    <w:p w14:paraId="74273EDB" w14:textId="785ED7D2" w:rsidR="00C46775" w:rsidRPr="00C46775" w:rsidRDefault="00C46775" w:rsidP="00C46775">
      <w:pPr>
        <w:pStyle w:val="ListBullet"/>
        <w:jc w:val="left"/>
        <w:rPr>
          <w:color w:val="FFFFFF" w:themeColor="background1"/>
          <w:sz w:val="16"/>
          <w:szCs w:val="16"/>
        </w:rPr>
      </w:pPr>
      <w:r w:rsidRPr="00C46775">
        <w:rPr>
          <w:color w:val="FFFFFF" w:themeColor="background1"/>
          <w:sz w:val="16"/>
          <w:szCs w:val="16"/>
        </w:rPr>
        <w:t>how to make a submission.</w:t>
      </w:r>
    </w:p>
    <w:p w14:paraId="212BAADB" w14:textId="77777777" w:rsidR="00415F39" w:rsidRPr="007B1E73" w:rsidRDefault="00415F39" w:rsidP="00415F39">
      <w:pPr>
        <w:pStyle w:val="Heading1"/>
        <w:spacing w:before="0"/>
      </w:pPr>
      <w:r w:rsidRPr="007B1E73">
        <w:br w:type="page"/>
      </w:r>
    </w:p>
    <w:p w14:paraId="23465426" w14:textId="77777777" w:rsidR="00415F39" w:rsidRPr="007B1E73" w:rsidRDefault="00415F39" w:rsidP="00415F39">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w:tblPr>
      <w:tblGrid>
        <w:gridCol w:w="8771"/>
      </w:tblGrid>
      <w:tr w:rsidR="00415F39" w:rsidRPr="007B1E73" w14:paraId="794D5ACE" w14:textId="77777777" w:rsidTr="001E4D46">
        <w:trPr>
          <w:tblHeader/>
        </w:trPr>
        <w:tc>
          <w:tcPr>
            <w:tcW w:w="8771" w:type="dxa"/>
            <w:tcBorders>
              <w:top w:val="single" w:sz="6" w:space="0" w:color="78A22F"/>
              <w:left w:val="nil"/>
              <w:bottom w:val="nil"/>
              <w:right w:val="nil"/>
            </w:tcBorders>
            <w:shd w:val="clear" w:color="auto" w:fill="F2F2F2" w:themeFill="background1" w:themeFillShade="F2"/>
          </w:tcPr>
          <w:p w14:paraId="5C16FF4F" w14:textId="77777777" w:rsidR="00415F39" w:rsidRPr="007B1E73" w:rsidRDefault="00415F39" w:rsidP="00415F39">
            <w:pPr>
              <w:pStyle w:val="BoxTitle"/>
              <w:rPr>
                <w:sz w:val="22"/>
                <w:szCs w:val="22"/>
              </w:rPr>
            </w:pPr>
            <w:r w:rsidRPr="007B1E73">
              <w:rPr>
                <w:sz w:val="22"/>
                <w:szCs w:val="22"/>
              </w:rPr>
              <w:t>The Issues Paper</w:t>
            </w:r>
          </w:p>
        </w:tc>
      </w:tr>
      <w:tr w:rsidR="00415F39" w:rsidRPr="007B1E73" w14:paraId="5915ABA4" w14:textId="77777777" w:rsidTr="001E4D46">
        <w:tc>
          <w:tcPr>
            <w:tcW w:w="8771" w:type="dxa"/>
            <w:tcBorders>
              <w:top w:val="nil"/>
              <w:left w:val="nil"/>
              <w:bottom w:val="nil"/>
              <w:right w:val="nil"/>
            </w:tcBorders>
            <w:shd w:val="clear" w:color="auto" w:fill="F2F2F2" w:themeFill="background1" w:themeFillShade="F2"/>
          </w:tcPr>
          <w:p w14:paraId="27A17A43" w14:textId="76B53B74" w:rsidR="00415F39" w:rsidRPr="007B1E73" w:rsidRDefault="00415F39" w:rsidP="00415F39">
            <w:pPr>
              <w:pStyle w:val="Box"/>
            </w:pPr>
            <w:r w:rsidRPr="007B1E73">
              <w:t>The Commission has released this issues paper to assist individuals and organisations to prepare submissions to the inquiry. It contains and outlines:</w:t>
            </w:r>
          </w:p>
          <w:p w14:paraId="78DC25B1" w14:textId="036580A4" w:rsidR="00415F39" w:rsidRPr="007B1E73" w:rsidRDefault="00264B16" w:rsidP="00415F39">
            <w:pPr>
              <w:pStyle w:val="BoxListBullet"/>
            </w:pPr>
            <w:r w:rsidRPr="007B1E73">
              <w:t xml:space="preserve">the scope of the </w:t>
            </w:r>
            <w:r w:rsidR="00415F39" w:rsidRPr="007B1E73">
              <w:t>inquiry</w:t>
            </w:r>
          </w:p>
          <w:p w14:paraId="309EF0D6" w14:textId="77777777" w:rsidR="00415F39" w:rsidRPr="007B1E73" w:rsidRDefault="00415F39" w:rsidP="00415F39">
            <w:pPr>
              <w:pStyle w:val="BoxListBullet"/>
            </w:pPr>
            <w:r w:rsidRPr="007B1E73">
              <w:t>the Commission’s procedures</w:t>
            </w:r>
          </w:p>
          <w:p w14:paraId="5C8A0D0B" w14:textId="77777777" w:rsidR="00415F39" w:rsidRPr="007B1E73" w:rsidRDefault="00415F39" w:rsidP="00415F39">
            <w:pPr>
              <w:pStyle w:val="BoxListBullet"/>
            </w:pPr>
            <w:r w:rsidRPr="007B1E73">
              <w:t>matters about which the Commission is seeking comment and information</w:t>
            </w:r>
          </w:p>
          <w:p w14:paraId="37234DE4" w14:textId="77777777" w:rsidR="00415F39" w:rsidRPr="007B1E73" w:rsidRDefault="00415F39" w:rsidP="00415F39">
            <w:pPr>
              <w:pStyle w:val="BoxListBullet"/>
            </w:pPr>
            <w:r w:rsidRPr="007B1E73">
              <w:t>how to make a submission.</w:t>
            </w:r>
          </w:p>
          <w:p w14:paraId="606FF712" w14:textId="2E72E690" w:rsidR="00415F39" w:rsidRPr="007B1E73" w:rsidRDefault="00415F39" w:rsidP="00415F39">
            <w:pPr>
              <w:pStyle w:val="Box"/>
            </w:pPr>
            <w:r w:rsidRPr="007B1E73">
              <w:t>Participants should not feel that they are restricted to comment only on matters raised in the issues paper. The Commission wishes to receive information and comment on issues which participants consider relevant to the inquiry’s terms of reference.</w:t>
            </w:r>
          </w:p>
          <w:p w14:paraId="4266662C" w14:textId="49674933" w:rsidR="00415F39" w:rsidRPr="007B1E73" w:rsidRDefault="00415F39" w:rsidP="009F3E26">
            <w:pPr>
              <w:pStyle w:val="BoxHeading1"/>
            </w:pPr>
            <w:r w:rsidRPr="007B1E73">
              <w:t>Key inquiry dates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Description w:val="Table used for design layout"/>
            </w:tblPr>
            <w:tblGrid>
              <w:gridCol w:w="3522"/>
              <w:gridCol w:w="4950"/>
            </w:tblGrid>
            <w:tr w:rsidR="009F3E26" w:rsidRPr="007B1E73" w14:paraId="36682BD5" w14:textId="77777777" w:rsidTr="001E4D46">
              <w:trPr>
                <w:tblHeader/>
              </w:trPr>
              <w:tc>
                <w:tcPr>
                  <w:tcW w:w="3522" w:type="dxa"/>
                  <w:tcMar>
                    <w:left w:w="0" w:type="dxa"/>
                  </w:tcMar>
                </w:tcPr>
                <w:p w14:paraId="6D6A90C1" w14:textId="77777777" w:rsidR="009F3E26" w:rsidRPr="007B1E73" w:rsidRDefault="009F3E26" w:rsidP="00415F39">
                  <w:pPr>
                    <w:pStyle w:val="Box"/>
                  </w:pPr>
                  <w:r w:rsidRPr="007B1E73">
                    <w:t>Receipt of terms of reference</w:t>
                  </w:r>
                </w:p>
              </w:tc>
              <w:tc>
                <w:tcPr>
                  <w:tcW w:w="4950" w:type="dxa"/>
                </w:tcPr>
                <w:p w14:paraId="2C403619" w14:textId="47C6845A" w:rsidR="009F3E26" w:rsidRPr="007B1E73" w:rsidRDefault="00264B16" w:rsidP="00415F39">
                  <w:pPr>
                    <w:pStyle w:val="Box"/>
                  </w:pPr>
                  <w:r w:rsidRPr="007B1E73">
                    <w:t>17 February 2016</w:t>
                  </w:r>
                </w:p>
              </w:tc>
            </w:tr>
            <w:tr w:rsidR="009F3E26" w:rsidRPr="007B1E73" w14:paraId="3D845033" w14:textId="77777777" w:rsidTr="00EC0A05">
              <w:tc>
                <w:tcPr>
                  <w:tcW w:w="3522" w:type="dxa"/>
                  <w:tcMar>
                    <w:left w:w="0" w:type="dxa"/>
                  </w:tcMar>
                </w:tcPr>
                <w:p w14:paraId="5566608C" w14:textId="77777777" w:rsidR="009F3E26" w:rsidRPr="007B1E73" w:rsidRDefault="009F3E26" w:rsidP="00DB2AE0">
                  <w:pPr>
                    <w:pStyle w:val="Box"/>
                    <w:spacing w:before="60"/>
                  </w:pPr>
                  <w:r w:rsidRPr="007B1E73">
                    <w:t>Due date for submissions</w:t>
                  </w:r>
                </w:p>
              </w:tc>
              <w:tc>
                <w:tcPr>
                  <w:tcW w:w="4950" w:type="dxa"/>
                </w:tcPr>
                <w:p w14:paraId="5392B05A" w14:textId="1A7015BA" w:rsidR="009F3E26" w:rsidRPr="007B1E73" w:rsidRDefault="00451A0C" w:rsidP="00DB2AE0">
                  <w:pPr>
                    <w:pStyle w:val="Box"/>
                    <w:spacing w:before="60"/>
                  </w:pPr>
                  <w:r>
                    <w:t>28 October 2016</w:t>
                  </w:r>
                </w:p>
              </w:tc>
            </w:tr>
            <w:tr w:rsidR="009F3E26" w:rsidRPr="007B1E73" w14:paraId="7DAF0F8C" w14:textId="77777777" w:rsidTr="00EC0A05">
              <w:tc>
                <w:tcPr>
                  <w:tcW w:w="3522" w:type="dxa"/>
                  <w:tcMar>
                    <w:left w:w="0" w:type="dxa"/>
                  </w:tcMar>
                </w:tcPr>
                <w:p w14:paraId="565F8A25" w14:textId="77777777" w:rsidR="009F3E26" w:rsidRPr="007B1E73" w:rsidRDefault="009F3E26" w:rsidP="00DB2AE0">
                  <w:pPr>
                    <w:pStyle w:val="Box"/>
                    <w:spacing w:before="60"/>
                  </w:pPr>
                  <w:r w:rsidRPr="007B1E73">
                    <w:t>Release of draft report</w:t>
                  </w:r>
                </w:p>
              </w:tc>
              <w:tc>
                <w:tcPr>
                  <w:tcW w:w="4950" w:type="dxa"/>
                </w:tcPr>
                <w:p w14:paraId="2A4394C5" w14:textId="6A331ECC" w:rsidR="009F3E26" w:rsidRPr="007B1E73" w:rsidRDefault="00264B16" w:rsidP="00DB2AE0">
                  <w:pPr>
                    <w:pStyle w:val="Box"/>
                    <w:spacing w:before="60"/>
                  </w:pPr>
                  <w:r w:rsidRPr="007B1E73">
                    <w:t>March 2017</w:t>
                  </w:r>
                </w:p>
              </w:tc>
            </w:tr>
            <w:tr w:rsidR="00886001" w:rsidRPr="007B1E73" w14:paraId="39A21B9F" w14:textId="77777777" w:rsidTr="00EC0A05">
              <w:tc>
                <w:tcPr>
                  <w:tcW w:w="3522" w:type="dxa"/>
                  <w:tcMar>
                    <w:left w:w="0" w:type="dxa"/>
                  </w:tcMar>
                </w:tcPr>
                <w:p w14:paraId="12510B9B" w14:textId="084650C5" w:rsidR="00886001" w:rsidRPr="007B1E73" w:rsidRDefault="00886001" w:rsidP="00DB2AE0">
                  <w:pPr>
                    <w:pStyle w:val="Box"/>
                    <w:spacing w:before="60"/>
                  </w:pPr>
                  <w:r w:rsidRPr="007B1E73">
                    <w:t>Public hearings</w:t>
                  </w:r>
                </w:p>
              </w:tc>
              <w:tc>
                <w:tcPr>
                  <w:tcW w:w="4950" w:type="dxa"/>
                </w:tcPr>
                <w:p w14:paraId="4A36F6AD" w14:textId="5FB90E34" w:rsidR="00886001" w:rsidRPr="007B1E73" w:rsidRDefault="00886001" w:rsidP="00DB2AE0">
                  <w:pPr>
                    <w:pStyle w:val="Box"/>
                    <w:spacing w:before="60"/>
                  </w:pPr>
                  <w:r w:rsidRPr="007B1E73">
                    <w:t>May 2017</w:t>
                  </w:r>
                </w:p>
              </w:tc>
            </w:tr>
            <w:tr w:rsidR="009F3E26" w:rsidRPr="007B1E73" w14:paraId="21DFEBD8" w14:textId="77777777" w:rsidTr="00EC0A05">
              <w:tc>
                <w:tcPr>
                  <w:tcW w:w="3522" w:type="dxa"/>
                  <w:tcMar>
                    <w:left w:w="0" w:type="dxa"/>
                  </w:tcMar>
                </w:tcPr>
                <w:p w14:paraId="265687B6" w14:textId="77777777" w:rsidR="009F3E26" w:rsidRPr="007B1E73" w:rsidRDefault="009F3E26" w:rsidP="00DB2AE0">
                  <w:pPr>
                    <w:pStyle w:val="Box"/>
                    <w:spacing w:before="60"/>
                  </w:pPr>
                  <w:r w:rsidRPr="007B1E73">
                    <w:t>Final report to Government</w:t>
                  </w:r>
                </w:p>
              </w:tc>
              <w:tc>
                <w:tcPr>
                  <w:tcW w:w="4950" w:type="dxa"/>
                </w:tcPr>
                <w:p w14:paraId="60A12A48" w14:textId="27041243" w:rsidR="009F3E26" w:rsidRPr="007B1E73" w:rsidRDefault="00264B16" w:rsidP="00DB2AE0">
                  <w:pPr>
                    <w:pStyle w:val="Box"/>
                    <w:spacing w:before="60"/>
                  </w:pPr>
                  <w:r w:rsidRPr="007B1E73">
                    <w:t>August 2017</w:t>
                  </w:r>
                </w:p>
              </w:tc>
            </w:tr>
          </w:tbl>
          <w:p w14:paraId="26676F39" w14:textId="77777777" w:rsidR="00415F39" w:rsidRPr="007B1E73" w:rsidRDefault="00415F39" w:rsidP="009F3E26">
            <w:pPr>
              <w:pStyle w:val="BoxHeading1"/>
            </w:pPr>
            <w:r w:rsidRPr="007B1E73">
              <w:t>S</w:t>
            </w:r>
            <w:r w:rsidR="009F3E26" w:rsidRPr="007B1E73">
              <w:t xml:space="preserve">ubmissions can be </w:t>
            </w:r>
            <w:r w:rsidR="00862E51" w:rsidRPr="007B1E73">
              <w:t>lodged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Description w:val="Table used for design layout"/>
            </w:tblPr>
            <w:tblGrid>
              <w:gridCol w:w="3522"/>
              <w:gridCol w:w="4950"/>
            </w:tblGrid>
            <w:tr w:rsidR="009F3E26" w:rsidRPr="007B1E73" w14:paraId="0A0A4BAB" w14:textId="77777777" w:rsidTr="001E4D46">
              <w:trPr>
                <w:tblHeader/>
              </w:trPr>
              <w:tc>
                <w:tcPr>
                  <w:tcW w:w="3522" w:type="dxa"/>
                  <w:tcMar>
                    <w:left w:w="0" w:type="dxa"/>
                  </w:tcMar>
                </w:tcPr>
                <w:p w14:paraId="6922A88F" w14:textId="77777777" w:rsidR="009F3E26" w:rsidRPr="007B1E73" w:rsidRDefault="00862E51" w:rsidP="00862E51">
                  <w:pPr>
                    <w:pStyle w:val="Box"/>
                  </w:pPr>
                  <w:r w:rsidRPr="007B1E73">
                    <w:t>Online:</w:t>
                  </w:r>
                </w:p>
              </w:tc>
              <w:tc>
                <w:tcPr>
                  <w:tcW w:w="4950" w:type="dxa"/>
                </w:tcPr>
                <w:p w14:paraId="71A96165" w14:textId="25AFEED1" w:rsidR="009F3E26" w:rsidRPr="007B1E73" w:rsidRDefault="00264B16" w:rsidP="00862E51">
                  <w:pPr>
                    <w:pStyle w:val="Box"/>
                  </w:pPr>
                  <w:r w:rsidRPr="007B1E73">
                    <w:t>http://www.pc.gov.au/inquiries/current/superannuation/alternative-default-models</w:t>
                  </w:r>
                </w:p>
              </w:tc>
            </w:tr>
            <w:tr w:rsidR="009F3E26" w:rsidRPr="007B1E73" w14:paraId="5CD4D637" w14:textId="77777777" w:rsidTr="00EC0A05">
              <w:tc>
                <w:tcPr>
                  <w:tcW w:w="3522" w:type="dxa"/>
                  <w:tcMar>
                    <w:left w:w="0" w:type="dxa"/>
                  </w:tcMar>
                </w:tcPr>
                <w:p w14:paraId="480588DB" w14:textId="77777777" w:rsidR="009F3E26" w:rsidRPr="007B1E73" w:rsidRDefault="009F3E26" w:rsidP="00DB2AE0">
                  <w:pPr>
                    <w:pStyle w:val="Box"/>
                    <w:spacing w:before="60"/>
                    <w:jc w:val="left"/>
                  </w:pPr>
                  <w:r w:rsidRPr="007B1E73">
                    <w:t>By post:</w:t>
                  </w:r>
                </w:p>
              </w:tc>
              <w:tc>
                <w:tcPr>
                  <w:tcW w:w="4950" w:type="dxa"/>
                </w:tcPr>
                <w:p w14:paraId="17601A12" w14:textId="50538E0F" w:rsidR="009F3E26" w:rsidRPr="007B1E73" w:rsidRDefault="00264B16" w:rsidP="005C5E19">
                  <w:pPr>
                    <w:pStyle w:val="Box"/>
                    <w:spacing w:before="60"/>
                    <w:jc w:val="left"/>
                  </w:pPr>
                  <w:r w:rsidRPr="007B1E73">
                    <w:t>Superannuation</w:t>
                  </w:r>
                  <w:r w:rsidRPr="007B1E73">
                    <w:br/>
                    <w:t>Productivity Commission</w:t>
                  </w:r>
                  <w:r w:rsidRPr="007B1E73">
                    <w:br/>
                    <w:t>Locked Bag 2, Collins St East</w:t>
                  </w:r>
                  <w:r w:rsidRPr="007B1E73">
                    <w:br/>
                    <w:t>Melbourne VIC 8003</w:t>
                  </w:r>
                </w:p>
              </w:tc>
            </w:tr>
          </w:tbl>
          <w:p w14:paraId="6C2AE63A" w14:textId="77777777" w:rsidR="00415F39" w:rsidRPr="007B1E73" w:rsidRDefault="00415F39" w:rsidP="009F3E26">
            <w:pPr>
              <w:pStyle w:val="BoxHeading1"/>
            </w:pPr>
            <w:r w:rsidRPr="007B1E73">
              <w:t>Contacts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Description w:val="Table used for design layout"/>
            </w:tblPr>
            <w:tblGrid>
              <w:gridCol w:w="3522"/>
              <w:gridCol w:w="2268"/>
              <w:gridCol w:w="2682"/>
            </w:tblGrid>
            <w:tr w:rsidR="00264B16" w:rsidRPr="007B1E73" w14:paraId="187304D9" w14:textId="77777777" w:rsidTr="001E4D46">
              <w:trPr>
                <w:tblHeader/>
              </w:trPr>
              <w:tc>
                <w:tcPr>
                  <w:tcW w:w="3522" w:type="dxa"/>
                  <w:tcMar>
                    <w:left w:w="0" w:type="dxa"/>
                  </w:tcMar>
                </w:tcPr>
                <w:p w14:paraId="44CF2EA3" w14:textId="77777777" w:rsidR="00264B16" w:rsidRPr="007B1E73" w:rsidRDefault="00264B16" w:rsidP="00415F39">
                  <w:pPr>
                    <w:pStyle w:val="Box"/>
                  </w:pPr>
                  <w:r w:rsidRPr="007B1E73">
                    <w:t>Administrative matters:</w:t>
                  </w:r>
                </w:p>
              </w:tc>
              <w:tc>
                <w:tcPr>
                  <w:tcW w:w="2268" w:type="dxa"/>
                </w:tcPr>
                <w:p w14:paraId="5B3D0EE3" w14:textId="13BF463A" w:rsidR="00264B16" w:rsidRPr="007B1E73" w:rsidRDefault="00264B16" w:rsidP="00415F39">
                  <w:pPr>
                    <w:pStyle w:val="Box"/>
                  </w:pPr>
                  <w:r w:rsidRPr="007B1E73">
                    <w:t>Yvette Goss</w:t>
                  </w:r>
                </w:p>
              </w:tc>
              <w:tc>
                <w:tcPr>
                  <w:tcW w:w="2682" w:type="dxa"/>
                </w:tcPr>
                <w:p w14:paraId="5070F4FA" w14:textId="135876FB" w:rsidR="00264B16" w:rsidRPr="007B1E73" w:rsidRDefault="00264B16" w:rsidP="00415F39">
                  <w:pPr>
                    <w:pStyle w:val="Box"/>
                  </w:pPr>
                  <w:r w:rsidRPr="007B1E73">
                    <w:t>Ph: 03 9653 2253</w:t>
                  </w:r>
                </w:p>
              </w:tc>
            </w:tr>
            <w:tr w:rsidR="00264B16" w:rsidRPr="007B1E73" w14:paraId="2FF3C360" w14:textId="77777777" w:rsidTr="00EC0A05">
              <w:tc>
                <w:tcPr>
                  <w:tcW w:w="3522" w:type="dxa"/>
                  <w:tcMar>
                    <w:left w:w="0" w:type="dxa"/>
                  </w:tcMar>
                </w:tcPr>
                <w:p w14:paraId="0F8DAD23" w14:textId="77777777" w:rsidR="00264B16" w:rsidRPr="007B1E73" w:rsidRDefault="00264B16" w:rsidP="00DB2AE0">
                  <w:pPr>
                    <w:pStyle w:val="Box"/>
                    <w:spacing w:before="60"/>
                  </w:pPr>
                  <w:r w:rsidRPr="007B1E73">
                    <w:t>Other matters:</w:t>
                  </w:r>
                </w:p>
              </w:tc>
              <w:tc>
                <w:tcPr>
                  <w:tcW w:w="2268" w:type="dxa"/>
                </w:tcPr>
                <w:p w14:paraId="4937C2F3" w14:textId="7C9829CE" w:rsidR="00264B16" w:rsidRPr="007B1E73" w:rsidRDefault="00264B16" w:rsidP="00DB2AE0">
                  <w:pPr>
                    <w:pStyle w:val="Box"/>
                    <w:spacing w:before="60"/>
                  </w:pPr>
                  <w:r w:rsidRPr="007B1E73">
                    <w:t>Mary Cavar</w:t>
                  </w:r>
                </w:p>
              </w:tc>
              <w:tc>
                <w:tcPr>
                  <w:tcW w:w="2682" w:type="dxa"/>
                </w:tcPr>
                <w:p w14:paraId="7B3EB6B2" w14:textId="3F2E75DC" w:rsidR="00264B16" w:rsidRPr="007B1E73" w:rsidRDefault="00264B16" w:rsidP="00DB2AE0">
                  <w:pPr>
                    <w:pStyle w:val="Box"/>
                    <w:spacing w:before="60"/>
                  </w:pPr>
                  <w:r w:rsidRPr="007B1E73">
                    <w:t>Ph: 03 9653 2187</w:t>
                  </w:r>
                </w:p>
              </w:tc>
            </w:tr>
            <w:tr w:rsidR="009F3E26" w:rsidRPr="007B1E73" w14:paraId="64346F3E" w14:textId="77777777" w:rsidTr="00EC0A05">
              <w:tc>
                <w:tcPr>
                  <w:tcW w:w="3522" w:type="dxa"/>
                  <w:tcMar>
                    <w:left w:w="0" w:type="dxa"/>
                  </w:tcMar>
                </w:tcPr>
                <w:p w14:paraId="359B0554" w14:textId="77777777" w:rsidR="009F3E26" w:rsidRPr="007B1E73" w:rsidRDefault="009F3E26" w:rsidP="00DB2AE0">
                  <w:pPr>
                    <w:pStyle w:val="Box"/>
                    <w:spacing w:before="60"/>
                  </w:pPr>
                  <w:r w:rsidRPr="007B1E73">
                    <w:t>Freecall number for regional areas:</w:t>
                  </w:r>
                </w:p>
              </w:tc>
              <w:tc>
                <w:tcPr>
                  <w:tcW w:w="2268" w:type="dxa"/>
                </w:tcPr>
                <w:p w14:paraId="17283DFC" w14:textId="77777777" w:rsidR="009F3E26" w:rsidRPr="007B1E73" w:rsidRDefault="009F3E26" w:rsidP="00DB2AE0">
                  <w:pPr>
                    <w:pStyle w:val="Box"/>
                    <w:spacing w:before="60"/>
                  </w:pPr>
                  <w:r w:rsidRPr="007B1E73">
                    <w:t>1800 020 083</w:t>
                  </w:r>
                </w:p>
              </w:tc>
              <w:tc>
                <w:tcPr>
                  <w:tcW w:w="2682" w:type="dxa"/>
                </w:tcPr>
                <w:p w14:paraId="7DDEB78C" w14:textId="77777777" w:rsidR="009F3E26" w:rsidRPr="007B1E73" w:rsidRDefault="009F3E26" w:rsidP="00DB2AE0">
                  <w:pPr>
                    <w:pStyle w:val="Box"/>
                    <w:spacing w:before="60"/>
                  </w:pPr>
                </w:p>
              </w:tc>
            </w:tr>
            <w:tr w:rsidR="009F3E26" w:rsidRPr="007B1E73" w14:paraId="797C9341" w14:textId="77777777" w:rsidTr="00EC0A05">
              <w:tc>
                <w:tcPr>
                  <w:tcW w:w="3522" w:type="dxa"/>
                  <w:tcMar>
                    <w:left w:w="0" w:type="dxa"/>
                  </w:tcMar>
                </w:tcPr>
                <w:p w14:paraId="4A9C8141" w14:textId="77777777" w:rsidR="009F3E26" w:rsidRPr="007B1E73" w:rsidRDefault="009F3E26" w:rsidP="00DB2AE0">
                  <w:pPr>
                    <w:pStyle w:val="Box"/>
                    <w:spacing w:before="60"/>
                  </w:pPr>
                  <w:r w:rsidRPr="007B1E73">
                    <w:t>Website</w:t>
                  </w:r>
                  <w:r w:rsidR="00FB20A0" w:rsidRPr="007B1E73">
                    <w:t>:</w:t>
                  </w:r>
                </w:p>
              </w:tc>
              <w:tc>
                <w:tcPr>
                  <w:tcW w:w="2268" w:type="dxa"/>
                </w:tcPr>
                <w:p w14:paraId="71176B62" w14:textId="77777777" w:rsidR="009F3E26" w:rsidRPr="007B1E73" w:rsidRDefault="009F3E26" w:rsidP="00DB2AE0">
                  <w:pPr>
                    <w:pStyle w:val="Box"/>
                    <w:spacing w:before="60"/>
                    <w:rPr>
                      <w:b/>
                    </w:rPr>
                  </w:pPr>
                  <w:r w:rsidRPr="007B1E73">
                    <w:rPr>
                      <w:b/>
                    </w:rPr>
                    <w:t>www.pc.gov.au</w:t>
                  </w:r>
                </w:p>
              </w:tc>
              <w:tc>
                <w:tcPr>
                  <w:tcW w:w="2682" w:type="dxa"/>
                </w:tcPr>
                <w:p w14:paraId="2A7F8776" w14:textId="77777777" w:rsidR="009F3E26" w:rsidRPr="007B1E73" w:rsidRDefault="009F3E26" w:rsidP="00DB2AE0">
                  <w:pPr>
                    <w:pStyle w:val="Box"/>
                    <w:spacing w:before="60"/>
                  </w:pPr>
                </w:p>
              </w:tc>
            </w:tr>
          </w:tbl>
          <w:p w14:paraId="3B2A1934" w14:textId="77777777" w:rsidR="00415F39" w:rsidRPr="007B1E73" w:rsidRDefault="00415F39" w:rsidP="009F3E26">
            <w:pPr>
              <w:pStyle w:val="Box"/>
            </w:pPr>
          </w:p>
        </w:tc>
      </w:tr>
      <w:tr w:rsidR="00415F39" w:rsidRPr="007B1E73" w14:paraId="0FD1AC42" w14:textId="77777777" w:rsidTr="001E4D46">
        <w:tc>
          <w:tcPr>
            <w:tcW w:w="8771" w:type="dxa"/>
            <w:tcBorders>
              <w:top w:val="nil"/>
              <w:left w:val="nil"/>
              <w:bottom w:val="single" w:sz="6" w:space="0" w:color="78A22F"/>
              <w:right w:val="nil"/>
            </w:tcBorders>
            <w:shd w:val="clear" w:color="auto" w:fill="F2F2F2" w:themeFill="background1" w:themeFillShade="F2"/>
          </w:tcPr>
          <w:p w14:paraId="2F66A4EC" w14:textId="77777777" w:rsidR="00415F39" w:rsidRPr="007B1E73" w:rsidRDefault="00415F39" w:rsidP="00775E4D">
            <w:pPr>
              <w:pStyle w:val="Box"/>
              <w:spacing w:before="0" w:line="120" w:lineRule="exact"/>
            </w:pPr>
          </w:p>
        </w:tc>
      </w:tr>
    </w:tbl>
    <w:p w14:paraId="79CA0E21" w14:textId="77777777" w:rsidR="00415F39" w:rsidRPr="007B1E73" w:rsidRDefault="00415F39" w:rsidP="00415F39">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w:tblPr>
      <w:tblGrid>
        <w:gridCol w:w="8771"/>
      </w:tblGrid>
      <w:tr w:rsidR="00415F39" w:rsidRPr="007B1E73" w14:paraId="57DF18CA" w14:textId="77777777" w:rsidTr="001E4D46">
        <w:trPr>
          <w:tblHeader/>
        </w:trPr>
        <w:tc>
          <w:tcPr>
            <w:tcW w:w="8771" w:type="dxa"/>
            <w:tcBorders>
              <w:top w:val="single" w:sz="6" w:space="0" w:color="78A22F"/>
              <w:left w:val="nil"/>
              <w:bottom w:val="nil"/>
              <w:right w:val="nil"/>
            </w:tcBorders>
            <w:shd w:val="clear" w:color="auto" w:fill="F2F2F2" w:themeFill="background1" w:themeFillShade="F2"/>
          </w:tcPr>
          <w:p w14:paraId="578D03FE" w14:textId="77777777" w:rsidR="00415F39" w:rsidRPr="007B1E73" w:rsidRDefault="00415F39" w:rsidP="00775E4D">
            <w:pPr>
              <w:pStyle w:val="BoxTitle"/>
              <w:rPr>
                <w:sz w:val="22"/>
                <w:szCs w:val="22"/>
              </w:rPr>
            </w:pPr>
            <w:r w:rsidRPr="007B1E73">
              <w:rPr>
                <w:sz w:val="22"/>
                <w:szCs w:val="22"/>
              </w:rPr>
              <w:t>The Productivity Commission</w:t>
            </w:r>
          </w:p>
        </w:tc>
      </w:tr>
      <w:tr w:rsidR="00415F39" w:rsidRPr="007B1E73" w14:paraId="2F80BAFA" w14:textId="77777777" w:rsidTr="00775E4D">
        <w:trPr>
          <w:cantSplit/>
        </w:trPr>
        <w:tc>
          <w:tcPr>
            <w:tcW w:w="8771" w:type="dxa"/>
            <w:tcBorders>
              <w:top w:val="nil"/>
              <w:left w:val="nil"/>
              <w:bottom w:val="nil"/>
              <w:right w:val="nil"/>
            </w:tcBorders>
            <w:shd w:val="clear" w:color="auto" w:fill="F2F2F2" w:themeFill="background1" w:themeFillShade="F2"/>
          </w:tcPr>
          <w:p w14:paraId="24C6DE58" w14:textId="77777777" w:rsidR="00415F39" w:rsidRPr="007B1E73" w:rsidRDefault="00415F39" w:rsidP="00775E4D">
            <w:pPr>
              <w:pStyle w:val="Box"/>
            </w:pPr>
            <w:r w:rsidRPr="007B1E73">
              <w:t>The Productivity Commission is the Australian Government’s independent research and advisory body on a range of economic, social and environmental issues affecting the welfare of Australians. Its role, expressed most simply, is to help governments make better policies, in the long term interest of the Australian community.</w:t>
            </w:r>
          </w:p>
          <w:p w14:paraId="7C4C8B17" w14:textId="77777777" w:rsidR="00415F39" w:rsidRPr="007B1E73" w:rsidRDefault="00415F39" w:rsidP="00775E4D">
            <w:pPr>
              <w:pStyle w:val="Box"/>
            </w:pPr>
            <w:r w:rsidRPr="007B1E73">
              <w:t>The Commission’s independence is underpinned by an Act of Parliament. Its processes and outputs are open to public scrutiny and are driven by concern for the wellbeing of the community as a whole.</w:t>
            </w:r>
          </w:p>
          <w:p w14:paraId="1F80E93E" w14:textId="77777777" w:rsidR="00415F39" w:rsidRPr="007B1E73" w:rsidRDefault="00415F39" w:rsidP="00775E4D">
            <w:pPr>
              <w:pStyle w:val="Box"/>
            </w:pPr>
            <w:r w:rsidRPr="007B1E73">
              <w:rPr>
                <w:szCs w:val="24"/>
              </w:rPr>
              <w:t>Further information on the Productivity Commission can be obtained from the Commission’s website (www.pc.gov.au).</w:t>
            </w:r>
          </w:p>
        </w:tc>
      </w:tr>
      <w:tr w:rsidR="00415F39" w:rsidRPr="007B1E73" w14:paraId="0F2FE4E4" w14:textId="77777777" w:rsidTr="00775E4D">
        <w:trPr>
          <w:cantSplit/>
        </w:trPr>
        <w:tc>
          <w:tcPr>
            <w:tcW w:w="8771" w:type="dxa"/>
            <w:tcBorders>
              <w:top w:val="nil"/>
              <w:left w:val="nil"/>
              <w:bottom w:val="single" w:sz="6" w:space="0" w:color="78A22F"/>
              <w:right w:val="nil"/>
            </w:tcBorders>
            <w:shd w:val="clear" w:color="auto" w:fill="F2F2F2" w:themeFill="background1" w:themeFillShade="F2"/>
          </w:tcPr>
          <w:p w14:paraId="7891DF49" w14:textId="77777777" w:rsidR="00415F39" w:rsidRPr="007B1E73" w:rsidRDefault="00415F39" w:rsidP="00775E4D">
            <w:pPr>
              <w:pStyle w:val="Box"/>
              <w:spacing w:before="0" w:line="120" w:lineRule="exact"/>
            </w:pPr>
          </w:p>
        </w:tc>
      </w:tr>
    </w:tbl>
    <w:p w14:paraId="3B6CAB90" w14:textId="77777777" w:rsidR="00EC0A05" w:rsidRPr="007B1E73" w:rsidRDefault="00EC0A05" w:rsidP="00EC0A05">
      <w:pPr>
        <w:pStyle w:val="BodyText"/>
      </w:pPr>
    </w:p>
    <w:p w14:paraId="52FE77A5" w14:textId="77777777" w:rsidR="00EC0A05" w:rsidRPr="007B1E73" w:rsidRDefault="00EC0A05" w:rsidP="00EC0A05">
      <w:pPr>
        <w:pStyle w:val="BodyText"/>
        <w:sectPr w:rsidR="00EC0A05" w:rsidRPr="007B1E73" w:rsidSect="00DA3EB4">
          <w:headerReference w:type="default" r:id="rId15"/>
          <w:footerReference w:type="default" r:id="rId16"/>
          <w:type w:val="continuous"/>
          <w:pgSz w:w="11907" w:h="16840" w:code="9"/>
          <w:pgMar w:top="1560" w:right="1304" w:bottom="851" w:left="1814" w:header="1276" w:footer="397" w:gutter="0"/>
          <w:pgNumType w:fmt="lowerRoman" w:chapSep="period"/>
          <w:cols w:space="720"/>
          <w:titlePg/>
        </w:sectPr>
      </w:pPr>
    </w:p>
    <w:p w14:paraId="0740E7F6" w14:textId="77777777" w:rsidR="00EC0A05" w:rsidRPr="007B1E73" w:rsidRDefault="00EC0A05" w:rsidP="00637BA8">
      <w:pPr>
        <w:pStyle w:val="Heading2"/>
        <w:spacing w:before="0"/>
      </w:pPr>
      <w:r w:rsidRPr="007B1E73">
        <w:lastRenderedPageBreak/>
        <w:t>Terms of reference</w:t>
      </w:r>
    </w:p>
    <w:p w14:paraId="6C86D336" w14:textId="77777777" w:rsidR="00264B16" w:rsidRPr="007B1E73" w:rsidRDefault="00264B16" w:rsidP="00264B16">
      <w:pPr>
        <w:pStyle w:val="BodyText"/>
        <w:jc w:val="center"/>
      </w:pPr>
      <w:r w:rsidRPr="007B1E73">
        <w:rPr>
          <w:b/>
          <w:bCs/>
          <w:sz w:val="23"/>
          <w:szCs w:val="23"/>
        </w:rPr>
        <w:t>EFFICIENCY AND COMPETITIVENESS OF THE SUPERANNUATION SYSTEM</w:t>
      </w:r>
    </w:p>
    <w:p w14:paraId="0B61C14C" w14:textId="77777777" w:rsidR="00264B16" w:rsidRPr="007B1E73" w:rsidRDefault="00264B16" w:rsidP="00264B16">
      <w:pPr>
        <w:pStyle w:val="BodyText"/>
        <w:rPr>
          <w:lang w:eastAsia="en-US"/>
        </w:rPr>
      </w:pPr>
      <w:r w:rsidRPr="007B1E73">
        <w:rPr>
          <w:lang w:eastAsia="en-US"/>
        </w:rPr>
        <w:t>I, Scott Morrison, Treasurer, pursuant to Parts 2, 3 and 4 of the Productivity Commission Act 1998, hereby request that the Productivity Commission conduct: a study to develop criteria to assess the efficiency and competitiveness of the superannuation system; and an inquiry to develop alternative models for a formal competitive process for allocating default fund members to products.</w:t>
      </w:r>
    </w:p>
    <w:p w14:paraId="40412BB2" w14:textId="77777777" w:rsidR="00264B16" w:rsidRPr="007B1E73" w:rsidRDefault="00264B16" w:rsidP="00264B16">
      <w:pPr>
        <w:pStyle w:val="Heading3"/>
      </w:pPr>
      <w:r w:rsidRPr="007B1E73">
        <w:t>Background</w:t>
      </w:r>
    </w:p>
    <w:p w14:paraId="1F361027" w14:textId="77777777" w:rsidR="00264B16" w:rsidRPr="007B1E73" w:rsidRDefault="00264B16" w:rsidP="00264B16">
      <w:pPr>
        <w:pStyle w:val="BodyText"/>
        <w:rPr>
          <w:lang w:eastAsia="en-US"/>
        </w:rPr>
      </w:pPr>
      <w:r w:rsidRPr="007B1E73">
        <w:rPr>
          <w:lang w:eastAsia="en-US"/>
        </w:rPr>
        <w:t>An efficient superannuation system is critical to help Australia meet the economic and fiscal challenges of an ageing population. The superannuation system has accumulated over $2 trillion in assets. Given the system’s size and growth, the system is of central importance to funding the economy and delivering retirement incomes.</w:t>
      </w:r>
    </w:p>
    <w:p w14:paraId="78165C64" w14:textId="46B3549E" w:rsidR="00264B16" w:rsidRPr="007B1E73" w:rsidRDefault="00264B16" w:rsidP="00264B16">
      <w:pPr>
        <w:pStyle w:val="BodyText"/>
        <w:rPr>
          <w:lang w:eastAsia="en-US"/>
        </w:rPr>
      </w:pPr>
      <w:r w:rsidRPr="007B1E73">
        <w:rPr>
          <w:lang w:eastAsia="en-US"/>
        </w:rPr>
        <w:t>MySuper has been a strong step in the right direction but more needs to be done to reduce fees and improve after</w:t>
      </w:r>
      <w:r w:rsidR="0042199C">
        <w:rPr>
          <w:lang w:eastAsia="en-US"/>
        </w:rPr>
        <w:noBreakHyphen/>
      </w:r>
      <w:r w:rsidRPr="007B1E73">
        <w:rPr>
          <w:lang w:eastAsia="en-US"/>
        </w:rPr>
        <w:t>fee returns for fund members. The Financial System Inquiry noted that fees have not fallen by as much as would be expected given the substantial increase in the scale of the superannuation system, a major reason for this being the absence of consumer</w:t>
      </w:r>
      <w:r w:rsidR="0042199C">
        <w:rPr>
          <w:lang w:eastAsia="en-US"/>
        </w:rPr>
        <w:noBreakHyphen/>
      </w:r>
      <w:r w:rsidRPr="007B1E73">
        <w:rPr>
          <w:lang w:eastAsia="en-US"/>
        </w:rPr>
        <w:t>driven competition, particularly in the default fund market.</w:t>
      </w:r>
    </w:p>
    <w:p w14:paraId="0CE35953" w14:textId="77777777" w:rsidR="00264B16" w:rsidRPr="007B1E73" w:rsidRDefault="00264B16" w:rsidP="00264B16">
      <w:pPr>
        <w:pStyle w:val="BodyText"/>
        <w:rPr>
          <w:lang w:eastAsia="en-US"/>
        </w:rPr>
      </w:pPr>
      <w:r w:rsidRPr="007B1E73">
        <w:rPr>
          <w:lang w:eastAsia="en-US"/>
        </w:rPr>
        <w:t>These Terms of Reference follow from the Government’s response to Financial System Inquiry Recommendation 10 on efficiency in superannuation. The Government committed to tasking the Productivity Commission to develop and release criteria to assess the efficiency and competitiveness of the superannuation system, including the choice and default markets and to develop alternative models for allocating default fund members to products.</w:t>
      </w:r>
    </w:p>
    <w:p w14:paraId="08E67556" w14:textId="77777777" w:rsidR="00264B16" w:rsidRPr="007B1E73" w:rsidRDefault="00264B16" w:rsidP="00264B16">
      <w:pPr>
        <w:pStyle w:val="BodyText"/>
        <w:rPr>
          <w:lang w:eastAsia="en-US"/>
        </w:rPr>
      </w:pPr>
      <w:r w:rsidRPr="007B1E73">
        <w:rPr>
          <w:lang w:eastAsia="en-US"/>
        </w:rPr>
        <w:t>This work will inform a review of the efficiency and competitiveness of the superannuation system, which the Productivity Commission will be asked to undertake following the full implementation of the MySuper reforms (after 1 July 2017).</w:t>
      </w:r>
      <w:r w:rsidRPr="007B1E73" w:rsidDel="007579EB">
        <w:rPr>
          <w:lang w:eastAsia="en-US"/>
        </w:rPr>
        <w:t xml:space="preserve"> </w:t>
      </w:r>
    </w:p>
    <w:p w14:paraId="0C300FDB" w14:textId="77777777" w:rsidR="00264B16" w:rsidRPr="007B1E73" w:rsidRDefault="00264B16" w:rsidP="00264B16">
      <w:pPr>
        <w:pStyle w:val="Heading3"/>
      </w:pPr>
      <w:r w:rsidRPr="007B1E73">
        <w:t>Process</w:t>
      </w:r>
    </w:p>
    <w:p w14:paraId="2ADCED19" w14:textId="77777777" w:rsidR="00264B16" w:rsidRPr="007B1E73" w:rsidRDefault="00264B16" w:rsidP="00264B16">
      <w:pPr>
        <w:pStyle w:val="BodyText"/>
        <w:rPr>
          <w:lang w:eastAsia="en-US"/>
        </w:rPr>
      </w:pPr>
      <w:r w:rsidRPr="007B1E73">
        <w:rPr>
          <w:lang w:eastAsia="en-US"/>
        </w:rPr>
        <w:t>The Productivity Commission is to develop criteria to assess the efficiency and competitiveness of the superannuation system and release the criteria within nine months of receiving these Terms of Reference. The release of these criteria is intended to provide transparency and certainty to the superannuation industry about how it will be assessed ahead of the full implementation of MySuper.</w:t>
      </w:r>
    </w:p>
    <w:p w14:paraId="788095D2" w14:textId="77777777" w:rsidR="00264B16" w:rsidRPr="007B1E73" w:rsidRDefault="00264B16" w:rsidP="00264B16">
      <w:pPr>
        <w:pStyle w:val="BodyText"/>
        <w:rPr>
          <w:lang w:eastAsia="en-US"/>
        </w:rPr>
      </w:pPr>
      <w:r w:rsidRPr="007B1E73">
        <w:rPr>
          <w:lang w:eastAsia="en-US"/>
        </w:rPr>
        <w:t>The Productivity Commission is to develop alternative models for a formal competitive process for allocating default fund members to products. In developing alternative models, the Productivity Commission should be informed by the criteria it develops to assess the efficiency and competitiveness of the superannuation system. The Productivity Commission should report on alternative models within 18 months of receiving these Terms of Reference.</w:t>
      </w:r>
    </w:p>
    <w:p w14:paraId="78008CE6" w14:textId="77777777" w:rsidR="00264B16" w:rsidRPr="007B1E73" w:rsidRDefault="00264B16" w:rsidP="00264B16">
      <w:pPr>
        <w:pStyle w:val="BodyText"/>
        <w:rPr>
          <w:lang w:eastAsia="en-US"/>
        </w:rPr>
      </w:pPr>
      <w:r w:rsidRPr="007B1E73">
        <w:rPr>
          <w:lang w:eastAsia="en-US"/>
        </w:rPr>
        <w:t>For both elements, the Productivity Commission should consult widely and undertake appropriate public consultation processes, including inviting public submissions and conducting industry roundtables. The Productivity Commission is to provide both draft and final reports and the reports will be published.</w:t>
      </w:r>
    </w:p>
    <w:p w14:paraId="482A5E3F" w14:textId="77777777" w:rsidR="00264B16" w:rsidRPr="007B1E73" w:rsidRDefault="00264B16" w:rsidP="00264B16">
      <w:pPr>
        <w:pStyle w:val="Heading4"/>
      </w:pPr>
      <w:r w:rsidRPr="007B1E73">
        <w:t>Scope of study: development of criteria to assess efficiency of super system</w:t>
      </w:r>
    </w:p>
    <w:p w14:paraId="1C6E791F" w14:textId="77777777" w:rsidR="00264B16" w:rsidRPr="007B1E73" w:rsidRDefault="00264B16" w:rsidP="00264B16">
      <w:pPr>
        <w:pStyle w:val="BodyText"/>
        <w:rPr>
          <w:lang w:eastAsia="en-US"/>
        </w:rPr>
      </w:pPr>
      <w:r w:rsidRPr="007B1E73">
        <w:rPr>
          <w:lang w:eastAsia="en-US"/>
        </w:rPr>
        <w:t>The Productivity Commission should develop criteria to assess whether and the extent to which the superannuation system is efficient and competitive and delivers the best outcomes for members and retirees, including optimising risk</w:t>
      </w:r>
      <w:r w:rsidRPr="007B1E73">
        <w:rPr>
          <w:lang w:eastAsia="en-US"/>
        </w:rPr>
        <w:noBreakHyphen/>
        <w:t>adjusted after fee returns. In determining the criteria to assess the efficiency and competitiveness of the superannuation system, the Productivity Commission may have regard to:</w:t>
      </w:r>
    </w:p>
    <w:p w14:paraId="552952C2" w14:textId="77777777" w:rsidR="00264B16" w:rsidRPr="007B1E73" w:rsidRDefault="00264B16" w:rsidP="00264B16">
      <w:pPr>
        <w:pStyle w:val="ListBullet"/>
      </w:pPr>
      <w:r w:rsidRPr="007B1E73">
        <w:t>operational efficiency, where products and services are delivered in a way that minimises costs and maximises value, which can be enhanced by competition and innovation from new entrants and incumbents;</w:t>
      </w:r>
    </w:p>
    <w:p w14:paraId="2D58B4AB" w14:textId="77777777" w:rsidR="00264B16" w:rsidRPr="007B1E73" w:rsidRDefault="00264B16" w:rsidP="00264B16">
      <w:pPr>
        <w:pStyle w:val="ListBullet"/>
      </w:pPr>
      <w:r w:rsidRPr="007B1E73">
        <w:t>allocative efficiency, where the system allocates resources to the most productive use and optimally allocates risks;</w:t>
      </w:r>
    </w:p>
    <w:p w14:paraId="3F17D5F1" w14:textId="77777777" w:rsidR="00264B16" w:rsidRPr="007B1E73" w:rsidRDefault="00264B16" w:rsidP="00264B16">
      <w:pPr>
        <w:pStyle w:val="ListBullet"/>
      </w:pPr>
      <w:r w:rsidRPr="007B1E73">
        <w:t>dynamic efficiency, including services to members, where the system induces the optimal balance between consumption and saving over time; and</w:t>
      </w:r>
    </w:p>
    <w:p w14:paraId="107765E1" w14:textId="77777777" w:rsidR="00264B16" w:rsidRPr="007B1E73" w:rsidRDefault="00264B16" w:rsidP="00264B16">
      <w:pPr>
        <w:pStyle w:val="ListBullet"/>
        <w:rPr>
          <w:lang w:eastAsia="en-US"/>
        </w:rPr>
      </w:pPr>
      <w:r w:rsidRPr="007B1E73">
        <w:t>the extent to which the system encourages optimal behaviour on the part of consumers, including consideration of the learnings from behavioural finance.</w:t>
      </w:r>
    </w:p>
    <w:p w14:paraId="4F8C2EB8" w14:textId="77777777" w:rsidR="00264B16" w:rsidRPr="007B1E73" w:rsidRDefault="00264B16" w:rsidP="00264B16">
      <w:pPr>
        <w:pStyle w:val="BodyText"/>
        <w:rPr>
          <w:lang w:eastAsia="en-US"/>
        </w:rPr>
      </w:pPr>
      <w:r w:rsidRPr="007B1E73">
        <w:rPr>
          <w:lang w:eastAsia="en-US"/>
        </w:rPr>
        <w:t>The Productivity Commission should consider the nature of competition in the superannuation industry, the effect of government policy and regulation on the competitiveness and efficiency of the system and relevant international experience.</w:t>
      </w:r>
    </w:p>
    <w:p w14:paraId="4FE93BB5" w14:textId="77777777" w:rsidR="00264B16" w:rsidRPr="007B1E73" w:rsidRDefault="00264B16" w:rsidP="00264B16">
      <w:pPr>
        <w:pStyle w:val="Heading4"/>
      </w:pPr>
      <w:r w:rsidRPr="007B1E73">
        <w:t>Scope of inquiry: development of alternative models</w:t>
      </w:r>
    </w:p>
    <w:p w14:paraId="41A47A0D" w14:textId="77777777" w:rsidR="00264B16" w:rsidRPr="007B1E73" w:rsidRDefault="00264B16" w:rsidP="00264B16">
      <w:pPr>
        <w:pStyle w:val="BodyText"/>
        <w:rPr>
          <w:lang w:eastAsia="en-US"/>
        </w:rPr>
      </w:pPr>
      <w:r w:rsidRPr="007B1E73">
        <w:rPr>
          <w:lang w:eastAsia="en-US"/>
        </w:rPr>
        <w:t>The Productivity Commission is to examine alternative models for a formal competitive process for allocating default fund members in the superannuation system to products and to develop a workable model, or models, that could be implemented by Government if a new model for allocating default fund members to products is desirable. These model(s) would provide viable alternatives for the Government’s consideration, depending on the outcomes of the review of the efficiency and competitiveness of the superannuation system, which the Productivity Commission will be asked to undertake following the full implementation of the MySuper reforms.</w:t>
      </w:r>
    </w:p>
    <w:p w14:paraId="5DEB22C2" w14:textId="77777777" w:rsidR="00264B16" w:rsidRPr="007B1E73" w:rsidRDefault="00264B16" w:rsidP="00264B16">
      <w:pPr>
        <w:pStyle w:val="BodyText"/>
        <w:rPr>
          <w:lang w:eastAsia="en-US"/>
        </w:rPr>
      </w:pPr>
      <w:r w:rsidRPr="007B1E73">
        <w:rPr>
          <w:lang w:eastAsia="en-US"/>
        </w:rPr>
        <w:t>The developed model(s) should enhance efficiency in the superannuation system in order to improve retirement incomes, including through optimising long</w:t>
      </w:r>
      <w:r w:rsidRPr="007B1E73">
        <w:rPr>
          <w:lang w:eastAsia="en-US"/>
        </w:rPr>
        <w:noBreakHyphen/>
        <w:t>term net returns to members, and build trust and confidence in funds regulated by the Australian Prudential Regulation Authority (APRA). The models developed should consider default fund selection across the superannuation system as a whole.</w:t>
      </w:r>
    </w:p>
    <w:p w14:paraId="20A144BF" w14:textId="77777777" w:rsidR="00264B16" w:rsidRPr="007B1E73" w:rsidRDefault="00264B16" w:rsidP="00264B16">
      <w:pPr>
        <w:pStyle w:val="BodyText"/>
        <w:rPr>
          <w:lang w:eastAsia="en-US"/>
        </w:rPr>
      </w:pPr>
      <w:r w:rsidRPr="007B1E73">
        <w:rPr>
          <w:lang w:eastAsia="en-US"/>
        </w:rPr>
        <w:t>The Productivity Commission may consider auction, tender and other types of competitive processes. The Productivity Commission should consider the merits of different approaches, the metrics for conducting them and their frequency. This should include consideration of:</w:t>
      </w:r>
    </w:p>
    <w:p w14:paraId="65D705D0" w14:textId="77777777" w:rsidR="00264B16" w:rsidRPr="007B1E73" w:rsidRDefault="00264B16" w:rsidP="00264B16">
      <w:pPr>
        <w:pStyle w:val="ListBullet"/>
      </w:pPr>
      <w:r w:rsidRPr="007B1E73">
        <w:t>the strengths and weaknesses of competitive processes used internationally, such as Chile, New Zealand and Sweden, as well as those used in large corporate tenders by the Northern Territory Government and in other jurisdictions;</w:t>
      </w:r>
    </w:p>
    <w:p w14:paraId="0506DFC5" w14:textId="77777777" w:rsidR="00264B16" w:rsidRPr="007B1E73" w:rsidRDefault="00264B16" w:rsidP="00264B16">
      <w:pPr>
        <w:pStyle w:val="ListBullet"/>
      </w:pPr>
      <w:r w:rsidRPr="007B1E73">
        <w:t>the costs and benefits of different mechanisms, including:</w:t>
      </w:r>
    </w:p>
    <w:p w14:paraId="73C34EEC" w14:textId="77777777" w:rsidR="00264B16" w:rsidRPr="007B1E73" w:rsidRDefault="00264B16" w:rsidP="00264B16">
      <w:pPr>
        <w:pStyle w:val="ListBullet2"/>
      </w:pPr>
      <w:r w:rsidRPr="007B1E73">
        <w:t>optimising long</w:t>
      </w:r>
      <w:r w:rsidRPr="007B1E73">
        <w:noBreakHyphen/>
        <w:t>term after fee returns;</w:t>
      </w:r>
    </w:p>
    <w:p w14:paraId="26B7A314" w14:textId="77777777" w:rsidR="00264B16" w:rsidRPr="007B1E73" w:rsidRDefault="00264B16" w:rsidP="00264B16">
      <w:pPr>
        <w:pStyle w:val="ListBullet2"/>
      </w:pPr>
      <w:r w:rsidRPr="007B1E73">
        <w:t>the administrative, fiscal, individual and complexity costs;</w:t>
      </w:r>
    </w:p>
    <w:p w14:paraId="6DF80CF5" w14:textId="77777777" w:rsidR="00264B16" w:rsidRPr="007B1E73" w:rsidRDefault="00264B16" w:rsidP="00264B16">
      <w:pPr>
        <w:pStyle w:val="ListBullet"/>
      </w:pPr>
      <w:r w:rsidRPr="007B1E73">
        <w:t>and in examining different processes, consider:</w:t>
      </w:r>
    </w:p>
    <w:p w14:paraId="6015F2E9" w14:textId="77777777" w:rsidR="00264B16" w:rsidRPr="007B1E73" w:rsidRDefault="00264B16" w:rsidP="00264B16">
      <w:pPr>
        <w:pStyle w:val="ListBullet2"/>
      </w:pPr>
      <w:r w:rsidRPr="007B1E73">
        <w:t>the robustness of the process, including against gaming and collusion;</w:t>
      </w:r>
    </w:p>
    <w:p w14:paraId="4514C1AA" w14:textId="77777777" w:rsidR="00264B16" w:rsidRPr="007B1E73" w:rsidRDefault="00264B16" w:rsidP="00264B16">
      <w:pPr>
        <w:pStyle w:val="ListBullet2"/>
      </w:pPr>
      <w:r w:rsidRPr="007B1E73">
        <w:t>whether the structure achieves efficient outcomes and facilitates ongoing innovation over the long run;</w:t>
      </w:r>
    </w:p>
    <w:p w14:paraId="48567B9C" w14:textId="77777777" w:rsidR="00264B16" w:rsidRPr="007B1E73" w:rsidRDefault="00264B16" w:rsidP="00264B16">
      <w:pPr>
        <w:pStyle w:val="ListBullet2"/>
      </w:pPr>
      <w:r w:rsidRPr="007B1E73">
        <w:t>the effect on system stability and market concentration;</w:t>
      </w:r>
    </w:p>
    <w:p w14:paraId="38D0FC3E" w14:textId="77777777" w:rsidR="00264B16" w:rsidRPr="007B1E73" w:rsidRDefault="00264B16" w:rsidP="00264B16">
      <w:pPr>
        <w:pStyle w:val="ListBullet2"/>
      </w:pPr>
      <w:r w:rsidRPr="007B1E73">
        <w:t>who should run the process; and</w:t>
      </w:r>
    </w:p>
    <w:p w14:paraId="4469B7EE" w14:textId="77777777" w:rsidR="00264B16" w:rsidRPr="007B1E73" w:rsidRDefault="00264B16" w:rsidP="00264B16">
      <w:pPr>
        <w:pStyle w:val="ListBullet2"/>
      </w:pPr>
      <w:r w:rsidRPr="007B1E73">
        <w:t>the extent to which the process promotes the interests of consumers.</w:t>
      </w:r>
    </w:p>
    <w:p w14:paraId="26C20466" w14:textId="77777777" w:rsidR="00264B16" w:rsidRPr="007B1E73" w:rsidRDefault="00264B16" w:rsidP="00264B16">
      <w:pPr>
        <w:pStyle w:val="ListBullet"/>
      </w:pPr>
      <w:r w:rsidRPr="007B1E73">
        <w:t>regulatory impediments to optimal competition under the preferred model(s).</w:t>
      </w:r>
    </w:p>
    <w:p w14:paraId="7C2F75D9" w14:textId="77777777" w:rsidR="00264B16" w:rsidRPr="007B1E73" w:rsidRDefault="00264B16" w:rsidP="00264B16">
      <w:pPr>
        <w:pStyle w:val="BodyText"/>
        <w:rPr>
          <w:lang w:eastAsia="en-US"/>
        </w:rPr>
      </w:pPr>
      <w:r w:rsidRPr="007B1E73">
        <w:rPr>
          <w:lang w:eastAsia="en-US"/>
        </w:rPr>
        <w:t>Principles for designing a model for a competitive process should include:</w:t>
      </w:r>
    </w:p>
    <w:p w14:paraId="43C8F9E5" w14:textId="77777777" w:rsidR="00264B16" w:rsidRPr="007B1E73" w:rsidRDefault="00264B16" w:rsidP="00264B16">
      <w:pPr>
        <w:pStyle w:val="ListBullet"/>
        <w:spacing w:before="240"/>
      </w:pPr>
      <w:r w:rsidRPr="007B1E73">
        <w:rPr>
          <w:b/>
          <w:bCs/>
        </w:rPr>
        <w:t xml:space="preserve">Best interests: </w:t>
      </w:r>
      <w:r w:rsidRPr="007B1E73">
        <w:t>ensure incentive compatibility with meeting the best interests of members, encourage long</w:t>
      </w:r>
      <w:r w:rsidRPr="007B1E73">
        <w:noBreakHyphen/>
        <w:t>term investing, and encourage a focus on expected after</w:t>
      </w:r>
      <w:r w:rsidRPr="007B1E73">
        <w:noBreakHyphen/>
        <w:t>fee returns based on asset allocation and investment strategy.</w:t>
      </w:r>
    </w:p>
    <w:p w14:paraId="1027ADF8" w14:textId="77777777" w:rsidR="00264B16" w:rsidRPr="007B1E73" w:rsidRDefault="00264B16" w:rsidP="00264B16">
      <w:pPr>
        <w:pStyle w:val="ListBullet"/>
      </w:pPr>
      <w:r w:rsidRPr="007B1E73">
        <w:rPr>
          <w:b/>
          <w:bCs/>
        </w:rPr>
        <w:t xml:space="preserve">Competition: </w:t>
      </w:r>
      <w:r w:rsidRPr="007B1E73">
        <w:t>drive pressure on funds to be innovative and efficient, diversify asset allocation and optimise long</w:t>
      </w:r>
      <w:r w:rsidRPr="007B1E73">
        <w:noBreakHyphen/>
        <w:t>term after</w:t>
      </w:r>
      <w:r w:rsidRPr="007B1E73">
        <w:noBreakHyphen/>
        <w:t>fee returns by rewarding best performers. Facilitate new superannuation fund entrants to the market.</w:t>
      </w:r>
    </w:p>
    <w:p w14:paraId="5D49CC86" w14:textId="77777777" w:rsidR="00264B16" w:rsidRPr="007B1E73" w:rsidRDefault="00264B16" w:rsidP="00264B16">
      <w:pPr>
        <w:pStyle w:val="ListBullet"/>
      </w:pPr>
      <w:r w:rsidRPr="007B1E73">
        <w:rPr>
          <w:b/>
          <w:bCs/>
        </w:rPr>
        <w:t xml:space="preserve">Feasibility: </w:t>
      </w:r>
      <w:r w:rsidRPr="007B1E73">
        <w:t>ensure the process is low</w:t>
      </w:r>
      <w:r w:rsidRPr="007B1E73">
        <w:noBreakHyphen/>
        <w:t>cost and easy to administer and minimises regulatory costs on industry, including business and employers.</w:t>
      </w:r>
    </w:p>
    <w:p w14:paraId="73380AD1" w14:textId="77777777" w:rsidR="00264B16" w:rsidRPr="007B1E73" w:rsidRDefault="00264B16" w:rsidP="00264B16">
      <w:pPr>
        <w:pStyle w:val="ListBullet"/>
      </w:pPr>
      <w:r w:rsidRPr="007B1E73">
        <w:rPr>
          <w:b/>
          <w:bCs/>
        </w:rPr>
        <w:t xml:space="preserve">Credibility and transparency: </w:t>
      </w:r>
      <w:r w:rsidRPr="007B1E73">
        <w:t>make relevant information public; avoid room for gaming the process; and ensure metrics are clear, simple, difficult to dispute and difficult to manipulate.</w:t>
      </w:r>
    </w:p>
    <w:p w14:paraId="4803E179" w14:textId="77777777" w:rsidR="00264B16" w:rsidRPr="007B1E73" w:rsidRDefault="00264B16" w:rsidP="00264B16">
      <w:pPr>
        <w:pStyle w:val="ListBullet"/>
      </w:pPr>
      <w:r w:rsidRPr="007B1E73">
        <w:rPr>
          <w:b/>
          <w:bCs/>
        </w:rPr>
        <w:t xml:space="preserve">Regular assessment and accountability: </w:t>
      </w:r>
      <w:r w:rsidRPr="007B1E73">
        <w:t>regularly conduct a repeat process that requires default funds to earn their right to receive new default members, and ensure funds are accountable for the outcomes they deliver members.</w:t>
      </w:r>
    </w:p>
    <w:p w14:paraId="57EDA7DC" w14:textId="77777777" w:rsidR="00264B16" w:rsidRPr="007B1E73" w:rsidRDefault="00264B16" w:rsidP="00264B16">
      <w:pPr>
        <w:pStyle w:val="ListBullet"/>
        <w:rPr>
          <w:lang w:eastAsia="en-US"/>
        </w:rPr>
      </w:pPr>
      <w:r w:rsidRPr="007B1E73">
        <w:rPr>
          <w:b/>
          <w:bCs/>
        </w:rPr>
        <w:t xml:space="preserve">Fiscal implications: </w:t>
      </w:r>
      <w:r w:rsidRPr="007B1E73">
        <w:t>the extent to which the process can reduce reliance on the Age Pension and/or give rise to other risks or costs to Government.</w:t>
      </w:r>
    </w:p>
    <w:p w14:paraId="534D9902" w14:textId="77777777" w:rsidR="00264B16" w:rsidRPr="007B1E73" w:rsidRDefault="00264B16" w:rsidP="00264B16">
      <w:pPr>
        <w:pStyle w:val="BodyText"/>
        <w:rPr>
          <w:lang w:eastAsia="en-US"/>
        </w:rPr>
      </w:pPr>
      <w:r w:rsidRPr="007B1E73">
        <w:rPr>
          <w:lang w:eastAsia="en-US"/>
        </w:rPr>
        <w:t>The Productivity Commission should draw on expertise in the field of competitive models.</w:t>
      </w:r>
    </w:p>
    <w:p w14:paraId="62F3C5C1" w14:textId="77777777" w:rsidR="00264B16" w:rsidRPr="007B1E73" w:rsidRDefault="00264B16" w:rsidP="00264B16">
      <w:pPr>
        <w:pStyle w:val="BodyText"/>
        <w:spacing w:before="480" w:line="0" w:lineRule="atLeast"/>
        <w:rPr>
          <w:lang w:eastAsia="en-US"/>
        </w:rPr>
      </w:pPr>
      <w:r w:rsidRPr="007B1E73">
        <w:rPr>
          <w:lang w:eastAsia="en-US"/>
        </w:rPr>
        <w:t>S. MORRISON</w:t>
      </w:r>
    </w:p>
    <w:p w14:paraId="3CF669C3" w14:textId="77777777" w:rsidR="00264B16" w:rsidRPr="007B1E73" w:rsidRDefault="00264B16" w:rsidP="00264B16">
      <w:pPr>
        <w:pStyle w:val="BodyText"/>
        <w:spacing w:before="0" w:line="0" w:lineRule="atLeast"/>
        <w:rPr>
          <w:lang w:eastAsia="en-US"/>
        </w:rPr>
      </w:pPr>
      <w:r w:rsidRPr="007B1E73">
        <w:rPr>
          <w:lang w:eastAsia="en-US"/>
        </w:rPr>
        <w:t>Treasurer</w:t>
      </w:r>
    </w:p>
    <w:p w14:paraId="54441FDA" w14:textId="77777777" w:rsidR="00264B16" w:rsidRPr="007B1E73" w:rsidRDefault="00264B16" w:rsidP="00264B16">
      <w:pPr>
        <w:pStyle w:val="BodyText"/>
      </w:pPr>
      <w:r w:rsidRPr="007B1E73">
        <w:rPr>
          <w:lang w:eastAsia="en-US"/>
        </w:rPr>
        <w:t>[Received 17 February 2016]</w:t>
      </w:r>
    </w:p>
    <w:p w14:paraId="41BB2C47" w14:textId="0C5B62E5" w:rsidR="00415F39" w:rsidRPr="007B1E73" w:rsidRDefault="00415F39" w:rsidP="00120072">
      <w:pPr>
        <w:pStyle w:val="BodyText"/>
      </w:pPr>
      <w:bookmarkStart w:id="2" w:name="begin"/>
      <w:bookmarkEnd w:id="0"/>
      <w:bookmarkEnd w:id="2"/>
    </w:p>
    <w:p w14:paraId="449E6C12" w14:textId="77777777" w:rsidR="00415F39" w:rsidRPr="007B1E73" w:rsidRDefault="00415F39" w:rsidP="00120072">
      <w:pPr>
        <w:pStyle w:val="BodyText"/>
        <w:sectPr w:rsidR="00415F39" w:rsidRPr="007B1E73" w:rsidSect="008E7834">
          <w:headerReference w:type="even" r:id="rId17"/>
          <w:headerReference w:type="default" r:id="rId18"/>
          <w:footerReference w:type="even" r:id="rId19"/>
          <w:footerReference w:type="default" r:id="rId20"/>
          <w:type w:val="continuous"/>
          <w:pgSz w:w="11907" w:h="16840" w:code="9"/>
          <w:pgMar w:top="1985" w:right="1304" w:bottom="1247" w:left="1814" w:header="1701" w:footer="397" w:gutter="0"/>
          <w:pgNumType w:fmt="lowerRoman" w:start="3" w:chapSep="period"/>
          <w:cols w:space="720"/>
        </w:sectPr>
      </w:pPr>
    </w:p>
    <w:p w14:paraId="0CA4C4EF" w14:textId="1260E572" w:rsidR="00F056FC" w:rsidRPr="004E531E" w:rsidRDefault="006B7840" w:rsidP="00535B43">
      <w:pPr>
        <w:pStyle w:val="Heading2"/>
        <w:spacing w:before="0"/>
      </w:pPr>
      <w:r>
        <w:t>1</w:t>
      </w:r>
      <w:r w:rsidR="00535B43" w:rsidRPr="004E531E">
        <w:tab/>
      </w:r>
      <w:r w:rsidR="00171495" w:rsidRPr="004E531E">
        <w:t>What is this inquiry about?</w:t>
      </w:r>
    </w:p>
    <w:p w14:paraId="5AF90693" w14:textId="10D8DD34" w:rsidR="00D74A49" w:rsidRPr="004E531E" w:rsidRDefault="00D74A49" w:rsidP="00D74A49">
      <w:pPr>
        <w:pStyle w:val="BodyText"/>
      </w:pPr>
      <w:r w:rsidRPr="004E531E">
        <w:t xml:space="preserve">This </w:t>
      </w:r>
      <w:r w:rsidR="00421394" w:rsidRPr="004E531E">
        <w:t>inquiry</w:t>
      </w:r>
      <w:r w:rsidRPr="004E531E">
        <w:t xml:space="preserve"> </w:t>
      </w:r>
      <w:r w:rsidR="00D85169" w:rsidRPr="004E531E">
        <w:t>represents the second of three related pieces of work to be undertaken by the Productivity Commission</w:t>
      </w:r>
      <w:r w:rsidR="00CA5E1A" w:rsidRPr="004E531E">
        <w:t xml:space="preserve"> (figure</w:t>
      </w:r>
      <w:r w:rsidR="0042199C">
        <w:t> </w:t>
      </w:r>
      <w:r w:rsidR="00B40D0A">
        <w:t>1</w:t>
      </w:r>
      <w:r w:rsidR="00CA5E1A" w:rsidRPr="004E531E">
        <w:t>)</w:t>
      </w:r>
      <w:r w:rsidR="00D85169" w:rsidRPr="004E531E">
        <w:t xml:space="preserve"> stemming </w:t>
      </w:r>
      <w:r w:rsidRPr="004E531E">
        <w:t>from the Australian Government’s response to the recommendations of the 2014 Financial System Inquiry (FSI). The FSI found that the superannuation system was not operationally efficient due to a lack of price</w:t>
      </w:r>
      <w:r w:rsidRPr="004E531E">
        <w:noBreakHyphen/>
        <w:t>based competition in the sector</w:t>
      </w:r>
      <w:r w:rsidR="0055656D" w:rsidRPr="004E531E">
        <w:t>.</w:t>
      </w:r>
      <w:r w:rsidR="009165A7" w:rsidRPr="004E531E">
        <w:t xml:space="preserve"> To improve operational efficiency during the accumulation phase of superannuation, the FSI recommended the introduction of ‘a formal competitive process to allocate new default fund members to MySuper products’, unless a review</w:t>
      </w:r>
      <w:r w:rsidR="005C06A0">
        <w:t xml:space="preserve"> by 2020</w:t>
      </w:r>
      <w:r w:rsidR="009165A7" w:rsidRPr="004E531E">
        <w:t xml:space="preserve"> finds such a move would be unnecessary</w:t>
      </w:r>
      <w:r w:rsidR="005C06A0">
        <w:t xml:space="preserve"> </w:t>
      </w:r>
      <w:r w:rsidR="005C06A0" w:rsidRPr="005C06A0">
        <w:rPr>
          <w:szCs w:val="24"/>
        </w:rPr>
        <w:t>(Murray et al. 2014, p. 101)</w:t>
      </w:r>
      <w:r w:rsidR="009165A7" w:rsidRPr="004E531E">
        <w:t>.</w:t>
      </w:r>
    </w:p>
    <w:p w14:paraId="4C04C5A3" w14:textId="497300D4" w:rsidR="00D74A49" w:rsidRPr="0042199C" w:rsidRDefault="00D74A49" w:rsidP="00D74A49">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D74A49" w:rsidRPr="004E531E" w14:paraId="2FACAA43" w14:textId="77777777" w:rsidTr="00D74A49">
        <w:tc>
          <w:tcPr>
            <w:tcW w:w="8771" w:type="dxa"/>
            <w:tcBorders>
              <w:top w:val="single" w:sz="6" w:space="0" w:color="78A22F"/>
              <w:left w:val="nil"/>
              <w:bottom w:val="nil"/>
              <w:right w:val="nil"/>
            </w:tcBorders>
            <w:shd w:val="clear" w:color="auto" w:fill="auto"/>
          </w:tcPr>
          <w:p w14:paraId="6E1ED3B5" w14:textId="76783D5D" w:rsidR="00D74A49" w:rsidRPr="004E531E" w:rsidRDefault="00D74A49" w:rsidP="00CE2A3F">
            <w:pPr>
              <w:pStyle w:val="FigureTitle"/>
            </w:pPr>
            <w:r w:rsidRPr="004E531E">
              <w:rPr>
                <w:b w:val="0"/>
              </w:rPr>
              <w:t xml:space="preserve">Figure </w:t>
            </w:r>
            <w:r w:rsidR="00CE2A3F">
              <w:rPr>
                <w:b w:val="0"/>
              </w:rPr>
              <w:t>1</w:t>
            </w:r>
            <w:r w:rsidRPr="004E531E">
              <w:tab/>
            </w:r>
            <w:r w:rsidR="00976959" w:rsidRPr="004E531E">
              <w:t>Three</w:t>
            </w:r>
            <w:r w:rsidR="0042199C">
              <w:noBreakHyphen/>
            </w:r>
            <w:r w:rsidR="00976959" w:rsidRPr="004E531E">
              <w:t xml:space="preserve">stage superannuation review </w:t>
            </w:r>
          </w:p>
        </w:tc>
      </w:tr>
      <w:tr w:rsidR="00D74A49" w:rsidRPr="004E531E" w14:paraId="76ED1964" w14:textId="77777777" w:rsidTr="00D74A49">
        <w:tc>
          <w:tcPr>
            <w:tcW w:w="8771" w:type="dxa"/>
            <w:tcBorders>
              <w:top w:val="nil"/>
              <w:left w:val="nil"/>
              <w:bottom w:val="nil"/>
              <w:right w:val="nil"/>
            </w:tcBorders>
            <w:shd w:val="clear" w:color="auto" w:fill="auto"/>
            <w:tcMar>
              <w:top w:w="28" w:type="dxa"/>
              <w:bottom w:w="28" w:type="dxa"/>
            </w:tcMar>
          </w:tcPr>
          <w:tbl>
            <w:tblPr>
              <w:tblW w:w="8504" w:type="dxa"/>
              <w:jc w:val="center"/>
              <w:tblBorders>
                <w:top w:val="single" w:sz="6" w:space="0" w:color="F2F2F2" w:themeColor="accent4"/>
                <w:bottom w:val="single" w:sz="6" w:space="0" w:color="F2F2F2" w:themeColor="accent4"/>
              </w:tblBorders>
              <w:tblLayout w:type="fixed"/>
              <w:tblCellMar>
                <w:top w:w="28" w:type="dxa"/>
                <w:left w:w="0" w:type="dxa"/>
                <w:right w:w="0" w:type="dxa"/>
              </w:tblCellMar>
              <w:tblLook w:val="0000" w:firstRow="0" w:lastRow="0" w:firstColumn="0" w:lastColumn="0" w:noHBand="0" w:noVBand="0"/>
            </w:tblPr>
            <w:tblGrid>
              <w:gridCol w:w="8504"/>
            </w:tblGrid>
            <w:tr w:rsidR="00D74A49" w:rsidRPr="004E531E" w14:paraId="11D2381E" w14:textId="77777777" w:rsidTr="00D74A49">
              <w:trPr>
                <w:jc w:val="center"/>
              </w:trPr>
              <w:tc>
                <w:tcPr>
                  <w:tcW w:w="5000" w:type="pct"/>
                  <w:tcBorders>
                    <w:top w:val="nil"/>
                    <w:bottom w:val="nil"/>
                  </w:tcBorders>
                </w:tcPr>
                <w:p w14:paraId="0E0C8836" w14:textId="77777777" w:rsidR="00D74A49" w:rsidRPr="004E531E" w:rsidRDefault="00D74A49" w:rsidP="00D74A49">
                  <w:pPr>
                    <w:pStyle w:val="Figure"/>
                    <w:spacing w:before="60" w:after="60"/>
                  </w:pPr>
                  <w:r w:rsidRPr="00A93CFF">
                    <w:rPr>
                      <w:noProof/>
                    </w:rPr>
                    <w:drawing>
                      <wp:inline distT="0" distB="0" distL="0" distR="0" wp14:anchorId="5DA3E1E3" wp14:editId="1D20DA9D">
                        <wp:extent cx="5400040" cy="2193925"/>
                        <wp:effectExtent l="0" t="0" r="0" b="0"/>
                        <wp:docPr id="1" name="Picture 1" descr="This figure shows how stages 1, 2 and 3 relate to each other over time — between 2016 and 2020. The stage 1 study to develop criteria to assess efficiency and competitiveness of the super system began in February 2016 and is due to report to Government by the end of 2016. Sitting adjacent to stage 1, is the stage 2 inquiry to develop alternative models for allocating default fund members to products, beginning in September 2016 and reporting to Government by mid 2017. The outcomes from stage 1 will influence stage 3 and may influence stage 2. The stage 3 inquiry to review efficiency and competitiveness of the super system will begin sometime after the second half of 2017. The results of stage 3 and, possibly stage 2, will feed into the Government’s consideration of the reviews’ outcomes." title="Three stage superannuation 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per-figure-05.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400040" cy="2193925"/>
                                </a:xfrm>
                                <a:prstGeom prst="rect">
                                  <a:avLst/>
                                </a:prstGeom>
                              </pic:spPr>
                            </pic:pic>
                          </a:graphicData>
                        </a:graphic>
                      </wp:inline>
                    </w:drawing>
                  </w:r>
                </w:p>
              </w:tc>
            </w:tr>
          </w:tbl>
          <w:p w14:paraId="48BF88BA" w14:textId="77777777" w:rsidR="00D74A49" w:rsidRPr="004E531E" w:rsidRDefault="00D74A49" w:rsidP="00D74A49">
            <w:pPr>
              <w:pStyle w:val="Figure"/>
            </w:pPr>
          </w:p>
        </w:tc>
      </w:tr>
      <w:tr w:rsidR="00D74A49" w:rsidRPr="004E531E" w14:paraId="2A970B17" w14:textId="77777777" w:rsidTr="00D74A49">
        <w:tc>
          <w:tcPr>
            <w:tcW w:w="8771" w:type="dxa"/>
            <w:tcBorders>
              <w:top w:val="nil"/>
              <w:left w:val="nil"/>
              <w:bottom w:val="single" w:sz="6" w:space="0" w:color="78A22F"/>
              <w:right w:val="nil"/>
            </w:tcBorders>
            <w:shd w:val="clear" w:color="auto" w:fill="auto"/>
          </w:tcPr>
          <w:p w14:paraId="00F3F8A9" w14:textId="77777777" w:rsidR="00D74A49" w:rsidRPr="004E531E" w:rsidRDefault="00D74A49" w:rsidP="00D74A49">
            <w:pPr>
              <w:pStyle w:val="Figurespace"/>
            </w:pPr>
          </w:p>
        </w:tc>
      </w:tr>
      <w:tr w:rsidR="00D74A49" w:rsidRPr="004E531E" w14:paraId="030A4556" w14:textId="77777777" w:rsidTr="00D74A49">
        <w:tc>
          <w:tcPr>
            <w:tcW w:w="8771" w:type="dxa"/>
            <w:tcBorders>
              <w:top w:val="single" w:sz="6" w:space="0" w:color="78A22F"/>
              <w:left w:val="nil"/>
              <w:bottom w:val="nil"/>
              <w:right w:val="nil"/>
            </w:tcBorders>
          </w:tcPr>
          <w:p w14:paraId="7F9144D3" w14:textId="130A75CD" w:rsidR="00D74A49" w:rsidRPr="0042199C" w:rsidRDefault="00D74A49" w:rsidP="00D74A49">
            <w:pPr>
              <w:pStyle w:val="BoxSpaceBelow"/>
            </w:pPr>
            <w:r w:rsidRPr="0042199C">
              <w:rPr>
                <w:rFonts w:ascii="Times New Roman" w:hAnsi="Times New Roman"/>
                <w:b/>
                <w:color w:val="FF00FF"/>
              </w:rPr>
              <w:t>.</w:t>
            </w:r>
          </w:p>
        </w:tc>
      </w:tr>
    </w:tbl>
    <w:p w14:paraId="5CAD7A0B" w14:textId="54D6A6E8" w:rsidR="00976959" w:rsidRPr="004E531E" w:rsidRDefault="009165A7" w:rsidP="00770A50">
      <w:pPr>
        <w:pStyle w:val="BodyText"/>
      </w:pPr>
      <w:r w:rsidRPr="004E531E">
        <w:t>T</w:t>
      </w:r>
      <w:r w:rsidR="00770A50" w:rsidRPr="004E531E">
        <w:t>he purpose of this inquiry (stage 2) is to examine alternative models for a formal competitive process for allocating default fund members in the superannuation system to products and to develop a workable model, or models, that could be implemented by Government if a new model for allocating default fund members to products is desirable.</w:t>
      </w:r>
      <w:r w:rsidR="000C19FF">
        <w:t xml:space="preserve"> </w:t>
      </w:r>
      <w:r w:rsidR="0000714A" w:rsidRPr="004E531E">
        <w:t>As t</w:t>
      </w:r>
      <w:r w:rsidR="006F6C35" w:rsidRPr="004E531E">
        <w:t xml:space="preserve">he inquiry will look </w:t>
      </w:r>
      <w:r w:rsidR="00FB2F6D" w:rsidRPr="004E531E">
        <w:t xml:space="preserve">at </w:t>
      </w:r>
      <w:r w:rsidRPr="004E531E">
        <w:t>default fund selection across</w:t>
      </w:r>
      <w:r w:rsidR="0000714A" w:rsidRPr="004E531E">
        <w:t xml:space="preserve"> t</w:t>
      </w:r>
      <w:r w:rsidR="006F6C35" w:rsidRPr="004E531E">
        <w:t xml:space="preserve">he </w:t>
      </w:r>
      <w:r w:rsidRPr="004E531E">
        <w:t>superannuation system as a whole,</w:t>
      </w:r>
      <w:r w:rsidR="006F6C35" w:rsidRPr="004E531E">
        <w:t xml:space="preserve"> </w:t>
      </w:r>
      <w:r w:rsidR="0000714A" w:rsidRPr="004E531E">
        <w:t>it</w:t>
      </w:r>
      <w:r w:rsidR="001D553E" w:rsidRPr="004E531E">
        <w:t xml:space="preserve"> is broader in scope than the Commission</w:t>
      </w:r>
      <w:r w:rsidR="00815B1F" w:rsidRPr="004E531E">
        <w:t>’s</w:t>
      </w:r>
      <w:r w:rsidR="001D553E" w:rsidRPr="004E531E">
        <w:t xml:space="preserve"> 2012</w:t>
      </w:r>
      <w:r w:rsidR="00815B1F" w:rsidRPr="004E531E">
        <w:t xml:space="preserve"> inquiry</w:t>
      </w:r>
      <w:r w:rsidR="001D553E" w:rsidRPr="004E531E">
        <w:t xml:space="preserve"> </w:t>
      </w:r>
      <w:r w:rsidRPr="004E531E">
        <w:t>looking at</w:t>
      </w:r>
      <w:r w:rsidR="001D553E" w:rsidRPr="004E531E">
        <w:t xml:space="preserve"> default funds in modern awards</w:t>
      </w:r>
      <w:r w:rsidR="0063791C" w:rsidRPr="004E531E">
        <w:t xml:space="preserve"> </w:t>
      </w:r>
      <w:r w:rsidR="00AB374E" w:rsidRPr="00AB374E">
        <w:rPr>
          <w:szCs w:val="24"/>
        </w:rPr>
        <w:t>(PC 2012)</w:t>
      </w:r>
      <w:r w:rsidR="001D553E" w:rsidRPr="004E531E">
        <w:t>.</w:t>
      </w:r>
    </w:p>
    <w:p w14:paraId="3C46395B" w14:textId="7F302B66" w:rsidR="00B27F87" w:rsidRPr="004E531E" w:rsidRDefault="00976959" w:rsidP="00770A50">
      <w:pPr>
        <w:pStyle w:val="BodyText"/>
      </w:pPr>
      <w:r w:rsidRPr="004E531E">
        <w:t xml:space="preserve">Importantly, the emphasis is on </w:t>
      </w:r>
      <w:r w:rsidRPr="004E531E">
        <w:rPr>
          <w:i/>
        </w:rPr>
        <w:t>developing alternative models</w:t>
      </w:r>
      <w:r w:rsidRPr="004E531E">
        <w:t xml:space="preserve">. This inquiry is not a review of MySuper or other current </w:t>
      </w:r>
      <w:r w:rsidR="00624E70">
        <w:t xml:space="preserve">default </w:t>
      </w:r>
      <w:r w:rsidRPr="004E531E">
        <w:t>arrangements.</w:t>
      </w:r>
      <w:r w:rsidR="00F02166">
        <w:t xml:space="preserve"> </w:t>
      </w:r>
      <w:r w:rsidR="00E71D66">
        <w:t>In assessing alternative allocative models, this inquiry will therefore be starting from an objective baseline scenario of no defaults.</w:t>
      </w:r>
      <w:r w:rsidR="00E71D66" w:rsidRPr="004E531E">
        <w:t xml:space="preserve"> </w:t>
      </w:r>
      <w:r w:rsidRPr="004E531E">
        <w:t xml:space="preserve">The </w:t>
      </w:r>
      <w:r w:rsidR="00815B1F" w:rsidRPr="004E531E">
        <w:t xml:space="preserve">efficiency and competitiveness of the </w:t>
      </w:r>
      <w:r w:rsidRPr="004E531E">
        <w:t xml:space="preserve">current </w:t>
      </w:r>
      <w:r w:rsidR="00815B1F" w:rsidRPr="004E531E">
        <w:t>system</w:t>
      </w:r>
      <w:r w:rsidRPr="004E531E">
        <w:t xml:space="preserve"> will be reviewed in stage 3, </w:t>
      </w:r>
      <w:r w:rsidR="00770A50" w:rsidRPr="004E531E">
        <w:t>which the Commission will be asked to undertake following the full implementation of the MySuper reforms (that is, after 1 July 2017).</w:t>
      </w:r>
    </w:p>
    <w:p w14:paraId="3C129489" w14:textId="4C69F2EB" w:rsidR="00D74A49" w:rsidRPr="004E531E" w:rsidRDefault="00D74A49" w:rsidP="00770A50">
      <w:pPr>
        <w:pStyle w:val="Heading3"/>
      </w:pPr>
      <w:r w:rsidRPr="004E531E">
        <w:t xml:space="preserve">How you can contribute to this </w:t>
      </w:r>
      <w:r w:rsidR="00976959" w:rsidRPr="004E531E">
        <w:t>inquiry</w:t>
      </w:r>
    </w:p>
    <w:p w14:paraId="2FD930A0" w14:textId="097D6E1F" w:rsidR="00D74A49" w:rsidRPr="004E531E" w:rsidRDefault="00D74A49" w:rsidP="00D74A49">
      <w:pPr>
        <w:pStyle w:val="BodyText"/>
      </w:pPr>
      <w:r w:rsidRPr="004E531E">
        <w:t xml:space="preserve">The Commission will consult through stakeholder visits and accepting submissions from all interested parties. </w:t>
      </w:r>
      <w:r w:rsidR="001B4BD2">
        <w:t xml:space="preserve">Participants can also make brief comments on the Commission’s website. </w:t>
      </w:r>
      <w:r w:rsidR="00976959" w:rsidRPr="004E531E">
        <w:t>Public hearings will be held after the release of the draft report.</w:t>
      </w:r>
    </w:p>
    <w:p w14:paraId="3A2B4756" w14:textId="501CF2A1" w:rsidR="00D74A49" w:rsidRPr="004E531E" w:rsidRDefault="00D74A49" w:rsidP="00D74A49">
      <w:pPr>
        <w:pStyle w:val="BodyText"/>
      </w:pPr>
      <w:r w:rsidRPr="004E531E">
        <w:t xml:space="preserve">The Commission encourages submissions on issues relevant to the </w:t>
      </w:r>
      <w:r w:rsidR="00976959" w:rsidRPr="004E531E">
        <w:t xml:space="preserve">inquiry’s </w:t>
      </w:r>
      <w:r w:rsidRPr="004E531E">
        <w:t xml:space="preserve">terms of reference. </w:t>
      </w:r>
      <w:r w:rsidR="0057000E" w:rsidRPr="004E531E">
        <w:t xml:space="preserve">This issues paper has been </w:t>
      </w:r>
      <w:r w:rsidR="00B40D0A">
        <w:t>released</w:t>
      </w:r>
      <w:r w:rsidR="0057000E" w:rsidRPr="004E531E">
        <w:t xml:space="preserve"> to assist</w:t>
      </w:r>
      <w:r w:rsidRPr="004E531E">
        <w:t xml:space="preserve"> participants in preparing submissions. It is not a requirement that participants answer all the questions</w:t>
      </w:r>
      <w:r w:rsidR="0057000E" w:rsidRPr="004E531E">
        <w:t xml:space="preserve"> in the issues paper</w:t>
      </w:r>
      <w:r w:rsidRPr="004E531E">
        <w:t xml:space="preserve">, restrict their submissions to the </w:t>
      </w:r>
      <w:r w:rsidR="0057000E" w:rsidRPr="004E531E">
        <w:t xml:space="preserve">issues </w:t>
      </w:r>
      <w:r w:rsidRPr="004E531E">
        <w:t xml:space="preserve">identified, or present their submissions in a question and answer format. However, the Commission requests that submissions focus </w:t>
      </w:r>
      <w:r w:rsidR="00A40232" w:rsidRPr="004E531E">
        <w:t xml:space="preserve">specifically </w:t>
      </w:r>
      <w:r w:rsidRPr="004E531E">
        <w:t xml:space="preserve">on the terms of reference for this </w:t>
      </w:r>
      <w:r w:rsidR="00421394" w:rsidRPr="004E531E">
        <w:t>inquiry</w:t>
      </w:r>
      <w:r w:rsidR="00F161E1">
        <w:t>.</w:t>
      </w:r>
      <w:r w:rsidRPr="004E531E">
        <w:t xml:space="preserve"> There will be opportunities to make further submissions following the release of the draft report.</w:t>
      </w:r>
    </w:p>
    <w:p w14:paraId="295C8696" w14:textId="73158976" w:rsidR="00D74A49" w:rsidRPr="004E531E" w:rsidRDefault="00D74A49" w:rsidP="00D74A49">
      <w:pPr>
        <w:pStyle w:val="BodyText"/>
      </w:pPr>
      <w:r w:rsidRPr="004E531E">
        <w:t xml:space="preserve">Submissions should be provided to the Commission </w:t>
      </w:r>
      <w:r w:rsidR="00535B43" w:rsidRPr="004E531E">
        <w:t xml:space="preserve">no later than </w:t>
      </w:r>
      <w:r w:rsidR="009165A7" w:rsidRPr="004E531E">
        <w:rPr>
          <w:b/>
        </w:rPr>
        <w:t xml:space="preserve">28 </w:t>
      </w:r>
      <w:r w:rsidR="00A24AA7" w:rsidRPr="004E531E">
        <w:rPr>
          <w:b/>
        </w:rPr>
        <w:t>Octo</w:t>
      </w:r>
      <w:r w:rsidR="00A40232" w:rsidRPr="004E531E">
        <w:rPr>
          <w:b/>
        </w:rPr>
        <w:t>ber 2016</w:t>
      </w:r>
      <w:r w:rsidRPr="004E531E">
        <w:t>. Attachment A provides further details on how to make a submission.</w:t>
      </w:r>
    </w:p>
    <w:p w14:paraId="22B14AF6" w14:textId="7A6E4BB0" w:rsidR="00DC2276" w:rsidRPr="004E531E" w:rsidRDefault="006B7840" w:rsidP="00DC2276">
      <w:pPr>
        <w:pStyle w:val="Heading2"/>
      </w:pPr>
      <w:r>
        <w:t>2</w:t>
      </w:r>
      <w:r w:rsidR="00535B43" w:rsidRPr="004E531E">
        <w:tab/>
      </w:r>
      <w:r w:rsidR="00DC2276" w:rsidRPr="004E531E">
        <w:t xml:space="preserve">Current </w:t>
      </w:r>
      <w:r w:rsidR="002B0DE4" w:rsidRPr="004E531E">
        <w:t xml:space="preserve">default </w:t>
      </w:r>
      <w:r w:rsidR="00DC2276" w:rsidRPr="004E531E">
        <w:t>arrangements</w:t>
      </w:r>
    </w:p>
    <w:p w14:paraId="3290EA08" w14:textId="3528543E" w:rsidR="00DC2276" w:rsidRPr="004E531E" w:rsidRDefault="00DC2276" w:rsidP="00DC2276">
      <w:pPr>
        <w:pStyle w:val="BodyText"/>
      </w:pPr>
      <w:r w:rsidRPr="004E531E">
        <w:t xml:space="preserve">Default superannuation arrangements in Australia have primarily arisen out of the </w:t>
      </w:r>
      <w:r w:rsidR="0051273F" w:rsidRPr="004E531E">
        <w:t xml:space="preserve">workplace </w:t>
      </w:r>
      <w:r w:rsidRPr="004E531E">
        <w:t xml:space="preserve">relations system. </w:t>
      </w:r>
      <w:r w:rsidR="009865C7">
        <w:t>This</w:t>
      </w:r>
      <w:r w:rsidRPr="004E531E">
        <w:t xml:space="preserve"> poses a challenge to the inquiry </w:t>
      </w:r>
      <w:r w:rsidR="004D4543" w:rsidRPr="004E531E">
        <w:t>(</w:t>
      </w:r>
      <w:r w:rsidRPr="004E531E">
        <w:t>given its need to consider default</w:t>
      </w:r>
      <w:r w:rsidR="004D4543" w:rsidRPr="004E531E">
        <w:t xml:space="preserve"> selection across the entire superannuation system) as not all employees are covered by the same workplace arrangements</w:t>
      </w:r>
      <w:r w:rsidRPr="004E531E">
        <w:t>.</w:t>
      </w:r>
      <w:r w:rsidR="00B40D0A">
        <w:t xml:space="preserve"> </w:t>
      </w:r>
      <w:r w:rsidRPr="004E531E">
        <w:t xml:space="preserve">Most </w:t>
      </w:r>
      <w:r w:rsidR="004D4543" w:rsidRPr="004E531E">
        <w:t xml:space="preserve">employees </w:t>
      </w:r>
      <w:r w:rsidRPr="004E531E">
        <w:t xml:space="preserve">are employed under the national </w:t>
      </w:r>
      <w:r w:rsidR="0051273F" w:rsidRPr="004E531E">
        <w:t>workplace</w:t>
      </w:r>
      <w:r w:rsidRPr="004E531E">
        <w:t xml:space="preserve"> relations system, via awards or enterprise agreements subject to the </w:t>
      </w:r>
      <w:r w:rsidRPr="004E531E">
        <w:rPr>
          <w:i/>
        </w:rPr>
        <w:t xml:space="preserve">Fair Work Act 2009 </w:t>
      </w:r>
      <w:r w:rsidRPr="00637BA8">
        <w:t>(Cwlth)</w:t>
      </w:r>
      <w:r w:rsidRPr="004E531E">
        <w:t>. Employe</w:t>
      </w:r>
      <w:r w:rsidR="004D4543" w:rsidRPr="004E531E">
        <w:t>es</w:t>
      </w:r>
      <w:r w:rsidRPr="004E531E">
        <w:t xml:space="preserve"> not employed under the national system are generally covered by state</w:t>
      </w:r>
      <w:r w:rsidR="003A5E37" w:rsidRPr="004E531E">
        <w:noBreakHyphen/>
      </w:r>
      <w:r w:rsidRPr="004E531E">
        <w:t>based systems.</w:t>
      </w:r>
      <w:r w:rsidR="00313242" w:rsidRPr="004E531E">
        <w:t xml:space="preserve"> </w:t>
      </w:r>
    </w:p>
    <w:p w14:paraId="1D2D5ED4" w14:textId="00937246" w:rsidR="00DC2276" w:rsidRPr="004E531E" w:rsidRDefault="00DC2276" w:rsidP="00DC2276">
      <w:pPr>
        <w:pStyle w:val="BodyText"/>
      </w:pPr>
      <w:r w:rsidRPr="004E531E">
        <w:t xml:space="preserve">Under the </w:t>
      </w:r>
      <w:r w:rsidRPr="004E531E">
        <w:rPr>
          <w:i/>
        </w:rPr>
        <w:t xml:space="preserve">Superannuation Guarantee (Administration) Act 1992 </w:t>
      </w:r>
      <w:r w:rsidRPr="004E531E">
        <w:t>(Cwlth)</w:t>
      </w:r>
      <w:r w:rsidRPr="004E531E">
        <w:rPr>
          <w:i/>
        </w:rPr>
        <w:t xml:space="preserve">, </w:t>
      </w:r>
      <w:r w:rsidRPr="004E531E">
        <w:t xml:space="preserve">employers are required (with </w:t>
      </w:r>
      <w:r w:rsidR="0051273F" w:rsidRPr="004E531E">
        <w:t>limited</w:t>
      </w:r>
      <w:r w:rsidRPr="004E531E">
        <w:t xml:space="preserve"> exemptions) to make contributions to their employee’s superannuation fund. Most employees have the opportunity to choose which fund these contributions are paid into. However, for those employees that do not make an active choice, employers are required to nominate a fund (which is thus the </w:t>
      </w:r>
      <w:r w:rsidRPr="004E531E">
        <w:rPr>
          <w:i/>
        </w:rPr>
        <w:t>default fund</w:t>
      </w:r>
      <w:r w:rsidRPr="004E531E">
        <w:t>). The rules surrounding this process vary significantly across awards, agreements</w:t>
      </w:r>
      <w:r w:rsidR="000C19FF">
        <w:t>, contracts</w:t>
      </w:r>
      <w:r w:rsidR="0051273F" w:rsidRPr="004E531E">
        <w:t xml:space="preserve"> and</w:t>
      </w:r>
      <w:r w:rsidRPr="004E531E">
        <w:t xml:space="preserve"> other </w:t>
      </w:r>
      <w:r w:rsidR="0051273F" w:rsidRPr="004E531E">
        <w:t xml:space="preserve">employment </w:t>
      </w:r>
      <w:r w:rsidRPr="004E531E">
        <w:t>arrangements (figure</w:t>
      </w:r>
      <w:r w:rsidR="0042199C">
        <w:t> </w:t>
      </w:r>
      <w:r w:rsidR="00321FF5">
        <w:t>2</w:t>
      </w:r>
      <w:r w:rsidRPr="004E531E">
        <w:t>).</w:t>
      </w:r>
      <w:r w:rsidR="00313242" w:rsidRPr="004E531E">
        <w:t xml:space="preserve"> </w:t>
      </w:r>
      <w:r w:rsidRPr="004E531E">
        <w:t xml:space="preserve">Once a default fund has been selected, </w:t>
      </w:r>
      <w:r w:rsidR="00B40D0A">
        <w:t xml:space="preserve">fund trustees are required to place default contributions into </w:t>
      </w:r>
      <w:r w:rsidRPr="004E531E">
        <w:t xml:space="preserve">that fund’s </w:t>
      </w:r>
      <w:r w:rsidRPr="004E531E">
        <w:rPr>
          <w:i/>
        </w:rPr>
        <w:t>default product</w:t>
      </w:r>
      <w:r w:rsidR="00AF38CF">
        <w:t>,</w:t>
      </w:r>
      <w:r w:rsidRPr="004E531E">
        <w:t xml:space="preserve"> which in most cases must be a MySuper product</w:t>
      </w:r>
      <w:r w:rsidR="00583DC8" w:rsidRPr="004E531E">
        <w:t xml:space="preserve"> (box </w:t>
      </w:r>
      <w:r w:rsidR="00C65284">
        <w:t>1</w:t>
      </w:r>
      <w:r w:rsidR="00583DC8" w:rsidRPr="004E531E">
        <w:t>)</w:t>
      </w:r>
      <w:r w:rsidRPr="004E531E">
        <w:t>.</w:t>
      </w:r>
    </w:p>
    <w:p w14:paraId="75088827" w14:textId="0D20C729" w:rsidR="00FC34C6" w:rsidRPr="004E531E" w:rsidRDefault="00FC34C6" w:rsidP="00FC34C6">
      <w:pPr>
        <w:pStyle w:val="BodyText"/>
      </w:pPr>
      <w:r w:rsidRPr="004E531E">
        <w:t xml:space="preserve">Estimates of how many employees </w:t>
      </w:r>
      <w:r w:rsidR="009865C7">
        <w:t>use</w:t>
      </w:r>
      <w:r w:rsidRPr="004E531E">
        <w:t xml:space="preserve"> default arrangements for their superannuation fund vary. Available evidence suggests it is a considerable number, in the order of two thirds of fund members (PC 2016).</w:t>
      </w:r>
    </w:p>
    <w:p w14:paraId="49A0A7BB" w14:textId="34A01DAB" w:rsidR="00E700CC" w:rsidRPr="004E531E" w:rsidRDefault="00E700CC" w:rsidP="00E700CC">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E700CC" w:rsidRPr="004E531E" w14:paraId="0B6F37EB" w14:textId="77777777" w:rsidTr="00957F70">
        <w:tc>
          <w:tcPr>
            <w:tcW w:w="8771" w:type="dxa"/>
            <w:tcBorders>
              <w:top w:val="single" w:sz="6" w:space="0" w:color="78A22F"/>
              <w:left w:val="nil"/>
              <w:bottom w:val="nil"/>
              <w:right w:val="nil"/>
            </w:tcBorders>
            <w:shd w:val="clear" w:color="auto" w:fill="auto"/>
          </w:tcPr>
          <w:p w14:paraId="334F7CB0" w14:textId="2D54C6D3" w:rsidR="00E700CC" w:rsidRPr="004E531E" w:rsidRDefault="00E700CC" w:rsidP="00AF38CF">
            <w:pPr>
              <w:pStyle w:val="FigureTitle"/>
            </w:pPr>
            <w:r w:rsidRPr="004E531E">
              <w:rPr>
                <w:b w:val="0"/>
              </w:rPr>
              <w:t xml:space="preserve">Figure </w:t>
            </w:r>
            <w:r w:rsidR="00CE2A3F">
              <w:rPr>
                <w:b w:val="0"/>
              </w:rPr>
              <w:t>2</w:t>
            </w:r>
            <w:r w:rsidRPr="004E531E">
              <w:tab/>
              <w:t>Default funds in Australia’s workplaces</w:t>
            </w:r>
            <w:r w:rsidR="00AF38CF" w:rsidRPr="00CB6096">
              <w:rPr>
                <w:rStyle w:val="NoteLabel"/>
                <w:b/>
              </w:rPr>
              <w:t>a</w:t>
            </w:r>
          </w:p>
        </w:tc>
      </w:tr>
      <w:tr w:rsidR="00E700CC" w:rsidRPr="004E531E" w14:paraId="3563B3E6" w14:textId="77777777" w:rsidTr="00957F70">
        <w:tc>
          <w:tcPr>
            <w:tcW w:w="8771" w:type="dxa"/>
            <w:tcBorders>
              <w:top w:val="nil"/>
              <w:left w:val="nil"/>
              <w:bottom w:val="nil"/>
              <w:right w:val="nil"/>
            </w:tcBorders>
            <w:shd w:val="clear" w:color="auto" w:fill="auto"/>
            <w:tcMar>
              <w:top w:w="28" w:type="dxa"/>
              <w:bottom w:w="28" w:type="dxa"/>
            </w:tcMar>
          </w:tcPr>
          <w:tbl>
            <w:tblPr>
              <w:tblW w:w="8504" w:type="dxa"/>
              <w:jc w:val="center"/>
              <w:tblBorders>
                <w:top w:val="single" w:sz="6" w:space="0" w:color="F2F2F2" w:themeColor="accent4"/>
                <w:bottom w:val="single" w:sz="6" w:space="0" w:color="F2F2F2" w:themeColor="accent4"/>
              </w:tblBorders>
              <w:tblLayout w:type="fixed"/>
              <w:tblCellMar>
                <w:top w:w="28" w:type="dxa"/>
                <w:left w:w="0" w:type="dxa"/>
                <w:right w:w="0" w:type="dxa"/>
              </w:tblCellMar>
              <w:tblLook w:val="0000" w:firstRow="0" w:lastRow="0" w:firstColumn="0" w:lastColumn="0" w:noHBand="0" w:noVBand="0"/>
            </w:tblPr>
            <w:tblGrid>
              <w:gridCol w:w="8504"/>
            </w:tblGrid>
            <w:tr w:rsidR="00E700CC" w:rsidRPr="004E531E" w14:paraId="384CBB59" w14:textId="77777777" w:rsidTr="00957F70">
              <w:trPr>
                <w:jc w:val="center"/>
              </w:trPr>
              <w:tc>
                <w:tcPr>
                  <w:tcW w:w="5000" w:type="pct"/>
                  <w:tcBorders>
                    <w:top w:val="nil"/>
                    <w:bottom w:val="nil"/>
                  </w:tcBorders>
                </w:tcPr>
                <w:p w14:paraId="44C0ECE4" w14:textId="0640B7B5" w:rsidR="00E700CC" w:rsidRPr="004E531E" w:rsidRDefault="00A21969" w:rsidP="00957F70">
                  <w:pPr>
                    <w:pStyle w:val="Figure"/>
                    <w:spacing w:before="60" w:after="60"/>
                  </w:pPr>
                  <w:r>
                    <w:rPr>
                      <w:noProof/>
                    </w:rPr>
                    <w:drawing>
                      <wp:inline distT="0" distB="0" distL="0" distR="0" wp14:anchorId="726A8A64" wp14:editId="0BA8F917">
                        <wp:extent cx="5250747" cy="3456000"/>
                        <wp:effectExtent l="0" t="0" r="7620" b="0"/>
                        <wp:docPr id="2" name="Picture 2" descr="This flowchart shows how different employment arrangements affect the rules faced by employers nominating a default fund. The majority of Australia’s 12 million employed persons are employed under the Fair Work Act which covers both awards and agreements. Given that some awards list one or more default funds, and some don’t list any, employers may be restricted in their choice of default fund. Employers operating under agreements are subject to similar restrictions on the default fund depending on whether a fund is listed in the agreement, there is no default specified or the default fund is referred to the relevant award. Of the other third of employed persons, if the employer is not exempt from making superannuation payments to employees, they follow a similar process to those made under agreements." title="Default funds in Australian workpla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250747" cy="3456000"/>
                                </a:xfrm>
                                <a:prstGeom prst="rect">
                                  <a:avLst/>
                                </a:prstGeom>
                                <a:noFill/>
                                <a:ln>
                                  <a:noFill/>
                                </a:ln>
                              </pic:spPr>
                            </pic:pic>
                          </a:graphicData>
                        </a:graphic>
                      </wp:inline>
                    </w:drawing>
                  </w:r>
                </w:p>
              </w:tc>
            </w:tr>
          </w:tbl>
          <w:p w14:paraId="72BC1AF9" w14:textId="77777777" w:rsidR="00E700CC" w:rsidRPr="004E531E" w:rsidRDefault="00E700CC" w:rsidP="00957F70">
            <w:pPr>
              <w:pStyle w:val="Figure"/>
            </w:pPr>
          </w:p>
        </w:tc>
      </w:tr>
      <w:tr w:rsidR="00E700CC" w:rsidRPr="004E531E" w14:paraId="14C6AC1C" w14:textId="77777777" w:rsidTr="00957F70">
        <w:tc>
          <w:tcPr>
            <w:tcW w:w="8771" w:type="dxa"/>
            <w:tcBorders>
              <w:top w:val="nil"/>
              <w:left w:val="nil"/>
              <w:bottom w:val="nil"/>
              <w:right w:val="nil"/>
            </w:tcBorders>
            <w:shd w:val="clear" w:color="auto" w:fill="auto"/>
          </w:tcPr>
          <w:p w14:paraId="4CF9588B" w14:textId="5E2ADD29" w:rsidR="00E700CC" w:rsidRPr="004E531E" w:rsidRDefault="00E700CC" w:rsidP="002F6670">
            <w:pPr>
              <w:pStyle w:val="Note"/>
            </w:pPr>
            <w:r w:rsidRPr="004E531E">
              <w:rPr>
                <w:rStyle w:val="NoteLabel"/>
              </w:rPr>
              <w:t>a</w:t>
            </w:r>
            <w:r w:rsidRPr="004E531E">
              <w:t xml:space="preserve"> </w:t>
            </w:r>
            <w:r w:rsidR="005D18DD">
              <w:t xml:space="preserve">Default funds are for employees that do not make an active choice. </w:t>
            </w:r>
            <w:r w:rsidR="00CB6096">
              <w:t>All default fun</w:t>
            </w:r>
            <w:r w:rsidR="00811B5E">
              <w:t>ds must offer a MySuper product or be an Exempt Public Sector Superannuation Scheme</w:t>
            </w:r>
            <w:r w:rsidR="00CB6096">
              <w:t>.</w:t>
            </w:r>
            <w:r w:rsidR="00811B5E">
              <w:t xml:space="preserve"> </w:t>
            </w:r>
            <w:r w:rsidR="00473842" w:rsidRPr="00811B5E">
              <w:rPr>
                <w:rStyle w:val="NoteLabel"/>
              </w:rPr>
              <w:t>b</w:t>
            </w:r>
            <w:r w:rsidR="00473842">
              <w:t xml:space="preserve"> Numbers in brackets are the approximate proportion of total employed persons under the specified work arrangements, sourced from </w:t>
            </w:r>
            <w:r w:rsidR="00473842" w:rsidRPr="00797C85">
              <w:rPr>
                <w:rFonts w:cs="Arial"/>
                <w:szCs w:val="24"/>
              </w:rPr>
              <w:t>(PC 2015)</w:t>
            </w:r>
            <w:r w:rsidR="00473842">
              <w:t xml:space="preserve">. </w:t>
            </w:r>
            <w:r w:rsidR="00473842" w:rsidRPr="001A5717">
              <w:rPr>
                <w:rStyle w:val="NoteLabel"/>
              </w:rPr>
              <w:t>c</w:t>
            </w:r>
            <w:r w:rsidRPr="004E531E">
              <w:t xml:space="preserve"> This includes state</w:t>
            </w:r>
            <w:r w:rsidRPr="004E531E">
              <w:noBreakHyphen/>
              <w:t>based systems and common law employment contracts.</w:t>
            </w:r>
          </w:p>
        </w:tc>
      </w:tr>
      <w:tr w:rsidR="00E700CC" w:rsidRPr="004E531E" w14:paraId="41F27DFB" w14:textId="77777777" w:rsidTr="00957F70">
        <w:tc>
          <w:tcPr>
            <w:tcW w:w="8771" w:type="dxa"/>
            <w:tcBorders>
              <w:top w:val="nil"/>
              <w:left w:val="nil"/>
              <w:bottom w:val="single" w:sz="6" w:space="0" w:color="78A22F"/>
              <w:right w:val="nil"/>
            </w:tcBorders>
            <w:shd w:val="clear" w:color="auto" w:fill="auto"/>
          </w:tcPr>
          <w:p w14:paraId="24C558F5" w14:textId="77777777" w:rsidR="00E700CC" w:rsidRPr="004E531E" w:rsidRDefault="00E700CC" w:rsidP="00957F70">
            <w:pPr>
              <w:pStyle w:val="Figurespace"/>
            </w:pPr>
          </w:p>
        </w:tc>
      </w:tr>
      <w:tr w:rsidR="00E700CC" w:rsidRPr="004E531E" w14:paraId="078F7C53" w14:textId="77777777" w:rsidTr="00957F70">
        <w:tc>
          <w:tcPr>
            <w:tcW w:w="8771" w:type="dxa"/>
            <w:tcBorders>
              <w:top w:val="single" w:sz="6" w:space="0" w:color="78A22F"/>
              <w:left w:val="nil"/>
              <w:bottom w:val="nil"/>
              <w:right w:val="nil"/>
            </w:tcBorders>
          </w:tcPr>
          <w:p w14:paraId="0ED7CAE5" w14:textId="39A2FE1B" w:rsidR="00E700CC" w:rsidRPr="004E531E" w:rsidRDefault="00E700CC" w:rsidP="00957F70">
            <w:pPr>
              <w:pStyle w:val="BoxSpaceBelow"/>
            </w:pPr>
          </w:p>
        </w:tc>
      </w:tr>
    </w:tbl>
    <w:p w14:paraId="7B12620E" w14:textId="15201BA0" w:rsidR="00583DC8" w:rsidRPr="004E531E" w:rsidRDefault="00583DC8" w:rsidP="00583DC8">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583DC8" w:rsidRPr="004E531E" w14:paraId="00F5D9E8" w14:textId="77777777" w:rsidTr="008A5950">
        <w:tc>
          <w:tcPr>
            <w:tcW w:w="8771" w:type="dxa"/>
            <w:tcBorders>
              <w:top w:val="single" w:sz="6" w:space="0" w:color="78A22F"/>
              <w:left w:val="nil"/>
              <w:bottom w:val="nil"/>
              <w:right w:val="nil"/>
            </w:tcBorders>
            <w:shd w:val="clear" w:color="auto" w:fill="F2F2F2"/>
          </w:tcPr>
          <w:p w14:paraId="0B48BFE1" w14:textId="77777777" w:rsidR="00583DC8" w:rsidRPr="004E531E" w:rsidRDefault="00583DC8" w:rsidP="008A5950">
            <w:pPr>
              <w:pStyle w:val="BoxTitle"/>
            </w:pPr>
            <w:r w:rsidRPr="004E531E">
              <w:rPr>
                <w:b w:val="0"/>
              </w:rPr>
              <w:t xml:space="preserve">Box </w:t>
            </w:r>
            <w:bookmarkStart w:id="3" w:name="OLE_LINK3"/>
            <w:r w:rsidRPr="004E531E">
              <w:rPr>
                <w:b w:val="0"/>
              </w:rPr>
              <w:fldChar w:fldCharType="begin"/>
            </w:r>
            <w:r w:rsidRPr="004E531E">
              <w:rPr>
                <w:b w:val="0"/>
              </w:rPr>
              <w:instrText xml:space="preserve"> SEQ Box \* ARABIC </w:instrText>
            </w:r>
            <w:r w:rsidRPr="004E531E">
              <w:rPr>
                <w:b w:val="0"/>
              </w:rPr>
              <w:fldChar w:fldCharType="separate"/>
            </w:r>
            <w:r w:rsidR="00705E15">
              <w:rPr>
                <w:b w:val="0"/>
                <w:noProof/>
              </w:rPr>
              <w:t>1</w:t>
            </w:r>
            <w:r w:rsidRPr="004E531E">
              <w:rPr>
                <w:b w:val="0"/>
              </w:rPr>
              <w:fldChar w:fldCharType="end"/>
            </w:r>
            <w:bookmarkEnd w:id="3"/>
            <w:r w:rsidRPr="004E531E">
              <w:tab/>
              <w:t>Introduction of MySuper</w:t>
            </w:r>
          </w:p>
        </w:tc>
      </w:tr>
      <w:tr w:rsidR="00583DC8" w:rsidRPr="004E531E" w14:paraId="6514D460" w14:textId="77777777" w:rsidTr="008A5950">
        <w:trPr>
          <w:cantSplit/>
        </w:trPr>
        <w:tc>
          <w:tcPr>
            <w:tcW w:w="8771" w:type="dxa"/>
            <w:tcBorders>
              <w:top w:val="nil"/>
              <w:left w:val="nil"/>
              <w:bottom w:val="nil"/>
              <w:right w:val="nil"/>
            </w:tcBorders>
            <w:shd w:val="clear" w:color="auto" w:fill="F2F2F2"/>
          </w:tcPr>
          <w:p w14:paraId="72B5517A" w14:textId="6B187841" w:rsidR="00583DC8" w:rsidRPr="004E531E" w:rsidRDefault="00583DC8" w:rsidP="008A5950">
            <w:pPr>
              <w:pStyle w:val="Box"/>
            </w:pPr>
            <w:r w:rsidRPr="004E531E">
              <w:t>MySuper was introduced in 2013</w:t>
            </w:r>
            <w:r w:rsidR="00AF38CF">
              <w:t xml:space="preserve">. </w:t>
            </w:r>
            <w:r w:rsidR="00384E6A">
              <w:t>MySuper products were</w:t>
            </w:r>
            <w:r w:rsidRPr="004E531E">
              <w:t xml:space="preserve"> </w:t>
            </w:r>
            <w:r w:rsidR="001F52FE">
              <w:t>design</w:t>
            </w:r>
            <w:r w:rsidR="001F52FE" w:rsidRPr="004E531E">
              <w:t xml:space="preserve">ed </w:t>
            </w:r>
            <w:r w:rsidRPr="004E531E">
              <w:t>to be simple and cost</w:t>
            </w:r>
            <w:r w:rsidRPr="004E531E">
              <w:noBreakHyphen/>
              <w:t>effective superannuation product</w:t>
            </w:r>
            <w:r w:rsidR="00384E6A">
              <w:t>s</w:t>
            </w:r>
            <w:r w:rsidRPr="004E531E">
              <w:t xml:space="preserve"> replacing previous default products. </w:t>
            </w:r>
            <w:r w:rsidR="001F52FE">
              <w:t>The intention was</w:t>
            </w:r>
            <w:r w:rsidRPr="004E531E">
              <w:t xml:space="preserve"> to ensure members do not pay for any unnecessary features they do not need or use. MySuper products have a simple, relatively standard set of product features to enable members, employers and market analysts to compare funds more easily </w:t>
            </w:r>
            <w:r w:rsidRPr="004E531E">
              <w:rPr>
                <w:szCs w:val="24"/>
              </w:rPr>
              <w:t>(Shorten 2011)</w:t>
            </w:r>
            <w:r w:rsidRPr="004E531E">
              <w:t>.</w:t>
            </w:r>
            <w:r w:rsidR="00AF38CF" w:rsidRPr="004E531E">
              <w:t xml:space="preserve"> </w:t>
            </w:r>
            <w:r w:rsidR="00AF38CF">
              <w:t>S</w:t>
            </w:r>
            <w:r w:rsidR="00AF38CF" w:rsidRPr="004E531E">
              <w:t>ince 1</w:t>
            </w:r>
            <w:r w:rsidR="0042199C">
              <w:t> </w:t>
            </w:r>
            <w:r w:rsidR="00AF38CF" w:rsidRPr="004E531E">
              <w:t>January 2014</w:t>
            </w:r>
            <w:r w:rsidR="00AF38CF">
              <w:t>,</w:t>
            </w:r>
            <w:r w:rsidR="00AF38CF" w:rsidRPr="004E531E">
              <w:t xml:space="preserve"> only MySuper products or </w:t>
            </w:r>
            <w:r w:rsidR="00384E6A">
              <w:t>E</w:t>
            </w:r>
            <w:r w:rsidR="00AF38CF" w:rsidRPr="004E531E">
              <w:t xml:space="preserve">xempt </w:t>
            </w:r>
            <w:r w:rsidR="00384E6A">
              <w:t>P</w:t>
            </w:r>
            <w:r w:rsidR="00AF38CF" w:rsidRPr="004E531E">
              <w:t xml:space="preserve">ublic </w:t>
            </w:r>
            <w:r w:rsidR="00384E6A">
              <w:t>S</w:t>
            </w:r>
            <w:r w:rsidR="00AF38CF" w:rsidRPr="004E531E">
              <w:t xml:space="preserve">ector </w:t>
            </w:r>
            <w:r w:rsidR="00384E6A">
              <w:t>S</w:t>
            </w:r>
            <w:r w:rsidR="00AF38CF" w:rsidRPr="004E531E">
              <w:t xml:space="preserve">uperannuation </w:t>
            </w:r>
            <w:r w:rsidR="00374E19">
              <w:t>S</w:t>
            </w:r>
            <w:r w:rsidR="00AF38CF" w:rsidRPr="004E531E">
              <w:t>chemes have been able to receive default superannuation contributions relating to new employees</w:t>
            </w:r>
            <w:r w:rsidR="0062747D">
              <w:t>.</w:t>
            </w:r>
          </w:p>
          <w:p w14:paraId="31039801" w14:textId="3DA3326A" w:rsidR="00583DC8" w:rsidRPr="004E531E" w:rsidRDefault="00583DC8" w:rsidP="008A5950">
            <w:pPr>
              <w:pStyle w:val="Box"/>
              <w:rPr>
                <w:szCs w:val="24"/>
              </w:rPr>
            </w:pPr>
            <w:r w:rsidRPr="004E531E">
              <w:t>Each superannuation fund is able to offer one MySuper product with a single, diversified investment strategy (which may be a life</w:t>
            </w:r>
            <w:r w:rsidR="0042199C">
              <w:noBreakHyphen/>
            </w:r>
            <w:r w:rsidRPr="004E531E">
              <w:t xml:space="preserve">cycle strategy) and a standard set of fees available to all prospective members. However, employers are able to negotiate with funds to obtain a discounted administration fee for their employees. Funds also have the flexibility to offer employers with more than 500 employees a specific MySuper product tailored to the needs of a particular workplace. These tailored products </w:t>
            </w:r>
            <w:r w:rsidR="00AF38CF">
              <w:t>may</w:t>
            </w:r>
            <w:r w:rsidRPr="004E531E">
              <w:t xml:space="preserve"> differ from a fund’s main MySuper product in terms of investment strategy, member services and fees.</w:t>
            </w:r>
          </w:p>
          <w:p w14:paraId="71EB25C4" w14:textId="5D98698C" w:rsidR="00583DC8" w:rsidRPr="004E531E" w:rsidRDefault="00583DC8" w:rsidP="00AF38CF">
            <w:pPr>
              <w:pStyle w:val="Box"/>
              <w:rPr>
                <w:szCs w:val="24"/>
              </w:rPr>
            </w:pPr>
            <w:r w:rsidRPr="004E531E">
              <w:t>MySuper products are also required to offer a standard level of life and total and permanent disability insurance</w:t>
            </w:r>
            <w:r w:rsidR="00AF38CF">
              <w:t xml:space="preserve"> by default. M</w:t>
            </w:r>
            <w:r w:rsidRPr="004E531E">
              <w:t xml:space="preserve">embers </w:t>
            </w:r>
            <w:r w:rsidR="00AF38CF">
              <w:t xml:space="preserve">are </w:t>
            </w:r>
            <w:r w:rsidRPr="004E531E">
              <w:t>able to increase or decrease their insurance cover (if offered by the trustee) without having to leave the MySuper product.</w:t>
            </w:r>
          </w:p>
        </w:tc>
      </w:tr>
      <w:tr w:rsidR="00583DC8" w:rsidRPr="004E531E" w14:paraId="6678E23C" w14:textId="77777777" w:rsidTr="008A5950">
        <w:trPr>
          <w:cantSplit/>
        </w:trPr>
        <w:tc>
          <w:tcPr>
            <w:tcW w:w="8771" w:type="dxa"/>
            <w:tcBorders>
              <w:top w:val="nil"/>
              <w:left w:val="nil"/>
              <w:bottom w:val="single" w:sz="6" w:space="0" w:color="78A22F"/>
              <w:right w:val="nil"/>
            </w:tcBorders>
            <w:shd w:val="clear" w:color="auto" w:fill="F2F2F2"/>
          </w:tcPr>
          <w:p w14:paraId="66EB2860" w14:textId="77777777" w:rsidR="00583DC8" w:rsidRPr="004E531E" w:rsidRDefault="00583DC8" w:rsidP="008A5950">
            <w:pPr>
              <w:pStyle w:val="Box"/>
              <w:spacing w:before="0" w:line="120" w:lineRule="exact"/>
            </w:pPr>
          </w:p>
        </w:tc>
      </w:tr>
      <w:tr w:rsidR="00583DC8" w:rsidRPr="004E531E" w14:paraId="03CA147C" w14:textId="77777777" w:rsidTr="008A5950">
        <w:tc>
          <w:tcPr>
            <w:tcW w:w="8771" w:type="dxa"/>
            <w:tcBorders>
              <w:top w:val="single" w:sz="6" w:space="0" w:color="78A22F"/>
              <w:left w:val="nil"/>
              <w:bottom w:val="nil"/>
              <w:right w:val="nil"/>
            </w:tcBorders>
          </w:tcPr>
          <w:p w14:paraId="468BFF33" w14:textId="0350F7DB" w:rsidR="00583DC8" w:rsidRPr="004E531E" w:rsidRDefault="00583DC8" w:rsidP="008A5950">
            <w:pPr>
              <w:pStyle w:val="BoxSpaceBelow"/>
            </w:pPr>
          </w:p>
        </w:tc>
      </w:tr>
    </w:tbl>
    <w:p w14:paraId="22E4DA34" w14:textId="77777777" w:rsidR="00DC2276" w:rsidRPr="004E531E" w:rsidRDefault="00DC2276" w:rsidP="00DC2276">
      <w:pPr>
        <w:pStyle w:val="Heading3"/>
      </w:pPr>
      <w:r w:rsidRPr="004E531E">
        <w:t>Awards</w:t>
      </w:r>
    </w:p>
    <w:p w14:paraId="4AE763E4" w14:textId="0EB95526" w:rsidR="003E52FF" w:rsidRPr="004E531E" w:rsidRDefault="00020C08" w:rsidP="00DC2276">
      <w:pPr>
        <w:pStyle w:val="BodyText"/>
      </w:pPr>
      <w:r w:rsidRPr="004E531E">
        <w:t xml:space="preserve">For </w:t>
      </w:r>
      <w:r w:rsidR="00DC2276" w:rsidRPr="004E531E">
        <w:t>employees covered by modern awards</w:t>
      </w:r>
      <w:r w:rsidRPr="004E531E">
        <w:t>,</w:t>
      </w:r>
      <w:r w:rsidR="00DC2276" w:rsidRPr="004E531E">
        <w:t xml:space="preserve"> employers select a </w:t>
      </w:r>
      <w:r w:rsidR="009865C7">
        <w:t xml:space="preserve">default </w:t>
      </w:r>
      <w:r w:rsidR="00DC2276" w:rsidRPr="004E531E">
        <w:t>fund from a list compiled by the Fair Work Commission</w:t>
      </w:r>
      <w:r w:rsidR="00384E6A">
        <w:t xml:space="preserve"> for that relevant award</w:t>
      </w:r>
      <w:r w:rsidR="00DC2276" w:rsidRPr="004E531E">
        <w:t xml:space="preserve">. </w:t>
      </w:r>
      <w:r w:rsidR="009865C7">
        <w:t>The funds currently listed in awards are a result of the award modernisation process undertaken in 2008</w:t>
      </w:r>
      <w:r w:rsidR="0042199C">
        <w:noBreakHyphen/>
      </w:r>
      <w:r w:rsidR="009865C7">
        <w:t>09. By and large the funds listed in pre</w:t>
      </w:r>
      <w:r w:rsidR="0042199C">
        <w:noBreakHyphen/>
      </w:r>
      <w:r w:rsidR="009865C7">
        <w:t>reform awards were incorporated into the new awards with the consent of industrial parties</w:t>
      </w:r>
      <w:r w:rsidR="006B1304">
        <w:t>:</w:t>
      </w:r>
      <w:r w:rsidR="009865C7">
        <w:t xml:space="preserve"> employer representative bodies and unions. Legislative changes in 2013 mean that </w:t>
      </w:r>
      <w:r w:rsidR="009865C7" w:rsidRPr="004E531E">
        <w:t>a fund must offer a MySuper product</w:t>
      </w:r>
      <w:r w:rsidR="009865C7">
        <w:t xml:space="preserve"> to remain in the award</w:t>
      </w:r>
      <w:r w:rsidR="009865C7" w:rsidRPr="004E531E">
        <w:t>.</w:t>
      </w:r>
    </w:p>
    <w:p w14:paraId="4093D289" w14:textId="32143DE7" w:rsidR="00DC2276" w:rsidRPr="004E531E" w:rsidRDefault="00DC2276" w:rsidP="00DC2276">
      <w:pPr>
        <w:pStyle w:val="BodyText"/>
      </w:pPr>
      <w:r w:rsidRPr="004E531E">
        <w:t xml:space="preserve">Currently, </w:t>
      </w:r>
      <w:r w:rsidR="009865C7">
        <w:t>the vast majority</w:t>
      </w:r>
      <w:r w:rsidRPr="004E531E">
        <w:t xml:space="preserve"> of the 122 listed modern awards stipulate one or more default funds from which an employer may select one. Where an award does not list any funds, employers are free to choose any</w:t>
      </w:r>
      <w:r w:rsidR="009865C7">
        <w:t xml:space="preserve"> fund with a</w:t>
      </w:r>
      <w:r w:rsidRPr="004E531E">
        <w:t xml:space="preserve"> MySuper product as their default </w:t>
      </w:r>
      <w:r w:rsidR="00AB374E" w:rsidRPr="00AB374E">
        <w:rPr>
          <w:szCs w:val="24"/>
        </w:rPr>
        <w:t>(PC 2012)</w:t>
      </w:r>
      <w:r w:rsidRPr="004E531E">
        <w:t xml:space="preserve">. The Commission has previously reviewed the listing arrangements for default funds </w:t>
      </w:r>
      <w:r w:rsidR="00637BA8">
        <w:t>in</w:t>
      </w:r>
      <w:r w:rsidR="000F6859" w:rsidRPr="004E531E">
        <w:t xml:space="preserve"> </w:t>
      </w:r>
      <w:r w:rsidRPr="004E531E">
        <w:t>awards and recommended a competitive process (box </w:t>
      </w:r>
      <w:r w:rsidR="00C65284">
        <w:t>2</w:t>
      </w:r>
      <w:r w:rsidRPr="004E531E">
        <w:t>).</w:t>
      </w:r>
    </w:p>
    <w:p w14:paraId="02009CDA" w14:textId="61EDE735" w:rsidR="00DC2276" w:rsidRPr="004E531E" w:rsidRDefault="00DC2276" w:rsidP="00DC2276">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DC2276" w:rsidRPr="004E531E" w14:paraId="2041F9E7" w14:textId="77777777" w:rsidTr="00DC2276">
        <w:tc>
          <w:tcPr>
            <w:tcW w:w="8771" w:type="dxa"/>
            <w:tcBorders>
              <w:top w:val="single" w:sz="6" w:space="0" w:color="78A22F"/>
              <w:left w:val="nil"/>
              <w:bottom w:val="nil"/>
              <w:right w:val="nil"/>
            </w:tcBorders>
            <w:shd w:val="clear" w:color="auto" w:fill="F2F2F2"/>
          </w:tcPr>
          <w:p w14:paraId="6C8E0AD2" w14:textId="22FE6F6C" w:rsidR="00DC2276" w:rsidRPr="004E531E" w:rsidRDefault="00DC2276" w:rsidP="00CE2A3F">
            <w:pPr>
              <w:pStyle w:val="BoxTitle"/>
            </w:pPr>
            <w:r w:rsidRPr="004E531E">
              <w:rPr>
                <w:b w:val="0"/>
              </w:rPr>
              <w:t xml:space="preserve">Box </w:t>
            </w:r>
            <w:r w:rsidR="00617613" w:rsidRPr="004E531E">
              <w:rPr>
                <w:b w:val="0"/>
              </w:rPr>
              <w:fldChar w:fldCharType="begin"/>
            </w:r>
            <w:r w:rsidR="00617613" w:rsidRPr="004E531E">
              <w:rPr>
                <w:b w:val="0"/>
              </w:rPr>
              <w:instrText xml:space="preserve"> SEQ Box \* ARABIC </w:instrText>
            </w:r>
            <w:r w:rsidR="00617613" w:rsidRPr="004E531E">
              <w:rPr>
                <w:b w:val="0"/>
              </w:rPr>
              <w:fldChar w:fldCharType="separate"/>
            </w:r>
            <w:r w:rsidR="00705E15">
              <w:rPr>
                <w:b w:val="0"/>
                <w:noProof/>
              </w:rPr>
              <w:t>2</w:t>
            </w:r>
            <w:r w:rsidR="00617613" w:rsidRPr="004E531E">
              <w:rPr>
                <w:b w:val="0"/>
              </w:rPr>
              <w:fldChar w:fldCharType="end"/>
            </w:r>
            <w:r w:rsidRPr="004E531E">
              <w:tab/>
              <w:t>The Commission’s 2012 report on Default Superannuation Funds in Modern Awards</w:t>
            </w:r>
          </w:p>
        </w:tc>
      </w:tr>
      <w:tr w:rsidR="00DC2276" w:rsidRPr="004E531E" w14:paraId="0F827A67" w14:textId="77777777" w:rsidTr="00DC2276">
        <w:trPr>
          <w:cantSplit/>
        </w:trPr>
        <w:tc>
          <w:tcPr>
            <w:tcW w:w="8771" w:type="dxa"/>
            <w:tcBorders>
              <w:top w:val="nil"/>
              <w:left w:val="nil"/>
              <w:bottom w:val="nil"/>
              <w:right w:val="nil"/>
            </w:tcBorders>
            <w:shd w:val="clear" w:color="auto" w:fill="F2F2F2"/>
          </w:tcPr>
          <w:p w14:paraId="1E1CD4A2" w14:textId="7C225DF3" w:rsidR="00DC2276" w:rsidRPr="004E531E" w:rsidRDefault="00DC2276" w:rsidP="00DC2276">
            <w:pPr>
              <w:pStyle w:val="Box"/>
            </w:pPr>
            <w:r w:rsidRPr="004E531E">
              <w:t>In 2012, the Productivity Commission was tasked with designing criteria for the selection and ongoing assessment of superannuation funds eligible for nomination as default funds in modern awards. The Commission made a number of recommendations aimed at addressing concerns that the selection of default funds had hitherto often been based on precedent rather than merit, and to encourage improved performance and better outcomes for members through increased competition.</w:t>
            </w:r>
          </w:p>
          <w:p w14:paraId="531609CA" w14:textId="4F37C487" w:rsidR="00DC2276" w:rsidRPr="004E531E" w:rsidRDefault="00DC2276" w:rsidP="004C14C1">
            <w:pPr>
              <w:pStyle w:val="Box"/>
            </w:pPr>
            <w:r w:rsidRPr="004E531E">
              <w:t xml:space="preserve">In response to the report, the Australian Government in 2013 legislated a </w:t>
            </w:r>
            <w:r w:rsidR="004C14C1">
              <w:t xml:space="preserve">new review process </w:t>
            </w:r>
            <w:r w:rsidRPr="004E531E">
              <w:t>for choosing default superannuation funds, but these have not been implemented.</w:t>
            </w:r>
            <w:r w:rsidR="003E52FF" w:rsidRPr="004E531E">
              <w:t xml:space="preserve"> As a result, no new funds have been listed </w:t>
            </w:r>
            <w:r w:rsidR="004C14C1">
              <w:t>i</w:t>
            </w:r>
            <w:r w:rsidR="004C14C1" w:rsidRPr="004E531E">
              <w:t xml:space="preserve">n </w:t>
            </w:r>
            <w:r w:rsidR="003E52FF" w:rsidRPr="004E531E">
              <w:t>modern awards since then.</w:t>
            </w:r>
          </w:p>
        </w:tc>
      </w:tr>
      <w:tr w:rsidR="00DC2276" w:rsidRPr="004E531E" w14:paraId="2C24C244" w14:textId="77777777" w:rsidTr="00DC2276">
        <w:trPr>
          <w:cantSplit/>
        </w:trPr>
        <w:tc>
          <w:tcPr>
            <w:tcW w:w="8771" w:type="dxa"/>
            <w:tcBorders>
              <w:top w:val="nil"/>
              <w:left w:val="nil"/>
              <w:bottom w:val="nil"/>
              <w:right w:val="nil"/>
            </w:tcBorders>
            <w:shd w:val="clear" w:color="auto" w:fill="F2F2F2"/>
          </w:tcPr>
          <w:p w14:paraId="1B9E8A1A" w14:textId="7B122FD2" w:rsidR="00DC2276" w:rsidRPr="004E531E" w:rsidRDefault="00DC2276" w:rsidP="00DC2276">
            <w:pPr>
              <w:pStyle w:val="BoxSource"/>
            </w:pPr>
            <w:r w:rsidRPr="004E531E">
              <w:rPr>
                <w:i/>
              </w:rPr>
              <w:t>Source</w:t>
            </w:r>
            <w:r w:rsidR="00C65284">
              <w:rPr>
                <w:i/>
              </w:rPr>
              <w:t>s</w:t>
            </w:r>
            <w:r w:rsidRPr="0042199C">
              <w:t>:</w:t>
            </w:r>
            <w:r w:rsidRPr="004E531E">
              <w:rPr>
                <w:i/>
              </w:rPr>
              <w:t xml:space="preserve"> </w:t>
            </w:r>
            <w:r w:rsidRPr="004E531E">
              <w:t xml:space="preserve">PC </w:t>
            </w:r>
            <w:r w:rsidR="00AB374E" w:rsidRPr="00AB374E">
              <w:rPr>
                <w:rFonts w:cs="Arial"/>
              </w:rPr>
              <w:t>(2012)</w:t>
            </w:r>
            <w:r w:rsidRPr="004E531E">
              <w:t xml:space="preserve">; Ross </w:t>
            </w:r>
            <w:r w:rsidRPr="004E531E">
              <w:rPr>
                <w:rFonts w:cs="Arial"/>
              </w:rPr>
              <w:t>(2014)</w:t>
            </w:r>
            <w:r w:rsidR="000F6859">
              <w:t>.</w:t>
            </w:r>
          </w:p>
        </w:tc>
      </w:tr>
      <w:tr w:rsidR="00DC2276" w:rsidRPr="004E531E" w14:paraId="65B41574" w14:textId="77777777" w:rsidTr="00DC2276">
        <w:trPr>
          <w:cantSplit/>
        </w:trPr>
        <w:tc>
          <w:tcPr>
            <w:tcW w:w="8771" w:type="dxa"/>
            <w:tcBorders>
              <w:top w:val="nil"/>
              <w:left w:val="nil"/>
              <w:bottom w:val="single" w:sz="6" w:space="0" w:color="78A22F"/>
              <w:right w:val="nil"/>
            </w:tcBorders>
            <w:shd w:val="clear" w:color="auto" w:fill="F2F2F2"/>
          </w:tcPr>
          <w:p w14:paraId="193D74BC" w14:textId="77777777" w:rsidR="00DC2276" w:rsidRPr="004E531E" w:rsidRDefault="00DC2276" w:rsidP="00DC2276">
            <w:pPr>
              <w:pStyle w:val="Box"/>
              <w:spacing w:before="0" w:line="120" w:lineRule="exact"/>
            </w:pPr>
          </w:p>
        </w:tc>
      </w:tr>
      <w:tr w:rsidR="00DC2276" w:rsidRPr="004E531E" w14:paraId="6E984F87" w14:textId="77777777" w:rsidTr="00DC2276">
        <w:tc>
          <w:tcPr>
            <w:tcW w:w="8771" w:type="dxa"/>
            <w:tcBorders>
              <w:top w:val="single" w:sz="6" w:space="0" w:color="78A22F"/>
              <w:left w:val="nil"/>
              <w:bottom w:val="nil"/>
              <w:right w:val="nil"/>
            </w:tcBorders>
          </w:tcPr>
          <w:p w14:paraId="48A7F615" w14:textId="1E699053" w:rsidR="00DC2276" w:rsidRPr="004E531E" w:rsidRDefault="00DC2276" w:rsidP="00DC2276">
            <w:pPr>
              <w:pStyle w:val="BoxSpaceBelow"/>
            </w:pPr>
          </w:p>
        </w:tc>
      </w:tr>
    </w:tbl>
    <w:p w14:paraId="642FEE51" w14:textId="77777777" w:rsidR="00DC2276" w:rsidRPr="004E531E" w:rsidRDefault="00DC2276" w:rsidP="00DC2276">
      <w:pPr>
        <w:pStyle w:val="Heading3"/>
      </w:pPr>
      <w:r w:rsidRPr="004E531E">
        <w:t>Outside awards</w:t>
      </w:r>
    </w:p>
    <w:p w14:paraId="4CA2893B" w14:textId="7A5F45F2" w:rsidR="00DC2276" w:rsidRPr="004E531E" w:rsidRDefault="00DC2276" w:rsidP="0073677E">
      <w:pPr>
        <w:pStyle w:val="BodyText"/>
      </w:pPr>
      <w:r w:rsidRPr="004E531E">
        <w:t>Employees not covered by awards are generally subject to either an enterprise agreement or common law employment contract, or fall under a state</w:t>
      </w:r>
      <w:r w:rsidR="0042199C">
        <w:noBreakHyphen/>
      </w:r>
      <w:r w:rsidRPr="004E531E">
        <w:t>based system.</w:t>
      </w:r>
      <w:r w:rsidR="0073677E" w:rsidRPr="004E531E">
        <w:t xml:space="preserve"> Default fund selection under enterprise agreements is similar to that applying to awards, except that some </w:t>
      </w:r>
      <w:r w:rsidRPr="004E531E">
        <w:t>agreements stipulate a specific ‘named’ fund that all employees covered by the agreement must use.</w:t>
      </w:r>
    </w:p>
    <w:p w14:paraId="12776B09" w14:textId="0EDBD9D1" w:rsidR="00DC2276" w:rsidRPr="004E531E" w:rsidRDefault="00DC2276" w:rsidP="00DC2276">
      <w:pPr>
        <w:pStyle w:val="BodyText"/>
      </w:pPr>
      <w:r w:rsidRPr="004E531E">
        <w:t>For employees covered under common law employment contracts, state</w:t>
      </w:r>
      <w:r w:rsidRPr="004E531E">
        <w:noBreakHyphen/>
        <w:t>based awards, or other arrangements, employers can choose any fund as a default unless a fund is stipulated in the specific employment arrangement.</w:t>
      </w:r>
      <w:r w:rsidR="0073677E" w:rsidRPr="004E531E">
        <w:t xml:space="preserve"> The fund must </w:t>
      </w:r>
      <w:r w:rsidR="000F6859">
        <w:t>be licenced by the Australian Prudential Regulation Authority</w:t>
      </w:r>
      <w:r w:rsidR="002E385E">
        <w:t xml:space="preserve"> (APRA)</w:t>
      </w:r>
      <w:r w:rsidR="000F6859">
        <w:t xml:space="preserve"> and </w:t>
      </w:r>
      <w:r w:rsidR="0073677E" w:rsidRPr="004E531E">
        <w:t>offer a MySuper product.</w:t>
      </w:r>
    </w:p>
    <w:p w14:paraId="4E35787E" w14:textId="2F0D51AF" w:rsidR="00171495" w:rsidRPr="004E531E" w:rsidRDefault="0073677E" w:rsidP="00324531">
      <w:pPr>
        <w:pStyle w:val="Heading3"/>
      </w:pPr>
      <w:r w:rsidRPr="004E531E">
        <w:t xml:space="preserve">The </w:t>
      </w:r>
      <w:r w:rsidR="00122441" w:rsidRPr="004E531E">
        <w:t>rationale for</w:t>
      </w:r>
      <w:r w:rsidRPr="004E531E">
        <w:t xml:space="preserve"> defaults</w:t>
      </w:r>
    </w:p>
    <w:p w14:paraId="771AAC1C" w14:textId="42920356" w:rsidR="00122441" w:rsidRPr="004E531E" w:rsidRDefault="00122441" w:rsidP="0073677E">
      <w:pPr>
        <w:pStyle w:val="BodyText"/>
      </w:pPr>
      <w:r w:rsidRPr="004E531E">
        <w:t xml:space="preserve">The concept of defaults </w:t>
      </w:r>
      <w:r w:rsidR="00E72857" w:rsidRPr="004E531E">
        <w:t xml:space="preserve">(and their presence in workplace </w:t>
      </w:r>
      <w:r w:rsidR="00525D35">
        <w:t>instruments</w:t>
      </w:r>
      <w:r w:rsidR="00E72857" w:rsidRPr="004E531E">
        <w:t xml:space="preserve">) </w:t>
      </w:r>
      <w:r w:rsidRPr="004E531E">
        <w:t>has been integral to the development of Australia’s superannuation system</w:t>
      </w:r>
      <w:r w:rsidR="00F96FA5" w:rsidRPr="004E531E">
        <w:t>,</w:t>
      </w:r>
      <w:r w:rsidRPr="004E531E">
        <w:t xml:space="preserve"> </w:t>
      </w:r>
      <w:r w:rsidR="004917A4" w:rsidRPr="004E531E">
        <w:t>largely stemming from the decision to make superannuation compulsory</w:t>
      </w:r>
      <w:r w:rsidR="00020B7C" w:rsidRPr="004E531E">
        <w:t xml:space="preserve"> and the inherent complexity </w:t>
      </w:r>
      <w:r w:rsidR="001B5FDB">
        <w:t>that individual</w:t>
      </w:r>
      <w:r w:rsidR="001F52FE">
        <w:t>s</w:t>
      </w:r>
      <w:r w:rsidR="001B5FDB">
        <w:t xml:space="preserve"> face in</w:t>
      </w:r>
      <w:r w:rsidR="001B5FDB" w:rsidRPr="004E531E">
        <w:t xml:space="preserve"> </w:t>
      </w:r>
      <w:r w:rsidR="00020B7C" w:rsidRPr="004E531E">
        <w:t>making decisions about retirement incomes</w:t>
      </w:r>
      <w:r w:rsidR="004917A4" w:rsidRPr="004E531E">
        <w:t xml:space="preserve">. </w:t>
      </w:r>
      <w:r w:rsidR="00EC06FA" w:rsidRPr="004E531E">
        <w:t xml:space="preserve">Many employees </w:t>
      </w:r>
      <w:r w:rsidR="000C19FF">
        <w:t>appear</w:t>
      </w:r>
      <w:r w:rsidR="000C19FF" w:rsidRPr="004E531E">
        <w:t xml:space="preserve"> </w:t>
      </w:r>
      <w:r w:rsidR="00EC06FA" w:rsidRPr="004E531E">
        <w:t xml:space="preserve">disengaged from the superannuation system or </w:t>
      </w:r>
      <w:r w:rsidR="004378BB" w:rsidRPr="004E531E">
        <w:t>do</w:t>
      </w:r>
      <w:r w:rsidR="00EC06FA" w:rsidRPr="004E531E">
        <w:t xml:space="preserve"> not feel qualified to choose a fund</w:t>
      </w:r>
      <w:r w:rsidR="001B5FDB">
        <w:t>,</w:t>
      </w:r>
      <w:r w:rsidR="009F1979" w:rsidRPr="004E531E">
        <w:t xml:space="preserve"> and t</w:t>
      </w:r>
      <w:r w:rsidR="00110D07" w:rsidRPr="004E531E">
        <w:t>here is recognition that</w:t>
      </w:r>
      <w:r w:rsidR="00EC06FA" w:rsidRPr="004E531E">
        <w:t xml:space="preserve"> </w:t>
      </w:r>
      <w:r w:rsidR="00110D07" w:rsidRPr="004E531E">
        <w:t>poor choices</w:t>
      </w:r>
      <w:r w:rsidR="00EC06FA" w:rsidRPr="004E531E">
        <w:t xml:space="preserve"> of superannuation fund could </w:t>
      </w:r>
      <w:r w:rsidR="004378BB" w:rsidRPr="004E531E">
        <w:t>increase</w:t>
      </w:r>
      <w:r w:rsidR="00EC06FA" w:rsidRPr="004E531E">
        <w:t xml:space="preserve"> future reliance on the </w:t>
      </w:r>
      <w:r w:rsidR="006B7840">
        <w:t>A</w:t>
      </w:r>
      <w:r w:rsidR="00EC06FA" w:rsidRPr="004E531E">
        <w:t xml:space="preserve">ge </w:t>
      </w:r>
      <w:r w:rsidR="006B7840">
        <w:t>P</w:t>
      </w:r>
      <w:r w:rsidR="00EC06FA" w:rsidRPr="004E531E">
        <w:t xml:space="preserve">ension. </w:t>
      </w:r>
      <w:r w:rsidR="00110D07" w:rsidRPr="004E531E">
        <w:t xml:space="preserve">Default funds also </w:t>
      </w:r>
      <w:r w:rsidR="007C09CA" w:rsidRPr="004E531E">
        <w:t>potentially</w:t>
      </w:r>
      <w:r w:rsidR="00110D07" w:rsidRPr="004E531E">
        <w:t xml:space="preserve"> reduce the cost </w:t>
      </w:r>
      <w:r w:rsidR="000C19FF">
        <w:t xml:space="preserve">and complexity </w:t>
      </w:r>
      <w:r w:rsidR="00110D07" w:rsidRPr="004E531E">
        <w:t xml:space="preserve">for </w:t>
      </w:r>
      <w:r w:rsidR="004917A4" w:rsidRPr="004E531E">
        <w:t xml:space="preserve">employers </w:t>
      </w:r>
      <w:r w:rsidR="00110D07" w:rsidRPr="004E531E">
        <w:t>of complying with their Superannuation Guarantee obligations</w:t>
      </w:r>
      <w:r w:rsidR="006B7840">
        <w:t>.</w:t>
      </w:r>
      <w:r w:rsidR="00EC06FA" w:rsidRPr="004E531E">
        <w:t xml:space="preserve"> </w:t>
      </w:r>
      <w:r w:rsidR="004917A4" w:rsidRPr="004E531E">
        <w:t>The</w:t>
      </w:r>
      <w:r w:rsidR="00EC06FA" w:rsidRPr="004E531E">
        <w:t xml:space="preserve"> reliance on default funds</w:t>
      </w:r>
      <w:r w:rsidR="004917A4" w:rsidRPr="004E531E">
        <w:t xml:space="preserve"> </w:t>
      </w:r>
      <w:r w:rsidR="00110D07" w:rsidRPr="004E531E">
        <w:t xml:space="preserve">in the system </w:t>
      </w:r>
      <w:r w:rsidR="004917A4" w:rsidRPr="004E531E">
        <w:t xml:space="preserve">also </w:t>
      </w:r>
      <w:r w:rsidR="00EC06FA" w:rsidRPr="004E531E">
        <w:t xml:space="preserve">reflects </w:t>
      </w:r>
      <w:r w:rsidR="004917A4" w:rsidRPr="004E531E">
        <w:t>concerns from unions about non</w:t>
      </w:r>
      <w:r w:rsidR="00203E16" w:rsidRPr="004E531E">
        <w:noBreakHyphen/>
      </w:r>
      <w:r w:rsidR="004917A4" w:rsidRPr="004E531E">
        <w:t xml:space="preserve">compliance with superannuation obligations </w:t>
      </w:r>
      <w:r w:rsidR="00203E16" w:rsidRPr="004E531E">
        <w:t xml:space="preserve">by some employers </w:t>
      </w:r>
      <w:r w:rsidR="00F96FA5" w:rsidRPr="004E531E" w:rsidDel="00EC06FA">
        <w:t xml:space="preserve">in the absence of </w:t>
      </w:r>
      <w:r w:rsidR="003F7F59" w:rsidRPr="004E531E">
        <w:t xml:space="preserve">relatively straightforward </w:t>
      </w:r>
      <w:r w:rsidR="00F96FA5" w:rsidRPr="004E531E" w:rsidDel="00EC06FA">
        <w:t xml:space="preserve">default </w:t>
      </w:r>
      <w:r w:rsidR="00800AAD" w:rsidRPr="004E531E">
        <w:t>arrangements</w:t>
      </w:r>
      <w:r w:rsidR="00F96FA5" w:rsidRPr="004E531E">
        <w:t>.</w:t>
      </w:r>
    </w:p>
    <w:p w14:paraId="385E6F78" w14:textId="45D87DDF" w:rsidR="00122441" w:rsidRPr="004E531E" w:rsidRDefault="00122441" w:rsidP="0073677E">
      <w:pPr>
        <w:pStyle w:val="BodyText"/>
      </w:pPr>
      <w:r w:rsidRPr="004E531E">
        <w:t xml:space="preserve">However, </w:t>
      </w:r>
      <w:r w:rsidR="00020B7C" w:rsidRPr="004E531E">
        <w:t xml:space="preserve">the presence of defaults </w:t>
      </w:r>
      <w:r w:rsidRPr="004E531E">
        <w:t xml:space="preserve">also </w:t>
      </w:r>
      <w:r w:rsidR="00020B7C" w:rsidRPr="004E531E">
        <w:t xml:space="preserve">has </w:t>
      </w:r>
      <w:r w:rsidRPr="004E531E">
        <w:t xml:space="preserve">downsides </w:t>
      </w:r>
      <w:r w:rsidR="00020B7C" w:rsidRPr="004E531E">
        <w:t>for efficiency and competitiveness</w:t>
      </w:r>
      <w:r w:rsidRPr="004E531E">
        <w:t xml:space="preserve">. </w:t>
      </w:r>
    </w:p>
    <w:p w14:paraId="0F59796F" w14:textId="79F49A7A" w:rsidR="00020B7C" w:rsidRPr="004E531E" w:rsidRDefault="00020B7C" w:rsidP="00324531">
      <w:pPr>
        <w:pStyle w:val="ListBullet"/>
      </w:pPr>
      <w:r w:rsidRPr="004E531E">
        <w:t xml:space="preserve">Where default </w:t>
      </w:r>
      <w:r w:rsidR="00B7761C">
        <w:t>products</w:t>
      </w:r>
      <w:r w:rsidR="00B7761C" w:rsidRPr="004E531E">
        <w:t xml:space="preserve"> </w:t>
      </w:r>
      <w:r w:rsidRPr="004E531E">
        <w:t xml:space="preserve">are largely homogenous, they </w:t>
      </w:r>
      <w:r w:rsidR="00F3638A">
        <w:t>might</w:t>
      </w:r>
      <w:r w:rsidR="00F3638A" w:rsidRPr="004E531E">
        <w:t xml:space="preserve"> </w:t>
      </w:r>
      <w:r w:rsidRPr="004E531E">
        <w:t xml:space="preserve">not meet the needs of members who have </w:t>
      </w:r>
      <w:r w:rsidR="00540751">
        <w:t xml:space="preserve">diverse characteristics and needs </w:t>
      </w:r>
      <w:r w:rsidR="00AB374E" w:rsidRPr="00AB374E">
        <w:rPr>
          <w:szCs w:val="24"/>
        </w:rPr>
        <w:t>(PC 2012)</w:t>
      </w:r>
      <w:r w:rsidRPr="004E531E">
        <w:t>. Further, relying on third parties to make decisions on employees’ behalf can lead to principal</w:t>
      </w:r>
      <w:r w:rsidR="006C36F0">
        <w:t>–</w:t>
      </w:r>
      <w:r w:rsidRPr="004E531E">
        <w:t>agent problems.</w:t>
      </w:r>
    </w:p>
    <w:p w14:paraId="79CF94D0" w14:textId="272026BF" w:rsidR="00020B7C" w:rsidRPr="004E531E" w:rsidRDefault="00AE1637" w:rsidP="00324531">
      <w:pPr>
        <w:pStyle w:val="ListBullet"/>
      </w:pPr>
      <w:r>
        <w:t>O</w:t>
      </w:r>
      <w:r w:rsidR="006061B8" w:rsidRPr="007B1E73">
        <w:t>n the demand side</w:t>
      </w:r>
      <w:r>
        <w:t>,</w:t>
      </w:r>
      <w:r w:rsidR="006061B8" w:rsidRPr="007B1E73">
        <w:t xml:space="preserve"> </w:t>
      </w:r>
      <w:r w:rsidR="006061B8" w:rsidRPr="00BB1252">
        <w:t>the use of defaults may diminish active participation</w:t>
      </w:r>
      <w:r>
        <w:t xml:space="preserve"> by members</w:t>
      </w:r>
      <w:r w:rsidR="006061B8" w:rsidRPr="00BB1252">
        <w:t xml:space="preserve">, </w:t>
      </w:r>
      <w:r>
        <w:t>making them less responsive</w:t>
      </w:r>
      <w:r w:rsidR="006061B8" w:rsidRPr="00BB1252">
        <w:t xml:space="preserve"> to pri</w:t>
      </w:r>
      <w:r w:rsidR="006061B8" w:rsidRPr="004E531E">
        <w:t xml:space="preserve">ce signals and other elements of </w:t>
      </w:r>
      <w:r>
        <w:t xml:space="preserve">fund </w:t>
      </w:r>
      <w:r w:rsidR="006061B8" w:rsidRPr="004E531E">
        <w:t xml:space="preserve">performance. This could lead to the persistence of high fees, low quality products, and the subsequent erosion of member balances over time. On the supply side, regulatory arrangements surrounding default funds create barriers to entry for firms wishing to participate. These could diminish the incentives of default funds to perform well, and exacerbate problems caused by </w:t>
      </w:r>
      <w:r>
        <w:t>muted</w:t>
      </w:r>
      <w:r w:rsidR="006061B8" w:rsidRPr="004E531E">
        <w:t xml:space="preserve"> demand</w:t>
      </w:r>
      <w:r w:rsidR="0042199C">
        <w:noBreakHyphen/>
      </w:r>
      <w:r w:rsidR="006061B8" w:rsidRPr="004E531E">
        <w:t xml:space="preserve">side competition. </w:t>
      </w:r>
    </w:p>
    <w:p w14:paraId="407CBECF" w14:textId="5E2F778F" w:rsidR="00FA0E63" w:rsidRDefault="00F73049" w:rsidP="00324531">
      <w:pPr>
        <w:pStyle w:val="BodyText"/>
      </w:pPr>
      <w:r>
        <w:t xml:space="preserve">Some of the original rationales for </w:t>
      </w:r>
      <w:r w:rsidR="00540751">
        <w:t xml:space="preserve">the current </w:t>
      </w:r>
      <w:r>
        <w:t xml:space="preserve">default </w:t>
      </w:r>
      <w:r w:rsidR="00540751">
        <w:t xml:space="preserve">architecture </w:t>
      </w:r>
      <w:r>
        <w:t>are no longer as relevant</w:t>
      </w:r>
      <w:r w:rsidR="00AE1637">
        <w:t xml:space="preserve"> today</w:t>
      </w:r>
      <w:r>
        <w:t>. The system has matured significantly</w:t>
      </w:r>
      <w:r w:rsidR="008361C0">
        <w:t xml:space="preserve"> over the past quarter century</w:t>
      </w:r>
      <w:r>
        <w:t xml:space="preserve">, </w:t>
      </w:r>
      <w:r w:rsidR="000478A5">
        <w:t xml:space="preserve">with accompanying improvements in transparency and compliance. Australians </w:t>
      </w:r>
      <w:r>
        <w:t xml:space="preserve">are </w:t>
      </w:r>
      <w:r w:rsidR="000478A5">
        <w:t xml:space="preserve">much </w:t>
      </w:r>
      <w:r w:rsidR="008361C0">
        <w:t>more familiar with the concept of superannuation and its working</w:t>
      </w:r>
      <w:r w:rsidR="000478A5">
        <w:t>s</w:t>
      </w:r>
      <w:r w:rsidR="008361C0">
        <w:t xml:space="preserve">. </w:t>
      </w:r>
      <w:r w:rsidR="000478A5">
        <w:t xml:space="preserve">However, retirement decision making remains very complex. </w:t>
      </w:r>
    </w:p>
    <w:p w14:paraId="22A10531" w14:textId="545F5005" w:rsidR="00F73049" w:rsidRDefault="00D23C21" w:rsidP="00324531">
      <w:pPr>
        <w:pStyle w:val="BodyText"/>
        <w:rPr>
          <w:i/>
        </w:rPr>
      </w:pPr>
      <w:r>
        <w:t>Having no defaults is our preferred, objective baseline for this inquiry. Alternative allocative models would be assessed against this baseline, and their relative performance against the assessment criteria</w:t>
      </w:r>
      <w:r w:rsidR="00384E6A">
        <w:t xml:space="preserve"> identified below</w:t>
      </w:r>
      <w:r>
        <w:t xml:space="preserve">. The current default selection process could also be assessed in a similar way (including compared to this baseline) in stage 3. </w:t>
      </w:r>
      <w:r w:rsidR="00384E6A">
        <w:t xml:space="preserve">All alternatives to the baseline could bring potential costs and benefits, and the assessment would need to examine who bears these costs, as well as who reaps the benefits of the alternatives. </w:t>
      </w:r>
    </w:p>
    <w:p w14:paraId="40F1AE4E" w14:textId="77777777" w:rsidR="007A28CD" w:rsidRPr="00637BA8" w:rsidRDefault="007A28CD" w:rsidP="00637BA8">
      <w:pPr>
        <w:pStyle w:val="BodyText"/>
      </w:pPr>
      <w:r>
        <w:br w:type="page"/>
      </w:r>
    </w:p>
    <w:p w14:paraId="4476516A" w14:textId="0D4C3DF6" w:rsidR="003B403B" w:rsidRPr="004E531E" w:rsidRDefault="00CE2A3F" w:rsidP="003B403B">
      <w:pPr>
        <w:pStyle w:val="Heading2"/>
      </w:pPr>
      <w:r>
        <w:t>3</w:t>
      </w:r>
      <w:r w:rsidR="00535B43" w:rsidRPr="004E531E">
        <w:tab/>
      </w:r>
      <w:r w:rsidR="003B403B" w:rsidRPr="004E531E">
        <w:t>Developing alternative allocation models</w:t>
      </w:r>
    </w:p>
    <w:p w14:paraId="122D7704" w14:textId="57FACA91" w:rsidR="009B167A" w:rsidRPr="00B64045" w:rsidRDefault="009B167A" w:rsidP="009B167A">
      <w:pPr>
        <w:pStyle w:val="BodyText"/>
      </w:pPr>
      <w:r w:rsidRPr="004E531E">
        <w:t xml:space="preserve">For the purposes of this inquiry, the Commission will be developing models to allocate </w:t>
      </w:r>
      <w:r w:rsidRPr="004E531E">
        <w:rPr>
          <w:i/>
        </w:rPr>
        <w:t>default fund members</w:t>
      </w:r>
      <w:r w:rsidRPr="004E531E">
        <w:t xml:space="preserve"> (employees who do not make an active choice about their superannuation fund) to </w:t>
      </w:r>
      <w:r w:rsidRPr="004E531E">
        <w:rPr>
          <w:i/>
        </w:rPr>
        <w:t>default</w:t>
      </w:r>
      <w:r w:rsidRPr="004E531E">
        <w:t xml:space="preserve"> </w:t>
      </w:r>
      <w:r w:rsidRPr="004E531E">
        <w:rPr>
          <w:i/>
        </w:rPr>
        <w:t>products</w:t>
      </w:r>
      <w:r w:rsidR="00251408" w:rsidRPr="004E531E">
        <w:t>. T</w:t>
      </w:r>
      <w:r w:rsidRPr="004E531E">
        <w:t xml:space="preserve">here is no intermediate decision of </w:t>
      </w:r>
      <w:r w:rsidR="00F823DD" w:rsidRPr="004E531E">
        <w:t xml:space="preserve">selecting </w:t>
      </w:r>
      <w:r w:rsidRPr="004E531E">
        <w:t>a default fund.</w:t>
      </w:r>
    </w:p>
    <w:p w14:paraId="0A1E1B90" w14:textId="68F2AFDF" w:rsidR="003B403B" w:rsidRPr="007B1E73" w:rsidRDefault="006651B8" w:rsidP="003B403B">
      <w:pPr>
        <w:pStyle w:val="BodyText"/>
      </w:pPr>
      <w:r w:rsidRPr="00B64045">
        <w:t>In developing</w:t>
      </w:r>
      <w:r w:rsidR="003B403B" w:rsidRPr="007B1E73">
        <w:t xml:space="preserve"> a set of alternative models</w:t>
      </w:r>
      <w:r w:rsidR="009B167A" w:rsidRPr="00BB1252">
        <w:t>,</w:t>
      </w:r>
      <w:r w:rsidR="003B403B" w:rsidRPr="004E531E">
        <w:t xml:space="preserve"> </w:t>
      </w:r>
      <w:r w:rsidRPr="004E531E">
        <w:t xml:space="preserve">the Commission </w:t>
      </w:r>
      <w:r w:rsidR="003B403B" w:rsidRPr="004E531E">
        <w:t xml:space="preserve">will </w:t>
      </w:r>
      <w:r w:rsidRPr="004E531E">
        <w:t>use</w:t>
      </w:r>
      <w:r w:rsidR="003B403B" w:rsidRPr="004E531E">
        <w:t xml:space="preserve"> an iterative process: designing specific models, assessing those models against a set of criteria, and then using that assessment to fine</w:t>
      </w:r>
      <w:r w:rsidR="003B403B" w:rsidRPr="004E531E">
        <w:noBreakHyphen/>
        <w:t>tune the models (figure </w:t>
      </w:r>
      <w:r w:rsidR="00E81E77" w:rsidRPr="004E531E">
        <w:t>3</w:t>
      </w:r>
      <w:r w:rsidR="003B403B" w:rsidRPr="007B1E73">
        <w:t>).</w:t>
      </w:r>
      <w:r w:rsidR="00D23C21">
        <w:t xml:space="preserve"> As such, the assessment framework is embedded in the model development process.</w:t>
      </w:r>
    </w:p>
    <w:p w14:paraId="6C57F24B" w14:textId="3FC43C8B" w:rsidR="00A63D2B" w:rsidRPr="004E531E" w:rsidRDefault="00A63D2B" w:rsidP="00615361">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A63D2B" w:rsidRPr="004E531E" w14:paraId="46552886" w14:textId="77777777" w:rsidTr="00615361">
        <w:tc>
          <w:tcPr>
            <w:tcW w:w="8771" w:type="dxa"/>
            <w:tcBorders>
              <w:top w:val="single" w:sz="6" w:space="0" w:color="78A22F"/>
              <w:left w:val="nil"/>
              <w:bottom w:val="nil"/>
              <w:right w:val="nil"/>
            </w:tcBorders>
            <w:shd w:val="clear" w:color="auto" w:fill="auto"/>
          </w:tcPr>
          <w:p w14:paraId="18245ECA" w14:textId="6513B71E" w:rsidR="00A63D2B" w:rsidRPr="004E531E" w:rsidRDefault="00A63D2B" w:rsidP="00CE2A3F">
            <w:pPr>
              <w:pStyle w:val="FigureTitle"/>
            </w:pPr>
            <w:r w:rsidRPr="004E531E">
              <w:rPr>
                <w:b w:val="0"/>
              </w:rPr>
              <w:t xml:space="preserve">Figure </w:t>
            </w:r>
            <w:r w:rsidR="00CE2A3F">
              <w:rPr>
                <w:b w:val="0"/>
              </w:rPr>
              <w:t>3</w:t>
            </w:r>
            <w:r w:rsidR="00E07D1F" w:rsidRPr="004E531E">
              <w:tab/>
              <w:t>The Commission’s process to develop allocation models</w:t>
            </w:r>
          </w:p>
        </w:tc>
      </w:tr>
      <w:tr w:rsidR="00A63D2B" w:rsidRPr="004E531E" w14:paraId="0BC98AE9" w14:textId="77777777" w:rsidTr="00615361">
        <w:tc>
          <w:tcPr>
            <w:tcW w:w="8771" w:type="dxa"/>
            <w:tcBorders>
              <w:top w:val="nil"/>
              <w:left w:val="nil"/>
              <w:bottom w:val="nil"/>
              <w:right w:val="nil"/>
            </w:tcBorders>
            <w:shd w:val="clear" w:color="auto" w:fill="auto"/>
            <w:tcMar>
              <w:top w:w="28" w:type="dxa"/>
              <w:bottom w:w="28" w:type="dxa"/>
            </w:tcMar>
          </w:tcPr>
          <w:tbl>
            <w:tblPr>
              <w:tblW w:w="8504" w:type="dxa"/>
              <w:jc w:val="center"/>
              <w:tblBorders>
                <w:top w:val="single" w:sz="6" w:space="0" w:color="F2F2F2" w:themeColor="accent4"/>
                <w:bottom w:val="single" w:sz="6" w:space="0" w:color="F2F2F2" w:themeColor="accent4"/>
              </w:tblBorders>
              <w:tblLayout w:type="fixed"/>
              <w:tblCellMar>
                <w:top w:w="28" w:type="dxa"/>
                <w:left w:w="0" w:type="dxa"/>
                <w:right w:w="0" w:type="dxa"/>
              </w:tblCellMar>
              <w:tblLook w:val="0000" w:firstRow="0" w:lastRow="0" w:firstColumn="0" w:lastColumn="0" w:noHBand="0" w:noVBand="0"/>
            </w:tblPr>
            <w:tblGrid>
              <w:gridCol w:w="8504"/>
            </w:tblGrid>
            <w:tr w:rsidR="00A63D2B" w:rsidRPr="004E531E" w14:paraId="4A118F81" w14:textId="77777777" w:rsidTr="00615361">
              <w:trPr>
                <w:jc w:val="center"/>
              </w:trPr>
              <w:tc>
                <w:tcPr>
                  <w:tcW w:w="5000" w:type="pct"/>
                  <w:tcBorders>
                    <w:top w:val="nil"/>
                    <w:bottom w:val="nil"/>
                  </w:tcBorders>
                </w:tcPr>
                <w:p w14:paraId="4C007EE9" w14:textId="5547C9C9" w:rsidR="00A63D2B" w:rsidRPr="004E531E" w:rsidRDefault="003050D2" w:rsidP="00615361">
                  <w:pPr>
                    <w:pStyle w:val="Figure"/>
                    <w:spacing w:before="60" w:after="60"/>
                  </w:pPr>
                  <w:r>
                    <w:rPr>
                      <w:noProof/>
                    </w:rPr>
                    <w:drawing>
                      <wp:inline distT="0" distB="0" distL="0" distR="0" wp14:anchorId="1B05BCB8" wp14:editId="188BC9F2">
                        <wp:extent cx="4883785" cy="5534660"/>
                        <wp:effectExtent l="0" t="0" r="0" b="8890"/>
                        <wp:docPr id="3" name="Picture 3" descr="This flow chart shows the Commission’s process to develop allocation models that involves two parts that iterate back and forth to refine the model design: First designing the model and second assessing the model against various criteria, such as member interests, competition and system wide costs. Under the first process of model design, the Commission has developed three threshold questions to guide its design process through all of the model components available. The first question asks: which employees are considered default members? The second question asks: which products are eligible to become defaults? At this threshold the Commission can choose a market based (for example, a tender) or administrative (for example, minimum standard) mechanism. The last question asks: how are employees allocated default products? This allocation process can be done by employees themselves, employers, the government or an automatic allocation from the mechanism at the second threshold question." title="Commission’s process to develop allocation mod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883785" cy="5534660"/>
                                </a:xfrm>
                                <a:prstGeom prst="rect">
                                  <a:avLst/>
                                </a:prstGeom>
                                <a:noFill/>
                                <a:ln>
                                  <a:noFill/>
                                </a:ln>
                              </pic:spPr>
                            </pic:pic>
                          </a:graphicData>
                        </a:graphic>
                      </wp:inline>
                    </w:drawing>
                  </w:r>
                </w:p>
              </w:tc>
            </w:tr>
          </w:tbl>
          <w:p w14:paraId="1EBB200E" w14:textId="77777777" w:rsidR="00A63D2B" w:rsidRPr="004E531E" w:rsidRDefault="00A63D2B" w:rsidP="00615361">
            <w:pPr>
              <w:pStyle w:val="Figure"/>
            </w:pPr>
          </w:p>
        </w:tc>
      </w:tr>
      <w:tr w:rsidR="00A63D2B" w:rsidRPr="004E531E" w14:paraId="5957A0DD" w14:textId="77777777" w:rsidTr="00615361">
        <w:tc>
          <w:tcPr>
            <w:tcW w:w="8771" w:type="dxa"/>
            <w:tcBorders>
              <w:top w:val="nil"/>
              <w:left w:val="nil"/>
              <w:bottom w:val="single" w:sz="6" w:space="0" w:color="78A22F"/>
              <w:right w:val="nil"/>
            </w:tcBorders>
            <w:shd w:val="clear" w:color="auto" w:fill="auto"/>
          </w:tcPr>
          <w:p w14:paraId="16370F6E" w14:textId="77777777" w:rsidR="00A63D2B" w:rsidRPr="004E531E" w:rsidRDefault="00A63D2B" w:rsidP="00615361">
            <w:pPr>
              <w:pStyle w:val="Figurespace"/>
            </w:pPr>
          </w:p>
        </w:tc>
      </w:tr>
      <w:tr w:rsidR="00A63D2B" w:rsidRPr="004E531E" w14:paraId="0459171D" w14:textId="77777777" w:rsidTr="00615361">
        <w:tc>
          <w:tcPr>
            <w:tcW w:w="8771" w:type="dxa"/>
            <w:tcBorders>
              <w:top w:val="single" w:sz="6" w:space="0" w:color="78A22F"/>
              <w:left w:val="nil"/>
              <w:bottom w:val="nil"/>
              <w:right w:val="nil"/>
            </w:tcBorders>
          </w:tcPr>
          <w:p w14:paraId="11C31714" w14:textId="50E6037C" w:rsidR="00A63D2B" w:rsidRPr="004E531E" w:rsidRDefault="00A63D2B" w:rsidP="00615361">
            <w:pPr>
              <w:pStyle w:val="BoxSpaceBelow"/>
            </w:pPr>
          </w:p>
        </w:tc>
      </w:tr>
    </w:tbl>
    <w:p w14:paraId="3F52EFDC" w14:textId="77777777" w:rsidR="00EE4F0C" w:rsidRPr="004E531E" w:rsidRDefault="00EE4F0C" w:rsidP="00EE4F0C">
      <w:pPr>
        <w:pStyle w:val="Heading3"/>
      </w:pPr>
      <w:r w:rsidRPr="004E531E">
        <w:t>Criteria for assessing alternative models</w:t>
      </w:r>
    </w:p>
    <w:p w14:paraId="6BC89A58" w14:textId="48395F6C" w:rsidR="00EE4F0C" w:rsidRDefault="00EE4F0C" w:rsidP="00EE4F0C">
      <w:pPr>
        <w:pStyle w:val="BodyText"/>
      </w:pPr>
      <w:r w:rsidRPr="004E531E">
        <w:t xml:space="preserve">The ultimate objective of default arrangements is to improve the efficiency of the superannuation system and, by extension, the wellbeing of the community as a whole. In developing alternative models, the Commission will be guided by this overarching objective, as well as the detailed principles and considerations set out in the terms of reference. It will also be informed by the criteria for assessing the competitiveness and efficiency of the superannuation system that are being developed as part of the stage 1 study </w:t>
      </w:r>
      <w:r w:rsidRPr="00F97098">
        <w:rPr>
          <w:szCs w:val="24"/>
        </w:rPr>
        <w:t>(PC 2016)</w:t>
      </w:r>
      <w:r>
        <w:t>.</w:t>
      </w:r>
    </w:p>
    <w:p w14:paraId="09D6107E" w14:textId="77777777" w:rsidR="00EE4F0C" w:rsidRPr="004E531E" w:rsidRDefault="00EE4F0C" w:rsidP="00EE4F0C">
      <w:pPr>
        <w:pStyle w:val="BodyText"/>
      </w:pPr>
      <w:r w:rsidRPr="004E531E">
        <w:t>The Commission proposes to assess alternative models against five criteria:</w:t>
      </w:r>
    </w:p>
    <w:p w14:paraId="74436240" w14:textId="31F2CC2D" w:rsidR="00EE4F0C" w:rsidRPr="004E531E" w:rsidRDefault="00EE4F0C" w:rsidP="00EE4F0C">
      <w:pPr>
        <w:pStyle w:val="ListBullet"/>
      </w:pPr>
      <w:r w:rsidRPr="004E531E">
        <w:rPr>
          <w:b/>
          <w:i/>
        </w:rPr>
        <w:t>members’ best interests</w:t>
      </w:r>
      <w:r w:rsidRPr="004E531E">
        <w:t>: meeting the best interests of members, by maximising long</w:t>
      </w:r>
      <w:r w:rsidRPr="004E531E">
        <w:noBreakHyphen/>
        <w:t xml:space="preserve">term </w:t>
      </w:r>
      <w:r w:rsidR="00DA6531">
        <w:t>net</w:t>
      </w:r>
      <w:r w:rsidRPr="004E531E">
        <w:t xml:space="preserve"> returns and allocating members to products that meet their needs</w:t>
      </w:r>
    </w:p>
    <w:p w14:paraId="581D1F18" w14:textId="77777777" w:rsidR="00EE4F0C" w:rsidRPr="004E531E" w:rsidRDefault="00EE4F0C" w:rsidP="00EE4F0C">
      <w:pPr>
        <w:pStyle w:val="ListBullet"/>
      </w:pPr>
      <w:r w:rsidRPr="004E531E">
        <w:rPr>
          <w:b/>
          <w:i/>
        </w:rPr>
        <w:t>competition</w:t>
      </w:r>
      <w:r w:rsidRPr="004E531E">
        <w:t>: fostering competition between funds that drives innovation and cost reductions, facilitates new entrants to the market</w:t>
      </w:r>
      <w:r>
        <w:t xml:space="preserve"> (contestability)</w:t>
      </w:r>
      <w:r w:rsidRPr="004E531E">
        <w:t xml:space="preserve"> and leads to efficient long</w:t>
      </w:r>
      <w:r w:rsidRPr="004E531E">
        <w:noBreakHyphen/>
        <w:t>term outcomes</w:t>
      </w:r>
    </w:p>
    <w:p w14:paraId="703EC07F" w14:textId="77777777" w:rsidR="00EE4F0C" w:rsidRPr="004E531E" w:rsidRDefault="00EE4F0C" w:rsidP="00EE4F0C">
      <w:pPr>
        <w:pStyle w:val="ListBullet"/>
      </w:pPr>
      <w:r w:rsidRPr="004E531E">
        <w:rPr>
          <w:b/>
          <w:i/>
        </w:rPr>
        <w:t>integrity</w:t>
      </w:r>
      <w:r w:rsidRPr="004E531E">
        <w:t>: minimising scope for the allocation process to be manipulated (or ‘gamed’), including by using clear metrics that are difficult to dispute and by holding funds accountable for the outcomes they deliver to members</w:t>
      </w:r>
    </w:p>
    <w:p w14:paraId="326BADBE" w14:textId="77777777" w:rsidR="00EE4F0C" w:rsidRPr="004E531E" w:rsidRDefault="00EE4F0C" w:rsidP="00EE4F0C">
      <w:pPr>
        <w:pStyle w:val="ListBullet"/>
      </w:pPr>
      <w:r w:rsidRPr="004E531E">
        <w:rPr>
          <w:b/>
          <w:i/>
        </w:rPr>
        <w:t>stability</w:t>
      </w:r>
      <w:r w:rsidRPr="004E531E">
        <w:t>: supporting a stable superannuation system, including by building trust and confidence in funds regulated by APRA</w:t>
      </w:r>
    </w:p>
    <w:p w14:paraId="67F51130" w14:textId="77777777" w:rsidR="00EE4F0C" w:rsidRPr="004E531E" w:rsidRDefault="00EE4F0C" w:rsidP="00EE4F0C">
      <w:pPr>
        <w:pStyle w:val="ListBullet"/>
      </w:pPr>
      <w:r w:rsidRPr="004E531E">
        <w:rPr>
          <w:b/>
          <w:i/>
        </w:rPr>
        <w:t>system</w:t>
      </w:r>
      <w:r w:rsidRPr="004E531E">
        <w:rPr>
          <w:b/>
          <w:i/>
        </w:rPr>
        <w:noBreakHyphen/>
        <w:t>wide costs</w:t>
      </w:r>
      <w:r w:rsidRPr="004E531E">
        <w:t xml:space="preserve">: minimising the total costs to members, employers and funds, including costs associated with regulatory compliance, complexity, ‘churn’ and ‘gaming’, and minimising costs to government of implementing and administering the models. </w:t>
      </w:r>
    </w:p>
    <w:p w14:paraId="3FA13CFF" w14:textId="4CAFE860" w:rsidR="00EE4F0C" w:rsidRPr="004E531E" w:rsidRDefault="00D23C21" w:rsidP="00EE4F0C">
      <w:pPr>
        <w:pStyle w:val="BodyText"/>
      </w:pPr>
      <w:r>
        <w:t xml:space="preserve">The five criteria collectively capture competition and efficiency. </w:t>
      </w:r>
      <w:r w:rsidR="00EE4F0C" w:rsidRPr="004E531E">
        <w:t>These criteria essentially relate to the benefits and costs of each model</w:t>
      </w:r>
      <w:r w:rsidR="00EE4F0C">
        <w:t xml:space="preserve">, and </w:t>
      </w:r>
      <w:r w:rsidR="00EE4F0C" w:rsidRPr="004E531E">
        <w:t>will be assessed from the perspective of the community as a whole</w:t>
      </w:r>
      <w:r w:rsidR="00EE4F0C">
        <w:t xml:space="preserve">. </w:t>
      </w:r>
      <w:r w:rsidR="00D33C67">
        <w:t>As noted, t</w:t>
      </w:r>
      <w:r w:rsidR="00EE4F0C">
        <w:t>he Commission proposes to assess benefits and costs</w:t>
      </w:r>
      <w:r w:rsidR="00EE4F0C" w:rsidRPr="004E531E">
        <w:t xml:space="preserve"> relative to a baseline scenario of no default system. </w:t>
      </w:r>
    </w:p>
    <w:p w14:paraId="27ADE552" w14:textId="48BA98AB" w:rsidR="00EE4F0C" w:rsidRPr="004E531E" w:rsidRDefault="00EE4F0C" w:rsidP="00EE4F0C">
      <w:pPr>
        <w:pStyle w:val="BodyText"/>
      </w:pPr>
      <w:r w:rsidRPr="004E531E">
        <w:t>The Commission is also required to have regard to fiscal costs and risks to the Government, including the extent to which a competitive process can reduce reliance on the Age Pension. The main fiscal risk posed by default arrangements is that funds do not maximise net returns for members or</w:t>
      </w:r>
      <w:r w:rsidR="006B1304">
        <w:t>,</w:t>
      </w:r>
      <w:r w:rsidRPr="004E531E">
        <w:t xml:space="preserve"> in the extreme, become insolvent. The Commission thus proposes to interpret this part of the terms of reference to mean that the model should deliver competitive returns on members’ balances and not create undue systemic risk.</w:t>
      </w:r>
    </w:p>
    <w:p w14:paraId="554336BB" w14:textId="4A2A6C87" w:rsidR="00EE4F0C" w:rsidRPr="004E531E" w:rsidRDefault="00EE4F0C" w:rsidP="00EE4F0C">
      <w:pPr>
        <w:pStyle w:val="BodyText"/>
      </w:pPr>
      <w:r w:rsidRPr="004E531E">
        <w:t>In balancing the criteria above, trade</w:t>
      </w:r>
      <w:r w:rsidR="0042199C">
        <w:noBreakHyphen/>
      </w:r>
      <w:r w:rsidRPr="004E531E">
        <w:t xml:space="preserve">offs may arise. For example, </w:t>
      </w:r>
      <w:r w:rsidR="0037785B" w:rsidRPr="004E531E">
        <w:t xml:space="preserve">models that are administratively simple could be lower cost to implement, </w:t>
      </w:r>
      <w:r w:rsidR="00F24E59">
        <w:t xml:space="preserve">but </w:t>
      </w:r>
      <w:r w:rsidR="0037785B" w:rsidRPr="004E531E">
        <w:t xml:space="preserve">they could </w:t>
      </w:r>
      <w:r w:rsidR="00D23C21">
        <w:t xml:space="preserve">in some cases </w:t>
      </w:r>
      <w:r w:rsidR="0037785B" w:rsidRPr="004E531E">
        <w:t>be more prone to manipulation</w:t>
      </w:r>
      <w:r w:rsidR="0037785B">
        <w:t>.</w:t>
      </w:r>
      <w:r w:rsidR="0037785B" w:rsidRPr="004E531E">
        <w:t xml:space="preserve"> </w:t>
      </w:r>
      <w:r w:rsidR="0037785B">
        <w:t>R</w:t>
      </w:r>
      <w:r w:rsidRPr="004E531E">
        <w:t xml:space="preserve">epeating a process more frequently would increase contestability, but could also reduce stability in the wider market and increase the administrative costs of running the process. </w:t>
      </w:r>
      <w:r>
        <w:t xml:space="preserve">Moreover, losing default status could subsequently affect </w:t>
      </w:r>
      <w:r w:rsidR="00D33C67">
        <w:t xml:space="preserve">a </w:t>
      </w:r>
      <w:r>
        <w:t>fund</w:t>
      </w:r>
      <w:r w:rsidR="00D33C67">
        <w:t>’s</w:t>
      </w:r>
      <w:r>
        <w:t xml:space="preserve"> viability and lead to increased churn</w:t>
      </w:r>
      <w:r w:rsidR="00D33C67">
        <w:t xml:space="preserve"> in the system</w:t>
      </w:r>
      <w:r w:rsidR="0093699D">
        <w:t xml:space="preserve">, which may be </w:t>
      </w:r>
      <w:r>
        <w:t>undesirable</w:t>
      </w:r>
      <w:r w:rsidRPr="004E531E">
        <w:t>.</w:t>
      </w:r>
    </w:p>
    <w:p w14:paraId="0E9789C4" w14:textId="0722ED8A" w:rsidR="00EE4F0C" w:rsidRDefault="00EE4F0C" w:rsidP="00EE4F0C">
      <w:pPr>
        <w:pStyle w:val="BodyText"/>
      </w:pPr>
      <w:r w:rsidRPr="004E531E">
        <w:t>Finally, the Commission is required to examine any regulatory impediments to optimal competition under each model.</w:t>
      </w:r>
    </w:p>
    <w:p w14:paraId="668CD1E8" w14:textId="5BCF4D88" w:rsidR="00EE4F0C" w:rsidRPr="004E3B94" w:rsidRDefault="00EE4F0C" w:rsidP="00EE4F0C">
      <w:pPr>
        <w:pStyle w:val="BoxSpaceAboveElement"/>
        <w:rPr>
          <w:vanish w:val="0"/>
          <w:color w:val="auto"/>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0"/>
      </w:tblGrid>
      <w:tr w:rsidR="00EE4F0C" w14:paraId="4DE34263" w14:textId="77777777" w:rsidTr="00EE4F0C">
        <w:tc>
          <w:tcPr>
            <w:tcW w:w="8770" w:type="dxa"/>
            <w:tcBorders>
              <w:top w:val="single" w:sz="6" w:space="0" w:color="78A22F"/>
              <w:left w:val="nil"/>
              <w:bottom w:val="nil"/>
              <w:right w:val="nil"/>
            </w:tcBorders>
            <w:shd w:val="clear" w:color="auto" w:fill="auto"/>
          </w:tcPr>
          <w:p w14:paraId="435DA9D7" w14:textId="3B0139EA" w:rsidR="00EE4F0C" w:rsidRDefault="00EE4F0C" w:rsidP="00EE4F0C">
            <w:pPr>
              <w:pStyle w:val="InformationRequest"/>
            </w:pPr>
            <w:r>
              <w:t>How should the principles and considerations in the terms of reference be operationalised? Are the Commission’s proposed criteria suitable? What trade</w:t>
            </w:r>
            <w:r w:rsidR="0042199C">
              <w:noBreakHyphen/>
            </w:r>
            <w:r>
              <w:t>offs might arise between criteria and how should these be handled?</w:t>
            </w:r>
          </w:p>
          <w:p w14:paraId="7B4980E8" w14:textId="77777777" w:rsidR="00EE4F0C" w:rsidRPr="00CE4C64" w:rsidRDefault="00EE4F0C" w:rsidP="00EE4F0C">
            <w:pPr>
              <w:pStyle w:val="InformationRequest"/>
            </w:pPr>
            <w:r>
              <w:t>What regulatory impediments to optimal competition might be relevant?</w:t>
            </w:r>
          </w:p>
        </w:tc>
      </w:tr>
      <w:tr w:rsidR="00EE4F0C" w14:paraId="3BA8292A" w14:textId="77777777" w:rsidTr="00EE4F0C">
        <w:tc>
          <w:tcPr>
            <w:tcW w:w="8770" w:type="dxa"/>
            <w:tcBorders>
              <w:top w:val="nil"/>
              <w:left w:val="nil"/>
              <w:bottom w:val="single" w:sz="6" w:space="0" w:color="78A22F"/>
              <w:right w:val="nil"/>
            </w:tcBorders>
            <w:shd w:val="clear" w:color="auto" w:fill="auto"/>
          </w:tcPr>
          <w:p w14:paraId="22769E6B" w14:textId="77777777" w:rsidR="00EE4F0C" w:rsidRDefault="00EE4F0C" w:rsidP="00EE4F0C">
            <w:pPr>
              <w:pStyle w:val="Space"/>
              <w:keepNext w:val="0"/>
              <w:keepLines/>
            </w:pPr>
          </w:p>
        </w:tc>
      </w:tr>
      <w:tr w:rsidR="00EE4F0C" w:rsidRPr="000863A5" w14:paraId="5EA1DDCD" w14:textId="77777777" w:rsidTr="00EE4F0C">
        <w:tc>
          <w:tcPr>
            <w:tcW w:w="8770" w:type="dxa"/>
            <w:tcBorders>
              <w:top w:val="single" w:sz="6" w:space="0" w:color="78A22F"/>
              <w:left w:val="nil"/>
              <w:bottom w:val="nil"/>
              <w:right w:val="nil"/>
            </w:tcBorders>
          </w:tcPr>
          <w:p w14:paraId="3D40163C" w14:textId="0795646A" w:rsidR="00EE4F0C" w:rsidRPr="00626D32" w:rsidRDefault="00EE4F0C" w:rsidP="00EE4F0C">
            <w:pPr>
              <w:pStyle w:val="BoxSpaceBelow"/>
              <w:keepLines/>
            </w:pPr>
          </w:p>
        </w:tc>
      </w:tr>
    </w:tbl>
    <w:p w14:paraId="339578E4" w14:textId="77777777" w:rsidR="00F823DD" w:rsidRPr="004E531E" w:rsidRDefault="00F823DD" w:rsidP="00F823DD">
      <w:pPr>
        <w:pStyle w:val="Heading3"/>
      </w:pPr>
      <w:r w:rsidRPr="004E531E">
        <w:t>Designing the models</w:t>
      </w:r>
    </w:p>
    <w:p w14:paraId="084B8D3C" w14:textId="77777777" w:rsidR="00F823DD" w:rsidRPr="004E531E" w:rsidRDefault="00F823DD" w:rsidP="00F823DD">
      <w:pPr>
        <w:pStyle w:val="BodyText"/>
      </w:pPr>
      <w:r w:rsidRPr="004E531E">
        <w:t>The Commission proposes to use three main steps in designing models:</w:t>
      </w:r>
    </w:p>
    <w:p w14:paraId="5575F86F" w14:textId="77777777" w:rsidR="00F823DD" w:rsidRPr="00872F45" w:rsidRDefault="00F823DD" w:rsidP="00324531">
      <w:pPr>
        <w:pStyle w:val="ListNumber"/>
      </w:pPr>
      <w:r w:rsidRPr="00872F45">
        <w:t>identifying which employees the model would cover</w:t>
      </w:r>
    </w:p>
    <w:p w14:paraId="29C898A9" w14:textId="77777777" w:rsidR="00F823DD" w:rsidRPr="00872F45" w:rsidRDefault="00F823DD" w:rsidP="00324531">
      <w:pPr>
        <w:pStyle w:val="ListNumber"/>
      </w:pPr>
      <w:r w:rsidRPr="00872F45">
        <w:t>specifying a competitive process to determine which products are eligible to be used as defaults</w:t>
      </w:r>
    </w:p>
    <w:p w14:paraId="0F95592C" w14:textId="77777777" w:rsidR="00F823DD" w:rsidRPr="00872F45" w:rsidRDefault="00F823DD" w:rsidP="00324531">
      <w:pPr>
        <w:pStyle w:val="ListNumber"/>
      </w:pPr>
      <w:r w:rsidRPr="00872F45">
        <w:t>specifying how employees would be allocated to eligible default products.</w:t>
      </w:r>
    </w:p>
    <w:p w14:paraId="6F8AB54A" w14:textId="41701B2B" w:rsidR="00F823DD" w:rsidRPr="004E531E" w:rsidRDefault="00F823DD" w:rsidP="00F823DD">
      <w:pPr>
        <w:pStyle w:val="BodyText"/>
      </w:pPr>
      <w:r w:rsidRPr="004E531E">
        <w:t xml:space="preserve">Each step is discussed in greater detail below. A range of considerations will need to be taken into account in applying these steps. At a minimum, the models will need to include a competitive process and be ‘workable’. The Commission will also be guided by the assessment criteria set out </w:t>
      </w:r>
      <w:r w:rsidR="00B00821">
        <w:t>earlier</w:t>
      </w:r>
      <w:r w:rsidRPr="004E531E">
        <w:t xml:space="preserve">, which are based on the </w:t>
      </w:r>
      <w:r w:rsidR="00D23C21">
        <w:t xml:space="preserve">competition and efficiency </w:t>
      </w:r>
      <w:r w:rsidRPr="004E531E">
        <w:t>principles and considerations set out in the terms of reference. For example, consider</w:t>
      </w:r>
      <w:r w:rsidR="00B00821">
        <w:t>ation will be given to</w:t>
      </w:r>
      <w:r w:rsidRPr="004E531E">
        <w:t xml:space="preserve"> how feasible each </w:t>
      </w:r>
      <w:r w:rsidR="006B7840">
        <w:t>model</w:t>
      </w:r>
      <w:r w:rsidRPr="004E531E">
        <w:t xml:space="preserve"> is, whether it could be subject to manipulation, and what implications it would have for superannuation funds, employers and employees.</w:t>
      </w:r>
    </w:p>
    <w:p w14:paraId="7102CF53" w14:textId="2BDED560" w:rsidR="004138AF" w:rsidRDefault="006651B8" w:rsidP="003B403B">
      <w:pPr>
        <w:pStyle w:val="BodyText"/>
      </w:pPr>
      <w:r w:rsidRPr="004E531E">
        <w:t>A</w:t>
      </w:r>
      <w:r w:rsidR="004138AF" w:rsidRPr="004E531E">
        <w:t xml:space="preserve"> range of sources </w:t>
      </w:r>
      <w:r w:rsidRPr="004E531E">
        <w:t>will inform model design</w:t>
      </w:r>
      <w:r w:rsidR="004138AF" w:rsidRPr="004E531E">
        <w:t>. These include academic and other literature, models used in other countries and sectors, and input from participants in this inquiry. Models used in other countries can highlight key implementation challenges and unforeseen consequences of different approaches (box </w:t>
      </w:r>
      <w:r w:rsidR="006B7840">
        <w:t>3</w:t>
      </w:r>
      <w:r w:rsidR="004138AF" w:rsidRPr="004E531E">
        <w:t>), although lessons need to be drawn carefully given the substantial policy and institutional differences between Australia and other countries. Regulatory structures and commercial practices in other sectors — such as government infrastructure procurement, banking, insurance, telecommunications, electricity or water — may also provide helpful insights, subject to careful interpretation.</w:t>
      </w:r>
    </w:p>
    <w:p w14:paraId="6709FCA0" w14:textId="769C97E3" w:rsidR="00607F4B" w:rsidRPr="004E3B94" w:rsidRDefault="00607F4B" w:rsidP="001B5FDB">
      <w:pPr>
        <w:pStyle w:val="BoxSpaceAboveElement"/>
        <w:rPr>
          <w:vanish w:val="0"/>
          <w:color w:val="auto"/>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0"/>
      </w:tblGrid>
      <w:tr w:rsidR="00607F4B" w14:paraId="28576270" w14:textId="77777777" w:rsidTr="001B5FDB">
        <w:tc>
          <w:tcPr>
            <w:tcW w:w="8770" w:type="dxa"/>
            <w:tcBorders>
              <w:top w:val="single" w:sz="6" w:space="0" w:color="78A22F"/>
              <w:left w:val="nil"/>
              <w:bottom w:val="nil"/>
              <w:right w:val="nil"/>
            </w:tcBorders>
            <w:shd w:val="clear" w:color="auto" w:fill="auto"/>
          </w:tcPr>
          <w:p w14:paraId="4B31D348" w14:textId="04CF1691" w:rsidR="00607F4B" w:rsidRDefault="00607F4B" w:rsidP="00607F4B">
            <w:pPr>
              <w:pStyle w:val="InformationRequest"/>
            </w:pPr>
            <w:r>
              <w:t xml:space="preserve">Is this framework </w:t>
            </w:r>
            <w:r w:rsidR="00362FDD">
              <w:t xml:space="preserve">suitable </w:t>
            </w:r>
            <w:r>
              <w:t>for designing alternative models? What other steps might be necessary?</w:t>
            </w:r>
          </w:p>
          <w:p w14:paraId="3E283A75" w14:textId="51835BC7" w:rsidR="00607F4B" w:rsidRPr="00CE4C64" w:rsidRDefault="00607F4B" w:rsidP="00607F4B">
            <w:pPr>
              <w:pStyle w:val="InformationRequest"/>
            </w:pPr>
            <w:r>
              <w:t>What lessons arise from models used in other countries and sectors? How applicable are these to Australia’s superannuation system?</w:t>
            </w:r>
          </w:p>
        </w:tc>
      </w:tr>
      <w:tr w:rsidR="00607F4B" w14:paraId="254F021A" w14:textId="77777777" w:rsidTr="001B5FDB">
        <w:tc>
          <w:tcPr>
            <w:tcW w:w="8770" w:type="dxa"/>
            <w:tcBorders>
              <w:top w:val="nil"/>
              <w:left w:val="nil"/>
              <w:bottom w:val="single" w:sz="6" w:space="0" w:color="78A22F"/>
              <w:right w:val="nil"/>
            </w:tcBorders>
            <w:shd w:val="clear" w:color="auto" w:fill="auto"/>
          </w:tcPr>
          <w:p w14:paraId="3B68248D" w14:textId="77777777" w:rsidR="00607F4B" w:rsidRDefault="00607F4B" w:rsidP="001B5FDB">
            <w:pPr>
              <w:pStyle w:val="Space"/>
              <w:keepNext w:val="0"/>
              <w:keepLines/>
            </w:pPr>
          </w:p>
        </w:tc>
      </w:tr>
      <w:tr w:rsidR="00607F4B" w:rsidRPr="000863A5" w14:paraId="0660A15B" w14:textId="77777777" w:rsidTr="001B5FDB">
        <w:tc>
          <w:tcPr>
            <w:tcW w:w="8770" w:type="dxa"/>
            <w:tcBorders>
              <w:top w:val="single" w:sz="6" w:space="0" w:color="78A22F"/>
              <w:left w:val="nil"/>
              <w:bottom w:val="nil"/>
              <w:right w:val="nil"/>
            </w:tcBorders>
          </w:tcPr>
          <w:p w14:paraId="631060DB" w14:textId="35E8B4EF" w:rsidR="00607F4B" w:rsidRPr="00626D32" w:rsidRDefault="00607F4B" w:rsidP="001B5FDB">
            <w:pPr>
              <w:pStyle w:val="BoxSpaceBelow"/>
              <w:keepLines/>
            </w:pPr>
          </w:p>
        </w:tc>
      </w:tr>
    </w:tbl>
    <w:p w14:paraId="503195C8" w14:textId="5B01BFCB" w:rsidR="002532E9" w:rsidRPr="004E531E" w:rsidRDefault="002532E9" w:rsidP="002532E9">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2532E9" w:rsidRPr="004E531E" w14:paraId="117004D2" w14:textId="77777777" w:rsidTr="00FF0055">
        <w:tc>
          <w:tcPr>
            <w:tcW w:w="8771" w:type="dxa"/>
            <w:tcBorders>
              <w:top w:val="single" w:sz="6" w:space="0" w:color="78A22F"/>
              <w:left w:val="nil"/>
              <w:bottom w:val="nil"/>
              <w:right w:val="nil"/>
            </w:tcBorders>
            <w:shd w:val="clear" w:color="auto" w:fill="F2F2F2"/>
          </w:tcPr>
          <w:p w14:paraId="194BF12D" w14:textId="28B5EF36" w:rsidR="002532E9" w:rsidRPr="004E531E" w:rsidRDefault="002532E9" w:rsidP="00E14FA7">
            <w:pPr>
              <w:pStyle w:val="BoxTitle"/>
            </w:pPr>
            <w:r w:rsidRPr="004E531E">
              <w:rPr>
                <w:b w:val="0"/>
              </w:rPr>
              <w:t xml:space="preserve">Box </w:t>
            </w:r>
            <w:r w:rsidR="00617613" w:rsidRPr="004E531E">
              <w:rPr>
                <w:b w:val="0"/>
              </w:rPr>
              <w:fldChar w:fldCharType="begin"/>
            </w:r>
            <w:r w:rsidR="00617613" w:rsidRPr="004E531E">
              <w:rPr>
                <w:b w:val="0"/>
              </w:rPr>
              <w:instrText xml:space="preserve"> SEQ Box \* ARABIC </w:instrText>
            </w:r>
            <w:r w:rsidR="00617613" w:rsidRPr="004E531E">
              <w:rPr>
                <w:b w:val="0"/>
              </w:rPr>
              <w:fldChar w:fldCharType="separate"/>
            </w:r>
            <w:r w:rsidR="00705E15">
              <w:rPr>
                <w:b w:val="0"/>
                <w:noProof/>
              </w:rPr>
              <w:t>3</w:t>
            </w:r>
            <w:r w:rsidR="00617613" w:rsidRPr="004E531E">
              <w:rPr>
                <w:b w:val="0"/>
              </w:rPr>
              <w:fldChar w:fldCharType="end"/>
            </w:r>
            <w:r w:rsidRPr="004E531E">
              <w:tab/>
            </w:r>
            <w:r w:rsidR="00E14FA7">
              <w:t>M</w:t>
            </w:r>
            <w:r w:rsidR="00DD33F2">
              <w:t>odels used in defined</w:t>
            </w:r>
            <w:r w:rsidR="00E14FA7">
              <w:noBreakHyphen/>
            </w:r>
            <w:r w:rsidR="00DD33F2">
              <w:t>contribution schemes</w:t>
            </w:r>
            <w:r w:rsidR="00E14FA7">
              <w:t xml:space="preserve"> overseas</w:t>
            </w:r>
          </w:p>
        </w:tc>
      </w:tr>
      <w:tr w:rsidR="002532E9" w:rsidRPr="004E531E" w14:paraId="721BEFBC" w14:textId="77777777" w:rsidTr="00FF0055">
        <w:trPr>
          <w:cantSplit/>
        </w:trPr>
        <w:tc>
          <w:tcPr>
            <w:tcW w:w="8771" w:type="dxa"/>
            <w:tcBorders>
              <w:top w:val="nil"/>
              <w:left w:val="nil"/>
              <w:bottom w:val="nil"/>
              <w:right w:val="nil"/>
            </w:tcBorders>
            <w:shd w:val="clear" w:color="auto" w:fill="F2F2F2"/>
          </w:tcPr>
          <w:p w14:paraId="1175ABFB" w14:textId="7CB60406" w:rsidR="002532E9" w:rsidRPr="004E531E" w:rsidRDefault="002532E9" w:rsidP="00FF0055">
            <w:pPr>
              <w:pStyle w:val="BoxHeading1"/>
            </w:pPr>
            <w:r w:rsidRPr="004E531E">
              <w:t>Chile</w:t>
            </w:r>
          </w:p>
          <w:p w14:paraId="6A537ECB" w14:textId="7239ED53" w:rsidR="002532E9" w:rsidRPr="004E531E" w:rsidRDefault="002532E9" w:rsidP="00FF0055">
            <w:pPr>
              <w:pStyle w:val="Box"/>
            </w:pPr>
            <w:r w:rsidRPr="004E531E">
              <w:t xml:space="preserve">In 2008, the Chilean Government introduced a public tender system designed to increase competition between authorised pension funds and reduce fees. This involves a tender every two years where </w:t>
            </w:r>
            <w:r w:rsidR="00EB0D29">
              <w:t>funds</w:t>
            </w:r>
            <w:r w:rsidR="00EB0D29" w:rsidRPr="004E531E">
              <w:t xml:space="preserve"> </w:t>
            </w:r>
            <w:r w:rsidRPr="004E531E">
              <w:t xml:space="preserve">bid on being the default fund for </w:t>
            </w:r>
            <w:r w:rsidR="00EB0D29">
              <w:t>new employees</w:t>
            </w:r>
            <w:r w:rsidRPr="004E531E">
              <w:t xml:space="preserve"> entering the workforce. The </w:t>
            </w:r>
            <w:r w:rsidR="00EB0D29">
              <w:t>fund</w:t>
            </w:r>
            <w:r w:rsidRPr="004E531E">
              <w:t xml:space="preserve"> with the lowest administration fee (which must be lower than the fee in effect at the date of the bidding process) wins the tender and is designated as the default </w:t>
            </w:r>
            <w:r w:rsidR="00EB0D29">
              <w:t>fund</w:t>
            </w:r>
            <w:r w:rsidRPr="004E531E">
              <w:t xml:space="preserve">. New workers entering the workforce are obliged to join the default </w:t>
            </w:r>
            <w:r w:rsidR="00EB0D29">
              <w:t>fund</w:t>
            </w:r>
            <w:r w:rsidR="00EB0D29" w:rsidRPr="004E531E">
              <w:t xml:space="preserve"> </w:t>
            </w:r>
            <w:r w:rsidRPr="004E531E">
              <w:t xml:space="preserve">and remain with it until the end of the </w:t>
            </w:r>
            <w:r w:rsidR="00EB0D29">
              <w:t>fund</w:t>
            </w:r>
            <w:r w:rsidR="00EB0D29" w:rsidRPr="004E531E">
              <w:t xml:space="preserve">’s </w:t>
            </w:r>
            <w:r w:rsidRPr="004E531E">
              <w:t>24</w:t>
            </w:r>
            <w:r w:rsidR="0042199C">
              <w:noBreakHyphen/>
            </w:r>
            <w:r w:rsidRPr="004E531E">
              <w:t xml:space="preserve">month default term. The winning </w:t>
            </w:r>
            <w:r w:rsidR="00EB0D29">
              <w:t>fund</w:t>
            </w:r>
            <w:r w:rsidR="00EB0D29" w:rsidRPr="004E531E">
              <w:t xml:space="preserve"> </w:t>
            </w:r>
            <w:r w:rsidRPr="004E531E">
              <w:t xml:space="preserve">must offer </w:t>
            </w:r>
            <w:r w:rsidR="00EB0D29">
              <w:t>the same fee level in its default bid</w:t>
            </w:r>
            <w:r w:rsidRPr="004E531E">
              <w:t xml:space="preserve"> to all of its members, regardless of whether they are existing members or new employees. All employees have the ability to switch </w:t>
            </w:r>
            <w:r w:rsidR="002079C6">
              <w:t xml:space="preserve">from their existing fund </w:t>
            </w:r>
            <w:r w:rsidRPr="004E531E">
              <w:t xml:space="preserve">to the default </w:t>
            </w:r>
            <w:r w:rsidR="00EB0D29">
              <w:t>fund</w:t>
            </w:r>
            <w:r w:rsidRPr="004E531E">
              <w:t xml:space="preserve">, and new </w:t>
            </w:r>
            <w:r w:rsidR="00EB0D29">
              <w:t>employees</w:t>
            </w:r>
            <w:r w:rsidR="00EB0D29" w:rsidRPr="004E531E">
              <w:t xml:space="preserve"> </w:t>
            </w:r>
            <w:r w:rsidRPr="004E531E">
              <w:t>are able to choose another fund at the end of the 24</w:t>
            </w:r>
            <w:r w:rsidRPr="004E531E">
              <w:noBreakHyphen/>
              <w:t>month period.</w:t>
            </w:r>
          </w:p>
          <w:p w14:paraId="20341DF2" w14:textId="77777777" w:rsidR="002532E9" w:rsidRPr="004E531E" w:rsidRDefault="002532E9" w:rsidP="00FF0055">
            <w:pPr>
              <w:pStyle w:val="BoxHeading1"/>
            </w:pPr>
            <w:r w:rsidRPr="004E531E">
              <w:t>New Zealand</w:t>
            </w:r>
          </w:p>
          <w:p w14:paraId="74CBEAEE" w14:textId="42604A6F" w:rsidR="00593AF3" w:rsidRPr="004E531E" w:rsidRDefault="002532E9" w:rsidP="00593AF3">
            <w:pPr>
              <w:pStyle w:val="Box"/>
            </w:pPr>
            <w:r w:rsidRPr="004E531E">
              <w:t>KiwiSaver is an opt</w:t>
            </w:r>
            <w:r w:rsidR="0042199C">
              <w:noBreakHyphen/>
            </w:r>
            <w:r w:rsidRPr="004E531E">
              <w:t xml:space="preserve">out defined contribution scheme. Individuals can choose the rate at which contributions are deducted from their pay. While employees are free to choose their fund (and switch funds at any time), those who do not make a choice are enrolled in their employer’s chosen scheme, which must be one of nine default schemes determined through a government tender process. </w:t>
            </w:r>
            <w:r w:rsidR="00593AF3" w:rsidRPr="004E531E">
              <w:t xml:space="preserve">Employees </w:t>
            </w:r>
            <w:r w:rsidRPr="004E531E">
              <w:t>are given three months to choose another scheme before their enrolment in the default is confirmed. The current nine default providers were determined</w:t>
            </w:r>
            <w:r w:rsidR="00593AF3" w:rsidRPr="004E531E">
              <w:t xml:space="preserve"> by an expert panel</w:t>
            </w:r>
            <w:r w:rsidRPr="004E531E">
              <w:t xml:space="preserve"> in March 2014 based on criteria such as fees, credibility and organisation</w:t>
            </w:r>
            <w:r w:rsidR="00593AF3" w:rsidRPr="004E531E">
              <w:t xml:space="preserve">al and investment capabilities. The </w:t>
            </w:r>
            <w:r w:rsidR="00357DCB">
              <w:t xml:space="preserve">maximum </w:t>
            </w:r>
            <w:r w:rsidR="00593AF3" w:rsidRPr="004E531E">
              <w:t>number of default funds is pre</w:t>
            </w:r>
            <w:r w:rsidR="00593AF3" w:rsidRPr="004E531E">
              <w:noBreakHyphen/>
              <w:t>determined before the bids are assessed by the panel.</w:t>
            </w:r>
          </w:p>
          <w:p w14:paraId="278CBADD" w14:textId="77777777" w:rsidR="002532E9" w:rsidRPr="004E531E" w:rsidRDefault="002532E9" w:rsidP="00FF0055">
            <w:pPr>
              <w:pStyle w:val="BoxHeading1"/>
            </w:pPr>
            <w:r w:rsidRPr="004E531E">
              <w:t>Sweden</w:t>
            </w:r>
          </w:p>
          <w:p w14:paraId="5CE96735" w14:textId="08D4DC3B" w:rsidR="002532E9" w:rsidRPr="004E531E" w:rsidRDefault="002532E9" w:rsidP="00FF0055">
            <w:pPr>
              <w:pStyle w:val="Box"/>
            </w:pPr>
            <w:r w:rsidRPr="004E531E">
              <w:t xml:space="preserve">Under Sweden’s ‘premium pension’ system, employers contribute 2.5 per cent of wages to each employee’s premium pension account. The </w:t>
            </w:r>
            <w:r w:rsidR="00FC1059" w:rsidRPr="004E531E">
              <w:t>Swedish Pensions Agency</w:t>
            </w:r>
            <w:r w:rsidRPr="004E531E">
              <w:t xml:space="preserve"> forwards the contributions to the pension fund chosen by each individual employee. Employees who do not choose a fund are allocated to the government</w:t>
            </w:r>
            <w:r w:rsidR="0042199C">
              <w:noBreakHyphen/>
            </w:r>
            <w:r w:rsidRPr="004E531E">
              <w:t xml:space="preserve">run default fund. Initially, two thirds of people chose a fund other than the default. However, most </w:t>
            </w:r>
            <w:r w:rsidR="00E23DF2">
              <w:t>employees</w:t>
            </w:r>
            <w:r w:rsidR="00E23DF2" w:rsidRPr="004E531E">
              <w:t xml:space="preserve"> </w:t>
            </w:r>
            <w:r w:rsidRPr="004E531E">
              <w:t>now revert to the default fund, which is seen as low cost</w:t>
            </w:r>
            <w:r w:rsidR="00E23DF2">
              <w:t>,</w:t>
            </w:r>
            <w:r w:rsidRPr="004E531E">
              <w:t xml:space="preserve"> in part due to a relatively passive investment strategy and economies of scale.</w:t>
            </w:r>
          </w:p>
          <w:p w14:paraId="01293B91" w14:textId="2E35AB0C" w:rsidR="002532E9" w:rsidRPr="004E531E" w:rsidRDefault="002532E9" w:rsidP="00FF0055">
            <w:pPr>
              <w:pStyle w:val="BoxHeading1"/>
            </w:pPr>
            <w:r w:rsidRPr="004E531E">
              <w:t xml:space="preserve">United </w:t>
            </w:r>
            <w:r w:rsidR="00742C6D">
              <w:t>Kingdom</w:t>
            </w:r>
            <w:r w:rsidR="00940096">
              <w:t xml:space="preserve"> </w:t>
            </w:r>
          </w:p>
          <w:p w14:paraId="25DEDEF4" w14:textId="6CBBDE34" w:rsidR="002532E9" w:rsidRPr="004E531E" w:rsidRDefault="005D18DD" w:rsidP="00362FDD">
            <w:pPr>
              <w:pStyle w:val="Box"/>
            </w:pPr>
            <w:r>
              <w:t>T</w:t>
            </w:r>
            <w:r w:rsidR="00BB6AD0">
              <w:t xml:space="preserve">he United Kingdom </w:t>
            </w:r>
            <w:r>
              <w:t>has</w:t>
            </w:r>
            <w:r w:rsidR="00BB6AD0">
              <w:t xml:space="preserve"> automatic enrolment for workplace pension</w:t>
            </w:r>
            <w:r w:rsidR="00E14FA7">
              <w:t xml:space="preserve"> schemes</w:t>
            </w:r>
            <w:r w:rsidR="00BB6AD0">
              <w:t>, with members</w:t>
            </w:r>
            <w:r w:rsidR="00BB6AD0" w:rsidRPr="009E5731">
              <w:t xml:space="preserve"> able to opt out within one month and have their contributions refunded.</w:t>
            </w:r>
            <w:r w:rsidR="00BB6AD0">
              <w:t xml:space="preserve"> In addition, the UK Government </w:t>
            </w:r>
            <w:r w:rsidR="009E5731" w:rsidRPr="009E5731">
              <w:t>created the National Employment Savings Trust (NEST)</w:t>
            </w:r>
            <w:r w:rsidR="00BB6AD0">
              <w:t>,</w:t>
            </w:r>
            <w:r w:rsidR="009E5731" w:rsidRPr="009E5731">
              <w:t xml:space="preserve"> a state</w:t>
            </w:r>
            <w:r w:rsidR="0042199C">
              <w:noBreakHyphen/>
            </w:r>
            <w:r w:rsidR="009E5731" w:rsidRPr="009E5731">
              <w:t>owned</w:t>
            </w:r>
            <w:r w:rsidR="00BB6AD0">
              <w:t xml:space="preserve"> pension scheme</w:t>
            </w:r>
            <w:r w:rsidR="009E5731" w:rsidRPr="009E5731">
              <w:t xml:space="preserve"> into which workers could be automatically enrolled. Employers </w:t>
            </w:r>
            <w:r w:rsidR="00BB6AD0">
              <w:t>can choose private</w:t>
            </w:r>
            <w:r w:rsidR="00E14FA7">
              <w:noBreakHyphen/>
            </w:r>
            <w:r w:rsidR="00BB6AD0">
              <w:t>sector options</w:t>
            </w:r>
            <w:r w:rsidR="00620B3D">
              <w:t xml:space="preserve"> as long as they are ‘as good’ for workers. </w:t>
            </w:r>
            <w:r w:rsidR="009E5731" w:rsidRPr="009E5731">
              <w:t xml:space="preserve">The default option </w:t>
            </w:r>
            <w:r w:rsidR="00620B3D">
              <w:t xml:space="preserve">in NEST </w:t>
            </w:r>
            <w:r w:rsidR="009E5731" w:rsidRPr="009E5731">
              <w:t xml:space="preserve">is a series of Retirement Date Funds, each designed for people withdrawing their money in a particular year (namely, when they </w:t>
            </w:r>
            <w:r w:rsidR="00E14FA7">
              <w:t>reach age</w:t>
            </w:r>
            <w:r w:rsidR="009E5731" w:rsidRPr="009E5731">
              <w:t xml:space="preserve"> 65 or their </w:t>
            </w:r>
            <w:r w:rsidR="009E5731">
              <w:t>s</w:t>
            </w:r>
            <w:r w:rsidR="009E5731" w:rsidRPr="009E5731">
              <w:t xml:space="preserve">tate </w:t>
            </w:r>
            <w:r w:rsidR="009E5731">
              <w:t>p</w:t>
            </w:r>
            <w:r w:rsidR="009E5731" w:rsidRPr="009E5731">
              <w:t xml:space="preserve">ension age). All members, including default members, have the option of switching to other NEST funds or changing the year in which they want to withdraw their money. </w:t>
            </w:r>
            <w:r w:rsidR="00E14FA7">
              <w:t>From April 2017, m</w:t>
            </w:r>
            <w:r w:rsidR="009E5731" w:rsidRPr="009E5731">
              <w:t xml:space="preserve">embers will be able to shift freely between NEST funds and other </w:t>
            </w:r>
            <w:r w:rsidR="00620B3D">
              <w:t xml:space="preserve">pension </w:t>
            </w:r>
            <w:r w:rsidR="009E5731" w:rsidRPr="009E5731">
              <w:t>funds</w:t>
            </w:r>
            <w:r w:rsidR="009E5731">
              <w:t>.</w:t>
            </w:r>
          </w:p>
        </w:tc>
      </w:tr>
      <w:tr w:rsidR="002532E9" w:rsidRPr="004E531E" w14:paraId="1C53C657" w14:textId="77777777" w:rsidTr="00FF0055">
        <w:trPr>
          <w:cantSplit/>
        </w:trPr>
        <w:tc>
          <w:tcPr>
            <w:tcW w:w="8771" w:type="dxa"/>
            <w:tcBorders>
              <w:top w:val="nil"/>
              <w:left w:val="nil"/>
              <w:bottom w:val="nil"/>
              <w:right w:val="nil"/>
            </w:tcBorders>
            <w:shd w:val="clear" w:color="auto" w:fill="F2F2F2"/>
          </w:tcPr>
          <w:p w14:paraId="34C8F460" w14:textId="6506A7CD" w:rsidR="002532E9" w:rsidRPr="004E531E" w:rsidRDefault="002532E9" w:rsidP="004C370C">
            <w:pPr>
              <w:pStyle w:val="BoxSource"/>
            </w:pPr>
            <w:r w:rsidRPr="004E531E">
              <w:rPr>
                <w:i/>
              </w:rPr>
              <w:t>Sources</w:t>
            </w:r>
            <w:r w:rsidRPr="004E531E">
              <w:t xml:space="preserve">: Mercer and Australian Centre for Financial Studies </w:t>
            </w:r>
            <w:r w:rsidRPr="004E531E">
              <w:rPr>
                <w:rFonts w:cs="Arial"/>
              </w:rPr>
              <w:t>(2015)</w:t>
            </w:r>
            <w:r w:rsidRPr="004E531E">
              <w:t xml:space="preserve">; Littlewood </w:t>
            </w:r>
            <w:r w:rsidRPr="004E531E">
              <w:rPr>
                <w:rFonts w:cs="Arial"/>
              </w:rPr>
              <w:t>(2012)</w:t>
            </w:r>
            <w:r w:rsidRPr="004E531E">
              <w:t>; Minifie</w:t>
            </w:r>
            <w:r w:rsidR="004C370C">
              <w:t xml:space="preserve">, Cameron and Savage </w:t>
            </w:r>
            <w:r w:rsidR="004C370C" w:rsidRPr="004C370C">
              <w:rPr>
                <w:rFonts w:cs="Arial"/>
              </w:rPr>
              <w:t>(2014)</w:t>
            </w:r>
            <w:r w:rsidRPr="004E531E">
              <w:t>;</w:t>
            </w:r>
            <w:r w:rsidR="009E5731">
              <w:t xml:space="preserve"> NEST</w:t>
            </w:r>
            <w:r w:rsidRPr="004E531E">
              <w:t xml:space="preserve"> </w:t>
            </w:r>
            <w:r w:rsidR="009E5731" w:rsidRPr="009E5731">
              <w:rPr>
                <w:rFonts w:cs="Arial"/>
              </w:rPr>
              <w:t>(2015, 2016)</w:t>
            </w:r>
            <w:r w:rsidR="009E5731">
              <w:t xml:space="preserve">; </w:t>
            </w:r>
            <w:r w:rsidRPr="004E531E">
              <w:t>PC </w:t>
            </w:r>
            <w:r w:rsidR="00AB374E" w:rsidRPr="00AB374E">
              <w:rPr>
                <w:rFonts w:cs="Arial"/>
              </w:rPr>
              <w:t>(2012)</w:t>
            </w:r>
            <w:r w:rsidRPr="004E531E">
              <w:t xml:space="preserve">; SPA </w:t>
            </w:r>
            <w:r w:rsidRPr="004E531E">
              <w:rPr>
                <w:rFonts w:cs="Arial"/>
              </w:rPr>
              <w:t>(2015)</w:t>
            </w:r>
            <w:r w:rsidRPr="004E531E">
              <w:t>.</w:t>
            </w:r>
          </w:p>
        </w:tc>
      </w:tr>
      <w:tr w:rsidR="002532E9" w:rsidRPr="004E531E" w14:paraId="1B4E7E0C" w14:textId="77777777" w:rsidTr="00FF0055">
        <w:trPr>
          <w:cantSplit/>
        </w:trPr>
        <w:tc>
          <w:tcPr>
            <w:tcW w:w="8771" w:type="dxa"/>
            <w:tcBorders>
              <w:top w:val="nil"/>
              <w:left w:val="nil"/>
              <w:bottom w:val="single" w:sz="6" w:space="0" w:color="78A22F"/>
              <w:right w:val="nil"/>
            </w:tcBorders>
            <w:shd w:val="clear" w:color="auto" w:fill="F2F2F2"/>
          </w:tcPr>
          <w:p w14:paraId="54ECCBAD" w14:textId="77777777" w:rsidR="002532E9" w:rsidRPr="004E531E" w:rsidRDefault="002532E9" w:rsidP="00FF0055">
            <w:pPr>
              <w:pStyle w:val="Box"/>
              <w:spacing w:before="0" w:line="120" w:lineRule="exact"/>
            </w:pPr>
          </w:p>
        </w:tc>
      </w:tr>
      <w:tr w:rsidR="002532E9" w:rsidRPr="004E531E" w14:paraId="7D704336" w14:textId="77777777" w:rsidTr="00FF0055">
        <w:tc>
          <w:tcPr>
            <w:tcW w:w="8771" w:type="dxa"/>
            <w:tcBorders>
              <w:top w:val="single" w:sz="6" w:space="0" w:color="78A22F"/>
              <w:left w:val="nil"/>
              <w:bottom w:val="nil"/>
              <w:right w:val="nil"/>
            </w:tcBorders>
          </w:tcPr>
          <w:p w14:paraId="2D464FCD" w14:textId="4E00C6DF" w:rsidR="002532E9" w:rsidRPr="004E531E" w:rsidRDefault="002532E9" w:rsidP="00FF0055">
            <w:pPr>
              <w:pStyle w:val="BoxSpaceBelow"/>
            </w:pPr>
          </w:p>
        </w:tc>
      </w:tr>
    </w:tbl>
    <w:p w14:paraId="0301B75B" w14:textId="77777777" w:rsidR="00607F4B" w:rsidRPr="004E531E" w:rsidRDefault="00607F4B" w:rsidP="00607F4B">
      <w:pPr>
        <w:pStyle w:val="Heading4"/>
      </w:pPr>
      <w:r>
        <w:t xml:space="preserve">Step 1: </w:t>
      </w:r>
      <w:r w:rsidRPr="004E531E">
        <w:t>Identifying employees</w:t>
      </w:r>
    </w:p>
    <w:p w14:paraId="53FB2C51" w14:textId="4274FC6C" w:rsidR="006E37FC" w:rsidRDefault="00607F4B" w:rsidP="00607F4B">
      <w:pPr>
        <w:pStyle w:val="BodyText"/>
      </w:pPr>
      <w:r w:rsidRPr="004E531E">
        <w:t xml:space="preserve">The models are required to cover default members across the whole superannuation system. </w:t>
      </w:r>
      <w:r w:rsidR="00621A28">
        <w:t xml:space="preserve">The Commission interprets this to be </w:t>
      </w:r>
      <w:r w:rsidR="00621A28" w:rsidRPr="00271B85">
        <w:rPr>
          <w:b/>
        </w:rPr>
        <w:t>the flow of new default members</w:t>
      </w:r>
      <w:r w:rsidR="00621A28">
        <w:t xml:space="preserve"> </w:t>
      </w:r>
      <w:r w:rsidR="006E37FC">
        <w:t xml:space="preserve">— </w:t>
      </w:r>
      <w:r w:rsidR="00621A28">
        <w:t xml:space="preserve">that is, employees starting a new job </w:t>
      </w:r>
      <w:r w:rsidR="00621A28" w:rsidRPr="004E531E">
        <w:t>who do not make an active choice about their superannuation fund</w:t>
      </w:r>
      <w:r w:rsidR="00271B85">
        <w:t>.</w:t>
      </w:r>
    </w:p>
    <w:p w14:paraId="73E3E324" w14:textId="3A241BD6" w:rsidR="00607F4B" w:rsidRDefault="00607F4B" w:rsidP="00607F4B">
      <w:pPr>
        <w:pStyle w:val="BodyText"/>
      </w:pPr>
      <w:r w:rsidRPr="004E531E">
        <w:t>The Financial</w:t>
      </w:r>
      <w:r w:rsidRPr="004E531E" w:rsidDel="00321E1C">
        <w:t xml:space="preserve"> </w:t>
      </w:r>
      <w:r w:rsidRPr="004E531E">
        <w:t xml:space="preserve">System Inquiry proposed that funds compete for new default members, with the successful funds required to provide the same product to their existing default members </w:t>
      </w:r>
      <w:r w:rsidRPr="004E531E">
        <w:rPr>
          <w:szCs w:val="24"/>
        </w:rPr>
        <w:t>(Murray et al. 2014)</w:t>
      </w:r>
      <w:r w:rsidRPr="004E531E">
        <w:t>. Such an approach would not require existing default members to be switched between funds. It would also leave the majority of members of defined benefit funds (which are mostly closed to new members) unaffected.</w:t>
      </w:r>
    </w:p>
    <w:p w14:paraId="5474756E" w14:textId="4EE1D099" w:rsidR="00B32097" w:rsidRPr="004E531E" w:rsidRDefault="00B32097" w:rsidP="00607F4B">
      <w:pPr>
        <w:pStyle w:val="BodyText"/>
      </w:pPr>
      <w:r>
        <w:t xml:space="preserve">While it is theoretically possible to have different allocative </w:t>
      </w:r>
      <w:r w:rsidRPr="00D12582">
        <w:rPr>
          <w:i/>
        </w:rPr>
        <w:t>models</w:t>
      </w:r>
      <w:r>
        <w:t xml:space="preserve"> for different groups of new default members — for example</w:t>
      </w:r>
      <w:r w:rsidR="00601009">
        <w:t>,</w:t>
      </w:r>
      <w:r>
        <w:t xml:space="preserve"> segmented by occupation, age, or employment arrangement — this </w:t>
      </w:r>
      <w:r w:rsidR="00312502">
        <w:t xml:space="preserve">appears on first examination to be </w:t>
      </w:r>
      <w:r>
        <w:t xml:space="preserve">an unnecessary complication. If different employees have significantly different </w:t>
      </w:r>
      <w:r w:rsidR="00DA6531">
        <w:t xml:space="preserve">superannuation </w:t>
      </w:r>
      <w:r>
        <w:t>needs, these can be accommodated by different products within the same allocative model</w:t>
      </w:r>
      <w:r w:rsidR="004D4B98">
        <w:t xml:space="preserve"> (see below)</w:t>
      </w:r>
      <w:r>
        <w:t>. However, there may be a case f</w:t>
      </w:r>
      <w:r w:rsidR="00D84D3F">
        <w:t>or</w:t>
      </w:r>
      <w:r>
        <w:t xml:space="preserve"> exempting some new employees from the alternative default models (for example, employees eligible to become members of a defined benefit </w:t>
      </w:r>
      <w:r w:rsidR="00D84D3F">
        <w:t>scheme</w:t>
      </w:r>
      <w:r>
        <w:t>).</w:t>
      </w:r>
    </w:p>
    <w:p w14:paraId="424081C0" w14:textId="592A1E15" w:rsidR="00607F4B" w:rsidRPr="004E3B94" w:rsidRDefault="00607F4B" w:rsidP="00607F4B">
      <w:pPr>
        <w:pStyle w:val="BoxSpaceAboveElement"/>
        <w:rPr>
          <w:vanish w:val="0"/>
          <w:color w:val="auto"/>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0"/>
      </w:tblGrid>
      <w:tr w:rsidR="00607F4B" w14:paraId="13A7261A" w14:textId="77777777" w:rsidTr="001B5FDB">
        <w:tc>
          <w:tcPr>
            <w:tcW w:w="8770" w:type="dxa"/>
            <w:tcBorders>
              <w:top w:val="single" w:sz="6" w:space="0" w:color="78A22F"/>
              <w:left w:val="nil"/>
              <w:bottom w:val="nil"/>
              <w:right w:val="nil"/>
            </w:tcBorders>
            <w:shd w:val="clear" w:color="auto" w:fill="auto"/>
          </w:tcPr>
          <w:p w14:paraId="08189CB2" w14:textId="651549E7" w:rsidR="00D12582" w:rsidRDefault="00D12582" w:rsidP="00271B85">
            <w:pPr>
              <w:pStyle w:val="InformationRequest"/>
            </w:pPr>
            <w:r>
              <w:t>Which employees should be covered by the new default</w:t>
            </w:r>
            <w:r w:rsidR="00601009">
              <w:t xml:space="preserve"> allocation</w:t>
            </w:r>
            <w:r>
              <w:t xml:space="preserve"> model? Should any employee groups be exempt?</w:t>
            </w:r>
          </w:p>
          <w:p w14:paraId="08572EB2" w14:textId="5E83A389" w:rsidR="00607F4B" w:rsidRPr="00CE4C64" w:rsidRDefault="00D84D3F" w:rsidP="00271B85">
            <w:pPr>
              <w:pStyle w:val="InformationRequest"/>
            </w:pPr>
            <w:r>
              <w:t>Should there be any flow</w:t>
            </w:r>
            <w:r w:rsidR="0042199C">
              <w:noBreakHyphen/>
            </w:r>
            <w:r>
              <w:t xml:space="preserve">on effects for existing default members from any new </w:t>
            </w:r>
            <w:r w:rsidR="00601009">
              <w:t xml:space="preserve">default </w:t>
            </w:r>
            <w:r>
              <w:t>allocati</w:t>
            </w:r>
            <w:r w:rsidR="00601009">
              <w:t>on</w:t>
            </w:r>
            <w:r>
              <w:t xml:space="preserve"> model?</w:t>
            </w:r>
          </w:p>
        </w:tc>
      </w:tr>
      <w:tr w:rsidR="00607F4B" w14:paraId="18CF9DDA" w14:textId="77777777" w:rsidTr="001B5FDB">
        <w:tc>
          <w:tcPr>
            <w:tcW w:w="8770" w:type="dxa"/>
            <w:tcBorders>
              <w:top w:val="nil"/>
              <w:left w:val="nil"/>
              <w:bottom w:val="single" w:sz="6" w:space="0" w:color="78A22F"/>
              <w:right w:val="nil"/>
            </w:tcBorders>
            <w:shd w:val="clear" w:color="auto" w:fill="auto"/>
          </w:tcPr>
          <w:p w14:paraId="0E6D7935" w14:textId="77777777" w:rsidR="00607F4B" w:rsidRDefault="00607F4B" w:rsidP="001B5FDB">
            <w:pPr>
              <w:pStyle w:val="Space"/>
              <w:keepNext w:val="0"/>
              <w:keepLines/>
            </w:pPr>
          </w:p>
        </w:tc>
      </w:tr>
      <w:tr w:rsidR="00607F4B" w:rsidRPr="000863A5" w14:paraId="1FF90FB0" w14:textId="77777777" w:rsidTr="001B5FDB">
        <w:tc>
          <w:tcPr>
            <w:tcW w:w="8770" w:type="dxa"/>
            <w:tcBorders>
              <w:top w:val="single" w:sz="6" w:space="0" w:color="78A22F"/>
              <w:left w:val="nil"/>
              <w:bottom w:val="nil"/>
              <w:right w:val="nil"/>
            </w:tcBorders>
          </w:tcPr>
          <w:p w14:paraId="6FE7857D" w14:textId="4E197549" w:rsidR="00607F4B" w:rsidRPr="00626D32" w:rsidRDefault="00607F4B" w:rsidP="001B5FDB">
            <w:pPr>
              <w:pStyle w:val="BoxSpaceBelow"/>
              <w:keepLines/>
            </w:pPr>
          </w:p>
        </w:tc>
      </w:tr>
    </w:tbl>
    <w:p w14:paraId="1298B96D" w14:textId="49E558DE" w:rsidR="003B403B" w:rsidRPr="004E531E" w:rsidRDefault="00F51E2C" w:rsidP="003B403B">
      <w:pPr>
        <w:pStyle w:val="Heading4"/>
      </w:pPr>
      <w:r>
        <w:t xml:space="preserve">Step 2: </w:t>
      </w:r>
      <w:r w:rsidR="004C2BFE" w:rsidRPr="004E531E">
        <w:t>Specifying a competitive process to determine default products</w:t>
      </w:r>
    </w:p>
    <w:p w14:paraId="080E3FCD" w14:textId="3AC8BA1A" w:rsidR="003B403B" w:rsidRPr="004E531E" w:rsidRDefault="003B403B" w:rsidP="003B403B">
      <w:pPr>
        <w:pStyle w:val="BodyText"/>
      </w:pPr>
      <w:r w:rsidRPr="004E531E">
        <w:t xml:space="preserve">It is also necessary to specify </w:t>
      </w:r>
      <w:r w:rsidR="002F5327" w:rsidRPr="004E531E">
        <w:t xml:space="preserve">which superannuation products would be eligible to receive default contributions. </w:t>
      </w:r>
      <w:r w:rsidR="00184AFA">
        <w:t>T</w:t>
      </w:r>
      <w:r w:rsidR="00896CCA" w:rsidRPr="004E531E">
        <w:t xml:space="preserve">he Commission proposes to restrict its focus to accumulation products in defined contribution schemes. </w:t>
      </w:r>
      <w:r w:rsidR="00184AFA">
        <w:t xml:space="preserve">The life and total and permanent disability insurance that is </w:t>
      </w:r>
      <w:r w:rsidR="000D7E13">
        <w:t>currently</w:t>
      </w:r>
      <w:r w:rsidR="00184AFA">
        <w:t xml:space="preserve"> </w:t>
      </w:r>
      <w:r w:rsidR="00AC6D30" w:rsidRPr="004E531E">
        <w:t>bundled with default superannuation</w:t>
      </w:r>
      <w:r w:rsidR="003F4784" w:rsidRPr="004E531E">
        <w:t xml:space="preserve"> products</w:t>
      </w:r>
      <w:r w:rsidR="00184AFA">
        <w:t xml:space="preserve"> would </w:t>
      </w:r>
      <w:r w:rsidR="00312502">
        <w:t xml:space="preserve">then </w:t>
      </w:r>
      <w:r w:rsidR="00184AFA">
        <w:t>be allocated</w:t>
      </w:r>
      <w:r w:rsidR="00AC6D30" w:rsidRPr="004E531E">
        <w:t xml:space="preserve"> through a separate competitive </w:t>
      </w:r>
      <w:r w:rsidR="00607F4B">
        <w:t>process</w:t>
      </w:r>
      <w:r w:rsidR="00AC6D30" w:rsidRPr="004E531E">
        <w:t>.</w:t>
      </w:r>
    </w:p>
    <w:p w14:paraId="2F6AC590" w14:textId="2114DF20" w:rsidR="004C2BFE" w:rsidRPr="004E531E" w:rsidRDefault="004C2BFE" w:rsidP="003B403B">
      <w:pPr>
        <w:pStyle w:val="BodyText"/>
      </w:pPr>
      <w:r w:rsidRPr="004E531E">
        <w:t>A competitive process to determine which products are eligible to be used as defaults would have several components:</w:t>
      </w:r>
    </w:p>
    <w:p w14:paraId="7181700A" w14:textId="7AAD1738" w:rsidR="004C2BFE" w:rsidRPr="004E531E" w:rsidRDefault="004C2BFE" w:rsidP="004C2BFE">
      <w:pPr>
        <w:pStyle w:val="ListBullet"/>
      </w:pPr>
      <w:r w:rsidRPr="004E531E">
        <w:rPr>
          <w:i/>
        </w:rPr>
        <w:t>the mechanism</w:t>
      </w:r>
      <w:r w:rsidRPr="004E531E">
        <w:t xml:space="preserve"> by which funds compete — this could be </w:t>
      </w:r>
      <w:r w:rsidR="00184AFA">
        <w:t>administrative</w:t>
      </w:r>
      <w:r w:rsidR="00184AFA" w:rsidRPr="004E531E">
        <w:t xml:space="preserve"> </w:t>
      </w:r>
      <w:r w:rsidRPr="004E531E">
        <w:t>(such as a filter), market based (such as a tender or auction), or a combination of the two</w:t>
      </w:r>
    </w:p>
    <w:p w14:paraId="0DB42CC4" w14:textId="5564432C" w:rsidR="004C2BFE" w:rsidRPr="004E531E" w:rsidRDefault="004C2BFE" w:rsidP="004C2BFE">
      <w:pPr>
        <w:pStyle w:val="ListBullet"/>
      </w:pPr>
      <w:r w:rsidRPr="004E531E">
        <w:rPr>
          <w:i/>
        </w:rPr>
        <w:t>the metrics</w:t>
      </w:r>
      <w:r w:rsidRPr="004E531E">
        <w:t xml:space="preserve"> on which funds compete — specific product features, such as fees, ancillary services or past returns</w:t>
      </w:r>
    </w:p>
    <w:p w14:paraId="54261BB7" w14:textId="788B4D3D" w:rsidR="004C2BFE" w:rsidRPr="004E531E" w:rsidRDefault="004C2BFE" w:rsidP="004C2BFE">
      <w:pPr>
        <w:pStyle w:val="ListBullet"/>
      </w:pPr>
      <w:r w:rsidRPr="004E531E">
        <w:rPr>
          <w:i/>
        </w:rPr>
        <w:t>the frequency</w:t>
      </w:r>
      <w:r w:rsidRPr="004E531E">
        <w:t xml:space="preserve"> by which the mechanism is run, and by whom</w:t>
      </w:r>
      <w:r w:rsidR="00CE13B8" w:rsidRPr="004E531E">
        <w:t>.</w:t>
      </w:r>
    </w:p>
    <w:p w14:paraId="404FBB37" w14:textId="76CAEB97" w:rsidR="00032DB2" w:rsidRPr="004E531E" w:rsidRDefault="00312502" w:rsidP="00032DB2">
      <w:pPr>
        <w:pStyle w:val="BodyText"/>
      </w:pPr>
      <w:r w:rsidRPr="004E531E">
        <w:t xml:space="preserve">Each of these components could involve a higher or lower degree of centralisation, depending on the model. In a highly centralised model, a government body would specify a mechanism and metrics for </w:t>
      </w:r>
      <w:r>
        <w:t xml:space="preserve">competitive selection of </w:t>
      </w:r>
      <w:r w:rsidRPr="004E531E">
        <w:t>funds, and then directly allocate employees to the product</w:t>
      </w:r>
      <w:r>
        <w:t>(</w:t>
      </w:r>
      <w:r w:rsidRPr="004E531E">
        <w:t>s</w:t>
      </w:r>
      <w:r>
        <w:t>)</w:t>
      </w:r>
      <w:r w:rsidRPr="004E531E">
        <w:t xml:space="preserve"> that are selected.</w:t>
      </w:r>
      <w:r w:rsidRPr="004E531E">
        <w:rPr>
          <w:rStyle w:val="FootnoteReference"/>
        </w:rPr>
        <w:footnoteReference w:id="2"/>
      </w:r>
      <w:r w:rsidRPr="004E531E">
        <w:t xml:space="preserve"> By contrast, in a fully decentralised model, employees would individually choose a superannuation product from the full set available in the market — the competitive mechanism would be akin to that observed in </w:t>
      </w:r>
      <w:r>
        <w:t>other</w:t>
      </w:r>
      <w:r w:rsidRPr="004E531E">
        <w:t xml:space="preserve"> markets, where firms compete on product features that matter to </w:t>
      </w:r>
      <w:r>
        <w:t>consumers</w:t>
      </w:r>
      <w:r w:rsidRPr="004E531E">
        <w:t>.</w:t>
      </w:r>
    </w:p>
    <w:p w14:paraId="23430696" w14:textId="3760D30A" w:rsidR="00AC6D30" w:rsidRDefault="00032DB2" w:rsidP="00032DB2">
      <w:pPr>
        <w:pStyle w:val="BodyText"/>
      </w:pPr>
      <w:r w:rsidRPr="004E531E">
        <w:t xml:space="preserve">A hybrid </w:t>
      </w:r>
      <w:r w:rsidR="005E4B35" w:rsidRPr="004E531E">
        <w:t>model</w:t>
      </w:r>
      <w:r w:rsidRPr="004E531E">
        <w:t xml:space="preserve"> would involve some combination of these </w:t>
      </w:r>
      <w:r w:rsidR="005E4B35" w:rsidRPr="004E531E">
        <w:t>approaches</w:t>
      </w:r>
      <w:r w:rsidRPr="004E531E">
        <w:t xml:space="preserve">. </w:t>
      </w:r>
      <w:r w:rsidR="004C2BFE" w:rsidRPr="004E531E">
        <w:t xml:space="preserve">For example, there could be a </w:t>
      </w:r>
      <w:r w:rsidR="00F823DD" w:rsidRPr="004E531E">
        <w:t xml:space="preserve">centralised </w:t>
      </w:r>
      <w:r w:rsidR="004C2BFE" w:rsidRPr="004E531E">
        <w:t xml:space="preserve">competitive mechanism for </w:t>
      </w:r>
      <w:r w:rsidRPr="004E531E">
        <w:t>determining a list of</w:t>
      </w:r>
      <w:r w:rsidR="004C2BFE" w:rsidRPr="004E531E">
        <w:t xml:space="preserve"> products </w:t>
      </w:r>
      <w:r w:rsidRPr="004E531E">
        <w:t>that are</w:t>
      </w:r>
      <w:r w:rsidR="004C2BFE" w:rsidRPr="004E531E">
        <w:t xml:space="preserve"> eligible to be defaults, with </w:t>
      </w:r>
      <w:r w:rsidR="00184AFA">
        <w:t xml:space="preserve">employers or </w:t>
      </w:r>
      <w:r w:rsidR="004C2BFE" w:rsidRPr="004E531E">
        <w:t>employe</w:t>
      </w:r>
      <w:r w:rsidR="00F03FAC" w:rsidRPr="004E531E">
        <w:t>es</w:t>
      </w:r>
      <w:r w:rsidR="004C2BFE" w:rsidRPr="004E531E">
        <w:t xml:space="preserve"> then having discretion as to which product from this list to </w:t>
      </w:r>
      <w:r w:rsidR="00F03FAC" w:rsidRPr="004E531E">
        <w:t>choose</w:t>
      </w:r>
      <w:r w:rsidR="00AC6D30" w:rsidRPr="004E531E">
        <w:t>.</w:t>
      </w:r>
    </w:p>
    <w:p w14:paraId="17AA8B3F" w14:textId="6E897901" w:rsidR="00607F4B" w:rsidRPr="004E3B94" w:rsidRDefault="00607F4B" w:rsidP="00607F4B">
      <w:pPr>
        <w:pStyle w:val="BoxSpaceAboveElement"/>
        <w:rPr>
          <w:vanish w:val="0"/>
          <w:color w:val="auto"/>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0"/>
      </w:tblGrid>
      <w:tr w:rsidR="00607F4B" w14:paraId="2ED5EBDF" w14:textId="77777777" w:rsidTr="001B5FDB">
        <w:tc>
          <w:tcPr>
            <w:tcW w:w="8770" w:type="dxa"/>
            <w:tcBorders>
              <w:top w:val="single" w:sz="6" w:space="0" w:color="78A22F"/>
              <w:left w:val="nil"/>
              <w:bottom w:val="nil"/>
              <w:right w:val="nil"/>
            </w:tcBorders>
            <w:shd w:val="clear" w:color="auto" w:fill="auto"/>
          </w:tcPr>
          <w:p w14:paraId="04EF9E09" w14:textId="60EC67F2" w:rsidR="00136CB1" w:rsidRDefault="00607F4B" w:rsidP="00184AFA">
            <w:pPr>
              <w:pStyle w:val="InformationRequest"/>
            </w:pPr>
            <w:r>
              <w:t xml:space="preserve">What key services (or features) should be provided by default superannuation products? </w:t>
            </w:r>
            <w:r w:rsidR="00DA6531">
              <w:t xml:space="preserve">Should they </w:t>
            </w:r>
            <w:r w:rsidR="00DD33F2">
              <w:t>all have to be MySuper products?</w:t>
            </w:r>
          </w:p>
          <w:p w14:paraId="307F2E4C" w14:textId="744AEBB3" w:rsidR="00607F4B" w:rsidRDefault="00697762" w:rsidP="00136CB1">
            <w:pPr>
              <w:pStyle w:val="InformationRequest"/>
            </w:pPr>
            <w:r>
              <w:t>What are the advant</w:t>
            </w:r>
            <w:r w:rsidR="00DD3167">
              <w:t>a</w:t>
            </w:r>
            <w:r>
              <w:t>ges and disadvant</w:t>
            </w:r>
            <w:r w:rsidR="00DD3167">
              <w:t>a</w:t>
            </w:r>
            <w:r>
              <w:t xml:space="preserve">ges of allocating insurance through a separate competitive process? </w:t>
            </w:r>
            <w:r w:rsidR="00670195">
              <w:t xml:space="preserve">What should be the key features of this </w:t>
            </w:r>
            <w:r w:rsidR="00F24E59">
              <w:t xml:space="preserve">default </w:t>
            </w:r>
            <w:r w:rsidR="00670195">
              <w:t>insurance</w:t>
            </w:r>
            <w:r>
              <w:t xml:space="preserve"> product</w:t>
            </w:r>
            <w:r w:rsidR="00607F4B">
              <w:t>?</w:t>
            </w:r>
          </w:p>
          <w:p w14:paraId="70B019AD" w14:textId="1A1FD542" w:rsidR="00607F4B" w:rsidRPr="00CE4C64" w:rsidRDefault="00607F4B" w:rsidP="00607F4B">
            <w:pPr>
              <w:pStyle w:val="InformationRequest"/>
            </w:pPr>
            <w:r>
              <w:t>What other considerations are relevant to specifying a competitive process?</w:t>
            </w:r>
          </w:p>
        </w:tc>
      </w:tr>
      <w:tr w:rsidR="00607F4B" w14:paraId="62AB3250" w14:textId="77777777" w:rsidTr="001B5FDB">
        <w:tc>
          <w:tcPr>
            <w:tcW w:w="8770" w:type="dxa"/>
            <w:tcBorders>
              <w:top w:val="nil"/>
              <w:left w:val="nil"/>
              <w:bottom w:val="single" w:sz="6" w:space="0" w:color="78A22F"/>
              <w:right w:val="nil"/>
            </w:tcBorders>
            <w:shd w:val="clear" w:color="auto" w:fill="auto"/>
          </w:tcPr>
          <w:p w14:paraId="5FC6A4C0" w14:textId="77777777" w:rsidR="00607F4B" w:rsidRDefault="00607F4B" w:rsidP="001B5FDB">
            <w:pPr>
              <w:pStyle w:val="Space"/>
              <w:keepNext w:val="0"/>
              <w:keepLines/>
            </w:pPr>
          </w:p>
        </w:tc>
      </w:tr>
      <w:tr w:rsidR="00607F4B" w:rsidRPr="000863A5" w14:paraId="5152814A" w14:textId="77777777" w:rsidTr="001B5FDB">
        <w:tc>
          <w:tcPr>
            <w:tcW w:w="8770" w:type="dxa"/>
            <w:tcBorders>
              <w:top w:val="single" w:sz="6" w:space="0" w:color="78A22F"/>
              <w:left w:val="nil"/>
              <w:bottom w:val="nil"/>
              <w:right w:val="nil"/>
            </w:tcBorders>
          </w:tcPr>
          <w:p w14:paraId="5CB61BB9" w14:textId="7F2D99FD" w:rsidR="00607F4B" w:rsidRPr="00626D32" w:rsidRDefault="00607F4B" w:rsidP="001B5FDB">
            <w:pPr>
              <w:pStyle w:val="BoxSpaceBelow"/>
              <w:keepLines/>
            </w:pPr>
          </w:p>
        </w:tc>
      </w:tr>
    </w:tbl>
    <w:p w14:paraId="7A62CBA6" w14:textId="12706C6A" w:rsidR="003B403B" w:rsidRPr="004E531E" w:rsidRDefault="00F51E2C" w:rsidP="003B403B">
      <w:pPr>
        <w:pStyle w:val="Heading4"/>
      </w:pPr>
      <w:r>
        <w:t xml:space="preserve">Step 3: </w:t>
      </w:r>
      <w:r w:rsidR="004C2BFE" w:rsidRPr="004E531E">
        <w:t xml:space="preserve">Allocating </w:t>
      </w:r>
      <w:r w:rsidR="00644DD6" w:rsidRPr="004E531E">
        <w:t>employees to eligible default products</w:t>
      </w:r>
    </w:p>
    <w:p w14:paraId="7F52024C" w14:textId="5F138049" w:rsidR="004138AF" w:rsidRPr="004E531E" w:rsidRDefault="00312502" w:rsidP="00104593">
      <w:pPr>
        <w:pStyle w:val="BodyText"/>
        <w:rPr>
          <w:lang w:eastAsia="en-US"/>
        </w:rPr>
      </w:pPr>
      <w:r w:rsidRPr="004E531E">
        <w:rPr>
          <w:lang w:eastAsia="en-US"/>
        </w:rPr>
        <w:t>The final st</w:t>
      </w:r>
      <w:r>
        <w:rPr>
          <w:lang w:eastAsia="en-US"/>
        </w:rPr>
        <w:t xml:space="preserve">ep </w:t>
      </w:r>
      <w:r w:rsidRPr="004E531E">
        <w:rPr>
          <w:lang w:eastAsia="en-US"/>
        </w:rPr>
        <w:t>is to specify how employees (as identified in the first step) are allocated to eligible default products</w:t>
      </w:r>
      <w:r>
        <w:rPr>
          <w:lang w:eastAsia="en-US"/>
        </w:rPr>
        <w:t xml:space="preserve"> (as identified in the second step)</w:t>
      </w:r>
      <w:r w:rsidRPr="004E531E">
        <w:rPr>
          <w:lang w:eastAsia="en-US"/>
        </w:rPr>
        <w:t xml:space="preserve">. In a centralised model where only one product is determined to be eligible, the allocation </w:t>
      </w:r>
      <w:r>
        <w:rPr>
          <w:lang w:eastAsia="en-US"/>
        </w:rPr>
        <w:t xml:space="preserve">of the defaulting employee </w:t>
      </w:r>
      <w:r w:rsidRPr="004E531E">
        <w:rPr>
          <w:lang w:eastAsia="en-US"/>
        </w:rPr>
        <w:t xml:space="preserve">would be automatic: all </w:t>
      </w:r>
      <w:r>
        <w:rPr>
          <w:lang w:eastAsia="en-US"/>
        </w:rPr>
        <w:t xml:space="preserve">new </w:t>
      </w:r>
      <w:r w:rsidRPr="004E531E">
        <w:rPr>
          <w:lang w:eastAsia="en-US"/>
        </w:rPr>
        <w:t xml:space="preserve">employees </w:t>
      </w:r>
      <w:r>
        <w:rPr>
          <w:lang w:eastAsia="en-US"/>
        </w:rPr>
        <w:t xml:space="preserve">who do not actively choose their own superannuation fund </w:t>
      </w:r>
      <w:r w:rsidRPr="004E531E">
        <w:rPr>
          <w:lang w:eastAsia="en-US"/>
        </w:rPr>
        <w:t>would be assigned to the single default product.</w:t>
      </w:r>
    </w:p>
    <w:p w14:paraId="47C17CA6" w14:textId="72FC3CFA" w:rsidR="000D2463" w:rsidRPr="004E531E" w:rsidRDefault="000D2463" w:rsidP="00104593">
      <w:pPr>
        <w:pStyle w:val="BodyText"/>
        <w:rPr>
          <w:lang w:eastAsia="en-US"/>
        </w:rPr>
      </w:pPr>
      <w:r w:rsidRPr="004E531E">
        <w:rPr>
          <w:lang w:eastAsia="en-US"/>
        </w:rPr>
        <w:t xml:space="preserve">Where multiple products are eligible to be used as defaults, </w:t>
      </w:r>
      <w:r w:rsidR="00644DD6" w:rsidRPr="004E531E">
        <w:rPr>
          <w:lang w:eastAsia="en-US"/>
        </w:rPr>
        <w:t xml:space="preserve">a number of approaches are possible. For example, in a relatively centralised </w:t>
      </w:r>
      <w:r w:rsidR="00072B48" w:rsidRPr="004E531E">
        <w:rPr>
          <w:lang w:eastAsia="en-US"/>
        </w:rPr>
        <w:t>model</w:t>
      </w:r>
      <w:r w:rsidR="00644DD6" w:rsidRPr="004E531E">
        <w:rPr>
          <w:lang w:eastAsia="en-US"/>
        </w:rPr>
        <w:t xml:space="preserve">, a government body </w:t>
      </w:r>
      <w:r w:rsidR="008331CB" w:rsidRPr="004E531E">
        <w:rPr>
          <w:lang w:eastAsia="en-US"/>
        </w:rPr>
        <w:t>would</w:t>
      </w:r>
      <w:r w:rsidR="00644DD6" w:rsidRPr="004E531E">
        <w:rPr>
          <w:lang w:eastAsia="en-US"/>
        </w:rPr>
        <w:t xml:space="preserve"> decide which employees are allocated to which product</w:t>
      </w:r>
      <w:r w:rsidR="008331CB" w:rsidRPr="004E531E">
        <w:rPr>
          <w:lang w:eastAsia="en-US"/>
        </w:rPr>
        <w:t>. This might be done randomly,</w:t>
      </w:r>
      <w:r w:rsidR="00644DD6" w:rsidRPr="004E531E">
        <w:rPr>
          <w:lang w:eastAsia="en-US"/>
        </w:rPr>
        <w:t xml:space="preserve"> </w:t>
      </w:r>
      <w:r w:rsidR="00637BA8">
        <w:rPr>
          <w:lang w:eastAsia="en-US"/>
        </w:rPr>
        <w:t xml:space="preserve">or </w:t>
      </w:r>
      <w:r w:rsidR="00072B48" w:rsidRPr="004E531E">
        <w:rPr>
          <w:lang w:eastAsia="en-US"/>
        </w:rPr>
        <w:t>by segmenting employees</w:t>
      </w:r>
      <w:r w:rsidR="00644DD6" w:rsidRPr="004E531E">
        <w:rPr>
          <w:lang w:eastAsia="en-US"/>
        </w:rPr>
        <w:t xml:space="preserve"> (such as</w:t>
      </w:r>
      <w:r w:rsidR="00072B48" w:rsidRPr="004E531E">
        <w:rPr>
          <w:lang w:eastAsia="en-US"/>
        </w:rPr>
        <w:t xml:space="preserve"> by</w:t>
      </w:r>
      <w:r w:rsidR="00644DD6" w:rsidRPr="004E531E">
        <w:rPr>
          <w:lang w:eastAsia="en-US"/>
        </w:rPr>
        <w:t xml:space="preserve"> occupation or </w:t>
      </w:r>
      <w:r w:rsidR="008A5950" w:rsidRPr="004E531E">
        <w:rPr>
          <w:lang w:eastAsia="en-US"/>
        </w:rPr>
        <w:t>age</w:t>
      </w:r>
      <w:r w:rsidR="00644DD6" w:rsidRPr="004E531E">
        <w:rPr>
          <w:lang w:eastAsia="en-US"/>
        </w:rPr>
        <w:t>)</w:t>
      </w:r>
      <w:r w:rsidR="008331CB" w:rsidRPr="004E531E">
        <w:rPr>
          <w:lang w:eastAsia="en-US"/>
        </w:rPr>
        <w:t xml:space="preserve">, or according to a </w:t>
      </w:r>
      <w:r w:rsidR="003E17E8" w:rsidRPr="004E531E">
        <w:rPr>
          <w:lang w:eastAsia="en-US"/>
        </w:rPr>
        <w:t>predetermined</w:t>
      </w:r>
      <w:r w:rsidR="008331CB" w:rsidRPr="004E531E">
        <w:rPr>
          <w:lang w:eastAsia="en-US"/>
        </w:rPr>
        <w:t xml:space="preserve"> formula (with a proportion of employees allocated to each product depending on that product’s characteristics)</w:t>
      </w:r>
      <w:r w:rsidR="00644DD6" w:rsidRPr="004E531E">
        <w:rPr>
          <w:lang w:eastAsia="en-US"/>
        </w:rPr>
        <w:t xml:space="preserve">. In a more decentralised model, </w:t>
      </w:r>
      <w:r w:rsidR="00AD7DCD">
        <w:rPr>
          <w:lang w:eastAsia="en-US"/>
        </w:rPr>
        <w:t xml:space="preserve">it might be necessary to revert to </w:t>
      </w:r>
      <w:r w:rsidR="00644DD6" w:rsidRPr="004E531E">
        <w:rPr>
          <w:lang w:eastAsia="en-US"/>
        </w:rPr>
        <w:t>employer</w:t>
      </w:r>
      <w:r w:rsidR="00AD7DCD">
        <w:rPr>
          <w:lang w:eastAsia="en-US"/>
        </w:rPr>
        <w:t xml:space="preserve"> choice</w:t>
      </w:r>
      <w:r w:rsidR="00644DD6" w:rsidRPr="004E531E">
        <w:rPr>
          <w:lang w:eastAsia="en-US"/>
        </w:rPr>
        <w:t xml:space="preserve"> among the eligible </w:t>
      </w:r>
      <w:r w:rsidR="00173E52">
        <w:rPr>
          <w:lang w:eastAsia="en-US"/>
        </w:rPr>
        <w:t>products</w:t>
      </w:r>
      <w:r w:rsidR="00644DD6" w:rsidRPr="004E531E">
        <w:rPr>
          <w:lang w:eastAsia="en-US"/>
        </w:rPr>
        <w:t>, which could introduce an additional layer of competition</w:t>
      </w:r>
      <w:r w:rsidR="00AD7DCD">
        <w:rPr>
          <w:lang w:eastAsia="en-US"/>
        </w:rPr>
        <w:t xml:space="preserve">, but may create other </w:t>
      </w:r>
      <w:r w:rsidR="006143BB">
        <w:rPr>
          <w:lang w:eastAsia="en-US"/>
        </w:rPr>
        <w:t>challenges</w:t>
      </w:r>
      <w:r w:rsidR="00AD7DCD">
        <w:rPr>
          <w:lang w:eastAsia="en-US"/>
        </w:rPr>
        <w:t>.</w:t>
      </w:r>
    </w:p>
    <w:p w14:paraId="3A5257E6" w14:textId="40E73B96" w:rsidR="005E4B35" w:rsidRDefault="005E4B35" w:rsidP="005E4B35">
      <w:pPr>
        <w:pStyle w:val="BodyText"/>
      </w:pPr>
      <w:r w:rsidRPr="004E531E">
        <w:rPr>
          <w:lang w:eastAsia="en-US"/>
        </w:rPr>
        <w:t xml:space="preserve">Segmenting employees </w:t>
      </w:r>
      <w:r w:rsidRPr="004E531E">
        <w:t xml:space="preserve">could allow for ‘smart’ defaults to be developed — that is, default products that reflect the requirements of specific groups of employees. </w:t>
      </w:r>
      <w:r w:rsidR="004F4A51">
        <w:t xml:space="preserve">For example, in the UK </w:t>
      </w:r>
      <w:r w:rsidR="004F4A51" w:rsidRPr="004F4A51">
        <w:t>National Employment Savings Trust</w:t>
      </w:r>
      <w:r w:rsidR="004F4A51">
        <w:t xml:space="preserve">, the default option is </w:t>
      </w:r>
      <w:r w:rsidR="009115B0">
        <w:t xml:space="preserve">one of the </w:t>
      </w:r>
      <w:r w:rsidR="00601009">
        <w:t>approximately</w:t>
      </w:r>
      <w:r w:rsidR="009115B0">
        <w:t xml:space="preserve"> 50</w:t>
      </w:r>
      <w:r w:rsidR="00601009">
        <w:t> R</w:t>
      </w:r>
      <w:r w:rsidR="004F4A51">
        <w:t xml:space="preserve">etirement </w:t>
      </w:r>
      <w:r w:rsidR="00601009">
        <w:t>D</w:t>
      </w:r>
      <w:r w:rsidR="004F4A51">
        <w:t xml:space="preserve">ate </w:t>
      </w:r>
      <w:r w:rsidR="00601009">
        <w:t>F</w:t>
      </w:r>
      <w:r w:rsidR="004F4A51">
        <w:t>und</w:t>
      </w:r>
      <w:r w:rsidR="009115B0">
        <w:t>s</w:t>
      </w:r>
      <w:r w:rsidR="004F4A51">
        <w:t xml:space="preserve"> in place</w:t>
      </w:r>
      <w:r w:rsidR="00A509C4">
        <w:t xml:space="preserve"> </w:t>
      </w:r>
      <w:r w:rsidR="0036387E" w:rsidRPr="0036387E">
        <w:rPr>
          <w:szCs w:val="24"/>
        </w:rPr>
        <w:t>(NEST 2015)</w:t>
      </w:r>
      <w:r w:rsidR="004F4A51" w:rsidRPr="004F4A51">
        <w:t xml:space="preserve">. </w:t>
      </w:r>
      <w:r w:rsidRPr="004E531E">
        <w:t xml:space="preserve">However, a </w:t>
      </w:r>
      <w:r w:rsidR="008A5950" w:rsidRPr="004E531E">
        <w:t>high</w:t>
      </w:r>
      <w:r w:rsidRPr="004E531E">
        <w:t xml:space="preserve"> degree of tailoring could </w:t>
      </w:r>
      <w:r w:rsidR="006C6D6B" w:rsidRPr="004E531E">
        <w:t xml:space="preserve">come at the risk of </w:t>
      </w:r>
      <w:r w:rsidRPr="004E531E">
        <w:t>making it difficult to compare products or mut</w:t>
      </w:r>
      <w:r w:rsidR="006C6D6B" w:rsidRPr="004E531E">
        <w:t>ing</w:t>
      </w:r>
      <w:r w:rsidRPr="004E531E">
        <w:t xml:space="preserve"> competition </w:t>
      </w:r>
      <w:r w:rsidR="006C6D6B" w:rsidRPr="004E531E">
        <w:t>between</w:t>
      </w:r>
      <w:r w:rsidRPr="004E531E">
        <w:t xml:space="preserve"> funds.</w:t>
      </w:r>
    </w:p>
    <w:p w14:paraId="232D16BA" w14:textId="744DBF80" w:rsidR="00607F4B" w:rsidRPr="004E3B94" w:rsidRDefault="00607F4B" w:rsidP="00607F4B">
      <w:pPr>
        <w:pStyle w:val="BoxSpaceAboveElement"/>
        <w:rPr>
          <w:vanish w:val="0"/>
          <w:color w:val="auto"/>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0"/>
      </w:tblGrid>
      <w:tr w:rsidR="00607F4B" w14:paraId="406E9D6D" w14:textId="77777777" w:rsidTr="001B5FDB">
        <w:tc>
          <w:tcPr>
            <w:tcW w:w="8770" w:type="dxa"/>
            <w:tcBorders>
              <w:top w:val="single" w:sz="6" w:space="0" w:color="78A22F"/>
              <w:left w:val="nil"/>
              <w:bottom w:val="nil"/>
              <w:right w:val="nil"/>
            </w:tcBorders>
            <w:shd w:val="clear" w:color="auto" w:fill="auto"/>
          </w:tcPr>
          <w:p w14:paraId="19EB58E6" w14:textId="51BC371C" w:rsidR="00B01A3F" w:rsidRDefault="000C34E3" w:rsidP="004F4A51">
            <w:pPr>
              <w:pStyle w:val="InformationRequest"/>
            </w:pPr>
            <w:r>
              <w:t xml:space="preserve">Within a particular </w:t>
            </w:r>
            <w:r w:rsidR="004F4A51">
              <w:t xml:space="preserve">allocative </w:t>
            </w:r>
            <w:r>
              <w:t>model, s</w:t>
            </w:r>
            <w:r w:rsidR="00607F4B" w:rsidRPr="00607F4B">
              <w:t>hould employees be segmented into groups for the purposes of allocating them to default products? If so, how should they be segmented? What are the benefits and costs of this approach?</w:t>
            </w:r>
            <w:r w:rsidR="00AD7DCD">
              <w:t xml:space="preserve"> </w:t>
            </w:r>
          </w:p>
          <w:p w14:paraId="570D9DE1" w14:textId="69AC04AC" w:rsidR="00B32097" w:rsidRPr="00B32097" w:rsidRDefault="00AD7DCD" w:rsidP="004F4A51">
            <w:pPr>
              <w:pStyle w:val="InformationRequest"/>
            </w:pPr>
            <w:r>
              <w:t xml:space="preserve">Who should decide on which employees are allocated to which </w:t>
            </w:r>
            <w:r w:rsidR="00173E52">
              <w:t>products</w:t>
            </w:r>
            <w:r>
              <w:t xml:space="preserve">, where multiple default </w:t>
            </w:r>
            <w:r w:rsidR="00173E52">
              <w:t>products</w:t>
            </w:r>
            <w:r>
              <w:t xml:space="preserve"> are chosen by the new </w:t>
            </w:r>
            <w:r w:rsidR="00173E52">
              <w:t>allocative</w:t>
            </w:r>
            <w:r>
              <w:t xml:space="preserve"> model?</w:t>
            </w:r>
          </w:p>
        </w:tc>
      </w:tr>
      <w:tr w:rsidR="00607F4B" w14:paraId="2BAAE6EC" w14:textId="77777777" w:rsidTr="001B5FDB">
        <w:tc>
          <w:tcPr>
            <w:tcW w:w="8770" w:type="dxa"/>
            <w:tcBorders>
              <w:top w:val="nil"/>
              <w:left w:val="nil"/>
              <w:bottom w:val="single" w:sz="6" w:space="0" w:color="78A22F"/>
              <w:right w:val="nil"/>
            </w:tcBorders>
            <w:shd w:val="clear" w:color="auto" w:fill="auto"/>
          </w:tcPr>
          <w:p w14:paraId="6E9A2C85" w14:textId="77777777" w:rsidR="00607F4B" w:rsidRDefault="00607F4B" w:rsidP="001B5FDB">
            <w:pPr>
              <w:pStyle w:val="Space"/>
              <w:keepNext w:val="0"/>
              <w:keepLines/>
            </w:pPr>
          </w:p>
        </w:tc>
      </w:tr>
      <w:tr w:rsidR="00607F4B" w:rsidRPr="000863A5" w14:paraId="3334E56B" w14:textId="77777777" w:rsidTr="001B5FDB">
        <w:tc>
          <w:tcPr>
            <w:tcW w:w="8770" w:type="dxa"/>
            <w:tcBorders>
              <w:top w:val="single" w:sz="6" w:space="0" w:color="78A22F"/>
              <w:left w:val="nil"/>
              <w:bottom w:val="nil"/>
              <w:right w:val="nil"/>
            </w:tcBorders>
          </w:tcPr>
          <w:p w14:paraId="5669C845" w14:textId="0146BE0C" w:rsidR="00607F4B" w:rsidRPr="00626D32" w:rsidRDefault="00607F4B" w:rsidP="001B5FDB">
            <w:pPr>
              <w:pStyle w:val="BoxSpaceBelow"/>
              <w:keepLines/>
            </w:pPr>
          </w:p>
        </w:tc>
      </w:tr>
    </w:tbl>
    <w:p w14:paraId="2CC14E50" w14:textId="0FF4D842" w:rsidR="00171495" w:rsidRPr="004E531E" w:rsidRDefault="00CE2A3F" w:rsidP="00171495">
      <w:pPr>
        <w:pStyle w:val="Heading2"/>
      </w:pPr>
      <w:r>
        <w:rPr>
          <w:lang w:eastAsia="en-US"/>
        </w:rPr>
        <w:t>4</w:t>
      </w:r>
      <w:r w:rsidR="00535B43" w:rsidRPr="004E531E">
        <w:rPr>
          <w:lang w:eastAsia="en-US"/>
        </w:rPr>
        <w:tab/>
      </w:r>
      <w:r w:rsidR="00644A2D" w:rsidRPr="004E531E">
        <w:t xml:space="preserve">Some options for </w:t>
      </w:r>
      <w:r w:rsidR="00BA7C8B" w:rsidRPr="004E531E">
        <w:t>an allocation model</w:t>
      </w:r>
    </w:p>
    <w:p w14:paraId="16923E6C" w14:textId="3C9B036A" w:rsidR="00073730" w:rsidRDefault="00073730" w:rsidP="00073730">
      <w:pPr>
        <w:pStyle w:val="BodyText"/>
      </w:pPr>
      <w:r w:rsidRPr="004E531E">
        <w:rPr>
          <w:rStyle w:val="DraftingNote"/>
          <w:b w:val="0"/>
          <w:color w:val="auto"/>
          <w:u w:val="none"/>
        </w:rPr>
        <w:t xml:space="preserve">The purpose of this section is to present three simple types of models, in order to flesh out </w:t>
      </w:r>
      <w:r w:rsidR="00E56938">
        <w:rPr>
          <w:rStyle w:val="DraftingNote"/>
          <w:b w:val="0"/>
          <w:color w:val="auto"/>
          <w:u w:val="none"/>
        </w:rPr>
        <w:t>potential</w:t>
      </w:r>
      <w:r w:rsidR="00E56938" w:rsidRPr="004E531E">
        <w:rPr>
          <w:rStyle w:val="DraftingNote"/>
          <w:b w:val="0"/>
          <w:color w:val="auto"/>
          <w:u w:val="none"/>
        </w:rPr>
        <w:t xml:space="preserve"> </w:t>
      </w:r>
      <w:r w:rsidRPr="004E531E">
        <w:rPr>
          <w:rStyle w:val="DraftingNote"/>
          <w:b w:val="0"/>
          <w:color w:val="auto"/>
          <w:u w:val="none"/>
        </w:rPr>
        <w:t xml:space="preserve">benefits, costs and </w:t>
      </w:r>
      <w:r w:rsidR="00A354B8">
        <w:rPr>
          <w:rStyle w:val="DraftingNote"/>
          <w:b w:val="0"/>
          <w:color w:val="auto"/>
          <w:u w:val="none"/>
        </w:rPr>
        <w:t>institutional</w:t>
      </w:r>
      <w:r w:rsidR="00A354B8" w:rsidRPr="004E531E">
        <w:rPr>
          <w:rStyle w:val="DraftingNote"/>
          <w:b w:val="0"/>
          <w:color w:val="auto"/>
          <w:u w:val="none"/>
        </w:rPr>
        <w:t xml:space="preserve"> </w:t>
      </w:r>
      <w:r w:rsidRPr="004E531E">
        <w:rPr>
          <w:rStyle w:val="DraftingNote"/>
          <w:b w:val="0"/>
          <w:color w:val="auto"/>
          <w:u w:val="none"/>
        </w:rPr>
        <w:t xml:space="preserve">considerations </w:t>
      </w:r>
      <w:r w:rsidRPr="004E531E">
        <w:t>that would need to be taken into account in examining each model. This section also flags some of the key evidence gaps associated with understanding the full implications of each model.</w:t>
      </w:r>
    </w:p>
    <w:p w14:paraId="3B563F59" w14:textId="3F190796" w:rsidR="00B93B67" w:rsidRDefault="00B93B67" w:rsidP="00B93B67">
      <w:pPr>
        <w:pStyle w:val="BodyText"/>
      </w:pPr>
      <w:r>
        <w:t xml:space="preserve">The discussion focuses on steps 2 and 3 in the process outlined above: how eligible products would be determined, and how employees would be allocated to products. The set of employees that would be covered by the models </w:t>
      </w:r>
      <w:r w:rsidR="00CE2A3F">
        <w:t xml:space="preserve">(step 1) </w:t>
      </w:r>
      <w:r>
        <w:t xml:space="preserve">would need to be identified in advance under any of these models. </w:t>
      </w:r>
    </w:p>
    <w:p w14:paraId="54F5CE52" w14:textId="0E0919F2" w:rsidR="00073730" w:rsidRDefault="00073730" w:rsidP="00073730">
      <w:pPr>
        <w:pStyle w:val="BodyText"/>
      </w:pPr>
      <w:r w:rsidRPr="004E531E">
        <w:t xml:space="preserve">Inquiry participants are encouraged to put forward alternative models (which may be combinations </w:t>
      </w:r>
      <w:r w:rsidR="00540AF9" w:rsidRPr="004E531E">
        <w:t xml:space="preserve">or hybrids </w:t>
      </w:r>
      <w:r w:rsidRPr="004E531E">
        <w:t>of the basic models below), or flesh out the more detailed design aspects and implementation challenges each model would entail in practice. The Commission encourages participants to think outside the box</w:t>
      </w:r>
      <w:r w:rsidR="00B62EFE" w:rsidRPr="004E531E">
        <w:t>.</w:t>
      </w:r>
    </w:p>
    <w:p w14:paraId="4F5C5217" w14:textId="5993F136" w:rsidR="00312502" w:rsidRPr="004E3B94" w:rsidRDefault="00312502" w:rsidP="00312502">
      <w:pPr>
        <w:pStyle w:val="BoxSpaceAboveElement"/>
        <w:rPr>
          <w:vanish w:val="0"/>
          <w:color w:val="auto"/>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0"/>
      </w:tblGrid>
      <w:tr w:rsidR="00312502" w14:paraId="654CC139" w14:textId="77777777" w:rsidTr="00384E6A">
        <w:tc>
          <w:tcPr>
            <w:tcW w:w="8770" w:type="dxa"/>
            <w:tcBorders>
              <w:top w:val="single" w:sz="6" w:space="0" w:color="78A22F"/>
              <w:left w:val="nil"/>
              <w:bottom w:val="nil"/>
              <w:right w:val="nil"/>
            </w:tcBorders>
            <w:shd w:val="clear" w:color="auto" w:fill="auto"/>
          </w:tcPr>
          <w:p w14:paraId="01318F22" w14:textId="2D0B34CF" w:rsidR="00312502" w:rsidRPr="00B32097" w:rsidRDefault="00312502" w:rsidP="00601009">
            <w:pPr>
              <w:pStyle w:val="InformationRequest"/>
            </w:pPr>
            <w:r>
              <w:t>What other types</w:t>
            </w:r>
            <w:r w:rsidR="00601009">
              <w:t xml:space="preserve"> of model</w:t>
            </w:r>
            <w:r>
              <w:t>, in addition to the three identified here, should the Commission consider in this inquiry?</w:t>
            </w:r>
          </w:p>
        </w:tc>
      </w:tr>
      <w:tr w:rsidR="00312502" w14:paraId="54F22D4B" w14:textId="77777777" w:rsidTr="00384E6A">
        <w:tc>
          <w:tcPr>
            <w:tcW w:w="8770" w:type="dxa"/>
            <w:tcBorders>
              <w:top w:val="nil"/>
              <w:left w:val="nil"/>
              <w:bottom w:val="single" w:sz="6" w:space="0" w:color="78A22F"/>
              <w:right w:val="nil"/>
            </w:tcBorders>
            <w:shd w:val="clear" w:color="auto" w:fill="auto"/>
          </w:tcPr>
          <w:p w14:paraId="4C9D988D" w14:textId="77777777" w:rsidR="00312502" w:rsidRDefault="00312502" w:rsidP="00384E6A">
            <w:pPr>
              <w:pStyle w:val="Space"/>
              <w:keepNext w:val="0"/>
              <w:keepLines/>
            </w:pPr>
          </w:p>
        </w:tc>
      </w:tr>
      <w:tr w:rsidR="00312502" w:rsidRPr="000863A5" w14:paraId="15739ADC" w14:textId="77777777" w:rsidTr="00384E6A">
        <w:tc>
          <w:tcPr>
            <w:tcW w:w="8770" w:type="dxa"/>
            <w:tcBorders>
              <w:top w:val="single" w:sz="6" w:space="0" w:color="78A22F"/>
              <w:left w:val="nil"/>
              <w:bottom w:val="nil"/>
              <w:right w:val="nil"/>
            </w:tcBorders>
          </w:tcPr>
          <w:p w14:paraId="69C06871" w14:textId="7BA6C54F" w:rsidR="00312502" w:rsidRPr="00626D32" w:rsidRDefault="00312502" w:rsidP="00384E6A">
            <w:pPr>
              <w:pStyle w:val="BoxSpaceBelow"/>
              <w:keepLines/>
            </w:pPr>
          </w:p>
        </w:tc>
      </w:tr>
    </w:tbl>
    <w:p w14:paraId="2EB101B1" w14:textId="6FD8ACEC" w:rsidR="00CE69B9" w:rsidRPr="004E531E" w:rsidRDefault="0045590C" w:rsidP="00CE69B9">
      <w:pPr>
        <w:pStyle w:val="Heading3"/>
      </w:pPr>
      <w:r>
        <w:t>Administrative</w:t>
      </w:r>
      <w:r w:rsidRPr="004E531E">
        <w:t xml:space="preserve"> </w:t>
      </w:r>
      <w:r w:rsidR="00540AF9" w:rsidRPr="004E531E">
        <w:t>model</w:t>
      </w:r>
    </w:p>
    <w:p w14:paraId="08DC1193" w14:textId="1860EF39" w:rsidR="008A082C" w:rsidRDefault="00540AF9" w:rsidP="00324531">
      <w:pPr>
        <w:pStyle w:val="BodyText"/>
      </w:pPr>
      <w:r w:rsidRPr="004E531E">
        <w:t>In a</w:t>
      </w:r>
      <w:r w:rsidR="0045590C">
        <w:t>n administrative</w:t>
      </w:r>
      <w:r w:rsidRPr="004E531E">
        <w:t xml:space="preserve"> model, a government body would </w:t>
      </w:r>
      <w:r w:rsidR="00A7759D" w:rsidRPr="004E531E">
        <w:t xml:space="preserve">use a ‘filter’ to </w:t>
      </w:r>
      <w:r w:rsidRPr="004E531E">
        <w:t xml:space="preserve">determine </w:t>
      </w:r>
      <w:r w:rsidR="00783F33" w:rsidRPr="004E531E">
        <w:t xml:space="preserve">which </w:t>
      </w:r>
      <w:r w:rsidRPr="004E531E">
        <w:t>products are eligible to be used as defaults</w:t>
      </w:r>
      <w:r w:rsidR="00F53DEE" w:rsidRPr="004E531E">
        <w:t xml:space="preserve">. This </w:t>
      </w:r>
      <w:r w:rsidR="00A7759D" w:rsidRPr="004E531E">
        <w:t>filter (the regulatory mechanism) would</w:t>
      </w:r>
      <w:r w:rsidR="00F53DEE" w:rsidRPr="004E531E">
        <w:t xml:space="preserve"> be akin to a set of minimum standards that products must meet</w:t>
      </w:r>
      <w:r w:rsidR="00783F33" w:rsidRPr="004E531E">
        <w:t>.</w:t>
      </w:r>
      <w:r w:rsidR="00F02166">
        <w:t xml:space="preserve"> </w:t>
      </w:r>
      <w:r w:rsidR="00CA5F9B">
        <w:t>T</w:t>
      </w:r>
      <w:r w:rsidR="005C7A8A">
        <w:t>he fil</w:t>
      </w:r>
      <w:r w:rsidR="00EE659E">
        <w:t>t</w:t>
      </w:r>
      <w:r w:rsidR="005C7A8A">
        <w:t>er would not rank the relative performance of products.</w:t>
      </w:r>
      <w:r w:rsidR="008A082C">
        <w:t xml:space="preserve"> </w:t>
      </w:r>
    </w:p>
    <w:p w14:paraId="4C2CD84C" w14:textId="19460138" w:rsidR="000D0460" w:rsidRPr="004E531E" w:rsidRDefault="000D0460" w:rsidP="000D0460">
      <w:pPr>
        <w:pStyle w:val="BodyText"/>
      </w:pPr>
      <w:r w:rsidRPr="000E32BD">
        <w:t>A</w:t>
      </w:r>
      <w:r w:rsidR="0045590C">
        <w:t>n administrative</w:t>
      </w:r>
      <w:r w:rsidRPr="000E32BD">
        <w:t xml:space="preserve"> filter </w:t>
      </w:r>
      <w:r w:rsidRPr="004E531E">
        <w:t xml:space="preserve">would not necessarily be inconsistent with </w:t>
      </w:r>
      <w:r w:rsidR="00A354B8">
        <w:t>efficiency</w:t>
      </w:r>
      <w:r w:rsidRPr="004E531E">
        <w:t xml:space="preserve">. Restricting the number of products eligible </w:t>
      </w:r>
      <w:r w:rsidR="005C7A8A">
        <w:t>to receive default contributions</w:t>
      </w:r>
      <w:r w:rsidRPr="004E531E">
        <w:t xml:space="preserve"> could </w:t>
      </w:r>
      <w:r w:rsidRPr="00324531">
        <w:t>potentially</w:t>
      </w:r>
      <w:r w:rsidRPr="00B64045">
        <w:t xml:space="preserve"> reduce competition, but</w:t>
      </w:r>
      <w:r w:rsidRPr="00BB1252">
        <w:t xml:space="preserve"> other considerations need to be taken into account. First, effective competition does not always require a large number of competitors</w:t>
      </w:r>
      <w:r w:rsidR="00BF0AC0">
        <w:t>.</w:t>
      </w:r>
      <w:r w:rsidR="00A354B8" w:rsidRPr="000F5FDE">
        <w:t xml:space="preserve"> </w:t>
      </w:r>
      <w:r w:rsidRPr="000F5FDE">
        <w:t>Second, a</w:t>
      </w:r>
      <w:r w:rsidRPr="0027418A">
        <w:t xml:space="preserve"> filter could </w:t>
      </w:r>
      <w:r w:rsidR="00A354B8">
        <w:t xml:space="preserve">potentially </w:t>
      </w:r>
      <w:r w:rsidRPr="00324531">
        <w:t>enhance</w:t>
      </w:r>
      <w:r w:rsidRPr="00B64045">
        <w:t xml:space="preserve"> efficient competition</w:t>
      </w:r>
      <w:r w:rsidR="00A354B8">
        <w:t xml:space="preserve"> by</w:t>
      </w:r>
      <w:r w:rsidRPr="003D3432">
        <w:t xml:space="preserve"> improv</w:t>
      </w:r>
      <w:r w:rsidR="00A354B8">
        <w:t>ing</w:t>
      </w:r>
      <w:r w:rsidRPr="003D3432">
        <w:t xml:space="preserve"> product comparability, lower</w:t>
      </w:r>
      <w:r w:rsidR="00A354B8">
        <w:t>ing</w:t>
      </w:r>
      <w:r w:rsidRPr="003D3432">
        <w:t xml:space="preserve"> transaction costs</w:t>
      </w:r>
      <w:r w:rsidRPr="000F5FDE">
        <w:t xml:space="preserve"> and </w:t>
      </w:r>
      <w:r w:rsidR="00A354B8" w:rsidRPr="00EE5809">
        <w:t>facilitat</w:t>
      </w:r>
      <w:r w:rsidR="00A354B8">
        <w:t>ing</w:t>
      </w:r>
      <w:r w:rsidR="00A354B8" w:rsidRPr="00EE5809">
        <w:t xml:space="preserve"> </w:t>
      </w:r>
      <w:r w:rsidRPr="00EE5809">
        <w:t>more active choice</w:t>
      </w:r>
      <w:r w:rsidR="00A354B8" w:rsidRPr="00BB1252">
        <w:t xml:space="preserve">. The </w:t>
      </w:r>
      <w:r w:rsidR="00A354B8" w:rsidRPr="003D3432">
        <w:t xml:space="preserve">key </w:t>
      </w:r>
      <w:r w:rsidR="00A354B8">
        <w:t>undesirable outcome would be creating</w:t>
      </w:r>
      <w:r w:rsidR="00A354B8" w:rsidRPr="000F5FDE">
        <w:t xml:space="preserve"> a lasting barrier to entry to products that could improve outcomes for members</w:t>
      </w:r>
      <w:r w:rsidR="000F13D2">
        <w:t>,</w:t>
      </w:r>
      <w:r w:rsidR="00896DDA" w:rsidRPr="00896DDA">
        <w:t xml:space="preserve"> </w:t>
      </w:r>
      <w:r w:rsidR="00896DDA">
        <w:t>so the period between reviews against the filter would be relevant</w:t>
      </w:r>
      <w:r w:rsidR="00896DDA" w:rsidRPr="000F5FDE">
        <w:t xml:space="preserve">. </w:t>
      </w:r>
    </w:p>
    <w:p w14:paraId="31700819" w14:textId="77777777" w:rsidR="00540AF9" w:rsidRPr="004E531E" w:rsidRDefault="00540AF9" w:rsidP="00324531">
      <w:pPr>
        <w:pStyle w:val="Heading4"/>
      </w:pPr>
      <w:r w:rsidRPr="004E531E">
        <w:t>How would eligible products be determined?</w:t>
      </w:r>
    </w:p>
    <w:p w14:paraId="413E2898" w14:textId="6F55FB05" w:rsidR="00BE333D" w:rsidRDefault="00D50053" w:rsidP="00D50053">
      <w:pPr>
        <w:pStyle w:val="BodyText"/>
      </w:pPr>
      <w:r w:rsidRPr="00F44726">
        <w:t xml:space="preserve">There are many </w:t>
      </w:r>
      <w:r w:rsidRPr="000E32BD">
        <w:t>forms</w:t>
      </w:r>
      <w:r w:rsidRPr="004E531E">
        <w:t xml:space="preserve"> a filter could take, both in terms of its metrics, and of how prescriptively those metrics are applied. For example, a filter could be linked solely to MySuper authorisation, or it could extend further to incorporate the currently legislated criteria for MySuper products in awards (box</w:t>
      </w:r>
      <w:r w:rsidR="0042199C">
        <w:t> </w:t>
      </w:r>
      <w:r w:rsidR="00607F4B">
        <w:t>4</w:t>
      </w:r>
      <w:r w:rsidRPr="004E531E">
        <w:t xml:space="preserve">). </w:t>
      </w:r>
      <w:r w:rsidR="00896DDA" w:rsidRPr="004E531E">
        <w:t xml:space="preserve">Alternatively, new metrics could be designed </w:t>
      </w:r>
      <w:r w:rsidR="00896DDA">
        <w:t>over time and informed by evidence</w:t>
      </w:r>
      <w:r w:rsidR="00896DDA" w:rsidRPr="004E531E">
        <w:t>.</w:t>
      </w:r>
      <w:r w:rsidR="00896DDA">
        <w:t xml:space="preserve"> A good way to think of a filter is like the Heart Foundation tick of approval. </w:t>
      </w:r>
    </w:p>
    <w:p w14:paraId="0BD9E5DD" w14:textId="7102549F" w:rsidR="00394013" w:rsidRPr="004E531E" w:rsidRDefault="00394013" w:rsidP="00394013">
      <w:pPr>
        <w:pStyle w:val="BodyText"/>
      </w:pPr>
      <w:r w:rsidRPr="00BB1252">
        <w:t>T</w:t>
      </w:r>
      <w:r w:rsidRPr="003166E5">
        <w:t xml:space="preserve">here could be a case for calibrating </w:t>
      </w:r>
      <w:r w:rsidRPr="000F5FDE">
        <w:t xml:space="preserve">the </w:t>
      </w:r>
      <w:r w:rsidR="0045590C">
        <w:t xml:space="preserve">administrative </w:t>
      </w:r>
      <w:r w:rsidRPr="00EE5809">
        <w:t>filter t</w:t>
      </w:r>
      <w:r w:rsidRPr="00487AFD">
        <w:t xml:space="preserve">o </w:t>
      </w:r>
      <w:r w:rsidRPr="008D125E">
        <w:t>resu</w:t>
      </w:r>
      <w:r w:rsidRPr="0027418A">
        <w:t xml:space="preserve">lt in a </w:t>
      </w:r>
      <w:r w:rsidRPr="009661A6">
        <w:t>p</w:t>
      </w:r>
      <w:r w:rsidRPr="00A140E2">
        <w:t xml:space="preserve">redetermined </w:t>
      </w:r>
      <w:r w:rsidRPr="0044096A">
        <w:t xml:space="preserve">number of qualifying products. For example, </w:t>
      </w:r>
      <w:r w:rsidRPr="009F6DFF">
        <w:t>s</w:t>
      </w:r>
      <w:r w:rsidRPr="00616400">
        <w:t xml:space="preserve">etting </w:t>
      </w:r>
      <w:r w:rsidRPr="000E32BD">
        <w:t>a minimum number could address the risk of generating a very small number of eligible products, with adverse consequences for subsequent competi</w:t>
      </w:r>
      <w:r w:rsidRPr="004E531E">
        <w:t xml:space="preserve">tion between them. </w:t>
      </w:r>
      <w:r w:rsidR="00064CF3">
        <w:t>P</w:t>
      </w:r>
      <w:r w:rsidRPr="004E531E">
        <w:t xml:space="preserve">rescribing a cap on eligible products might reduce the transaction </w:t>
      </w:r>
      <w:r w:rsidR="00EE659E">
        <w:t xml:space="preserve">and search </w:t>
      </w:r>
      <w:r w:rsidRPr="004E531E">
        <w:t>costs of subsequent decisions.</w:t>
      </w:r>
    </w:p>
    <w:p w14:paraId="401503EC" w14:textId="59CB0443" w:rsidR="00394013" w:rsidRDefault="00394013" w:rsidP="00D50053">
      <w:pPr>
        <w:pStyle w:val="BodyText"/>
      </w:pPr>
      <w:r w:rsidRPr="004E531E">
        <w:t xml:space="preserve">A further question is how frequently the filtering process would be run, </w:t>
      </w:r>
      <w:r w:rsidR="00163879">
        <w:t xml:space="preserve">including the process for removing products from the list, </w:t>
      </w:r>
      <w:r w:rsidRPr="004E531E">
        <w:t xml:space="preserve">and how often the </w:t>
      </w:r>
      <w:r w:rsidR="002922DF">
        <w:t>metrics</w:t>
      </w:r>
      <w:r w:rsidRPr="004E531E">
        <w:t xml:space="preserve"> are reviewed. Greater frequency could improve </w:t>
      </w:r>
      <w:r w:rsidR="003B5034">
        <w:t xml:space="preserve">the </w:t>
      </w:r>
      <w:r w:rsidRPr="004E531E">
        <w:t>flexibility and accuracy of the filter, as well as increase competition</w:t>
      </w:r>
      <w:r w:rsidR="00896DDA" w:rsidRPr="00896DDA">
        <w:t xml:space="preserve"> </w:t>
      </w:r>
      <w:r w:rsidR="00896DDA">
        <w:t>and opportunity for new products to qualify</w:t>
      </w:r>
      <w:r w:rsidRPr="004E531E">
        <w:t xml:space="preserve">. However, </w:t>
      </w:r>
      <w:r w:rsidR="00AE37D5">
        <w:t>this needs to be weighed against</w:t>
      </w:r>
      <w:r w:rsidRPr="004E531E">
        <w:t xml:space="preserve"> higher compliance and administrative costs</w:t>
      </w:r>
      <w:r w:rsidR="00896DDA">
        <w:t>,</w:t>
      </w:r>
      <w:r w:rsidRPr="004E531E">
        <w:t xml:space="preserve"> reduced certainty for funds and </w:t>
      </w:r>
      <w:r w:rsidR="008F2557">
        <w:t>employees</w:t>
      </w:r>
      <w:r w:rsidR="00896DDA">
        <w:t xml:space="preserve">, and potentially </w:t>
      </w:r>
      <w:r w:rsidR="00C93DF5">
        <w:t xml:space="preserve">placing an </w:t>
      </w:r>
      <w:r w:rsidR="00896DDA">
        <w:t>unhelpful emphasis on short</w:t>
      </w:r>
      <w:r w:rsidR="00C93DF5">
        <w:noBreakHyphen/>
      </w:r>
      <w:r w:rsidR="00896DDA">
        <w:t>term performance</w:t>
      </w:r>
      <w:r w:rsidRPr="004E531E">
        <w:t>.</w:t>
      </w:r>
      <w:r w:rsidR="00DD33F2">
        <w:t xml:space="preserve"> </w:t>
      </w:r>
    </w:p>
    <w:p w14:paraId="72A793BB" w14:textId="0B4CF73C" w:rsidR="00607F4B" w:rsidRPr="004E3B94" w:rsidRDefault="00607F4B" w:rsidP="00607F4B">
      <w:pPr>
        <w:pStyle w:val="BoxSpaceAboveElement"/>
        <w:rPr>
          <w:vanish w:val="0"/>
          <w:color w:val="auto"/>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0"/>
      </w:tblGrid>
      <w:tr w:rsidR="00607F4B" w14:paraId="1CB4A9C9" w14:textId="77777777" w:rsidTr="001B5FDB">
        <w:tc>
          <w:tcPr>
            <w:tcW w:w="8770" w:type="dxa"/>
            <w:tcBorders>
              <w:top w:val="single" w:sz="6" w:space="0" w:color="78A22F"/>
              <w:left w:val="nil"/>
              <w:bottom w:val="nil"/>
              <w:right w:val="nil"/>
            </w:tcBorders>
            <w:shd w:val="clear" w:color="auto" w:fill="auto"/>
          </w:tcPr>
          <w:p w14:paraId="5445DE03" w14:textId="094FE36F" w:rsidR="00607F4B" w:rsidRDefault="00607F4B" w:rsidP="00607F4B">
            <w:pPr>
              <w:pStyle w:val="InformationRequest"/>
            </w:pPr>
            <w:r>
              <w:t xml:space="preserve">What are the advantages and disadvantages of using some </w:t>
            </w:r>
            <w:r w:rsidR="00E53084">
              <w:t xml:space="preserve">form </w:t>
            </w:r>
            <w:r>
              <w:t xml:space="preserve">of </w:t>
            </w:r>
            <w:r w:rsidR="0045590C">
              <w:t xml:space="preserve">administrative </w:t>
            </w:r>
            <w:r>
              <w:t>filter to determine which products are eligible to be used as defaults?</w:t>
            </w:r>
          </w:p>
          <w:p w14:paraId="17630B22" w14:textId="24324CCF" w:rsidR="00607F4B" w:rsidRDefault="00607F4B" w:rsidP="00607F4B">
            <w:pPr>
              <w:pStyle w:val="InformationRequestBullet"/>
            </w:pPr>
            <w:r>
              <w:t>What metrics should be used and how prescriptively should they be specified? Should the metrics be quantitative, qualitative or a mixture?</w:t>
            </w:r>
          </w:p>
          <w:p w14:paraId="4DAEDC5C" w14:textId="311C0FA9" w:rsidR="00607F4B" w:rsidRDefault="00607F4B" w:rsidP="00607F4B">
            <w:pPr>
              <w:pStyle w:val="InformationRequestBullet"/>
            </w:pPr>
            <w:r>
              <w:t>Should there be a cap and/or floor on the number of qualifying products?</w:t>
            </w:r>
          </w:p>
          <w:p w14:paraId="48489A6D" w14:textId="6C7C10B3" w:rsidR="00607F4B" w:rsidRDefault="00607F4B" w:rsidP="00607F4B">
            <w:pPr>
              <w:pStyle w:val="InformationRequestBullet"/>
            </w:pPr>
            <w:r>
              <w:t>How frequently should the process be run?</w:t>
            </w:r>
          </w:p>
          <w:p w14:paraId="24591BBF" w14:textId="629D33D1" w:rsidR="00607F4B" w:rsidRDefault="00607F4B" w:rsidP="00607F4B">
            <w:pPr>
              <w:pStyle w:val="InformationRequestBullet"/>
            </w:pPr>
            <w:r>
              <w:t>Who should administer the selection and subsequent monitoring of products?</w:t>
            </w:r>
          </w:p>
          <w:p w14:paraId="098A2131" w14:textId="58D4DFC2" w:rsidR="00607F4B" w:rsidRDefault="00607F4B" w:rsidP="00607F4B">
            <w:pPr>
              <w:pStyle w:val="InformationRequestBullet"/>
            </w:pPr>
            <w:r>
              <w:t xml:space="preserve">What might be the role of MySuper in the long term under </w:t>
            </w:r>
            <w:r w:rsidR="00CA5F9B">
              <w:t>this approach</w:t>
            </w:r>
            <w:r>
              <w:t>?</w:t>
            </w:r>
          </w:p>
          <w:p w14:paraId="7892397F" w14:textId="7998F0EC" w:rsidR="00607F4B" w:rsidRPr="00CE4C64" w:rsidRDefault="00607F4B" w:rsidP="0045590C">
            <w:pPr>
              <w:pStyle w:val="InformationRequest"/>
            </w:pPr>
            <w:r>
              <w:t>What would be the likely effects of a</w:t>
            </w:r>
            <w:r w:rsidR="0045590C">
              <w:t>n administrative</w:t>
            </w:r>
            <w:r>
              <w:t xml:space="preserve"> filter on competition between successful funds and in the superannuation system more broadly? What would be the implications for product innovation and system stability?</w:t>
            </w:r>
          </w:p>
        </w:tc>
      </w:tr>
      <w:tr w:rsidR="00607F4B" w14:paraId="58A57BB8" w14:textId="77777777" w:rsidTr="001B5FDB">
        <w:tc>
          <w:tcPr>
            <w:tcW w:w="8770" w:type="dxa"/>
            <w:tcBorders>
              <w:top w:val="nil"/>
              <w:left w:val="nil"/>
              <w:bottom w:val="single" w:sz="6" w:space="0" w:color="78A22F"/>
              <w:right w:val="nil"/>
            </w:tcBorders>
            <w:shd w:val="clear" w:color="auto" w:fill="auto"/>
          </w:tcPr>
          <w:p w14:paraId="59E24608" w14:textId="77777777" w:rsidR="00607F4B" w:rsidRDefault="00607F4B" w:rsidP="001B5FDB">
            <w:pPr>
              <w:pStyle w:val="Space"/>
              <w:keepNext w:val="0"/>
              <w:keepLines/>
            </w:pPr>
          </w:p>
        </w:tc>
      </w:tr>
      <w:tr w:rsidR="00607F4B" w:rsidRPr="000863A5" w14:paraId="0475506C" w14:textId="77777777" w:rsidTr="001B5FDB">
        <w:tc>
          <w:tcPr>
            <w:tcW w:w="8770" w:type="dxa"/>
            <w:tcBorders>
              <w:top w:val="single" w:sz="6" w:space="0" w:color="78A22F"/>
              <w:left w:val="nil"/>
              <w:bottom w:val="nil"/>
              <w:right w:val="nil"/>
            </w:tcBorders>
          </w:tcPr>
          <w:p w14:paraId="5F882160" w14:textId="3917D06F" w:rsidR="00607F4B" w:rsidRPr="00626D32" w:rsidRDefault="00607F4B" w:rsidP="001B5FDB">
            <w:pPr>
              <w:pStyle w:val="BoxSpaceBelow"/>
              <w:keepLines/>
            </w:pPr>
          </w:p>
        </w:tc>
      </w:tr>
    </w:tbl>
    <w:p w14:paraId="742C3BA4" w14:textId="6AC313C3" w:rsidR="00156FA8" w:rsidRPr="004E531E" w:rsidRDefault="00156FA8" w:rsidP="00156FA8">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156FA8" w:rsidRPr="004E531E" w14:paraId="6D37980F" w14:textId="77777777" w:rsidTr="00540147">
        <w:tc>
          <w:tcPr>
            <w:tcW w:w="8771" w:type="dxa"/>
            <w:tcBorders>
              <w:top w:val="single" w:sz="6" w:space="0" w:color="78A22F"/>
              <w:left w:val="nil"/>
              <w:bottom w:val="nil"/>
              <w:right w:val="nil"/>
            </w:tcBorders>
            <w:shd w:val="clear" w:color="auto" w:fill="F2F2F2"/>
          </w:tcPr>
          <w:p w14:paraId="5FF8F764" w14:textId="115565B4" w:rsidR="00156FA8" w:rsidRPr="004E531E" w:rsidRDefault="00156FA8" w:rsidP="00CE2A3F">
            <w:pPr>
              <w:pStyle w:val="BoxTitle"/>
            </w:pPr>
            <w:r w:rsidRPr="004E531E">
              <w:rPr>
                <w:b w:val="0"/>
              </w:rPr>
              <w:t xml:space="preserve">Box </w:t>
            </w:r>
            <w:r w:rsidR="00617613" w:rsidRPr="004E531E">
              <w:rPr>
                <w:b w:val="0"/>
              </w:rPr>
              <w:fldChar w:fldCharType="begin"/>
            </w:r>
            <w:r w:rsidR="00617613" w:rsidRPr="004E531E">
              <w:rPr>
                <w:b w:val="0"/>
              </w:rPr>
              <w:instrText xml:space="preserve"> SEQ Box \* ARABIC </w:instrText>
            </w:r>
            <w:r w:rsidR="00617613" w:rsidRPr="004E531E">
              <w:rPr>
                <w:b w:val="0"/>
              </w:rPr>
              <w:fldChar w:fldCharType="separate"/>
            </w:r>
            <w:r w:rsidR="00705E15">
              <w:rPr>
                <w:b w:val="0"/>
                <w:noProof/>
              </w:rPr>
              <w:t>4</w:t>
            </w:r>
            <w:r w:rsidR="00617613" w:rsidRPr="004E531E">
              <w:rPr>
                <w:b w:val="0"/>
              </w:rPr>
              <w:fldChar w:fldCharType="end"/>
            </w:r>
            <w:r w:rsidRPr="004E531E">
              <w:tab/>
              <w:t>Current criteria for default products in awards</w:t>
            </w:r>
          </w:p>
        </w:tc>
      </w:tr>
      <w:tr w:rsidR="00156FA8" w:rsidRPr="004E531E" w14:paraId="3BD730F3" w14:textId="77777777" w:rsidTr="00540147">
        <w:trPr>
          <w:cantSplit/>
        </w:trPr>
        <w:tc>
          <w:tcPr>
            <w:tcW w:w="8771" w:type="dxa"/>
            <w:tcBorders>
              <w:top w:val="nil"/>
              <w:left w:val="nil"/>
              <w:bottom w:val="nil"/>
              <w:right w:val="nil"/>
            </w:tcBorders>
            <w:shd w:val="clear" w:color="auto" w:fill="F2F2F2"/>
          </w:tcPr>
          <w:p w14:paraId="08D16466" w14:textId="3691B1A3" w:rsidR="00156FA8" w:rsidRPr="004E531E" w:rsidRDefault="00156FA8" w:rsidP="00540147">
            <w:pPr>
              <w:pStyle w:val="Box"/>
            </w:pPr>
            <w:r w:rsidRPr="004E531E">
              <w:t xml:space="preserve">Following the recommendations from the Commission’s 2012 inquiry, the Australian Government introduced a quality filter in the </w:t>
            </w:r>
            <w:r w:rsidRPr="004E531E">
              <w:rPr>
                <w:i/>
              </w:rPr>
              <w:t>Fair Work Act 2009</w:t>
            </w:r>
            <w:r w:rsidRPr="004E531E">
              <w:t xml:space="preserve"> </w:t>
            </w:r>
            <w:r w:rsidR="00394013">
              <w:t xml:space="preserve">(Cwlth) </w:t>
            </w:r>
            <w:r w:rsidRPr="004E531E">
              <w:t xml:space="preserve">for products that would be eligible for inclusion </w:t>
            </w:r>
            <w:r w:rsidR="0034107E">
              <w:t>as defaults</w:t>
            </w:r>
            <w:r w:rsidRPr="004E531E">
              <w:t xml:space="preserve"> in </w:t>
            </w:r>
            <w:r w:rsidR="0034107E">
              <w:t xml:space="preserve">modern </w:t>
            </w:r>
            <w:r w:rsidRPr="004E531E">
              <w:t>awards</w:t>
            </w:r>
            <w:r w:rsidR="00896DDA">
              <w:t xml:space="preserve"> (although</w:t>
            </w:r>
            <w:r w:rsidR="00A54047">
              <w:t>,</w:t>
            </w:r>
            <w:r w:rsidR="00896DDA">
              <w:t xml:space="preserve"> as noted earlier, this process has not been implemented)</w:t>
            </w:r>
            <w:r w:rsidRPr="004E531E">
              <w:t xml:space="preserve">. </w:t>
            </w:r>
            <w:r w:rsidR="00394013">
              <w:t>Under section 156F of the Act, t</w:t>
            </w:r>
            <w:r w:rsidRPr="004E531E">
              <w:t>he Fair Work Commission is required to compile a ‘Default Superannuation List’ on the basis of a set of criteria, which include:</w:t>
            </w:r>
          </w:p>
          <w:p w14:paraId="64055493" w14:textId="05EE75E6" w:rsidR="00156FA8" w:rsidRPr="004E531E" w:rsidRDefault="00156FA8" w:rsidP="00540147">
            <w:pPr>
              <w:pStyle w:val="BoxListBullet"/>
            </w:pPr>
            <w:r w:rsidRPr="004E531E">
              <w:t>appropriateness of the product</w:t>
            </w:r>
            <w:r w:rsidR="00F34F33">
              <w:t>’</w:t>
            </w:r>
            <w:r w:rsidRPr="004E531E">
              <w:t>s long</w:t>
            </w:r>
            <w:r w:rsidR="00F34F33">
              <w:noBreakHyphen/>
            </w:r>
            <w:r w:rsidRPr="004E531E">
              <w:t>term investment return target and risk profile</w:t>
            </w:r>
          </w:p>
          <w:p w14:paraId="3B8A7C18" w14:textId="77777777" w:rsidR="00156FA8" w:rsidRPr="004E531E" w:rsidRDefault="00156FA8" w:rsidP="00540147">
            <w:pPr>
              <w:pStyle w:val="BoxListBullet"/>
            </w:pPr>
            <w:r w:rsidRPr="004E531E">
              <w:t>the expected ability of the fund to deliver on the product’s return target, given its risk profile</w:t>
            </w:r>
          </w:p>
          <w:p w14:paraId="4AC785C0" w14:textId="21DB151C" w:rsidR="00156FA8" w:rsidRPr="004E531E" w:rsidRDefault="00156FA8" w:rsidP="00540147">
            <w:pPr>
              <w:pStyle w:val="BoxListBullet"/>
            </w:pPr>
            <w:r w:rsidRPr="004E531E">
              <w:t>the appropriateness of the fees and costs, given:</w:t>
            </w:r>
          </w:p>
          <w:p w14:paraId="6362F934" w14:textId="282DAE21" w:rsidR="00156FA8" w:rsidRPr="004E531E" w:rsidRDefault="00156FA8" w:rsidP="00540147">
            <w:pPr>
              <w:pStyle w:val="BoxListBullet2"/>
            </w:pPr>
            <w:r w:rsidRPr="004E531E">
              <w:t>its stated long</w:t>
            </w:r>
            <w:r w:rsidR="00F34F33">
              <w:noBreakHyphen/>
            </w:r>
            <w:r w:rsidRPr="004E531E">
              <w:t>term investment return target and risk profile</w:t>
            </w:r>
          </w:p>
          <w:p w14:paraId="66FF33A7" w14:textId="214FAF0A" w:rsidR="00156FA8" w:rsidRPr="004E531E" w:rsidRDefault="00156FA8" w:rsidP="00540147">
            <w:pPr>
              <w:pStyle w:val="BoxListBullet2"/>
            </w:pPr>
            <w:r w:rsidRPr="004E531E">
              <w:t>the quality and timeliness of services provided</w:t>
            </w:r>
          </w:p>
          <w:p w14:paraId="676D7FDB" w14:textId="51E17DCF" w:rsidR="00156FA8" w:rsidRPr="004E531E" w:rsidRDefault="00156FA8" w:rsidP="00540147">
            <w:pPr>
              <w:pStyle w:val="BoxListBullet"/>
            </w:pPr>
            <w:r w:rsidRPr="004E531E">
              <w:t>the net returns on contributions invested in the MySuper product</w:t>
            </w:r>
          </w:p>
          <w:p w14:paraId="6ECEEDDD" w14:textId="08FAD014" w:rsidR="00156FA8" w:rsidRPr="004E531E" w:rsidRDefault="00156FA8" w:rsidP="00540147">
            <w:pPr>
              <w:pStyle w:val="BoxListBullet"/>
            </w:pPr>
            <w:r w:rsidRPr="004E531E">
              <w:t>governance practices, including mechanisms to deal with conflict of interest</w:t>
            </w:r>
          </w:p>
          <w:p w14:paraId="13883A6A" w14:textId="190D40A5" w:rsidR="00156FA8" w:rsidRPr="004E531E" w:rsidRDefault="00156FA8" w:rsidP="00540147">
            <w:pPr>
              <w:pStyle w:val="BoxListBullet"/>
            </w:pPr>
            <w:r w:rsidRPr="004E531E">
              <w:t>appropriateness of insurance offered in relation to the MySuper product</w:t>
            </w:r>
          </w:p>
          <w:p w14:paraId="6C35A309" w14:textId="77777777" w:rsidR="00156FA8" w:rsidRPr="004E531E" w:rsidRDefault="00156FA8" w:rsidP="00540147">
            <w:pPr>
              <w:pStyle w:val="BoxListBullet"/>
            </w:pPr>
            <w:r w:rsidRPr="004E531E">
              <w:t xml:space="preserve">quality of advice given to a member </w:t>
            </w:r>
          </w:p>
          <w:p w14:paraId="60BC88C1" w14:textId="77777777" w:rsidR="00156FA8" w:rsidRPr="004E531E" w:rsidRDefault="00156FA8" w:rsidP="00540147">
            <w:pPr>
              <w:pStyle w:val="BoxListBullet"/>
            </w:pPr>
            <w:r w:rsidRPr="004E531E">
              <w:t>the administrative efficiency of the superannuation fund.</w:t>
            </w:r>
          </w:p>
        </w:tc>
      </w:tr>
      <w:tr w:rsidR="00156FA8" w:rsidRPr="004E531E" w14:paraId="76C15113" w14:textId="77777777" w:rsidTr="00540147">
        <w:trPr>
          <w:cantSplit/>
        </w:trPr>
        <w:tc>
          <w:tcPr>
            <w:tcW w:w="8771" w:type="dxa"/>
            <w:tcBorders>
              <w:top w:val="nil"/>
              <w:left w:val="nil"/>
              <w:bottom w:val="single" w:sz="6" w:space="0" w:color="78A22F"/>
              <w:right w:val="nil"/>
            </w:tcBorders>
            <w:shd w:val="clear" w:color="auto" w:fill="F2F2F2"/>
          </w:tcPr>
          <w:p w14:paraId="497DB624" w14:textId="77777777" w:rsidR="00156FA8" w:rsidRPr="004E531E" w:rsidRDefault="00156FA8" w:rsidP="00540147">
            <w:pPr>
              <w:pStyle w:val="Box"/>
              <w:spacing w:before="0" w:line="120" w:lineRule="exact"/>
            </w:pPr>
          </w:p>
        </w:tc>
      </w:tr>
      <w:tr w:rsidR="00156FA8" w:rsidRPr="004E531E" w14:paraId="301FA5A9" w14:textId="77777777" w:rsidTr="00540147">
        <w:tc>
          <w:tcPr>
            <w:tcW w:w="8771" w:type="dxa"/>
            <w:tcBorders>
              <w:top w:val="single" w:sz="6" w:space="0" w:color="78A22F"/>
              <w:left w:val="nil"/>
              <w:bottom w:val="nil"/>
              <w:right w:val="nil"/>
            </w:tcBorders>
          </w:tcPr>
          <w:p w14:paraId="71504979" w14:textId="230A1F10" w:rsidR="00156FA8" w:rsidRPr="004E531E" w:rsidRDefault="00156FA8" w:rsidP="00540147">
            <w:pPr>
              <w:pStyle w:val="BoxSpaceBelow"/>
            </w:pPr>
          </w:p>
        </w:tc>
      </w:tr>
    </w:tbl>
    <w:p w14:paraId="7142EEC9" w14:textId="77777777" w:rsidR="00783F33" w:rsidRDefault="00783F33" w:rsidP="00783F33">
      <w:pPr>
        <w:pStyle w:val="Heading4"/>
      </w:pPr>
      <w:r w:rsidRPr="000E32BD">
        <w:t>How would employees be allocated to products?</w:t>
      </w:r>
    </w:p>
    <w:p w14:paraId="67545AD7" w14:textId="547C5C77" w:rsidR="00382303" w:rsidRDefault="00CE067E" w:rsidP="00C066DF">
      <w:pPr>
        <w:pStyle w:val="BodyText"/>
      </w:pPr>
      <w:r w:rsidRPr="00F44726">
        <w:t xml:space="preserve">A single </w:t>
      </w:r>
      <w:r w:rsidR="0045590C">
        <w:t>administrative</w:t>
      </w:r>
      <w:r w:rsidR="0045590C" w:rsidRPr="00F44726">
        <w:t xml:space="preserve"> </w:t>
      </w:r>
      <w:r w:rsidRPr="00F44726">
        <w:t xml:space="preserve">filter </w:t>
      </w:r>
      <w:r>
        <w:t>c</w:t>
      </w:r>
      <w:r w:rsidRPr="00F44726">
        <w:t>ould be applie</w:t>
      </w:r>
      <w:r w:rsidRPr="000E32BD">
        <w:t xml:space="preserve">d </w:t>
      </w:r>
      <w:r w:rsidRPr="004E531E">
        <w:t xml:space="preserve">to all </w:t>
      </w:r>
      <w:r w:rsidR="00CA5F9B">
        <w:t xml:space="preserve">new </w:t>
      </w:r>
      <w:r w:rsidRPr="004E531E">
        <w:t>default members or, alternatively, different filters could be used for different segments of employees</w:t>
      </w:r>
      <w:r w:rsidR="002F57E0">
        <w:t xml:space="preserve"> (section</w:t>
      </w:r>
      <w:r w:rsidR="0042199C">
        <w:t> </w:t>
      </w:r>
      <w:r w:rsidR="002F57E0">
        <w:t>3)</w:t>
      </w:r>
      <w:r w:rsidRPr="004E531E">
        <w:t>.</w:t>
      </w:r>
      <w:r w:rsidR="003B0A9B">
        <w:t xml:space="preserve"> </w:t>
      </w:r>
    </w:p>
    <w:p w14:paraId="6662EF24" w14:textId="4247A3AE" w:rsidR="00785E58" w:rsidRDefault="00C066DF" w:rsidP="00C066DF">
      <w:pPr>
        <w:pStyle w:val="BodyText"/>
      </w:pPr>
      <w:r>
        <w:t>Employees could be allocated to products using a decentralised or centralised approach. In a decentralised approach, employers would decide which product to select</w:t>
      </w:r>
      <w:r w:rsidR="0045590C">
        <w:t xml:space="preserve"> from the </w:t>
      </w:r>
      <w:r w:rsidRPr="00396F6B">
        <w:t xml:space="preserve">list of </w:t>
      </w:r>
      <w:r w:rsidR="006D0ED2">
        <w:t>eligible</w:t>
      </w:r>
      <w:r w:rsidR="006D0ED2" w:rsidRPr="00396F6B">
        <w:t xml:space="preserve"> </w:t>
      </w:r>
      <w:r w:rsidRPr="00396F6B">
        <w:t>products.</w:t>
      </w:r>
      <w:r>
        <w:t xml:space="preserve"> In a centralised approach, a government body would decide</w:t>
      </w:r>
      <w:r w:rsidR="00785E58" w:rsidRPr="004E531E">
        <w:t xml:space="preserve"> which employees are placed into which products — for example, through random allocation or by selecting a </w:t>
      </w:r>
      <w:r w:rsidR="00637BA8">
        <w:t>separate</w:t>
      </w:r>
      <w:r w:rsidR="00637BA8" w:rsidRPr="004E531E">
        <w:t xml:space="preserve"> </w:t>
      </w:r>
      <w:r w:rsidR="006D0ED2">
        <w:t>default</w:t>
      </w:r>
      <w:r w:rsidR="00785E58" w:rsidRPr="004E531E">
        <w:t xml:space="preserve"> product for different segments of employees. </w:t>
      </w:r>
    </w:p>
    <w:p w14:paraId="666B19A8" w14:textId="03131CC2" w:rsidR="00607F4B" w:rsidRPr="004E3B94" w:rsidRDefault="00607F4B" w:rsidP="00607F4B">
      <w:pPr>
        <w:pStyle w:val="BoxSpaceAboveElement"/>
        <w:rPr>
          <w:vanish w:val="0"/>
          <w:color w:val="auto"/>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0"/>
      </w:tblGrid>
      <w:tr w:rsidR="00607F4B" w14:paraId="6DD743FB" w14:textId="77777777" w:rsidTr="001B5FDB">
        <w:tc>
          <w:tcPr>
            <w:tcW w:w="8770" w:type="dxa"/>
            <w:tcBorders>
              <w:top w:val="single" w:sz="6" w:space="0" w:color="78A22F"/>
              <w:left w:val="nil"/>
              <w:bottom w:val="nil"/>
              <w:right w:val="nil"/>
            </w:tcBorders>
            <w:shd w:val="clear" w:color="auto" w:fill="auto"/>
          </w:tcPr>
          <w:p w14:paraId="11A85272" w14:textId="77777777" w:rsidR="00C44159" w:rsidRDefault="00C44159" w:rsidP="00C44159">
            <w:pPr>
              <w:pStyle w:val="InformationRequest"/>
            </w:pPr>
            <w:r>
              <w:t>What are the relative merits of using a single filter that covers the entire system versus a more segmented approach? What are the key practical considerations and challenges in implementing each approach?</w:t>
            </w:r>
          </w:p>
          <w:p w14:paraId="14591138" w14:textId="77777777" w:rsidR="00607F4B" w:rsidRDefault="00C44159" w:rsidP="0045590C">
            <w:pPr>
              <w:pStyle w:val="InformationRequest"/>
            </w:pPr>
            <w:r>
              <w:t>In what ways could employees be allocated to eligible products in a</w:t>
            </w:r>
            <w:r w:rsidR="0045590C">
              <w:t>n administrative</w:t>
            </w:r>
            <w:r>
              <w:t xml:space="preserve"> model? What are the advantages and disadvantages of each approach? What costs and responsibilities would fall on employees, employers, regulators and superannuation funds under each approach?</w:t>
            </w:r>
          </w:p>
          <w:p w14:paraId="403FE23E" w14:textId="5FBEF122" w:rsidR="00322CF9" w:rsidRPr="00322CF9" w:rsidRDefault="00322CF9" w:rsidP="00A54047">
            <w:pPr>
              <w:pStyle w:val="InformationRequest"/>
            </w:pPr>
            <w:r>
              <w:t xml:space="preserve">What should happen to default members in products that lose their </w:t>
            </w:r>
            <w:r w:rsidR="00A54047">
              <w:t>approval under the filter</w:t>
            </w:r>
            <w:r>
              <w:t>?</w:t>
            </w:r>
          </w:p>
        </w:tc>
      </w:tr>
      <w:tr w:rsidR="00607F4B" w14:paraId="23E332C5" w14:textId="77777777" w:rsidTr="001B5FDB">
        <w:tc>
          <w:tcPr>
            <w:tcW w:w="8770" w:type="dxa"/>
            <w:tcBorders>
              <w:top w:val="nil"/>
              <w:left w:val="nil"/>
              <w:bottom w:val="single" w:sz="6" w:space="0" w:color="78A22F"/>
              <w:right w:val="nil"/>
            </w:tcBorders>
            <w:shd w:val="clear" w:color="auto" w:fill="auto"/>
          </w:tcPr>
          <w:p w14:paraId="7657DDC1" w14:textId="77777777" w:rsidR="00607F4B" w:rsidRDefault="00607F4B" w:rsidP="001B5FDB">
            <w:pPr>
              <w:pStyle w:val="Space"/>
              <w:keepNext w:val="0"/>
              <w:keepLines/>
            </w:pPr>
          </w:p>
        </w:tc>
      </w:tr>
      <w:tr w:rsidR="00607F4B" w:rsidRPr="000863A5" w14:paraId="78AE060E" w14:textId="77777777" w:rsidTr="001B5FDB">
        <w:tc>
          <w:tcPr>
            <w:tcW w:w="8770" w:type="dxa"/>
            <w:tcBorders>
              <w:top w:val="single" w:sz="6" w:space="0" w:color="78A22F"/>
              <w:left w:val="nil"/>
              <w:bottom w:val="nil"/>
              <w:right w:val="nil"/>
            </w:tcBorders>
          </w:tcPr>
          <w:p w14:paraId="5E1F7A91" w14:textId="4069A23B" w:rsidR="00607F4B" w:rsidRPr="00626D32" w:rsidRDefault="00607F4B" w:rsidP="001B5FDB">
            <w:pPr>
              <w:pStyle w:val="BoxSpaceBelow"/>
              <w:keepLines/>
            </w:pPr>
          </w:p>
        </w:tc>
      </w:tr>
    </w:tbl>
    <w:p w14:paraId="30391E9B" w14:textId="394D2D82" w:rsidR="00222DD6" w:rsidRPr="00324531" w:rsidRDefault="004F3001" w:rsidP="00222DD6">
      <w:pPr>
        <w:pStyle w:val="Heading3"/>
      </w:pPr>
      <w:r w:rsidRPr="00324531">
        <w:t>Market</w:t>
      </w:r>
      <w:r w:rsidR="0042199C">
        <w:noBreakHyphen/>
      </w:r>
      <w:r w:rsidRPr="00324531">
        <w:t xml:space="preserve">based </w:t>
      </w:r>
      <w:r w:rsidR="00540AF9" w:rsidRPr="00324531">
        <w:t>models</w:t>
      </w:r>
    </w:p>
    <w:p w14:paraId="6AEFC509" w14:textId="5CF3C8A9" w:rsidR="00165952" w:rsidRDefault="00482FC6" w:rsidP="00165952">
      <w:pPr>
        <w:pStyle w:val="BodyText"/>
      </w:pPr>
      <w:r w:rsidRPr="00324531">
        <w:t>A market</w:t>
      </w:r>
      <w:r w:rsidR="0042199C">
        <w:noBreakHyphen/>
      </w:r>
      <w:r w:rsidRPr="00324531">
        <w:t xml:space="preserve">based </w:t>
      </w:r>
      <w:r w:rsidR="004D7E44" w:rsidRPr="00324531">
        <w:t xml:space="preserve">model would </w:t>
      </w:r>
      <w:r w:rsidR="009F53F9">
        <w:t>i</w:t>
      </w:r>
      <w:r w:rsidR="004D7E44" w:rsidRPr="00324531">
        <w:t xml:space="preserve">nvolve some form of explicit and formalised </w:t>
      </w:r>
      <w:r w:rsidR="00A7759D" w:rsidRPr="00324531">
        <w:t xml:space="preserve">process </w:t>
      </w:r>
      <w:r w:rsidR="004D7E44" w:rsidRPr="00324531">
        <w:t xml:space="preserve">through which products compete to be deemed eligible </w:t>
      </w:r>
      <w:r w:rsidR="00165952" w:rsidRPr="00324531">
        <w:t>as</w:t>
      </w:r>
      <w:r w:rsidR="004D7E44" w:rsidRPr="00324531">
        <w:t xml:space="preserve"> defaults</w:t>
      </w:r>
      <w:r w:rsidR="0045590C">
        <w:t xml:space="preserve">: in other words, </w:t>
      </w:r>
      <w:r w:rsidR="001056C2" w:rsidRPr="00324531">
        <w:t>some form</w:t>
      </w:r>
      <w:r w:rsidRPr="00324531">
        <w:t xml:space="preserve"> of a tender</w:t>
      </w:r>
      <w:r w:rsidR="0050084E">
        <w:t xml:space="preserve"> or </w:t>
      </w:r>
      <w:r w:rsidR="00A65CB2">
        <w:t xml:space="preserve">reverse </w:t>
      </w:r>
      <w:r w:rsidR="0050084E">
        <w:t>auction</w:t>
      </w:r>
      <w:r w:rsidRPr="00324531">
        <w:t xml:space="preserve"> process</w:t>
      </w:r>
      <w:r w:rsidR="005C5277" w:rsidRPr="00324531">
        <w:t>.</w:t>
      </w:r>
      <w:r w:rsidR="00222DD6" w:rsidRPr="00324531">
        <w:t xml:space="preserve"> </w:t>
      </w:r>
      <w:r w:rsidR="005C5277" w:rsidRPr="00324531">
        <w:t>N</w:t>
      </w:r>
      <w:r w:rsidR="00222DD6" w:rsidRPr="00324531">
        <w:t xml:space="preserve">umerous variations in design have been proposed in the literature and exist in practice. However, at its heart, </w:t>
      </w:r>
      <w:r w:rsidR="00727AF5">
        <w:t>the market model</w:t>
      </w:r>
      <w:r w:rsidR="003A3785" w:rsidRPr="00324531">
        <w:t xml:space="preserve"> involve</w:t>
      </w:r>
      <w:r w:rsidR="00727AF5">
        <w:t>s</w:t>
      </w:r>
      <w:r w:rsidR="00222DD6" w:rsidRPr="00324531">
        <w:t xml:space="preserve"> superannuation funds bidding for </w:t>
      </w:r>
      <w:r w:rsidR="00A7759D" w:rsidRPr="00324531">
        <w:t xml:space="preserve">the </w:t>
      </w:r>
      <w:r w:rsidR="00222DD6" w:rsidRPr="00324531">
        <w:t xml:space="preserve">right </w:t>
      </w:r>
      <w:r w:rsidR="00165952" w:rsidRPr="00324531">
        <w:t>to receive contributions from default members.</w:t>
      </w:r>
    </w:p>
    <w:p w14:paraId="19275028" w14:textId="75488B87" w:rsidR="004F3AF5" w:rsidRDefault="002F57E0" w:rsidP="008D441F">
      <w:pPr>
        <w:pStyle w:val="BodyText"/>
      </w:pPr>
      <w:r>
        <w:t xml:space="preserve">The crux of a market model </w:t>
      </w:r>
      <w:r w:rsidR="00EA3D46">
        <w:t>is</w:t>
      </w:r>
      <w:r>
        <w:t xml:space="preserve"> the </w:t>
      </w:r>
      <w:r w:rsidR="00EA3D46" w:rsidRPr="00770BA7">
        <w:rPr>
          <w:i/>
        </w:rPr>
        <w:t>ex ante</w:t>
      </w:r>
      <w:r w:rsidR="00EA3D46">
        <w:t xml:space="preserve"> </w:t>
      </w:r>
      <w:r>
        <w:t>rules</w:t>
      </w:r>
      <w:r w:rsidR="009778E5">
        <w:t xml:space="preserve"> of the game</w:t>
      </w:r>
      <w:r w:rsidR="008A183E">
        <w:t>:</w:t>
      </w:r>
      <w:r w:rsidR="00971DD3">
        <w:t xml:space="preserve"> </w:t>
      </w:r>
      <w:r w:rsidR="008A183E">
        <w:t>w</w:t>
      </w:r>
      <w:r w:rsidR="00971DD3">
        <w:t>hat funds bid for</w:t>
      </w:r>
      <w:r w:rsidR="008A183E">
        <w:t xml:space="preserve"> and </w:t>
      </w:r>
      <w:r w:rsidR="00971DD3">
        <w:t xml:space="preserve">how the winner </w:t>
      </w:r>
      <w:r w:rsidR="008A183E">
        <w:t>will</w:t>
      </w:r>
      <w:r w:rsidR="00971DD3">
        <w:t xml:space="preserve"> be decided</w:t>
      </w:r>
      <w:r w:rsidR="008A183E">
        <w:t>.</w:t>
      </w:r>
      <w:r w:rsidR="003C01FE">
        <w:t xml:space="preserve"> </w:t>
      </w:r>
      <w:r w:rsidR="008D441F">
        <w:t>T</w:t>
      </w:r>
      <w:r w:rsidR="008D441F" w:rsidRPr="008D441F">
        <w:t>here is no silver bullet</w:t>
      </w:r>
      <w:r w:rsidR="008D441F">
        <w:t xml:space="preserve"> to designing a competitive market model, but key ingredients are </w:t>
      </w:r>
      <w:r w:rsidR="008D441F" w:rsidRPr="008D441F">
        <w:t>attracting bidders, eliciting truthful bids, and minimising scope for collusion and predatory behaviour</w:t>
      </w:r>
      <w:r w:rsidR="004F3AF5">
        <w:t xml:space="preserve"> </w:t>
      </w:r>
      <w:r w:rsidR="004F3AF5" w:rsidRPr="00C67563">
        <w:rPr>
          <w:szCs w:val="24"/>
        </w:rPr>
        <w:t>(Klemperer 2002)</w:t>
      </w:r>
      <w:r w:rsidR="004F3AF5" w:rsidRPr="00960B71">
        <w:t>.</w:t>
      </w:r>
    </w:p>
    <w:p w14:paraId="2FBFE046" w14:textId="260FE771" w:rsidR="00770BA7" w:rsidRDefault="008A082C" w:rsidP="002E73A3">
      <w:pPr>
        <w:pStyle w:val="BodyText"/>
      </w:pPr>
      <w:r>
        <w:t>M</w:t>
      </w:r>
      <w:r w:rsidR="00971DD3">
        <w:t>arket model</w:t>
      </w:r>
      <w:r>
        <w:t>s</w:t>
      </w:r>
      <w:r w:rsidR="00971DD3" w:rsidRPr="003166E5">
        <w:t xml:space="preserve"> </w:t>
      </w:r>
      <w:r w:rsidR="008D441F">
        <w:t>are generally</w:t>
      </w:r>
      <w:r>
        <w:t xml:space="preserve"> </w:t>
      </w:r>
      <w:r w:rsidR="008D441F">
        <w:t xml:space="preserve">more efficient </w:t>
      </w:r>
      <w:r>
        <w:t xml:space="preserve">than administrative allocation </w:t>
      </w:r>
      <w:r w:rsidR="005C7A8A">
        <w:t xml:space="preserve">models, </w:t>
      </w:r>
      <w:r w:rsidR="008D441F">
        <w:t>even in the presence of market imperfections</w:t>
      </w:r>
      <w:r w:rsidR="00911AA4">
        <w:t xml:space="preserve"> </w:t>
      </w:r>
      <w:r w:rsidR="00911AA4" w:rsidRPr="00911AA4">
        <w:rPr>
          <w:szCs w:val="24"/>
        </w:rPr>
        <w:t>(KVA 2007)</w:t>
      </w:r>
      <w:r w:rsidR="008D441F">
        <w:t xml:space="preserve">, </w:t>
      </w:r>
      <w:r w:rsidR="005C7A8A">
        <w:t>and they can reveal the relative performance of products</w:t>
      </w:r>
      <w:r>
        <w:t xml:space="preserve">. </w:t>
      </w:r>
      <w:r w:rsidR="00EA3D46">
        <w:t>R</w:t>
      </w:r>
      <w:r w:rsidR="00EA3D46" w:rsidRPr="003166E5">
        <w:t>epeating the process over time can facilitate ongoing innovation and cost reductions — and thus improve efficiency — as funds benchmark themselves against winning products.</w:t>
      </w:r>
    </w:p>
    <w:p w14:paraId="17DC0B33" w14:textId="67C75271" w:rsidR="004D7E44" w:rsidRPr="00324531" w:rsidRDefault="004D7E44" w:rsidP="004D7E44">
      <w:pPr>
        <w:pStyle w:val="Heading4"/>
      </w:pPr>
      <w:r w:rsidRPr="00324531">
        <w:t>How would eligible products be determined?</w:t>
      </w:r>
    </w:p>
    <w:p w14:paraId="74091714" w14:textId="7E2EF62A" w:rsidR="003166E5" w:rsidRPr="00BB1252" w:rsidRDefault="00A7759D" w:rsidP="003166E5">
      <w:pPr>
        <w:pStyle w:val="BodyText"/>
      </w:pPr>
      <w:r w:rsidRPr="00B64045">
        <w:t>A</w:t>
      </w:r>
      <w:r w:rsidRPr="007B1E73">
        <w:t xml:space="preserve"> tender mechanism would involve funds </w:t>
      </w:r>
      <w:r w:rsidRPr="00BB1252">
        <w:t xml:space="preserve">submitting bids to a government body, which would then assess those bids and select </w:t>
      </w:r>
      <w:r w:rsidRPr="003166E5">
        <w:t>the best products.</w:t>
      </w:r>
      <w:r w:rsidR="003166E5">
        <w:t xml:space="preserve"> These products would remain eligible </w:t>
      </w:r>
      <w:r w:rsidR="00A4478D">
        <w:t>to receive default contributions for</w:t>
      </w:r>
      <w:r w:rsidR="003166E5">
        <w:t xml:space="preserve"> a set period of time, provided that funds continue to meet the commitments they made in their bids.</w:t>
      </w:r>
      <w:r w:rsidRPr="003166E5">
        <w:t xml:space="preserve"> </w:t>
      </w:r>
    </w:p>
    <w:p w14:paraId="2AB2CF90" w14:textId="3E295F7B" w:rsidR="00222DD6" w:rsidRPr="00324531" w:rsidRDefault="00A7759D" w:rsidP="00042B15">
      <w:pPr>
        <w:pStyle w:val="BodyText"/>
      </w:pPr>
      <w:r w:rsidRPr="00324531">
        <w:t xml:space="preserve">The metrics used in the tender process could be specified to varying degrees of complexity. The simplest approach would be </w:t>
      </w:r>
      <w:r w:rsidR="00222DD6" w:rsidRPr="00324531">
        <w:t>to run a tender based solely on fees</w:t>
      </w:r>
      <w:r w:rsidR="00042B15" w:rsidRPr="00324531">
        <w:t xml:space="preserve"> (also known as a reverse </w:t>
      </w:r>
      <w:r w:rsidR="00E438AC">
        <w:t xml:space="preserve">fee </w:t>
      </w:r>
      <w:r w:rsidR="00042B15" w:rsidRPr="00324531">
        <w:t>auction)</w:t>
      </w:r>
      <w:r w:rsidR="00222DD6" w:rsidRPr="00324531">
        <w:t xml:space="preserve">. </w:t>
      </w:r>
      <w:r w:rsidR="00042B15" w:rsidRPr="00324531">
        <w:t xml:space="preserve">This would be </w:t>
      </w:r>
      <w:r w:rsidR="00222DD6" w:rsidRPr="00324531">
        <w:t xml:space="preserve">objective and transparent, and </w:t>
      </w:r>
      <w:r w:rsidR="005C0325" w:rsidRPr="00324531">
        <w:t>might be</w:t>
      </w:r>
      <w:r w:rsidR="00222DD6" w:rsidRPr="00324531">
        <w:t xml:space="preserve"> low</w:t>
      </w:r>
      <w:r w:rsidR="005C0325" w:rsidRPr="00324531">
        <w:t>er</w:t>
      </w:r>
      <w:r w:rsidR="00222DD6" w:rsidRPr="00324531">
        <w:t xml:space="preserve"> cost to run, implement and monitor</w:t>
      </w:r>
      <w:r w:rsidR="005C0325" w:rsidRPr="00324531">
        <w:t xml:space="preserve"> than</w:t>
      </w:r>
      <w:r w:rsidR="00042B15" w:rsidRPr="00324531">
        <w:t xml:space="preserve"> more complex sets of metrics</w:t>
      </w:r>
      <w:r w:rsidR="00222DD6" w:rsidRPr="00324531">
        <w:t>. A fee</w:t>
      </w:r>
      <w:r w:rsidR="00D2751B">
        <w:noBreakHyphen/>
      </w:r>
      <w:r w:rsidR="00222DD6" w:rsidRPr="00324531">
        <w:t xml:space="preserve">based tender could be focused on administration fees, investment fees or both. </w:t>
      </w:r>
      <w:r w:rsidR="00B90111" w:rsidRPr="00324531">
        <w:t>For example, the Chilean Government tender</w:t>
      </w:r>
      <w:r w:rsidR="00D2751B">
        <w:t>s</w:t>
      </w:r>
      <w:r w:rsidR="00B90111" w:rsidRPr="00324531">
        <w:t xml:space="preserve"> for the right of default fund status based on administration fees (box</w:t>
      </w:r>
      <w:r w:rsidR="0042199C">
        <w:t> </w:t>
      </w:r>
      <w:r w:rsidR="00B90111" w:rsidRPr="00324531">
        <w:t>3).</w:t>
      </w:r>
    </w:p>
    <w:p w14:paraId="24E0187A" w14:textId="180D1E53" w:rsidR="00BB1252" w:rsidRPr="00324531" w:rsidRDefault="00222DD6" w:rsidP="002E1539">
      <w:pPr>
        <w:pStyle w:val="BodyText"/>
      </w:pPr>
      <w:r w:rsidRPr="00324531">
        <w:t xml:space="preserve">However, </w:t>
      </w:r>
      <w:r w:rsidR="00042B15" w:rsidRPr="00324531">
        <w:t xml:space="preserve">a </w:t>
      </w:r>
      <w:r w:rsidR="00966DDE" w:rsidRPr="00324531">
        <w:t>tender</w:t>
      </w:r>
      <w:r w:rsidR="00042B15" w:rsidRPr="00324531">
        <w:t xml:space="preserve"> based solely on fees could</w:t>
      </w:r>
      <w:r w:rsidRPr="00324531">
        <w:t xml:space="preserve"> </w:t>
      </w:r>
      <w:r w:rsidR="008F4D6B">
        <w:t xml:space="preserve">also </w:t>
      </w:r>
      <w:r w:rsidRPr="00324531">
        <w:t xml:space="preserve">present problems. There is a risk that funds </w:t>
      </w:r>
      <w:r w:rsidR="00042B15" w:rsidRPr="00324531">
        <w:t xml:space="preserve">would only </w:t>
      </w:r>
      <w:r w:rsidRPr="00324531">
        <w:t xml:space="preserve">offer overly conservative investment strategies and poor quality services in order to lower costs and therefore fees. There </w:t>
      </w:r>
      <w:r w:rsidR="008F4D6B">
        <w:t>may</w:t>
      </w:r>
      <w:r w:rsidR="008F4D6B" w:rsidRPr="00324531">
        <w:t xml:space="preserve"> </w:t>
      </w:r>
      <w:r w:rsidRPr="00324531">
        <w:t xml:space="preserve">also </w:t>
      </w:r>
      <w:r w:rsidR="008F4D6B">
        <w:t xml:space="preserve">be </w:t>
      </w:r>
      <w:r w:rsidRPr="00324531">
        <w:t xml:space="preserve">the risk that funds would bid fees below costs, </w:t>
      </w:r>
      <w:r w:rsidR="00940096">
        <w:t>venturing</w:t>
      </w:r>
      <w:r w:rsidRPr="00324531">
        <w:t xml:space="preserve"> that increased scale from default status will eventually offset earlier losses</w:t>
      </w:r>
      <w:r w:rsidR="00042B15" w:rsidRPr="00324531">
        <w:t xml:space="preserve"> — which could </w:t>
      </w:r>
      <w:r w:rsidR="006C14E6" w:rsidRPr="00324531">
        <w:t>reduce competition in the long</w:t>
      </w:r>
      <w:r w:rsidR="006C14E6" w:rsidRPr="00324531">
        <w:noBreakHyphen/>
        <w:t>term if other funds are unable to compete</w:t>
      </w:r>
      <w:r w:rsidR="006C14E6">
        <w:t xml:space="preserve"> or, </w:t>
      </w:r>
      <w:r w:rsidR="00896DDA">
        <w:t>at an extreme</w:t>
      </w:r>
      <w:r w:rsidR="006C14E6">
        <w:t>,</w:t>
      </w:r>
      <w:r w:rsidR="00896DDA">
        <w:t xml:space="preserve"> </w:t>
      </w:r>
      <w:r w:rsidR="00042B15" w:rsidRPr="00324531">
        <w:t>compromise systemic stability.</w:t>
      </w:r>
      <w:r w:rsidRPr="00324531">
        <w:t xml:space="preserve"> </w:t>
      </w:r>
      <w:r w:rsidR="001F39D3">
        <w:t>T</w:t>
      </w:r>
      <w:r w:rsidR="00042B15" w:rsidRPr="00324531">
        <w:t xml:space="preserve">he tendering process used in Chile </w:t>
      </w:r>
      <w:r w:rsidR="001F39D3">
        <w:t xml:space="preserve">has been criticised </w:t>
      </w:r>
      <w:r w:rsidR="00042B15" w:rsidRPr="00324531">
        <w:t xml:space="preserve">on these grounds </w:t>
      </w:r>
      <w:r w:rsidR="00B90111" w:rsidRPr="004E531E">
        <w:rPr>
          <w:szCs w:val="24"/>
        </w:rPr>
        <w:t>(Chant West 2014)</w:t>
      </w:r>
      <w:r w:rsidR="00BB1252">
        <w:t xml:space="preserve">, though there may be scope to mitigate some of these problems by </w:t>
      </w:r>
      <w:r w:rsidR="00BB1252" w:rsidRPr="00EA5C16">
        <w:t xml:space="preserve">stipulating asset allocation ranges </w:t>
      </w:r>
      <w:r w:rsidR="00BB1252">
        <w:t xml:space="preserve">or requiring </w:t>
      </w:r>
      <w:r w:rsidR="002E1539">
        <w:t xml:space="preserve">that funds disclose their true costs as a condition of participating in the tender </w:t>
      </w:r>
      <w:r w:rsidR="004C370C" w:rsidRPr="004C370C">
        <w:rPr>
          <w:szCs w:val="24"/>
        </w:rPr>
        <w:t>(Minifie, Cameron and Savage 2014)</w:t>
      </w:r>
      <w:r w:rsidR="00BB1252" w:rsidRPr="00EA5C16">
        <w:t xml:space="preserve">. </w:t>
      </w:r>
    </w:p>
    <w:p w14:paraId="7C5E962C" w14:textId="06E51478" w:rsidR="00BB1252" w:rsidRDefault="007B1E73" w:rsidP="00BB1252">
      <w:pPr>
        <w:pStyle w:val="BodyText"/>
      </w:pPr>
      <w:r>
        <w:t>The</w:t>
      </w:r>
      <w:r w:rsidR="00B90111" w:rsidRPr="00324531">
        <w:t xml:space="preserve"> alternative </w:t>
      </w:r>
      <w:r>
        <w:t>is to incorporate</w:t>
      </w:r>
      <w:r w:rsidR="00222DD6" w:rsidRPr="00324531">
        <w:t xml:space="preserve"> </w:t>
      </w:r>
      <w:r w:rsidR="00A4478D">
        <w:t>multiple</w:t>
      </w:r>
      <w:r w:rsidR="00222DD6" w:rsidRPr="00324531">
        <w:t xml:space="preserve"> </w:t>
      </w:r>
      <w:r w:rsidR="000C42C5" w:rsidRPr="00324531">
        <w:t>metrics</w:t>
      </w:r>
      <w:r>
        <w:t xml:space="preserve"> in the tender</w:t>
      </w:r>
      <w:r w:rsidR="00BB1252" w:rsidRPr="00EA5C16">
        <w:t>, as is the case in New Zealand (box </w:t>
      </w:r>
      <w:r w:rsidR="00BB1252">
        <w:t>3</w:t>
      </w:r>
      <w:r w:rsidR="00BB1252" w:rsidRPr="00EA5C16">
        <w:t xml:space="preserve">). </w:t>
      </w:r>
      <w:r w:rsidR="00BB1252">
        <w:t xml:space="preserve">These could include </w:t>
      </w:r>
      <w:r w:rsidR="005B22C7" w:rsidRPr="00324531">
        <w:t xml:space="preserve">historical net returns, </w:t>
      </w:r>
      <w:r w:rsidR="00BB1252">
        <w:t xml:space="preserve">fees, </w:t>
      </w:r>
      <w:r w:rsidR="00EF21B3" w:rsidRPr="00324531">
        <w:t>investment strategy</w:t>
      </w:r>
      <w:r w:rsidR="00B31F5D">
        <w:t xml:space="preserve">, </w:t>
      </w:r>
      <w:r w:rsidR="005B22C7" w:rsidRPr="00324531">
        <w:t>governance</w:t>
      </w:r>
      <w:r w:rsidR="00EF21B3" w:rsidRPr="00324531">
        <w:t>,</w:t>
      </w:r>
      <w:r w:rsidR="005B22C7" w:rsidRPr="00324531">
        <w:t xml:space="preserve"> service quality</w:t>
      </w:r>
      <w:r w:rsidR="00BB1252">
        <w:t xml:space="preserve"> </w:t>
      </w:r>
      <w:r w:rsidR="00B31F5D">
        <w:t xml:space="preserve">or </w:t>
      </w:r>
      <w:r w:rsidR="00BB1252">
        <w:t xml:space="preserve">other metrics that are typically included in corporate superannuation tenders </w:t>
      </w:r>
      <w:r w:rsidR="00BB1252" w:rsidRPr="00BB1252">
        <w:rPr>
          <w:szCs w:val="24"/>
        </w:rPr>
        <w:t>(PC 2016)</w:t>
      </w:r>
      <w:r w:rsidR="005B22C7" w:rsidRPr="00324531">
        <w:t>.</w:t>
      </w:r>
      <w:r w:rsidR="002F1A23" w:rsidRPr="00324531">
        <w:t xml:space="preserve"> </w:t>
      </w:r>
    </w:p>
    <w:p w14:paraId="1D70EB99" w14:textId="267EE75C" w:rsidR="002F77EA" w:rsidRDefault="00BB1252" w:rsidP="00BB1252">
      <w:pPr>
        <w:pStyle w:val="BodyText"/>
      </w:pPr>
      <w:r>
        <w:t xml:space="preserve">While the use of multiple metrics </w:t>
      </w:r>
      <w:r w:rsidR="00896DDA">
        <w:t xml:space="preserve">may </w:t>
      </w:r>
      <w:r>
        <w:t>avoid many of the problems with a single fee</w:t>
      </w:r>
      <w:r>
        <w:noBreakHyphen/>
        <w:t xml:space="preserve">based metric, </w:t>
      </w:r>
      <w:r w:rsidR="00A4478D">
        <w:t>it</w:t>
      </w:r>
      <w:r>
        <w:t xml:space="preserve"> would be challenging to implement</w:t>
      </w:r>
      <w:r w:rsidR="002F77EA">
        <w:t>.</w:t>
      </w:r>
      <w:r w:rsidR="00222DD6" w:rsidRPr="00324531">
        <w:t xml:space="preserve"> </w:t>
      </w:r>
      <w:r w:rsidR="002F77EA">
        <w:t xml:space="preserve">A </w:t>
      </w:r>
      <w:r w:rsidR="00222DD6" w:rsidRPr="00324531">
        <w:t xml:space="preserve">rigorous </w:t>
      </w:r>
      <w:r w:rsidR="00EF21B3" w:rsidRPr="00324531">
        <w:t xml:space="preserve">and transparent </w:t>
      </w:r>
      <w:r>
        <w:t>process would be needed to make trade</w:t>
      </w:r>
      <w:r>
        <w:noBreakHyphen/>
        <w:t>offs between the metrics</w:t>
      </w:r>
      <w:r w:rsidR="002F77EA">
        <w:t>, since it is unlikely that one bi</w:t>
      </w:r>
      <w:r w:rsidR="00C44159">
        <w:t>d</w:t>
      </w:r>
      <w:r w:rsidR="002F77EA">
        <w:t xml:space="preserve"> would outperform all others on all metrics.</w:t>
      </w:r>
      <w:r>
        <w:t xml:space="preserve"> This might entail some degree of judgment, especially where metrics are qualitative and difficult to measure objectively. </w:t>
      </w:r>
      <w:r w:rsidR="002F77EA">
        <w:t>Further, the process would likely be more costly and complex for participating funds, as well as for the government body that administers it and enforces the outcomes.</w:t>
      </w:r>
    </w:p>
    <w:p w14:paraId="7D55E30F" w14:textId="5BF78F7C" w:rsidR="000F5FDE" w:rsidRDefault="003166E5" w:rsidP="003166E5">
      <w:pPr>
        <w:pStyle w:val="BodyText"/>
      </w:pPr>
      <w:r>
        <w:t xml:space="preserve">Under </w:t>
      </w:r>
      <w:r w:rsidR="00A4478D">
        <w:t>either</w:t>
      </w:r>
      <w:r>
        <w:t xml:space="preserve"> approach, a key consideration is </w:t>
      </w:r>
      <w:r w:rsidR="00222DD6" w:rsidRPr="00324531" w:rsidDel="0043619E">
        <w:t xml:space="preserve">how frequently the process is repeated. If the process is run too frequently, </w:t>
      </w:r>
      <w:r>
        <w:t>participation</w:t>
      </w:r>
      <w:r w:rsidRPr="00324531" w:rsidDel="0043619E">
        <w:t xml:space="preserve"> </w:t>
      </w:r>
      <w:r w:rsidR="00222DD6" w:rsidRPr="00324531" w:rsidDel="0043619E">
        <w:t xml:space="preserve">may be less attractive </w:t>
      </w:r>
      <w:r>
        <w:t>to</w:t>
      </w:r>
      <w:r w:rsidRPr="00324531" w:rsidDel="0043619E">
        <w:t xml:space="preserve"> </w:t>
      </w:r>
      <w:r w:rsidR="00222DD6" w:rsidRPr="00324531" w:rsidDel="0043619E">
        <w:t xml:space="preserve">funds </w:t>
      </w:r>
      <w:r w:rsidR="00EF21B3" w:rsidRPr="00324531">
        <w:t>(</w:t>
      </w:r>
      <w:r w:rsidR="00C837B2" w:rsidRPr="00324531">
        <w:t>by not sufficiently rewarding the best performance</w:t>
      </w:r>
      <w:r w:rsidR="00EF21B3" w:rsidRPr="00324531">
        <w:t>)</w:t>
      </w:r>
      <w:r>
        <w:t xml:space="preserve">, which </w:t>
      </w:r>
      <w:r w:rsidR="00EF21B3" w:rsidRPr="00324531">
        <w:t xml:space="preserve">may not encourage innovation </w:t>
      </w:r>
      <w:r w:rsidR="00C837B2" w:rsidRPr="00324531">
        <w:t xml:space="preserve">and </w:t>
      </w:r>
      <w:r w:rsidR="00EF21B3" w:rsidRPr="00324531">
        <w:t>long</w:t>
      </w:r>
      <w:r w:rsidR="0042199C">
        <w:noBreakHyphen/>
      </w:r>
      <w:r w:rsidR="00EF21B3" w:rsidRPr="00324531">
        <w:t>term efficiency</w:t>
      </w:r>
      <w:r w:rsidR="00C837B2" w:rsidRPr="00324531">
        <w:t xml:space="preserve">. </w:t>
      </w:r>
      <w:r w:rsidR="00222DD6" w:rsidRPr="00324531" w:rsidDel="0043619E">
        <w:t xml:space="preserve">However, if the process is run too infrequently, the costs of a poor selection may be amplified. </w:t>
      </w:r>
      <w:r w:rsidR="001E12F0" w:rsidRPr="00324531">
        <w:t xml:space="preserve">Large periods between tenders could also act as </w:t>
      </w:r>
      <w:r>
        <w:t>barriers to innovation or to new funds or products entering the market</w:t>
      </w:r>
      <w:r w:rsidR="001E12F0" w:rsidRPr="00324531">
        <w:t>.</w:t>
      </w:r>
    </w:p>
    <w:p w14:paraId="069409EA" w14:textId="2C33A26F" w:rsidR="003B5AFC" w:rsidRDefault="004E531E" w:rsidP="003B5AFC">
      <w:pPr>
        <w:pStyle w:val="BodyText"/>
      </w:pPr>
      <w:r>
        <w:t>A</w:t>
      </w:r>
      <w:r w:rsidR="00A4478D">
        <w:t xml:space="preserve">nother </w:t>
      </w:r>
      <w:r>
        <w:t xml:space="preserve">consideration is how to minimise scope for </w:t>
      </w:r>
      <w:r w:rsidR="00D62DE7">
        <w:t>the</w:t>
      </w:r>
      <w:r>
        <w:t xml:space="preserve"> tender process to be gamed. There is a substantial economic literature on how firms </w:t>
      </w:r>
      <w:r w:rsidR="000B2AA9">
        <w:t xml:space="preserve">in other sectors </w:t>
      </w:r>
      <w:r>
        <w:t>have manipulated government tender and auction processes, either for a direct financial benefit or to reduce competition</w:t>
      </w:r>
      <w:r w:rsidR="00D62DE7">
        <w:t xml:space="preserve"> </w:t>
      </w:r>
      <w:r w:rsidR="00D85D5F" w:rsidRPr="00D85D5F">
        <w:rPr>
          <w:szCs w:val="24"/>
        </w:rPr>
        <w:t>(Chan, Laplagne and Appels 2003)</w:t>
      </w:r>
      <w:r>
        <w:t>.</w:t>
      </w:r>
      <w:r w:rsidR="000B2AA9">
        <w:t xml:space="preserve"> </w:t>
      </w:r>
      <w:r w:rsidR="003B5AFC">
        <w:t xml:space="preserve">As suggested in the terms of reference, the Commission will </w:t>
      </w:r>
      <w:r w:rsidR="00C667DF">
        <w:t>draw</w:t>
      </w:r>
      <w:r w:rsidR="003B5AFC">
        <w:t xml:space="preserve"> on the field of competitive market design. This growing field of economic research utilises theory </w:t>
      </w:r>
      <w:r w:rsidR="006A6918">
        <w:t xml:space="preserve">alongside </w:t>
      </w:r>
      <w:r w:rsidR="003B5AFC">
        <w:t xml:space="preserve">empirical and experimental evidence to develop allocative mechanisms. Broadly, the approach is to use the key lessons to </w:t>
      </w:r>
      <w:r w:rsidR="00B31F5D">
        <w:t xml:space="preserve">design </w:t>
      </w:r>
      <w:r w:rsidR="003B5AFC">
        <w:t xml:space="preserve">market rules that </w:t>
      </w:r>
      <w:r w:rsidR="00B31F5D">
        <w:t xml:space="preserve">minimise </w:t>
      </w:r>
      <w:r w:rsidR="003B5AFC">
        <w:t xml:space="preserve">the potential for gaming and collusion </w:t>
      </w:r>
      <w:r w:rsidR="003B5AFC" w:rsidRPr="00E20CB7">
        <w:rPr>
          <w:szCs w:val="24"/>
        </w:rPr>
        <w:t>(Gans 2010)</w:t>
      </w:r>
      <w:r w:rsidR="003B5AFC">
        <w:t>.</w:t>
      </w:r>
    </w:p>
    <w:p w14:paraId="098475C5" w14:textId="620C63EE" w:rsidR="00607F4B" w:rsidRPr="004E3B94" w:rsidRDefault="00607F4B" w:rsidP="00607F4B">
      <w:pPr>
        <w:pStyle w:val="BoxSpaceAboveElement"/>
        <w:rPr>
          <w:vanish w:val="0"/>
          <w:color w:val="auto"/>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0"/>
      </w:tblGrid>
      <w:tr w:rsidR="00607F4B" w14:paraId="37F4685D" w14:textId="77777777" w:rsidTr="001B5FDB">
        <w:tc>
          <w:tcPr>
            <w:tcW w:w="8770" w:type="dxa"/>
            <w:tcBorders>
              <w:top w:val="single" w:sz="6" w:space="0" w:color="78A22F"/>
              <w:left w:val="nil"/>
              <w:bottom w:val="nil"/>
              <w:right w:val="nil"/>
            </w:tcBorders>
            <w:shd w:val="clear" w:color="auto" w:fill="auto"/>
          </w:tcPr>
          <w:p w14:paraId="3051EBB7" w14:textId="2D323EB7" w:rsidR="00C44159" w:rsidRDefault="00C44159" w:rsidP="00C44159">
            <w:pPr>
              <w:pStyle w:val="InformationRequest"/>
            </w:pPr>
            <w:r>
              <w:t>What would be the likely effects of a tender on competition between successful funds and in the superannuation system more broadly? What would be the implications for product innovation and system stability? What would be the likely effects on long</w:t>
            </w:r>
            <w:r w:rsidR="0042199C">
              <w:noBreakHyphen/>
            </w:r>
            <w:r>
              <w:t>term member outcomes?</w:t>
            </w:r>
          </w:p>
          <w:p w14:paraId="24DB6368" w14:textId="77777777" w:rsidR="00B444FD" w:rsidRDefault="00B444FD" w:rsidP="00B444FD">
            <w:pPr>
              <w:pStyle w:val="InformationRequest"/>
            </w:pPr>
            <w:r>
              <w:t>What metric(s) would be most appropriate to include in a tender, and why?</w:t>
            </w:r>
          </w:p>
          <w:p w14:paraId="0F815CA8" w14:textId="77777777" w:rsidR="00B444FD" w:rsidRDefault="00B444FD" w:rsidP="00B444FD">
            <w:pPr>
              <w:pStyle w:val="InformationRequestBullet"/>
            </w:pPr>
            <w:r>
              <w:t>How should the bids be assessed against the metric(s)?</w:t>
            </w:r>
          </w:p>
          <w:p w14:paraId="70CC64A2" w14:textId="5798A00F" w:rsidR="00B444FD" w:rsidRDefault="00B444FD" w:rsidP="00B444FD">
            <w:pPr>
              <w:pStyle w:val="InformationRequestBullet"/>
            </w:pPr>
            <w:r>
              <w:t>Where there are multiple metrics, how should trade</w:t>
            </w:r>
            <w:r w:rsidR="0042199C">
              <w:noBreakHyphen/>
            </w:r>
            <w:r>
              <w:t>offs among them be assessed?</w:t>
            </w:r>
          </w:p>
          <w:p w14:paraId="4FD8D0E4" w14:textId="77777777" w:rsidR="00C44159" w:rsidRDefault="00C44159" w:rsidP="00C44159">
            <w:pPr>
              <w:pStyle w:val="InformationRequest"/>
            </w:pPr>
            <w:r>
              <w:t xml:space="preserve">What scope might there be for funds to manipulate a tender process, and how can this be minimised? How might trials or experiments help in refining the design? </w:t>
            </w:r>
          </w:p>
          <w:p w14:paraId="4E193433" w14:textId="4BD2A886" w:rsidR="00607F4B" w:rsidRPr="00CE4C64" w:rsidRDefault="00C44159" w:rsidP="00C44159">
            <w:pPr>
              <w:pStyle w:val="InformationRequest"/>
            </w:pPr>
            <w:r>
              <w:t>How frequently should a tender process be run? Who should administer the selection and subsequent monitoring of products?</w:t>
            </w:r>
          </w:p>
        </w:tc>
      </w:tr>
      <w:tr w:rsidR="00607F4B" w14:paraId="617845EE" w14:textId="77777777" w:rsidTr="001B5FDB">
        <w:tc>
          <w:tcPr>
            <w:tcW w:w="8770" w:type="dxa"/>
            <w:tcBorders>
              <w:top w:val="nil"/>
              <w:left w:val="nil"/>
              <w:bottom w:val="single" w:sz="6" w:space="0" w:color="78A22F"/>
              <w:right w:val="nil"/>
            </w:tcBorders>
            <w:shd w:val="clear" w:color="auto" w:fill="auto"/>
          </w:tcPr>
          <w:p w14:paraId="3654777A" w14:textId="77777777" w:rsidR="00607F4B" w:rsidRDefault="00607F4B" w:rsidP="001B5FDB">
            <w:pPr>
              <w:pStyle w:val="Space"/>
              <w:keepNext w:val="0"/>
              <w:keepLines/>
            </w:pPr>
          </w:p>
        </w:tc>
      </w:tr>
      <w:tr w:rsidR="00607F4B" w:rsidRPr="000863A5" w14:paraId="7F6FBCF5" w14:textId="77777777" w:rsidTr="001B5FDB">
        <w:tc>
          <w:tcPr>
            <w:tcW w:w="8770" w:type="dxa"/>
            <w:tcBorders>
              <w:top w:val="single" w:sz="6" w:space="0" w:color="78A22F"/>
              <w:left w:val="nil"/>
              <w:bottom w:val="nil"/>
              <w:right w:val="nil"/>
            </w:tcBorders>
          </w:tcPr>
          <w:p w14:paraId="5E1FA7A8" w14:textId="494823C5" w:rsidR="00607F4B" w:rsidRPr="00626D32" w:rsidRDefault="00607F4B" w:rsidP="001B5FDB">
            <w:pPr>
              <w:pStyle w:val="BoxSpaceBelow"/>
              <w:keepLines/>
            </w:pPr>
          </w:p>
        </w:tc>
      </w:tr>
    </w:tbl>
    <w:p w14:paraId="5C619CB3" w14:textId="67D4D0EE" w:rsidR="00277438" w:rsidRPr="00324531" w:rsidRDefault="00277438" w:rsidP="00277438">
      <w:pPr>
        <w:pStyle w:val="Heading4"/>
      </w:pPr>
      <w:r w:rsidRPr="00324531">
        <w:t>How would employees be allocated to products?</w:t>
      </w:r>
    </w:p>
    <w:p w14:paraId="65EE9DB5" w14:textId="0733FF34" w:rsidR="0051680E" w:rsidRDefault="006769AA" w:rsidP="006769AA">
      <w:pPr>
        <w:pStyle w:val="BodyText"/>
      </w:pPr>
      <w:r>
        <w:t xml:space="preserve">As with regulatory models, a </w:t>
      </w:r>
      <w:r w:rsidR="00C44159">
        <w:t xml:space="preserve">single </w:t>
      </w:r>
      <w:r>
        <w:t xml:space="preserve">tender could be applied to </w:t>
      </w:r>
      <w:r w:rsidRPr="004E531E">
        <w:t xml:space="preserve">all </w:t>
      </w:r>
      <w:r w:rsidR="00896DDA">
        <w:t xml:space="preserve">new </w:t>
      </w:r>
      <w:r w:rsidRPr="004E531E">
        <w:t xml:space="preserve">default fund members or, alternatively, </w:t>
      </w:r>
      <w:r>
        <w:t>separate tender</w:t>
      </w:r>
      <w:r w:rsidR="00C44159">
        <w:t>s</w:t>
      </w:r>
      <w:r w:rsidRPr="004E531E">
        <w:t xml:space="preserve"> could be used for different segments of employees</w:t>
      </w:r>
      <w:r>
        <w:t>.</w:t>
      </w:r>
      <w:r w:rsidR="0051680E">
        <w:t xml:space="preserve"> </w:t>
      </w:r>
      <w:r>
        <w:t xml:space="preserve">Similarly, employees could be allocated to products using a decentralised </w:t>
      </w:r>
      <w:r w:rsidR="0051680E">
        <w:t xml:space="preserve">approach (where employers or employees select </w:t>
      </w:r>
      <w:r w:rsidR="00B65367">
        <w:t xml:space="preserve">an </w:t>
      </w:r>
      <w:r w:rsidR="0051680E">
        <w:t>individual product</w:t>
      </w:r>
      <w:r w:rsidR="00B65367">
        <w:t xml:space="preserve"> from a list of winners</w:t>
      </w:r>
      <w:r w:rsidR="0051680E">
        <w:t>), or in a more centralised way.</w:t>
      </w:r>
    </w:p>
    <w:p w14:paraId="427A252A" w14:textId="1DD69F77" w:rsidR="000F5FDE" w:rsidRDefault="0051680E" w:rsidP="0051680E">
      <w:pPr>
        <w:pStyle w:val="BodyText"/>
      </w:pPr>
      <w:r>
        <w:t>In a centralised approach, the allocation w</w:t>
      </w:r>
      <w:r w:rsidR="003D3432">
        <w:t>ould be automatic</w:t>
      </w:r>
      <w:r>
        <w:t xml:space="preserve"> if the tender process resulted in a single eligible product</w:t>
      </w:r>
      <w:r w:rsidR="003F79A3">
        <w:t xml:space="preserve"> (winner)</w:t>
      </w:r>
      <w:r>
        <w:t xml:space="preserve">. Alternatively, if there were multiple </w:t>
      </w:r>
      <w:r w:rsidR="00E438AC">
        <w:t xml:space="preserve">successful </w:t>
      </w:r>
      <w:r>
        <w:t xml:space="preserve">products, each </w:t>
      </w:r>
      <w:r w:rsidR="000F5FDE" w:rsidRPr="00EA5C16">
        <w:t>could be allocated some proportion of employees</w:t>
      </w:r>
      <w:r w:rsidR="000F5FDE">
        <w:t xml:space="preserve"> — for example,</w:t>
      </w:r>
      <w:r w:rsidR="000F5FDE" w:rsidRPr="00EA5C16">
        <w:t xml:space="preserve"> an equal distribution</w:t>
      </w:r>
      <w:r w:rsidR="000F5FDE">
        <w:t>,</w:t>
      </w:r>
      <w:r w:rsidR="000F5FDE" w:rsidRPr="00EA5C16">
        <w:t xml:space="preserve"> or weighted by how products ranked in the tender process. </w:t>
      </w:r>
    </w:p>
    <w:p w14:paraId="05782018" w14:textId="6D298846" w:rsidR="00FB23C1" w:rsidRDefault="007E7FA7" w:rsidP="007E7FA7">
      <w:pPr>
        <w:pStyle w:val="BodyText"/>
      </w:pPr>
      <w:r>
        <w:t xml:space="preserve">It may also be possible to combine a tender with </w:t>
      </w:r>
      <w:r w:rsidR="00FB23C1" w:rsidRPr="00B64045">
        <w:t>a</w:t>
      </w:r>
      <w:r w:rsidR="005C7A8A">
        <w:t>n administrative</w:t>
      </w:r>
      <w:r w:rsidR="00FB23C1" w:rsidRPr="00B64045">
        <w:t xml:space="preserve"> filter</w:t>
      </w:r>
      <w:r>
        <w:t>. For example, only products that meet a minimum set of requirements may able to participate in the tender. These requirements could be based on current MySuper rules or some other filter.</w:t>
      </w:r>
    </w:p>
    <w:p w14:paraId="582E65B0" w14:textId="3C2E5798" w:rsidR="00607F4B" w:rsidRPr="004E3B94" w:rsidRDefault="00607F4B" w:rsidP="00607F4B">
      <w:pPr>
        <w:pStyle w:val="BoxSpaceAboveElement"/>
        <w:rPr>
          <w:vanish w:val="0"/>
          <w:color w:val="auto"/>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0"/>
      </w:tblGrid>
      <w:tr w:rsidR="00607F4B" w14:paraId="21710E23" w14:textId="77777777" w:rsidTr="001B5FDB">
        <w:tc>
          <w:tcPr>
            <w:tcW w:w="8770" w:type="dxa"/>
            <w:tcBorders>
              <w:top w:val="single" w:sz="6" w:space="0" w:color="78A22F"/>
              <w:left w:val="nil"/>
              <w:bottom w:val="nil"/>
              <w:right w:val="nil"/>
            </w:tcBorders>
            <w:shd w:val="clear" w:color="auto" w:fill="auto"/>
          </w:tcPr>
          <w:p w14:paraId="2C7AFFDD" w14:textId="77777777" w:rsidR="00C44159" w:rsidRDefault="00C44159" w:rsidP="00C44159">
            <w:pPr>
              <w:pStyle w:val="InformationRequest"/>
            </w:pPr>
            <w:r>
              <w:t>What are the relative merits of using a single tender that covers the entire system versus a more segmented approach? What are the key practical considerations and challenges in implementing each approach?</w:t>
            </w:r>
          </w:p>
          <w:p w14:paraId="05B68074" w14:textId="0CC38A44" w:rsidR="00C44159" w:rsidRDefault="00C44159" w:rsidP="00C44159">
            <w:pPr>
              <w:pStyle w:val="InformationRequest"/>
            </w:pPr>
            <w:r>
              <w:t>In what ways could employees be allocated to eligible products in a market</w:t>
            </w:r>
            <w:r w:rsidR="006A6918">
              <w:noBreakHyphen/>
            </w:r>
            <w:r>
              <w:t>based model (including through single winner and multiple winner tenders)? What are the advantages and disadvantages of each approach? What costs and responsibilities would fall on employees, employers, regulators and superannuation funds under each approach?</w:t>
            </w:r>
          </w:p>
          <w:p w14:paraId="22408D14" w14:textId="38042480" w:rsidR="00607F4B" w:rsidRPr="00CE4C64" w:rsidRDefault="00176CF2" w:rsidP="00064FDC">
            <w:pPr>
              <w:pStyle w:val="InformationRequest"/>
            </w:pPr>
            <w:r>
              <w:t>What are the merits of</w:t>
            </w:r>
            <w:r w:rsidR="00C44159">
              <w:t xml:space="preserve"> using the MySuper requirements </w:t>
            </w:r>
            <w:r w:rsidR="00896DDA">
              <w:t xml:space="preserve">as </w:t>
            </w:r>
            <w:r w:rsidR="00C44159">
              <w:t>an entry threshold to the tender process?</w:t>
            </w:r>
            <w:r>
              <w:t xml:space="preserve"> What are the potential problems with this kind of approach?</w:t>
            </w:r>
          </w:p>
        </w:tc>
      </w:tr>
      <w:tr w:rsidR="00607F4B" w14:paraId="468AC6DE" w14:textId="77777777" w:rsidTr="001B5FDB">
        <w:tc>
          <w:tcPr>
            <w:tcW w:w="8770" w:type="dxa"/>
            <w:tcBorders>
              <w:top w:val="nil"/>
              <w:left w:val="nil"/>
              <w:bottom w:val="single" w:sz="6" w:space="0" w:color="78A22F"/>
              <w:right w:val="nil"/>
            </w:tcBorders>
            <w:shd w:val="clear" w:color="auto" w:fill="auto"/>
          </w:tcPr>
          <w:p w14:paraId="09380E57" w14:textId="77777777" w:rsidR="00607F4B" w:rsidRDefault="00607F4B" w:rsidP="001B5FDB">
            <w:pPr>
              <w:pStyle w:val="Space"/>
              <w:keepNext w:val="0"/>
              <w:keepLines/>
            </w:pPr>
          </w:p>
        </w:tc>
      </w:tr>
      <w:tr w:rsidR="00607F4B" w:rsidRPr="000863A5" w14:paraId="65805D2F" w14:textId="77777777" w:rsidTr="001B5FDB">
        <w:tc>
          <w:tcPr>
            <w:tcW w:w="8770" w:type="dxa"/>
            <w:tcBorders>
              <w:top w:val="single" w:sz="6" w:space="0" w:color="78A22F"/>
              <w:left w:val="nil"/>
              <w:bottom w:val="nil"/>
              <w:right w:val="nil"/>
            </w:tcBorders>
          </w:tcPr>
          <w:p w14:paraId="54FC1361" w14:textId="6AA2C1E7" w:rsidR="00607F4B" w:rsidRPr="00626D32" w:rsidRDefault="00607F4B" w:rsidP="001B5FDB">
            <w:pPr>
              <w:pStyle w:val="BoxSpaceBelow"/>
              <w:keepLines/>
            </w:pPr>
          </w:p>
        </w:tc>
      </w:tr>
    </w:tbl>
    <w:p w14:paraId="4B8DB737" w14:textId="35FE3111" w:rsidR="00CF2E16" w:rsidRPr="003D3432" w:rsidRDefault="00CF2E16" w:rsidP="00620D86">
      <w:pPr>
        <w:pStyle w:val="Heading3"/>
      </w:pPr>
      <w:r w:rsidRPr="003D3432">
        <w:t>Active choice by employee</w:t>
      </w:r>
      <w:r w:rsidR="009F6DFF">
        <w:t>s</w:t>
      </w:r>
    </w:p>
    <w:p w14:paraId="11489550" w14:textId="3C5EF7CC" w:rsidR="00CF2E16" w:rsidRPr="004E531E" w:rsidRDefault="008F4D6B" w:rsidP="00A56E51">
      <w:pPr>
        <w:pStyle w:val="BodyText"/>
      </w:pPr>
      <w:r>
        <w:t xml:space="preserve">The </w:t>
      </w:r>
      <w:r w:rsidR="005C7A8A">
        <w:t>baseline</w:t>
      </w:r>
      <w:r>
        <w:t xml:space="preserve"> to be used in this inquiry is that there is no default syst</w:t>
      </w:r>
      <w:r w:rsidR="00371CF5">
        <w:t xml:space="preserve">em at all. </w:t>
      </w:r>
      <w:r w:rsidR="00896DDA">
        <w:t>After nearly 25 years</w:t>
      </w:r>
      <w:r w:rsidR="006A6918">
        <w:t>’</w:t>
      </w:r>
      <w:r w:rsidR="00896DDA">
        <w:t xml:space="preserve"> experience, it could be even argued that this </w:t>
      </w:r>
      <w:r w:rsidR="00371CF5">
        <w:t>its</w:t>
      </w:r>
      <w:r>
        <w:t xml:space="preserve">elf be a new </w:t>
      </w:r>
      <w:r w:rsidR="0003491C">
        <w:t xml:space="preserve">allocation model, </w:t>
      </w:r>
      <w:r w:rsidR="00A56E51" w:rsidRPr="000F5FDE">
        <w:t xml:space="preserve">where </w:t>
      </w:r>
      <w:r w:rsidR="00FE5048" w:rsidRPr="000F5FDE">
        <w:t>employees</w:t>
      </w:r>
      <w:r w:rsidR="00A56E51" w:rsidRPr="000F5FDE">
        <w:t xml:space="preserve"> themselves must </w:t>
      </w:r>
      <w:r w:rsidR="00CF2E16" w:rsidRPr="000F5FDE">
        <w:t>make an active choice</w:t>
      </w:r>
      <w:r w:rsidR="00A56E51" w:rsidRPr="000F5FDE">
        <w:t xml:space="preserve"> of superannuation product</w:t>
      </w:r>
      <w:r w:rsidR="00CF2E16" w:rsidRPr="000F5FDE">
        <w:t xml:space="preserve">. This would remove the employer’s responsibility for choosing a default </w:t>
      </w:r>
      <w:r w:rsidR="00FE5048" w:rsidRPr="000F5FDE">
        <w:t xml:space="preserve">fund </w:t>
      </w:r>
      <w:r w:rsidR="00CF2E16" w:rsidRPr="000F5FDE">
        <w:t xml:space="preserve">and place the onus on the </w:t>
      </w:r>
      <w:r w:rsidR="00F6092A" w:rsidRPr="000F5FDE">
        <w:t>employee</w:t>
      </w:r>
      <w:r w:rsidR="005A6417" w:rsidRPr="00CB5D92">
        <w:t>,</w:t>
      </w:r>
      <w:r w:rsidR="00CF2E16" w:rsidRPr="00EE5809">
        <w:t xml:space="preserve"> who may be better placed to make a decision in </w:t>
      </w:r>
      <w:r w:rsidR="00DE1967">
        <w:t>his or her</w:t>
      </w:r>
      <w:r w:rsidR="00DE1967" w:rsidRPr="00EE5809">
        <w:t xml:space="preserve"> </w:t>
      </w:r>
      <w:r w:rsidR="00CF2E16" w:rsidRPr="00EE5809">
        <w:t xml:space="preserve">own best interests. </w:t>
      </w:r>
      <w:r w:rsidR="00984A38" w:rsidRPr="00EE5809">
        <w:t>However, r</w:t>
      </w:r>
      <w:r w:rsidR="00CF2E16" w:rsidRPr="00EE5809">
        <w:t>esearch on an active choice model (without defaults) is scarce</w:t>
      </w:r>
      <w:r w:rsidR="006A6918">
        <w:t>. M</w:t>
      </w:r>
      <w:r w:rsidR="00CF2E16" w:rsidRPr="00EE5809">
        <w:t xml:space="preserve">ost countries that have </w:t>
      </w:r>
      <w:r w:rsidR="0020363D" w:rsidRPr="000E32BD">
        <w:t>employer</w:t>
      </w:r>
      <w:r w:rsidR="0042199C">
        <w:noBreakHyphen/>
      </w:r>
      <w:r w:rsidR="0020363D" w:rsidRPr="000E32BD">
        <w:t>funded superannuation</w:t>
      </w:r>
      <w:r w:rsidR="00CF2E16" w:rsidRPr="004E531E">
        <w:t xml:space="preserve"> also have some variant of a default option.</w:t>
      </w:r>
    </w:p>
    <w:p w14:paraId="2894E5D8" w14:textId="7F157DB1" w:rsidR="00CF2E16" w:rsidRPr="004E531E" w:rsidRDefault="00CF2E16" w:rsidP="00CF2E16">
      <w:pPr>
        <w:pStyle w:val="BodyText"/>
      </w:pPr>
      <w:r w:rsidRPr="004E531E">
        <w:t xml:space="preserve">In practice, new employees </w:t>
      </w:r>
      <w:r w:rsidR="00BB4738" w:rsidRPr="004E531E">
        <w:t xml:space="preserve">could </w:t>
      </w:r>
      <w:r w:rsidRPr="004E531E">
        <w:t xml:space="preserve">be required to nominate a superannuation </w:t>
      </w:r>
      <w:r w:rsidR="00FE5048" w:rsidRPr="004E531E">
        <w:t xml:space="preserve">fund </w:t>
      </w:r>
      <w:r w:rsidR="00BA7591" w:rsidRPr="004E531E">
        <w:t>when their employment commences</w:t>
      </w:r>
      <w:r w:rsidRPr="004E531E">
        <w:t>, prior to any contributions being made. This would mirror the current process whereby employees are required to choose their own bank and provide bank account details to their employer for wages to be paid into</w:t>
      </w:r>
      <w:r w:rsidR="00F6092A" w:rsidRPr="004E531E">
        <w:t>.</w:t>
      </w:r>
      <w:r w:rsidRPr="004E531E">
        <w:t xml:space="preserve"> </w:t>
      </w:r>
      <w:r w:rsidR="00FE5048" w:rsidRPr="004E531E">
        <w:t xml:space="preserve">The superannuation fund </w:t>
      </w:r>
      <w:r w:rsidR="0003491C">
        <w:t>c</w:t>
      </w:r>
      <w:r w:rsidR="00FE5048" w:rsidRPr="004E531E">
        <w:t xml:space="preserve">ould </w:t>
      </w:r>
      <w:r w:rsidR="00D06534" w:rsidRPr="004E531E">
        <w:t>remain</w:t>
      </w:r>
      <w:r w:rsidR="00FE5048" w:rsidRPr="004E531E">
        <w:t xml:space="preserve"> responsible for directing those contributions to a MySuper product within the fund (unless the member chooses otherwise). </w:t>
      </w:r>
      <w:r w:rsidR="00D655C5" w:rsidRPr="004E531E">
        <w:t xml:space="preserve">The private sector could continue to provide advice and ratings to consumers to help them to understand the features of </w:t>
      </w:r>
      <w:r w:rsidR="00226752" w:rsidRPr="004E531E">
        <w:t>competing</w:t>
      </w:r>
      <w:r w:rsidR="00D655C5" w:rsidRPr="004E531E">
        <w:t xml:space="preserve"> products and make comparisons.</w:t>
      </w:r>
    </w:p>
    <w:p w14:paraId="02967239" w14:textId="53ED1A85" w:rsidR="005C7A8A" w:rsidRDefault="00CF2E16" w:rsidP="00CF2E16">
      <w:pPr>
        <w:pStyle w:val="BodyText"/>
      </w:pPr>
      <w:r w:rsidRPr="004E531E">
        <w:t>The active choice model could deliver several benefits</w:t>
      </w:r>
      <w:r w:rsidR="00E23511" w:rsidRPr="004E531E">
        <w:t xml:space="preserve">, such as increased member engagement, </w:t>
      </w:r>
      <w:r w:rsidR="000555DA">
        <w:t xml:space="preserve">fewer </w:t>
      </w:r>
      <w:r w:rsidR="00E23511" w:rsidRPr="004E531E">
        <w:t xml:space="preserve">principal–agent relationships, </w:t>
      </w:r>
      <w:r w:rsidR="000555DA">
        <w:t>greater</w:t>
      </w:r>
      <w:r w:rsidR="000555DA" w:rsidRPr="004E531E">
        <w:t xml:space="preserve"> </w:t>
      </w:r>
      <w:r w:rsidR="00E23511" w:rsidRPr="004E531E">
        <w:t>supply</w:t>
      </w:r>
      <w:r w:rsidR="00E23511" w:rsidRPr="004E531E">
        <w:noBreakHyphen/>
        <w:t>side competition and reduce</w:t>
      </w:r>
      <w:r w:rsidR="000555DA">
        <w:t>d</w:t>
      </w:r>
      <w:r w:rsidR="00E23511" w:rsidRPr="004E531E">
        <w:t xml:space="preserve"> burden</w:t>
      </w:r>
      <w:r w:rsidR="000555DA">
        <w:t>s</w:t>
      </w:r>
      <w:r w:rsidR="00E23511" w:rsidRPr="004E531E">
        <w:t xml:space="preserve"> on some employers</w:t>
      </w:r>
      <w:r w:rsidR="00371CF5" w:rsidRPr="004E531E">
        <w:t>.</w:t>
      </w:r>
      <w:r w:rsidR="00173902">
        <w:t xml:space="preserve"> </w:t>
      </w:r>
      <w:r w:rsidR="00956950">
        <w:t>By getting</w:t>
      </w:r>
      <w:r w:rsidR="0003491C">
        <w:t xml:space="preserve"> each employee to directly choose the product that best </w:t>
      </w:r>
      <w:r w:rsidR="0083242C">
        <w:t>accords with</w:t>
      </w:r>
      <w:r w:rsidR="0003491C">
        <w:t xml:space="preserve"> their preferences, </w:t>
      </w:r>
      <w:r w:rsidR="00956950">
        <w:t>it</w:t>
      </w:r>
      <w:r w:rsidR="00173902">
        <w:t xml:space="preserve"> would </w:t>
      </w:r>
      <w:r w:rsidR="00956950">
        <w:t xml:space="preserve">facilitate competition on both price and </w:t>
      </w:r>
      <w:r w:rsidR="00173902">
        <w:t xml:space="preserve">product features. </w:t>
      </w:r>
      <w:r w:rsidR="00371CF5">
        <w:t xml:space="preserve">It would also likely be cheaper than </w:t>
      </w:r>
      <w:r w:rsidR="00173902">
        <w:t xml:space="preserve">(intermediated) </w:t>
      </w:r>
      <w:r w:rsidR="00371CF5">
        <w:t xml:space="preserve">default selection processes, and less conflicted. </w:t>
      </w:r>
    </w:p>
    <w:p w14:paraId="6CBABB03" w14:textId="44A4A1C9" w:rsidR="00E23511" w:rsidRDefault="00E23511" w:rsidP="00CF2E16">
      <w:pPr>
        <w:pStyle w:val="BodyText"/>
      </w:pPr>
      <w:r w:rsidRPr="004E531E">
        <w:t xml:space="preserve">However, the model could also </w:t>
      </w:r>
      <w:r w:rsidR="000555DA">
        <w:t xml:space="preserve">impose </w:t>
      </w:r>
      <w:r w:rsidRPr="004E531E">
        <w:t xml:space="preserve">significant costs. For example, behavioural finance </w:t>
      </w:r>
      <w:r w:rsidR="000555DA">
        <w:t xml:space="preserve">research </w:t>
      </w:r>
      <w:r w:rsidRPr="004E531E">
        <w:t>suggests</w:t>
      </w:r>
      <w:r w:rsidR="000555DA">
        <w:t xml:space="preserve"> that</w:t>
      </w:r>
      <w:r w:rsidRPr="004E531E">
        <w:t xml:space="preserve"> increased member engagement may not necessarily </w:t>
      </w:r>
      <w:r w:rsidR="00534A8F" w:rsidRPr="004E531E">
        <w:t>lead to better outcomes</w:t>
      </w:r>
      <w:r w:rsidR="00C45BDB">
        <w:t xml:space="preserve">. </w:t>
      </w:r>
      <w:r w:rsidR="005C188D">
        <w:t>Choosing the most suitable product from the thousands available can be a daunting task for members.</w:t>
      </w:r>
      <w:r w:rsidR="00C45BDB">
        <w:t xml:space="preserve"> Further</w:t>
      </w:r>
      <w:r w:rsidRPr="004E531E">
        <w:t xml:space="preserve">, superannuation funds </w:t>
      </w:r>
      <w:r w:rsidR="005C188D">
        <w:t>could</w:t>
      </w:r>
      <w:r w:rsidR="005C188D" w:rsidRPr="004E531E">
        <w:t xml:space="preserve"> </w:t>
      </w:r>
      <w:r w:rsidR="00371CF5">
        <w:t xml:space="preserve">choose to </w:t>
      </w:r>
      <w:r w:rsidRPr="004E531E">
        <w:t xml:space="preserve">compete </w:t>
      </w:r>
      <w:r w:rsidR="000555DA">
        <w:t>on product features</w:t>
      </w:r>
      <w:r w:rsidRPr="004E531E">
        <w:t xml:space="preserve"> that are not in members’ best interests</w:t>
      </w:r>
      <w:r w:rsidR="00297377">
        <w:t xml:space="preserve"> </w:t>
      </w:r>
      <w:r w:rsidR="00297377" w:rsidRPr="00297377">
        <w:rPr>
          <w:szCs w:val="24"/>
        </w:rPr>
        <w:t>(PC 2016)</w:t>
      </w:r>
      <w:r w:rsidR="005C188D">
        <w:t xml:space="preserve"> (</w:t>
      </w:r>
      <w:r w:rsidR="00371CF5">
        <w:t>though there is nothing to prevent this happening now</w:t>
      </w:r>
      <w:r w:rsidR="005C188D">
        <w:t>)</w:t>
      </w:r>
      <w:r w:rsidRPr="003166E5">
        <w:t>.</w:t>
      </w:r>
      <w:r w:rsidR="00E641E2">
        <w:t xml:space="preserve"> </w:t>
      </w:r>
      <w:r w:rsidR="00CF2E16" w:rsidRPr="003166E5">
        <w:t xml:space="preserve">Implementing an active choice model also has </w:t>
      </w:r>
      <w:r w:rsidR="00534A8F" w:rsidRPr="003166E5">
        <w:t xml:space="preserve">practical </w:t>
      </w:r>
      <w:r w:rsidR="00CF2E16" w:rsidRPr="003166E5">
        <w:t xml:space="preserve">challenges and </w:t>
      </w:r>
      <w:r w:rsidR="000555DA">
        <w:t>new</w:t>
      </w:r>
      <w:r w:rsidR="000555DA" w:rsidRPr="003166E5">
        <w:t xml:space="preserve"> </w:t>
      </w:r>
      <w:r w:rsidRPr="003166E5">
        <w:t>processes may</w:t>
      </w:r>
      <w:r w:rsidR="00CF2E16" w:rsidRPr="003166E5">
        <w:t xml:space="preserve"> be needed to ameliorate some of the costs.</w:t>
      </w:r>
      <w:r w:rsidRPr="003D3432">
        <w:t xml:space="preserve"> For example, </w:t>
      </w:r>
      <w:r w:rsidR="00457A27" w:rsidRPr="003D3432">
        <w:t>there may need to be limits on the types of inducements super</w:t>
      </w:r>
      <w:r w:rsidR="00FE5048" w:rsidRPr="003D3432">
        <w:t>annuation</w:t>
      </w:r>
      <w:r w:rsidR="00457A27" w:rsidRPr="003D3432">
        <w:t xml:space="preserve"> funds </w:t>
      </w:r>
      <w:r w:rsidR="000555DA">
        <w:t xml:space="preserve">can </w:t>
      </w:r>
      <w:r w:rsidR="00457A27" w:rsidRPr="003D3432">
        <w:t>provide to employees.</w:t>
      </w:r>
    </w:p>
    <w:p w14:paraId="168F9A85" w14:textId="01C3B18A" w:rsidR="00DA6531" w:rsidRPr="003D3432" w:rsidRDefault="00DA6531" w:rsidP="00940096">
      <w:pPr>
        <w:pStyle w:val="Heading4"/>
      </w:pPr>
      <w:r>
        <w:t>Active choice with filter</w:t>
      </w:r>
    </w:p>
    <w:p w14:paraId="7020985C" w14:textId="4E67BF55" w:rsidR="007B4671" w:rsidRDefault="00ED5F86" w:rsidP="00CF2E16">
      <w:pPr>
        <w:pStyle w:val="BodyText"/>
      </w:pPr>
      <w:r w:rsidRPr="000F5FDE">
        <w:t xml:space="preserve">An active choice model need not be completely decentralised. A </w:t>
      </w:r>
      <w:r w:rsidR="00173902">
        <w:t>filter</w:t>
      </w:r>
      <w:r w:rsidRPr="000F5FDE">
        <w:t xml:space="preserve"> or</w:t>
      </w:r>
      <w:r w:rsidR="00BC2834">
        <w:t xml:space="preserve"> a</w:t>
      </w:r>
      <w:r w:rsidRPr="000F5FDE">
        <w:t xml:space="preserve"> market</w:t>
      </w:r>
      <w:r w:rsidRPr="000F5FDE">
        <w:noBreakHyphen/>
        <w:t>based mechanism could be used to</w:t>
      </w:r>
      <w:r w:rsidR="00370994" w:rsidRPr="000F5FDE">
        <w:t xml:space="preserve"> narrow choices or</w:t>
      </w:r>
      <w:r w:rsidRPr="000F5FDE">
        <w:t xml:space="preserve"> ‘nudge’ members to </w:t>
      </w:r>
      <w:r w:rsidR="000555DA">
        <w:t>high</w:t>
      </w:r>
      <w:r w:rsidRPr="000F5FDE">
        <w:noBreakHyphen/>
        <w:t>performing funds</w:t>
      </w:r>
      <w:r w:rsidR="008E32C3" w:rsidRPr="000F5FDE">
        <w:t xml:space="preserve"> (box </w:t>
      </w:r>
      <w:r w:rsidR="00C44159">
        <w:t>5</w:t>
      </w:r>
      <w:r w:rsidR="008E32C3" w:rsidRPr="000F5FDE">
        <w:t>)</w:t>
      </w:r>
      <w:r w:rsidRPr="000F5FDE">
        <w:t xml:space="preserve">. </w:t>
      </w:r>
      <w:r w:rsidR="00CF2E16" w:rsidRPr="000F5FDE">
        <w:t>For example, the</w:t>
      </w:r>
      <w:r w:rsidR="00F51C15" w:rsidRPr="000F5FDE">
        <w:t xml:space="preserve"> </w:t>
      </w:r>
      <w:r w:rsidR="00370994" w:rsidRPr="000F5FDE">
        <w:t xml:space="preserve">active choice </w:t>
      </w:r>
      <w:r w:rsidR="00F51C15" w:rsidRPr="000F5FDE">
        <w:t xml:space="preserve">model could operate in concert with some filter </w:t>
      </w:r>
      <w:r w:rsidRPr="00EE5809">
        <w:t>to determine</w:t>
      </w:r>
      <w:r w:rsidR="00CF2E16" w:rsidRPr="00EE5809">
        <w:t xml:space="preserve"> a shortlist of superannuation </w:t>
      </w:r>
      <w:r w:rsidRPr="00EE5809">
        <w:t xml:space="preserve">products </w:t>
      </w:r>
      <w:r w:rsidR="00370994" w:rsidRPr="00EE5809">
        <w:t>recommended to new employees</w:t>
      </w:r>
      <w:r w:rsidR="00BA7591" w:rsidRPr="00EE5809">
        <w:t xml:space="preserve"> (with </w:t>
      </w:r>
      <w:r w:rsidR="006A6918">
        <w:t>employees</w:t>
      </w:r>
      <w:r w:rsidR="006A6918" w:rsidRPr="00EE5809">
        <w:t xml:space="preserve"> </w:t>
      </w:r>
      <w:r w:rsidR="00BA7591" w:rsidRPr="00EE5809">
        <w:t>allowed to choose products not on this list should they wish)</w:t>
      </w:r>
      <w:r w:rsidR="00CF2E16" w:rsidRPr="00DC57BA">
        <w:t xml:space="preserve">. This </w:t>
      </w:r>
      <w:r w:rsidR="00896DDA">
        <w:t xml:space="preserve">form of ‘nudge’ </w:t>
      </w:r>
      <w:r w:rsidR="00CF2E16" w:rsidRPr="00DC57BA">
        <w:t xml:space="preserve">could reduce search costs and </w:t>
      </w:r>
      <w:r w:rsidR="00BA7591" w:rsidRPr="00DC57BA">
        <w:t xml:space="preserve">mitigate the impact of </w:t>
      </w:r>
      <w:r w:rsidR="00CF2E16" w:rsidRPr="00DC57BA">
        <w:t>behavioural constraints on the decision.</w:t>
      </w:r>
    </w:p>
    <w:p w14:paraId="14F0BDE3" w14:textId="60A5332F" w:rsidR="00DA6531" w:rsidRDefault="00DC3731" w:rsidP="00CF2E16">
      <w:pPr>
        <w:pStyle w:val="BodyText"/>
      </w:pPr>
      <w:r>
        <w:t>Government may design and apply this filter. Alternatively, government may only establish the filter architecture, with the actual analysis and application done by the private sector. T</w:t>
      </w:r>
      <w:r w:rsidR="00DA6531" w:rsidRPr="00A5402C">
        <w:t xml:space="preserve">he private sector already publishes similar </w:t>
      </w:r>
      <w:r w:rsidR="00DA6531" w:rsidRPr="0044096A">
        <w:t>lists of superannuation funds</w:t>
      </w:r>
      <w:r>
        <w:t>.</w:t>
      </w:r>
      <w:r w:rsidR="00DA6531">
        <w:t xml:space="preserve"> C</w:t>
      </w:r>
      <w:r w:rsidR="00DA6531" w:rsidRPr="0044096A">
        <w:t>omparison tools</w:t>
      </w:r>
      <w:r w:rsidR="00DA6531">
        <w:t xml:space="preserve"> — such as those available for electricity contracts and insurance — </w:t>
      </w:r>
      <w:r w:rsidR="00DA6531" w:rsidRPr="0044096A">
        <w:t xml:space="preserve">could </w:t>
      </w:r>
      <w:r w:rsidR="00DA6531" w:rsidRPr="000E32BD">
        <w:t xml:space="preserve">also </w:t>
      </w:r>
      <w:r w:rsidR="00DA6531" w:rsidRPr="004E531E">
        <w:t>reduce search costs.</w:t>
      </w:r>
    </w:p>
    <w:p w14:paraId="6CF85100" w14:textId="3B30797E" w:rsidR="008E32C3" w:rsidRPr="004E531E" w:rsidRDefault="008E32C3">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8E32C3" w:rsidRPr="004E531E" w14:paraId="2A7904C5" w14:textId="77777777" w:rsidTr="008E32C3">
        <w:tc>
          <w:tcPr>
            <w:tcW w:w="8771" w:type="dxa"/>
            <w:tcBorders>
              <w:top w:val="single" w:sz="6" w:space="0" w:color="78A22F"/>
              <w:left w:val="nil"/>
              <w:bottom w:val="nil"/>
              <w:right w:val="nil"/>
            </w:tcBorders>
            <w:shd w:val="clear" w:color="auto" w:fill="F2F2F2"/>
          </w:tcPr>
          <w:p w14:paraId="0D4851DB" w14:textId="61538098" w:rsidR="008E32C3" w:rsidRPr="004E531E" w:rsidRDefault="008E32C3" w:rsidP="00CE2A3F">
            <w:pPr>
              <w:pStyle w:val="BoxTitle"/>
            </w:pPr>
            <w:r w:rsidRPr="004E531E">
              <w:rPr>
                <w:b w:val="0"/>
              </w:rPr>
              <w:t xml:space="preserve">Box </w:t>
            </w:r>
            <w:r w:rsidR="00617613" w:rsidRPr="004E531E">
              <w:rPr>
                <w:b w:val="0"/>
              </w:rPr>
              <w:fldChar w:fldCharType="begin"/>
            </w:r>
            <w:r w:rsidR="00617613" w:rsidRPr="004E531E">
              <w:rPr>
                <w:b w:val="0"/>
              </w:rPr>
              <w:instrText xml:space="preserve"> SEQ Box \* ARABIC </w:instrText>
            </w:r>
            <w:r w:rsidR="00617613" w:rsidRPr="004E531E">
              <w:rPr>
                <w:b w:val="0"/>
              </w:rPr>
              <w:fldChar w:fldCharType="separate"/>
            </w:r>
            <w:r w:rsidR="00705E15">
              <w:rPr>
                <w:b w:val="0"/>
                <w:noProof/>
              </w:rPr>
              <w:t>5</w:t>
            </w:r>
            <w:r w:rsidR="00617613" w:rsidRPr="004E531E">
              <w:rPr>
                <w:b w:val="0"/>
              </w:rPr>
              <w:fldChar w:fldCharType="end"/>
            </w:r>
            <w:r w:rsidRPr="004E531E">
              <w:tab/>
              <w:t>Behavioural finance and nudges</w:t>
            </w:r>
          </w:p>
        </w:tc>
      </w:tr>
      <w:tr w:rsidR="008E32C3" w:rsidRPr="004E531E" w14:paraId="6BF5A39B" w14:textId="77777777" w:rsidTr="008E32C3">
        <w:trPr>
          <w:cantSplit/>
        </w:trPr>
        <w:tc>
          <w:tcPr>
            <w:tcW w:w="8771" w:type="dxa"/>
            <w:tcBorders>
              <w:top w:val="nil"/>
              <w:left w:val="nil"/>
              <w:bottom w:val="nil"/>
              <w:right w:val="nil"/>
            </w:tcBorders>
            <w:shd w:val="clear" w:color="auto" w:fill="F2F2F2"/>
          </w:tcPr>
          <w:p w14:paraId="308831F3" w14:textId="28FEB9BF" w:rsidR="00CE49E3" w:rsidRPr="004E531E" w:rsidRDefault="007C2BEB" w:rsidP="00124A1C">
            <w:pPr>
              <w:pStyle w:val="Box"/>
            </w:pPr>
            <w:r w:rsidRPr="004E531E">
              <w:t>B</w:t>
            </w:r>
            <w:r w:rsidR="00AB22F4" w:rsidRPr="004E531E">
              <w:t xml:space="preserve">ehavioural finance </w:t>
            </w:r>
            <w:r w:rsidR="00A544EB">
              <w:t>can be used to understand</w:t>
            </w:r>
            <w:r w:rsidR="00E72AFB">
              <w:t xml:space="preserve"> the different behavioural biases that impede decision making. Internationally, there is a large and growing body of experimental evidence</w:t>
            </w:r>
            <w:r w:rsidR="0060337C" w:rsidRPr="004E531E">
              <w:t xml:space="preserve"> </w:t>
            </w:r>
            <w:r w:rsidR="00E72AFB">
              <w:t xml:space="preserve">on the heuristics people use to make retirement savings decisions and the biases that these can introduce, such as status quo, framing and familiarity bias. </w:t>
            </w:r>
          </w:p>
          <w:p w14:paraId="7208EAB8" w14:textId="4F3C2974" w:rsidR="00547D07" w:rsidRDefault="006C1676" w:rsidP="0011074A">
            <w:pPr>
              <w:pStyle w:val="Box"/>
            </w:pPr>
            <w:r w:rsidRPr="004E531E">
              <w:t>Further, behavioural finance</w:t>
            </w:r>
            <w:r w:rsidR="00CE49E3" w:rsidRPr="004E531E">
              <w:t xml:space="preserve"> provides insights about how even small changes to the framing of a decision, the reference point used, or the way information is provided can lead to significant behavioural changes. </w:t>
            </w:r>
            <w:r w:rsidR="00471332">
              <w:t xml:space="preserve">For example, </w:t>
            </w:r>
            <w:r w:rsidR="007B4264">
              <w:t xml:space="preserve">when comparing two superannuation products </w:t>
            </w:r>
            <w:r w:rsidR="006A6918">
              <w:t xml:space="preserve">with </w:t>
            </w:r>
            <w:r w:rsidR="007B4264">
              <w:t xml:space="preserve">different </w:t>
            </w:r>
            <w:r w:rsidR="006A6918">
              <w:t xml:space="preserve">levels of investment </w:t>
            </w:r>
            <w:r w:rsidR="007B4264">
              <w:t>risk, consumers are likely to react differently if the risk is framed positively (expected returns) or negatively (probability of a negative return).</w:t>
            </w:r>
            <w:r w:rsidR="00C04F9E">
              <w:t xml:space="preserve"> </w:t>
            </w:r>
            <w:r w:rsidR="00CE49E3" w:rsidRPr="004E531E">
              <w:t xml:space="preserve">These behavioural modification tools, collectively known as ‘nudges’, can be used to improve decision making by </w:t>
            </w:r>
            <w:r w:rsidRPr="004E531E">
              <w:t xml:space="preserve">passively </w:t>
            </w:r>
            <w:r w:rsidR="00CE49E3" w:rsidRPr="004E531E">
              <w:t xml:space="preserve">nudging individuals towards a </w:t>
            </w:r>
            <w:r w:rsidRPr="004E531E">
              <w:t>decision</w:t>
            </w:r>
            <w:r w:rsidR="00CE49E3" w:rsidRPr="004E531E">
              <w:t>.</w:t>
            </w:r>
          </w:p>
          <w:p w14:paraId="7FB8B49B" w14:textId="46B701AF" w:rsidR="008E32C3" w:rsidRPr="004E531E" w:rsidRDefault="00851D0C" w:rsidP="00C44159">
            <w:pPr>
              <w:pStyle w:val="Box"/>
            </w:pPr>
            <w:r>
              <w:t>Nudges and other lessons from behavioural finance</w:t>
            </w:r>
            <w:r w:rsidR="00BD1B74">
              <w:t xml:space="preserve"> </w:t>
            </w:r>
            <w:r>
              <w:t xml:space="preserve">could </w:t>
            </w:r>
            <w:r w:rsidR="00C44159">
              <w:t xml:space="preserve">help address some of </w:t>
            </w:r>
            <w:r w:rsidR="00547D07">
              <w:t xml:space="preserve">the </w:t>
            </w:r>
            <w:r>
              <w:t>difficulties of financial decision making by individuals</w:t>
            </w:r>
            <w:r w:rsidR="00C44159">
              <w:t xml:space="preserve"> in an active choice model</w:t>
            </w:r>
            <w:r>
              <w:t>.</w:t>
            </w:r>
            <w:r w:rsidR="00547D07">
              <w:t xml:space="preserve"> </w:t>
            </w:r>
          </w:p>
        </w:tc>
      </w:tr>
      <w:tr w:rsidR="008E32C3" w:rsidRPr="004E531E" w14:paraId="0D28B93E" w14:textId="77777777" w:rsidTr="008E32C3">
        <w:trPr>
          <w:cantSplit/>
        </w:trPr>
        <w:tc>
          <w:tcPr>
            <w:tcW w:w="8771" w:type="dxa"/>
            <w:tcBorders>
              <w:top w:val="nil"/>
              <w:left w:val="nil"/>
              <w:bottom w:val="nil"/>
              <w:right w:val="nil"/>
            </w:tcBorders>
            <w:shd w:val="clear" w:color="auto" w:fill="F2F2F2"/>
          </w:tcPr>
          <w:p w14:paraId="4992508B" w14:textId="2FD8AD3B" w:rsidR="008E32C3" w:rsidRPr="004E531E" w:rsidRDefault="008E32C3" w:rsidP="00297377">
            <w:pPr>
              <w:pStyle w:val="BoxSource"/>
            </w:pPr>
            <w:r w:rsidRPr="004E531E">
              <w:rPr>
                <w:i/>
              </w:rPr>
              <w:t>Source</w:t>
            </w:r>
            <w:r w:rsidR="00C44159">
              <w:rPr>
                <w:i/>
              </w:rPr>
              <w:t>s</w:t>
            </w:r>
            <w:r w:rsidR="00FB2485" w:rsidRPr="0042199C">
              <w:t>:</w:t>
            </w:r>
            <w:r w:rsidR="00AB374E">
              <w:t xml:space="preserve"> Levin, Schneider and Gaeth </w:t>
            </w:r>
            <w:r w:rsidR="00AB374E" w:rsidRPr="00AB374E">
              <w:rPr>
                <w:rFonts w:cs="Arial"/>
              </w:rPr>
              <w:t>(1998)</w:t>
            </w:r>
            <w:r w:rsidR="00AB374E">
              <w:t xml:space="preserve">; </w:t>
            </w:r>
            <w:r w:rsidR="00297377">
              <w:t xml:space="preserve">PC </w:t>
            </w:r>
            <w:r w:rsidR="00297377" w:rsidRPr="00297377">
              <w:rPr>
                <w:rFonts w:cs="Arial"/>
              </w:rPr>
              <w:t>(2016)</w:t>
            </w:r>
            <w:r w:rsidR="00FB2485" w:rsidRPr="00AB374E">
              <w:t>.</w:t>
            </w:r>
          </w:p>
        </w:tc>
      </w:tr>
      <w:tr w:rsidR="008E32C3" w:rsidRPr="004E531E" w14:paraId="24CD5BD6" w14:textId="77777777" w:rsidTr="008E32C3">
        <w:trPr>
          <w:cantSplit/>
        </w:trPr>
        <w:tc>
          <w:tcPr>
            <w:tcW w:w="8771" w:type="dxa"/>
            <w:tcBorders>
              <w:top w:val="nil"/>
              <w:left w:val="nil"/>
              <w:bottom w:val="single" w:sz="6" w:space="0" w:color="78A22F"/>
              <w:right w:val="nil"/>
            </w:tcBorders>
            <w:shd w:val="clear" w:color="auto" w:fill="F2F2F2"/>
          </w:tcPr>
          <w:p w14:paraId="6E5743B5" w14:textId="77777777" w:rsidR="008E32C3" w:rsidRPr="004E531E" w:rsidRDefault="008E32C3">
            <w:pPr>
              <w:pStyle w:val="Box"/>
              <w:spacing w:before="0" w:line="120" w:lineRule="exact"/>
            </w:pPr>
          </w:p>
        </w:tc>
      </w:tr>
      <w:tr w:rsidR="008E32C3" w:rsidRPr="004E531E" w14:paraId="0635F7B1" w14:textId="77777777" w:rsidTr="008E32C3">
        <w:tc>
          <w:tcPr>
            <w:tcW w:w="8771" w:type="dxa"/>
            <w:tcBorders>
              <w:top w:val="single" w:sz="6" w:space="0" w:color="78A22F"/>
              <w:left w:val="nil"/>
              <w:bottom w:val="nil"/>
              <w:right w:val="nil"/>
            </w:tcBorders>
          </w:tcPr>
          <w:p w14:paraId="7548D590" w14:textId="16DFACC6" w:rsidR="008E32C3" w:rsidRPr="004E531E" w:rsidRDefault="008E32C3" w:rsidP="008E32C3">
            <w:pPr>
              <w:pStyle w:val="BoxSpaceBelow"/>
            </w:pPr>
          </w:p>
        </w:tc>
      </w:tr>
    </w:tbl>
    <w:p w14:paraId="46EFAC70" w14:textId="0040369D" w:rsidR="00607F4B" w:rsidRPr="004E3B94" w:rsidRDefault="00607F4B" w:rsidP="00607F4B">
      <w:pPr>
        <w:pStyle w:val="BoxSpaceAboveElement"/>
        <w:rPr>
          <w:vanish w:val="0"/>
          <w:color w:val="auto"/>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0"/>
      </w:tblGrid>
      <w:tr w:rsidR="00607F4B" w14:paraId="189851AF" w14:textId="77777777" w:rsidTr="001B5FDB">
        <w:tc>
          <w:tcPr>
            <w:tcW w:w="8770" w:type="dxa"/>
            <w:tcBorders>
              <w:top w:val="single" w:sz="6" w:space="0" w:color="78A22F"/>
              <w:left w:val="nil"/>
              <w:bottom w:val="nil"/>
              <w:right w:val="nil"/>
            </w:tcBorders>
            <w:shd w:val="clear" w:color="auto" w:fill="auto"/>
          </w:tcPr>
          <w:p w14:paraId="03754CF7" w14:textId="761A7119" w:rsidR="00C44159" w:rsidRDefault="00C44159" w:rsidP="00C44159">
            <w:pPr>
              <w:pStyle w:val="InformationRequest"/>
            </w:pPr>
            <w:r>
              <w:t>What are the advantages and disadvantages of an active choice model? How can these costs and benefits be</w:t>
            </w:r>
            <w:r w:rsidR="00613886">
              <w:t xml:space="preserve"> assessed and </w:t>
            </w:r>
            <w:r>
              <w:t>measured?</w:t>
            </w:r>
          </w:p>
          <w:p w14:paraId="46165D06" w14:textId="359CD222" w:rsidR="00C44159" w:rsidRDefault="00C44159" w:rsidP="00C44159">
            <w:pPr>
              <w:pStyle w:val="InformationRequest"/>
            </w:pPr>
            <w:r>
              <w:t>What safeguard mechanisms might need to be put in place</w:t>
            </w:r>
            <w:r w:rsidR="00DE7528">
              <w:t xml:space="preserve"> to deal with some of the potential pitfalls of an active choice model</w:t>
            </w:r>
            <w:r>
              <w:t>?</w:t>
            </w:r>
          </w:p>
          <w:p w14:paraId="62FB78FB" w14:textId="2AA780E4" w:rsidR="00C44159" w:rsidRDefault="00C44159" w:rsidP="00C44159">
            <w:pPr>
              <w:pStyle w:val="InformationRequest"/>
            </w:pPr>
            <w:r>
              <w:t xml:space="preserve">Would </w:t>
            </w:r>
            <w:r w:rsidR="00613886">
              <w:t>an active choice</w:t>
            </w:r>
            <w:r>
              <w:t xml:space="preserve"> model benefit from a </w:t>
            </w:r>
            <w:r w:rsidR="006A6918">
              <w:t xml:space="preserve">filter </w:t>
            </w:r>
            <w:r>
              <w:t>to ensure good quality products are chosen? What are the costs and benefits of government involvement in specifying a recommended list of products, compared to private sector provision of such information?</w:t>
            </w:r>
          </w:p>
          <w:p w14:paraId="538B0DAC" w14:textId="640B030D" w:rsidR="00607F4B" w:rsidRPr="00CE4C64" w:rsidRDefault="00C44159" w:rsidP="00D55A96">
            <w:pPr>
              <w:pStyle w:val="InformationRequest"/>
            </w:pPr>
            <w:r>
              <w:t xml:space="preserve">How can behavioural finance inform the development and refinement of an active choice model? </w:t>
            </w:r>
            <w:r w:rsidR="00955B2A">
              <w:t xml:space="preserve">What </w:t>
            </w:r>
            <w:r>
              <w:t xml:space="preserve">experiments </w:t>
            </w:r>
            <w:r w:rsidR="00D55A96">
              <w:t>would need to</w:t>
            </w:r>
            <w:r w:rsidR="00955B2A">
              <w:t xml:space="preserve"> </w:t>
            </w:r>
            <w:r>
              <w:t>be formulated and conducted to provide relevant evidence?</w:t>
            </w:r>
          </w:p>
        </w:tc>
      </w:tr>
      <w:tr w:rsidR="00607F4B" w14:paraId="7343C531" w14:textId="77777777" w:rsidTr="001B5FDB">
        <w:tc>
          <w:tcPr>
            <w:tcW w:w="8770" w:type="dxa"/>
            <w:tcBorders>
              <w:top w:val="nil"/>
              <w:left w:val="nil"/>
              <w:bottom w:val="single" w:sz="6" w:space="0" w:color="78A22F"/>
              <w:right w:val="nil"/>
            </w:tcBorders>
            <w:shd w:val="clear" w:color="auto" w:fill="auto"/>
          </w:tcPr>
          <w:p w14:paraId="26826404" w14:textId="77777777" w:rsidR="00607F4B" w:rsidRDefault="00607F4B" w:rsidP="001B5FDB">
            <w:pPr>
              <w:pStyle w:val="Space"/>
              <w:keepNext w:val="0"/>
              <w:keepLines/>
            </w:pPr>
          </w:p>
        </w:tc>
      </w:tr>
      <w:tr w:rsidR="00607F4B" w:rsidRPr="000863A5" w14:paraId="786FD0D2" w14:textId="77777777" w:rsidTr="001B5FDB">
        <w:tc>
          <w:tcPr>
            <w:tcW w:w="8770" w:type="dxa"/>
            <w:tcBorders>
              <w:top w:val="single" w:sz="6" w:space="0" w:color="78A22F"/>
              <w:left w:val="nil"/>
              <w:bottom w:val="nil"/>
              <w:right w:val="nil"/>
            </w:tcBorders>
          </w:tcPr>
          <w:p w14:paraId="09F0DD8B" w14:textId="6FE84576" w:rsidR="00607F4B" w:rsidRPr="00626D32" w:rsidRDefault="00607F4B" w:rsidP="001B5FDB">
            <w:pPr>
              <w:pStyle w:val="BoxSpaceBelow"/>
              <w:keepLines/>
            </w:pPr>
          </w:p>
        </w:tc>
      </w:tr>
    </w:tbl>
    <w:p w14:paraId="3D4A136E" w14:textId="77777777" w:rsidR="007E2F44" w:rsidRPr="002334A7" w:rsidRDefault="007E2F44" w:rsidP="008B5B62">
      <w:pPr>
        <w:pStyle w:val="BodyText"/>
      </w:pPr>
      <w:r>
        <w:br w:type="page"/>
      </w:r>
    </w:p>
    <w:p w14:paraId="5A7BA25C" w14:textId="0A4EDC69" w:rsidR="00C0530C" w:rsidRDefault="007E2F44" w:rsidP="00C0530C">
      <w:pPr>
        <w:pStyle w:val="Heading2"/>
      </w:pPr>
      <w:r>
        <w:t>References</w:t>
      </w:r>
    </w:p>
    <w:p w14:paraId="630B53A5" w14:textId="2142D87C" w:rsidR="002938B7" w:rsidRPr="002938B7" w:rsidRDefault="002938B7" w:rsidP="002938B7">
      <w:pPr>
        <w:pStyle w:val="Reference"/>
      </w:pPr>
      <w:r w:rsidRPr="002938B7">
        <w:t xml:space="preserve">Chan, C., Laplagne, P. and Appels, D. 2003, </w:t>
      </w:r>
      <w:r w:rsidRPr="002938B7">
        <w:rPr>
          <w:i/>
          <w:iCs/>
        </w:rPr>
        <w:t>The Role of Auctions in Allocating Public Resources</w:t>
      </w:r>
      <w:r w:rsidRPr="002938B7">
        <w:t>, Productivity Commission Staff Research Paper, Canberra.</w:t>
      </w:r>
    </w:p>
    <w:p w14:paraId="4494C6EB" w14:textId="77777777" w:rsidR="002938B7" w:rsidRPr="002938B7" w:rsidRDefault="002938B7" w:rsidP="002938B7">
      <w:pPr>
        <w:pStyle w:val="Reference"/>
      </w:pPr>
      <w:r w:rsidRPr="002938B7">
        <w:t xml:space="preserve">Chant West 2014, </w:t>
      </w:r>
      <w:r w:rsidRPr="002938B7">
        <w:rPr>
          <w:i/>
          <w:iCs/>
        </w:rPr>
        <w:t>Chilean Pension System - Relevance for Australia: Comparing Apples with Apples</w:t>
      </w:r>
      <w:r w:rsidRPr="002938B7">
        <w:t>, Report for the Financial Services Council, Sydney.</w:t>
      </w:r>
    </w:p>
    <w:p w14:paraId="1AA00761" w14:textId="77777777" w:rsidR="002938B7" w:rsidRPr="002938B7" w:rsidRDefault="002938B7" w:rsidP="002938B7">
      <w:pPr>
        <w:pStyle w:val="Reference"/>
      </w:pPr>
      <w:r w:rsidRPr="002938B7">
        <w:t xml:space="preserve">Gans, J. 2010, </w:t>
      </w:r>
      <w:r w:rsidRPr="002938B7">
        <w:rPr>
          <w:i/>
          <w:iCs/>
        </w:rPr>
        <w:t>What is Market Design Anyway?</w:t>
      </w:r>
      <w:r w:rsidRPr="002938B7">
        <w:t>, Core Economics, http://economics.com.au/2010/07/19/what-is-market-design-anyway/ (accessed 24 August 2016).</w:t>
      </w:r>
    </w:p>
    <w:p w14:paraId="0847DE32" w14:textId="77777777" w:rsidR="002938B7" w:rsidRPr="002938B7" w:rsidRDefault="002938B7" w:rsidP="002938B7">
      <w:pPr>
        <w:pStyle w:val="Reference"/>
      </w:pPr>
      <w:r w:rsidRPr="002938B7">
        <w:t xml:space="preserve">Klemperer, P. 2002, ‘What really matters in auction design’, </w:t>
      </w:r>
      <w:r w:rsidRPr="002938B7">
        <w:rPr>
          <w:i/>
          <w:iCs/>
        </w:rPr>
        <w:t>Journal of Economic Perspectives</w:t>
      </w:r>
      <w:r w:rsidRPr="002938B7">
        <w:t>, vol. 16, no. 1, pp. 169–189.</w:t>
      </w:r>
    </w:p>
    <w:p w14:paraId="4823E25B" w14:textId="554A8056" w:rsidR="002938B7" w:rsidRPr="002938B7" w:rsidRDefault="002938B7" w:rsidP="002938B7">
      <w:pPr>
        <w:pStyle w:val="Reference"/>
      </w:pPr>
      <w:r w:rsidRPr="002938B7">
        <w:t xml:space="preserve">KVA (The Royal Swedish Academy of Sciences) 2007, </w:t>
      </w:r>
      <w:r w:rsidRPr="002938B7">
        <w:rPr>
          <w:i/>
          <w:iCs/>
        </w:rPr>
        <w:t>The Prize in Economic Sciences 2007</w:t>
      </w:r>
      <w:r w:rsidRPr="002938B7">
        <w:t>, http://www.nobelprize.org/nobel_prizes/economic-sciences/laureates/2007/</w:t>
      </w:r>
      <w:r>
        <w:br/>
      </w:r>
      <w:r w:rsidRPr="002938B7">
        <w:t>press.html (accessed 12 September 2016).</w:t>
      </w:r>
    </w:p>
    <w:p w14:paraId="23AF8DC2" w14:textId="77777777" w:rsidR="002938B7" w:rsidRPr="002938B7" w:rsidRDefault="002938B7" w:rsidP="002938B7">
      <w:pPr>
        <w:pStyle w:val="Reference"/>
      </w:pPr>
      <w:r w:rsidRPr="002938B7">
        <w:t xml:space="preserve">Levin, I.P., Schneider, S.L. and Gaeth, G.J. 1998, ‘All frames are not created equal: A typology and critical analysis of framing effects’, </w:t>
      </w:r>
      <w:r w:rsidRPr="002938B7">
        <w:rPr>
          <w:i/>
          <w:iCs/>
        </w:rPr>
        <w:t>Organizational Behavior and Human Decision Processes</w:t>
      </w:r>
      <w:r w:rsidRPr="002938B7">
        <w:t>, vol. 76, no. 2, pp. 149–188.</w:t>
      </w:r>
    </w:p>
    <w:p w14:paraId="20DE1702" w14:textId="77777777" w:rsidR="002938B7" w:rsidRPr="002938B7" w:rsidRDefault="002938B7" w:rsidP="002938B7">
      <w:pPr>
        <w:pStyle w:val="Reference"/>
      </w:pPr>
      <w:r w:rsidRPr="002938B7">
        <w:t xml:space="preserve">Littlewood, M. 2012, </w:t>
      </w:r>
      <w:r w:rsidRPr="002938B7">
        <w:rPr>
          <w:i/>
          <w:iCs/>
        </w:rPr>
        <w:t>KiwiSaver: Changing the Default Provider Regime</w:t>
      </w:r>
      <w:r w:rsidRPr="002938B7">
        <w:t>, University of Auckland Business School, Auckland.</w:t>
      </w:r>
    </w:p>
    <w:p w14:paraId="03255ECE" w14:textId="77777777" w:rsidR="002938B7" w:rsidRPr="002938B7" w:rsidRDefault="002938B7" w:rsidP="002938B7">
      <w:pPr>
        <w:pStyle w:val="Reference"/>
      </w:pPr>
      <w:r w:rsidRPr="002938B7">
        <w:t xml:space="preserve">Mercer and ACFS (Australian Centre for Financial Studies) 2015, </w:t>
      </w:r>
      <w:r w:rsidRPr="002938B7">
        <w:rPr>
          <w:i/>
          <w:iCs/>
        </w:rPr>
        <w:t>Melbourne Mercer Global Pension Index 2015</w:t>
      </w:r>
      <w:r w:rsidRPr="002938B7">
        <w:t>, Melbourne.</w:t>
      </w:r>
    </w:p>
    <w:p w14:paraId="4BB2A55B" w14:textId="77777777" w:rsidR="002938B7" w:rsidRPr="002938B7" w:rsidRDefault="002938B7" w:rsidP="002938B7">
      <w:pPr>
        <w:pStyle w:val="Reference"/>
      </w:pPr>
      <w:r w:rsidRPr="002938B7">
        <w:t xml:space="preserve">Minifie, J., Cameron, T. and Savage, J. 2014, </w:t>
      </w:r>
      <w:r w:rsidRPr="002938B7">
        <w:rPr>
          <w:i/>
          <w:iCs/>
        </w:rPr>
        <w:t>Super Sting: How to Stop Australians Paying Too Much for Superannuation</w:t>
      </w:r>
      <w:r w:rsidRPr="002938B7">
        <w:t>, Grattan Institute, Melbourne.</w:t>
      </w:r>
    </w:p>
    <w:p w14:paraId="1F7E6775" w14:textId="77777777" w:rsidR="002938B7" w:rsidRPr="002938B7" w:rsidRDefault="002938B7" w:rsidP="002938B7">
      <w:pPr>
        <w:pStyle w:val="Reference"/>
      </w:pPr>
      <w:r w:rsidRPr="002938B7">
        <w:t xml:space="preserve">Murray, D., Davis, K., Dunn, C., Hewson, C. and McNamee, B. 2014, </w:t>
      </w:r>
      <w:r w:rsidRPr="002938B7">
        <w:rPr>
          <w:i/>
          <w:iCs/>
        </w:rPr>
        <w:t>Financial System Inquiry: Final Report</w:t>
      </w:r>
      <w:r w:rsidRPr="002938B7">
        <w:t>, Canberra.</w:t>
      </w:r>
    </w:p>
    <w:p w14:paraId="4F53C45A" w14:textId="65E9CC2B" w:rsidR="002938B7" w:rsidRPr="002938B7" w:rsidRDefault="002938B7" w:rsidP="002938B7">
      <w:pPr>
        <w:pStyle w:val="Reference"/>
      </w:pPr>
      <w:r w:rsidRPr="002938B7">
        <w:t xml:space="preserve">NEST (National Employment Savings Trust) 2015, </w:t>
      </w:r>
      <w:r w:rsidRPr="002938B7">
        <w:rPr>
          <w:i/>
          <w:iCs/>
        </w:rPr>
        <w:t>Key facts: Auto-enrolment and NEST</w:t>
      </w:r>
      <w:r w:rsidRPr="002938B7">
        <w:t>.</w:t>
      </w:r>
    </w:p>
    <w:p w14:paraId="5BA08A29" w14:textId="10E05D79" w:rsidR="002938B7" w:rsidRPr="002938B7" w:rsidRDefault="000A34E5" w:rsidP="002938B7">
      <w:pPr>
        <w:pStyle w:val="Reference"/>
      </w:pPr>
      <w:r>
        <w:t>——</w:t>
      </w:r>
      <w:r w:rsidR="002938B7" w:rsidRPr="002938B7">
        <w:t xml:space="preserve"> 2016, </w:t>
      </w:r>
      <w:r w:rsidR="002938B7" w:rsidRPr="002938B7">
        <w:rPr>
          <w:i/>
          <w:iCs/>
        </w:rPr>
        <w:t>Your quick guide to NEST</w:t>
      </w:r>
      <w:r w:rsidR="002938B7" w:rsidRPr="002938B7">
        <w:t>.</w:t>
      </w:r>
    </w:p>
    <w:p w14:paraId="38E11C17" w14:textId="5A51486E" w:rsidR="002938B7" w:rsidRPr="002938B7" w:rsidRDefault="002938B7" w:rsidP="002938B7">
      <w:pPr>
        <w:pStyle w:val="Reference"/>
      </w:pPr>
      <w:r w:rsidRPr="002938B7">
        <w:t xml:space="preserve">PC (Productivity Commission) 2012, </w:t>
      </w:r>
      <w:r w:rsidRPr="002938B7">
        <w:rPr>
          <w:i/>
          <w:iCs/>
        </w:rPr>
        <w:t>Default Superannuation Funds in Modern Awards</w:t>
      </w:r>
      <w:r w:rsidRPr="002938B7">
        <w:t>, Report no. 60, Canberra.</w:t>
      </w:r>
    </w:p>
    <w:p w14:paraId="2EFF65FD" w14:textId="44BDC34A" w:rsidR="002938B7" w:rsidRPr="002938B7" w:rsidRDefault="000A34E5" w:rsidP="002938B7">
      <w:pPr>
        <w:pStyle w:val="Reference"/>
      </w:pPr>
      <w:r>
        <w:t>——</w:t>
      </w:r>
      <w:r w:rsidR="002938B7" w:rsidRPr="002938B7">
        <w:t xml:space="preserve"> 2015, </w:t>
      </w:r>
      <w:r w:rsidR="002938B7" w:rsidRPr="002938B7">
        <w:rPr>
          <w:i/>
          <w:iCs/>
        </w:rPr>
        <w:t>Workplace Relations Framework</w:t>
      </w:r>
      <w:r w:rsidR="002938B7" w:rsidRPr="002938B7">
        <w:t>, Inquiry Report No.</w:t>
      </w:r>
      <w:r w:rsidR="002938B7">
        <w:t> </w:t>
      </w:r>
      <w:r w:rsidR="002938B7" w:rsidRPr="002938B7">
        <w:t>76, Canberra.</w:t>
      </w:r>
    </w:p>
    <w:p w14:paraId="16F86744" w14:textId="18FBF46B" w:rsidR="002938B7" w:rsidRPr="002938B7" w:rsidRDefault="000A34E5" w:rsidP="002938B7">
      <w:pPr>
        <w:pStyle w:val="Reference"/>
      </w:pPr>
      <w:r>
        <w:t>——</w:t>
      </w:r>
      <w:r w:rsidR="002938B7" w:rsidRPr="002938B7">
        <w:t xml:space="preserve"> 2016, </w:t>
      </w:r>
      <w:r w:rsidR="002938B7" w:rsidRPr="002938B7">
        <w:rPr>
          <w:i/>
          <w:iCs/>
        </w:rPr>
        <w:t>How to Assess the Competitiveness and Efficiency of the Superannuation System</w:t>
      </w:r>
      <w:r w:rsidR="002938B7" w:rsidRPr="002938B7">
        <w:t>, Draft Report, Canberra.</w:t>
      </w:r>
    </w:p>
    <w:p w14:paraId="529E52B3" w14:textId="100A0712" w:rsidR="002938B7" w:rsidRPr="002938B7" w:rsidRDefault="002938B7" w:rsidP="002938B7">
      <w:pPr>
        <w:pStyle w:val="Reference"/>
      </w:pPr>
      <w:r w:rsidRPr="002938B7">
        <w:t xml:space="preserve">Ross, I. 2014, </w:t>
      </w:r>
      <w:r w:rsidRPr="002938B7">
        <w:rPr>
          <w:i/>
          <w:iCs/>
        </w:rPr>
        <w:t>Statement: 2014 Review of Fund Terms</w:t>
      </w:r>
      <w:r>
        <w:t>, Fair Work Commission</w:t>
      </w:r>
      <w:r w:rsidRPr="002938B7">
        <w:t>.</w:t>
      </w:r>
    </w:p>
    <w:p w14:paraId="1ED7834F" w14:textId="77777777" w:rsidR="002938B7" w:rsidRPr="002938B7" w:rsidRDefault="002938B7" w:rsidP="002938B7">
      <w:pPr>
        <w:pStyle w:val="Reference"/>
      </w:pPr>
      <w:r w:rsidRPr="002938B7">
        <w:t xml:space="preserve">Shorten, B. 2011, </w:t>
      </w:r>
      <w:r w:rsidRPr="002938B7">
        <w:rPr>
          <w:i/>
          <w:iCs/>
        </w:rPr>
        <w:t>Superannuation Legislation Amendment (MySuper Core Provisions) Bill 2011</w:t>
      </w:r>
      <w:r w:rsidRPr="002938B7">
        <w:t>, Explanatory memorandum, Canberra.</w:t>
      </w:r>
    </w:p>
    <w:p w14:paraId="71A925DA" w14:textId="401451F4" w:rsidR="00DD3167" w:rsidRPr="00DD3167" w:rsidRDefault="002938B7" w:rsidP="002938B7">
      <w:pPr>
        <w:pStyle w:val="Reference"/>
      </w:pPr>
      <w:r w:rsidRPr="002938B7">
        <w:t xml:space="preserve">SPA (Swedish Pensions Agency) 2015, </w:t>
      </w:r>
      <w:r w:rsidRPr="002938B7">
        <w:rPr>
          <w:i/>
          <w:iCs/>
        </w:rPr>
        <w:t>Orange Report 2014: Annual Report of the Swedish Pension System</w:t>
      </w:r>
      <w:r w:rsidRPr="002938B7">
        <w:t>, Stockholm.</w:t>
      </w:r>
      <w:r w:rsidR="00DD3167">
        <w:br w:type="page"/>
      </w:r>
    </w:p>
    <w:p w14:paraId="6FF3E768" w14:textId="1878E9AC" w:rsidR="00391500" w:rsidRPr="004E531E" w:rsidRDefault="00391500" w:rsidP="00907B1C">
      <w:pPr>
        <w:pStyle w:val="Heading2"/>
      </w:pPr>
      <w:r w:rsidRPr="004E531E">
        <w:t>Attachment A</w:t>
      </w:r>
      <w:r w:rsidR="00862E51" w:rsidRPr="004E531E">
        <w:t xml:space="preserve">: How to </w:t>
      </w:r>
      <w:r w:rsidRPr="004E531E">
        <w:t>make a submission</w:t>
      </w:r>
    </w:p>
    <w:p w14:paraId="7B017C1C" w14:textId="77777777" w:rsidR="00862E51" w:rsidRPr="004E531E" w:rsidRDefault="00862E51" w:rsidP="00862E51">
      <w:pPr>
        <w:pStyle w:val="Heading3"/>
      </w:pPr>
      <w:r w:rsidRPr="004E531E">
        <w:t>How to prepare a submission</w:t>
      </w:r>
    </w:p>
    <w:p w14:paraId="03033DA1" w14:textId="77777777" w:rsidR="00862E51" w:rsidRPr="004E531E" w:rsidRDefault="00862E51" w:rsidP="00862E51">
      <w:pPr>
        <w:pStyle w:val="BodyText"/>
      </w:pPr>
      <w:r w:rsidRPr="004E531E">
        <w:t>Submissions may range from a short letter outlining your views on a particular topic to a much more substantial document covering a range of issues. Where possible, you should provide evidence, such as relevant data and documentation, to support your views.</w:t>
      </w:r>
    </w:p>
    <w:p w14:paraId="2E5FFBEB" w14:textId="77777777" w:rsidR="00862E51" w:rsidRPr="004E531E" w:rsidRDefault="00862E51" w:rsidP="00862E51">
      <w:pPr>
        <w:pStyle w:val="Heading4"/>
      </w:pPr>
      <w:r w:rsidRPr="004E531E">
        <w:t>Generally</w:t>
      </w:r>
    </w:p>
    <w:p w14:paraId="33502337" w14:textId="68B85590" w:rsidR="00862E51" w:rsidRPr="004E531E" w:rsidRDefault="00862E51" w:rsidP="00862E51">
      <w:pPr>
        <w:pStyle w:val="ListBullet"/>
      </w:pPr>
      <w:r w:rsidRPr="004E531E">
        <w:t>Each submission, except for any attachment supplied in confidence, will be published on the Commission’s website shortly after receipt, and will remain there indefinitely as a public document.</w:t>
      </w:r>
    </w:p>
    <w:p w14:paraId="2463D258" w14:textId="77777777" w:rsidR="00862E51" w:rsidRPr="004E531E" w:rsidRDefault="00862E51" w:rsidP="00862E51">
      <w:pPr>
        <w:pStyle w:val="ListBullet"/>
      </w:pPr>
      <w:r w:rsidRPr="004E531E">
        <w:t>The Commission reserves the right to not publish material on its website that is offensive, potentially defamatory, or clearly out of scope for the inquiry or study in question.</w:t>
      </w:r>
    </w:p>
    <w:p w14:paraId="248939E2" w14:textId="77777777" w:rsidR="00862E51" w:rsidRPr="004E531E" w:rsidRDefault="00862E51" w:rsidP="00862E51">
      <w:pPr>
        <w:pStyle w:val="Heading4"/>
      </w:pPr>
      <w:r w:rsidRPr="004E531E">
        <w:t>Copyright</w:t>
      </w:r>
    </w:p>
    <w:p w14:paraId="3F7E6A9E" w14:textId="77777777" w:rsidR="00862E51" w:rsidRPr="004E531E" w:rsidRDefault="00862E51" w:rsidP="00862E51">
      <w:pPr>
        <w:pStyle w:val="ListBullet"/>
      </w:pPr>
      <w:r w:rsidRPr="004E531E">
        <w:t>Copyright in submissions sent to the Commission resides with the author(s), not with the Commission.</w:t>
      </w:r>
    </w:p>
    <w:p w14:paraId="6FCD0F3B" w14:textId="77777777" w:rsidR="00862E51" w:rsidRPr="004E531E" w:rsidRDefault="00862E51" w:rsidP="00862E51">
      <w:pPr>
        <w:pStyle w:val="ListBullet"/>
      </w:pPr>
      <w:r w:rsidRPr="004E531E">
        <w:t>Do not send us material for which you are not the copyright owner — such as newspaper articles — you should just reference or link to this material in your submission.</w:t>
      </w:r>
    </w:p>
    <w:p w14:paraId="28CE307D" w14:textId="77777777" w:rsidR="00862E51" w:rsidRPr="004E531E" w:rsidRDefault="00862E51" w:rsidP="00862E51">
      <w:pPr>
        <w:pStyle w:val="Heading4"/>
      </w:pPr>
      <w:r w:rsidRPr="004E531E">
        <w:t>In confidence material</w:t>
      </w:r>
    </w:p>
    <w:p w14:paraId="0926EE06" w14:textId="77777777" w:rsidR="00862E51" w:rsidRPr="004E531E" w:rsidRDefault="00862E51" w:rsidP="00862E51">
      <w:pPr>
        <w:pStyle w:val="ListBullet"/>
      </w:pPr>
      <w:r w:rsidRPr="004E531E">
        <w:t>This is a public review and all submissions should be provided as public documents that can be placed on the Commission’s website for others to read and comment on. However, information which is of a confidential nature or which is submitted in confidence can be treated as such by the Commission, provided the cause for such treatment is shown.</w:t>
      </w:r>
    </w:p>
    <w:p w14:paraId="35862204" w14:textId="77777777" w:rsidR="00862E51" w:rsidRPr="004E531E" w:rsidRDefault="00862E51" w:rsidP="00862E51">
      <w:pPr>
        <w:pStyle w:val="ListBullet"/>
      </w:pPr>
      <w:r w:rsidRPr="004E531E">
        <w:t>The Commission may also request a non</w:t>
      </w:r>
      <w:r w:rsidRPr="004E531E">
        <w:noBreakHyphen/>
        <w:t>confidential summary of the confidential material it is given, or the reasons why a summary cannot be provided.</w:t>
      </w:r>
    </w:p>
    <w:p w14:paraId="75D3B204" w14:textId="77777777" w:rsidR="00862E51" w:rsidRPr="004E531E" w:rsidRDefault="00862E51" w:rsidP="00862E51">
      <w:pPr>
        <w:pStyle w:val="ListBullet"/>
      </w:pPr>
      <w:r w:rsidRPr="004E531E">
        <w:t>Material supplied in confidence should be clearly marked ‘IN CONFIDENCE’ and be in a separate attachment to non</w:t>
      </w:r>
      <w:r w:rsidRPr="004E531E">
        <w:noBreakHyphen/>
        <w:t>confidential material.</w:t>
      </w:r>
    </w:p>
    <w:p w14:paraId="556136FE" w14:textId="77777777" w:rsidR="00862E51" w:rsidRPr="004E531E" w:rsidRDefault="00862E51" w:rsidP="00862E51">
      <w:pPr>
        <w:pStyle w:val="ListBullet"/>
      </w:pPr>
      <w:r w:rsidRPr="004E531E">
        <w:t>You are encouraged to contact the Commission for further information and advice before submitting such material.</w:t>
      </w:r>
    </w:p>
    <w:p w14:paraId="0D878B90" w14:textId="77777777" w:rsidR="00862E51" w:rsidRPr="004E531E" w:rsidRDefault="00862E51" w:rsidP="00862E51">
      <w:pPr>
        <w:pStyle w:val="Heading4"/>
      </w:pPr>
      <w:r w:rsidRPr="004E531E">
        <w:t>Privacy</w:t>
      </w:r>
    </w:p>
    <w:p w14:paraId="2401CC43" w14:textId="77777777" w:rsidR="00862E51" w:rsidRPr="004E531E" w:rsidRDefault="00862E51" w:rsidP="00862E51">
      <w:pPr>
        <w:pStyle w:val="ListBullet"/>
      </w:pPr>
      <w:r w:rsidRPr="004E531E">
        <w:t xml:space="preserve">For privacy reasons, all </w:t>
      </w:r>
      <w:r w:rsidRPr="004E531E">
        <w:rPr>
          <w:b/>
        </w:rPr>
        <w:t>personal</w:t>
      </w:r>
      <w:r w:rsidRPr="004E531E">
        <w:t xml:space="preserve"> details (e.g. home and email address, signatures, phone, mobile and fax numbers) will be removed before they are published on the website. Please do not provide a these details unless necessary.</w:t>
      </w:r>
    </w:p>
    <w:p w14:paraId="7405DB9C" w14:textId="77777777" w:rsidR="00862E51" w:rsidRPr="004E531E" w:rsidRDefault="00862E51" w:rsidP="00862E51">
      <w:pPr>
        <w:pStyle w:val="ListBullet"/>
      </w:pPr>
      <w:r w:rsidRPr="004E531E">
        <w:t>You may wish to remain anonymous or use a pseudonym. Please note that, if you choose to remain anonymous or use a pseudonym, the Commission may place less weight on your submission.</w:t>
      </w:r>
    </w:p>
    <w:p w14:paraId="1FC6F57F" w14:textId="77777777" w:rsidR="00862E51" w:rsidRPr="004E531E" w:rsidRDefault="00862E51" w:rsidP="00862E51">
      <w:pPr>
        <w:pStyle w:val="Heading4"/>
      </w:pPr>
      <w:r w:rsidRPr="004E531E">
        <w:t>Technical tips</w:t>
      </w:r>
    </w:p>
    <w:p w14:paraId="2EC4CC59" w14:textId="22A115D1" w:rsidR="00862E51" w:rsidRPr="004E531E" w:rsidRDefault="00862E51" w:rsidP="00862E51">
      <w:pPr>
        <w:pStyle w:val="ListBullet"/>
      </w:pPr>
      <w:r w:rsidRPr="004E531E">
        <w:t>The Commission prefers to receive submissions as Microsoft Word (.docx) files. PDF files are acceptable if produced from a Word document or similar text based software. You may wish to research the Internet on how to make your documents more accessible or for the more technical, follow advice from Web Content Accessibility Guidelines (WCAG) 2.0&lt;http://www.w3.org/TR/WCAG20/&gt;.</w:t>
      </w:r>
    </w:p>
    <w:p w14:paraId="4EE0498C" w14:textId="77777777" w:rsidR="00862E51" w:rsidRPr="004E531E" w:rsidRDefault="00862E51" w:rsidP="00862E51">
      <w:pPr>
        <w:pStyle w:val="ListBullet"/>
      </w:pPr>
      <w:r w:rsidRPr="004E531E">
        <w:t>Do not send password protected files.</w:t>
      </w:r>
    </w:p>
    <w:p w14:paraId="0D726A30" w14:textId="77777777" w:rsidR="00862E51" w:rsidRPr="004E531E" w:rsidRDefault="00862E51" w:rsidP="00862E51">
      <w:pPr>
        <w:pStyle w:val="ListBullet"/>
      </w:pPr>
      <w:r w:rsidRPr="004E531E">
        <w:t>Track changes, editing marks, hidden text and internal links should be removed from submissions.</w:t>
      </w:r>
    </w:p>
    <w:p w14:paraId="79605D3F" w14:textId="77777777" w:rsidR="00862E51" w:rsidRPr="004E531E" w:rsidRDefault="00862E51" w:rsidP="00862E51">
      <w:pPr>
        <w:pStyle w:val="ListBullet"/>
      </w:pPr>
      <w:r w:rsidRPr="004E531E">
        <w:t>To minimise linking problems, type the full web address (for example, http://www.referred</w:t>
      </w:r>
      <w:r w:rsidRPr="004E531E">
        <w:noBreakHyphen/>
        <w:t>website.com/folder/file</w:t>
      </w:r>
      <w:r w:rsidRPr="004E531E">
        <w:noBreakHyphen/>
        <w:t>name.html).</w:t>
      </w:r>
    </w:p>
    <w:p w14:paraId="00E6215E" w14:textId="77777777" w:rsidR="00862E51" w:rsidRPr="004E531E" w:rsidRDefault="00862E51" w:rsidP="00862E51">
      <w:pPr>
        <w:pStyle w:val="Heading3"/>
      </w:pPr>
      <w:r w:rsidRPr="004E531E">
        <w:t>How to lodge a submission</w:t>
      </w:r>
    </w:p>
    <w:p w14:paraId="179AC0C8" w14:textId="77777777" w:rsidR="00862E51" w:rsidRPr="004E531E" w:rsidRDefault="00862E51" w:rsidP="00862E51">
      <w:pPr>
        <w:pStyle w:val="BodyText"/>
        <w:spacing w:after="240"/>
      </w:pPr>
      <w:r w:rsidRPr="004E531E">
        <w:t>Submissions should be lodged using the online form on the Commission’s website. Submissions lodged by post should be accompanied by a submission cover sheet.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7621"/>
      </w:tblGrid>
      <w:tr w:rsidR="00AA4178" w:rsidRPr="004E531E" w14:paraId="6DB8E90E" w14:textId="77777777" w:rsidTr="00AA4178">
        <w:tc>
          <w:tcPr>
            <w:tcW w:w="1384" w:type="dxa"/>
          </w:tcPr>
          <w:p w14:paraId="26E283E3" w14:textId="77777777" w:rsidR="00AA4178" w:rsidRPr="000F5FDE" w:rsidRDefault="00862E51" w:rsidP="00AA4178">
            <w:pPr>
              <w:pStyle w:val="BodyText"/>
              <w:tabs>
                <w:tab w:val="left" w:pos="1701"/>
              </w:tabs>
              <w:spacing w:before="120"/>
            </w:pPr>
            <w:r w:rsidRPr="000F5FDE">
              <w:t>Online</w:t>
            </w:r>
            <w:r w:rsidR="00AA4178" w:rsidRPr="000F5FDE">
              <w:t>*</w:t>
            </w:r>
          </w:p>
        </w:tc>
        <w:tc>
          <w:tcPr>
            <w:tcW w:w="7621" w:type="dxa"/>
          </w:tcPr>
          <w:p w14:paraId="5AEA6887" w14:textId="70543B9C" w:rsidR="00AA4178" w:rsidRPr="000E32BD" w:rsidRDefault="00264B16" w:rsidP="00862E51">
            <w:pPr>
              <w:pStyle w:val="BodyText"/>
              <w:tabs>
                <w:tab w:val="left" w:pos="1701"/>
              </w:tabs>
              <w:spacing w:before="120"/>
            </w:pPr>
            <w:r w:rsidRPr="00EE5809">
              <w:t>http://www.pc.gov.au/inquiries/current/superannuation/alternative-default-models</w:t>
            </w:r>
          </w:p>
        </w:tc>
      </w:tr>
      <w:tr w:rsidR="00AA4178" w:rsidRPr="004E531E" w14:paraId="1CB719C8" w14:textId="77777777" w:rsidTr="00AA4178">
        <w:tc>
          <w:tcPr>
            <w:tcW w:w="1384" w:type="dxa"/>
          </w:tcPr>
          <w:p w14:paraId="69D1B6CB" w14:textId="77777777" w:rsidR="00AA4178" w:rsidRPr="004E531E" w:rsidRDefault="00AA4178" w:rsidP="00AA4178">
            <w:pPr>
              <w:pStyle w:val="BodyText"/>
              <w:tabs>
                <w:tab w:val="left" w:pos="1701"/>
              </w:tabs>
              <w:spacing w:before="120"/>
            </w:pPr>
            <w:r w:rsidRPr="004E531E">
              <w:t>Post</w:t>
            </w:r>
            <w:r w:rsidR="00862E51" w:rsidRPr="004E531E">
              <w:t>*</w:t>
            </w:r>
          </w:p>
        </w:tc>
        <w:tc>
          <w:tcPr>
            <w:tcW w:w="7621" w:type="dxa"/>
          </w:tcPr>
          <w:p w14:paraId="2D5E7B90" w14:textId="2E5680A6" w:rsidR="00AA4178" w:rsidRPr="004E531E" w:rsidRDefault="00264B16" w:rsidP="00AA4178">
            <w:pPr>
              <w:pStyle w:val="BodyText"/>
              <w:tabs>
                <w:tab w:val="left" w:pos="1701"/>
              </w:tabs>
              <w:spacing w:before="120"/>
              <w:jc w:val="left"/>
            </w:pPr>
            <w:r w:rsidRPr="004E531E">
              <w:t>Superannuation</w:t>
            </w:r>
            <w:r w:rsidRPr="004E531E">
              <w:br/>
              <w:t>Productivity Commission</w:t>
            </w:r>
            <w:r w:rsidRPr="004E531E">
              <w:br/>
              <w:t>Locked Bag 2, Collins St East</w:t>
            </w:r>
            <w:r w:rsidRPr="004E531E">
              <w:br/>
              <w:t>Melbourne VIC 8003</w:t>
            </w:r>
          </w:p>
        </w:tc>
      </w:tr>
    </w:tbl>
    <w:p w14:paraId="3764D8A9" w14:textId="77777777" w:rsidR="00862E51" w:rsidRPr="004E531E" w:rsidRDefault="00862E51" w:rsidP="00862E51">
      <w:pPr>
        <w:pStyle w:val="BodyText"/>
      </w:pPr>
      <w:r w:rsidRPr="004E531E">
        <w:t>* If you do not receive notification of receipt of your submission to the Commission, please contact the Administrative Officer.</w:t>
      </w:r>
    </w:p>
    <w:p w14:paraId="32D89E6B" w14:textId="77777777" w:rsidR="00391500" w:rsidRPr="004E531E" w:rsidRDefault="00391500" w:rsidP="00391500">
      <w:pPr>
        <w:pStyle w:val="Heading4"/>
      </w:pPr>
      <w:r w:rsidRPr="004E531E">
        <w:t>Due date for submissions</w:t>
      </w:r>
    </w:p>
    <w:p w14:paraId="3B422C3D" w14:textId="1E8023F8" w:rsidR="00391500" w:rsidRPr="004E531E" w:rsidRDefault="00391500" w:rsidP="00391500">
      <w:pPr>
        <w:pStyle w:val="BodyText"/>
      </w:pPr>
      <w:r w:rsidRPr="004E531E">
        <w:t xml:space="preserve">Please send submissions to the Commission by </w:t>
      </w:r>
      <w:r w:rsidR="00B87DF8" w:rsidRPr="004E531E">
        <w:rPr>
          <w:b/>
        </w:rPr>
        <w:t>28 October 2016</w:t>
      </w:r>
      <w:r w:rsidRPr="004E531E">
        <w:t>.</w:t>
      </w:r>
    </w:p>
    <w:sectPr w:rsidR="00391500" w:rsidRPr="004E531E" w:rsidSect="0050084E">
      <w:headerReference w:type="even" r:id="rId24"/>
      <w:headerReference w:type="default" r:id="rId25"/>
      <w:footerReference w:type="even" r:id="rId26"/>
      <w:footerReference w:type="default" r:id="rId27"/>
      <w:pgSz w:w="11907" w:h="16840" w:code="9"/>
      <w:pgMar w:top="1985" w:right="1304" w:bottom="1247" w:left="1814" w:header="1701" w:footer="397" w:gutter="0"/>
      <w:pgNumType w:start="1" w:chapSep="period"/>
      <w:cols w:space="7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A877FAC" w15:done="0"/>
  <w15:commentEx w15:paraId="38681AC3" w15:done="0"/>
  <w15:commentEx w15:paraId="6FFB105A" w15:done="0"/>
  <w15:commentEx w15:paraId="31DF5474" w15:done="0"/>
  <w15:commentEx w15:paraId="7941196D" w15:done="0"/>
  <w15:commentEx w15:paraId="4E01ABA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1F8010" w14:textId="77777777" w:rsidR="002938B7" w:rsidRDefault="002938B7">
      <w:r>
        <w:separator/>
      </w:r>
    </w:p>
  </w:endnote>
  <w:endnote w:type="continuationSeparator" w:id="0">
    <w:p w14:paraId="28D09137" w14:textId="77777777" w:rsidR="002938B7" w:rsidRDefault="002938B7">
      <w:r>
        <w:continuationSeparator/>
      </w:r>
    </w:p>
  </w:endnote>
  <w:endnote w:type="continuationNotice" w:id="1">
    <w:p w14:paraId="45206B3A" w14:textId="77777777" w:rsidR="002938B7" w:rsidRDefault="002938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inionPro-Regular">
    <w:panose1 w:val="00000000000000000000"/>
    <w:charset w:val="4D"/>
    <w:family w:val="auto"/>
    <w:notTrueType/>
    <w:pitch w:val="default"/>
    <w:sig w:usb0="00000003" w:usb1="00000000" w:usb2="00000000" w:usb3="00000000" w:csb0="00000001" w:csb1="00000000"/>
  </w:font>
  <w:font w:name="Goudy">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2938B7" w14:paraId="2F3D997A" w14:textId="77777777" w:rsidTr="005F48ED">
      <w:trPr>
        <w:trHeight w:hRule="exact" w:val="567"/>
      </w:trPr>
      <w:tc>
        <w:tcPr>
          <w:tcW w:w="510" w:type="dxa"/>
        </w:tcPr>
        <w:p w14:paraId="14F257E0" w14:textId="77777777" w:rsidR="002938B7" w:rsidRDefault="002938B7">
          <w:pPr>
            <w:pStyle w:val="Footer"/>
            <w:ind w:right="360" w:firstLine="360"/>
          </w:pPr>
        </w:p>
      </w:tc>
      <w:tc>
        <w:tcPr>
          <w:tcW w:w="7767" w:type="dxa"/>
        </w:tcPr>
        <w:p w14:paraId="3021DF8D" w14:textId="77777777" w:rsidR="002938B7" w:rsidRPr="00BA5B14" w:rsidRDefault="002938B7" w:rsidP="0013739A">
          <w:pPr>
            <w:pStyle w:val="Footer"/>
            <w:jc w:val="right"/>
            <w:rPr>
              <w:rFonts w:cs="Arial"/>
            </w:rPr>
          </w:pPr>
          <w:r w:rsidRPr="00BA5B14">
            <w:rPr>
              <w:rFonts w:cs="Arial"/>
            </w:rPr>
            <w:fldChar w:fldCharType="begin"/>
          </w:r>
          <w:r w:rsidRPr="00BA5B14">
            <w:rPr>
              <w:rFonts w:cs="Arial"/>
            </w:rPr>
            <w:instrText xml:space="preserve"> TITLE  \* MERGEFORMAT </w:instrText>
          </w:r>
          <w:r w:rsidRPr="00BA5B14">
            <w:rPr>
              <w:rFonts w:cs="Arial"/>
            </w:rPr>
            <w:fldChar w:fldCharType="separate"/>
          </w:r>
          <w:r w:rsidR="00705E15">
            <w:rPr>
              <w:rFonts w:cs="Arial"/>
            </w:rPr>
            <w:t>Super Inquiry Issues Paper</w:t>
          </w:r>
          <w:r w:rsidRPr="00BA5B14">
            <w:rPr>
              <w:rFonts w:cs="Arial"/>
            </w:rPr>
            <w:fldChar w:fldCharType="end"/>
          </w:r>
        </w:p>
      </w:tc>
      <w:tc>
        <w:tcPr>
          <w:tcW w:w="510" w:type="dxa"/>
        </w:tcPr>
        <w:p w14:paraId="1E8A0063" w14:textId="77777777" w:rsidR="002938B7" w:rsidRPr="00A24443" w:rsidRDefault="002938B7">
          <w:pPr>
            <w:pStyle w:val="Footer"/>
            <w:jc w:val="right"/>
            <w:rPr>
              <w:caps w:val="0"/>
            </w:rPr>
          </w:pPr>
          <w:r w:rsidRPr="0045783B">
            <w:rPr>
              <w:rStyle w:val="PageNumber"/>
              <w:caps w:val="0"/>
            </w:rPr>
            <w:fldChar w:fldCharType="begin"/>
          </w:r>
          <w:r w:rsidRPr="0045783B">
            <w:rPr>
              <w:rStyle w:val="PageNumber"/>
              <w:caps w:val="0"/>
            </w:rPr>
            <w:instrText xml:space="preserve">PAGE  </w:instrText>
          </w:r>
          <w:r w:rsidRPr="0045783B">
            <w:rPr>
              <w:rStyle w:val="PageNumber"/>
              <w:caps w:val="0"/>
            </w:rPr>
            <w:fldChar w:fldCharType="separate"/>
          </w:r>
          <w:r>
            <w:rPr>
              <w:rStyle w:val="PageNumber"/>
              <w:caps w:val="0"/>
              <w:noProof/>
            </w:rPr>
            <w:t>iii</w:t>
          </w:r>
          <w:r w:rsidRPr="0045783B">
            <w:rPr>
              <w:rStyle w:val="PageNumber"/>
              <w:caps w:val="0"/>
            </w:rPr>
            <w:fldChar w:fldCharType="end"/>
          </w:r>
        </w:p>
      </w:tc>
    </w:tr>
  </w:tbl>
  <w:p w14:paraId="6935AA0B" w14:textId="77777777" w:rsidR="002938B7" w:rsidRDefault="002938B7">
    <w:pPr>
      <w:pStyle w:val="FooterEn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2938B7" w14:paraId="159B1588" w14:textId="77777777" w:rsidTr="00775E4D">
      <w:trPr>
        <w:trHeight w:hRule="exact" w:val="567"/>
      </w:trPr>
      <w:tc>
        <w:tcPr>
          <w:tcW w:w="510" w:type="dxa"/>
        </w:tcPr>
        <w:p w14:paraId="6B5A3BE0" w14:textId="77777777" w:rsidR="002938B7" w:rsidRPr="00A24443" w:rsidRDefault="002938B7" w:rsidP="00775E4D">
          <w:pPr>
            <w:pStyle w:val="Footer"/>
            <w:tabs>
              <w:tab w:val="left" w:pos="0"/>
            </w:tabs>
            <w:ind w:right="0"/>
            <w:rPr>
              <w:rStyle w:val="PageNumbe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5B43BA">
            <w:rPr>
              <w:rStyle w:val="PageNumber"/>
              <w:caps w:val="0"/>
              <w:noProof/>
            </w:rPr>
            <w:t>vi</w:t>
          </w:r>
          <w:r w:rsidRPr="00A24443">
            <w:rPr>
              <w:rStyle w:val="PageNumber"/>
              <w:caps w:val="0"/>
            </w:rPr>
            <w:fldChar w:fldCharType="end"/>
          </w:r>
        </w:p>
      </w:tc>
      <w:tc>
        <w:tcPr>
          <w:tcW w:w="7767" w:type="dxa"/>
        </w:tcPr>
        <w:p w14:paraId="7FB7E646" w14:textId="356B148D" w:rsidR="002938B7" w:rsidRPr="0013739A" w:rsidRDefault="002938B7" w:rsidP="00DF358F">
          <w:pPr>
            <w:pStyle w:val="Footer"/>
            <w:rPr>
              <w:rFonts w:cs="Arial"/>
            </w:rPr>
          </w:pPr>
          <w:r w:rsidRPr="005B2764">
            <w:rPr>
              <w:rFonts w:cs="Arial"/>
            </w:rPr>
            <w:t>Alternative Default Models</w:t>
          </w:r>
        </w:p>
      </w:tc>
      <w:tc>
        <w:tcPr>
          <w:tcW w:w="510" w:type="dxa"/>
        </w:tcPr>
        <w:p w14:paraId="4D0A0CD5" w14:textId="77777777" w:rsidR="002938B7" w:rsidRDefault="002938B7" w:rsidP="00775E4D">
          <w:pPr>
            <w:pStyle w:val="Footer"/>
          </w:pPr>
        </w:p>
      </w:tc>
    </w:tr>
  </w:tbl>
  <w:p w14:paraId="7995C730" w14:textId="77777777" w:rsidR="002938B7" w:rsidRDefault="002938B7" w:rsidP="009F6FCD">
    <w:pPr>
      <w:pStyle w:val="FooterEn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2938B7" w14:paraId="3B259740" w14:textId="77777777" w:rsidTr="005F48ED">
      <w:trPr>
        <w:trHeight w:hRule="exact" w:val="567"/>
      </w:trPr>
      <w:tc>
        <w:tcPr>
          <w:tcW w:w="510" w:type="dxa"/>
        </w:tcPr>
        <w:p w14:paraId="72CFC222" w14:textId="77777777" w:rsidR="002938B7" w:rsidRDefault="002938B7">
          <w:pPr>
            <w:pStyle w:val="Footer"/>
            <w:ind w:right="360" w:firstLine="360"/>
          </w:pPr>
        </w:p>
      </w:tc>
      <w:tc>
        <w:tcPr>
          <w:tcW w:w="7767" w:type="dxa"/>
        </w:tcPr>
        <w:p w14:paraId="275797BA" w14:textId="611E0A1C" w:rsidR="002938B7" w:rsidRPr="00BA5B14" w:rsidRDefault="002938B7" w:rsidP="0013739A">
          <w:pPr>
            <w:pStyle w:val="Footer"/>
            <w:jc w:val="right"/>
            <w:rPr>
              <w:rFonts w:cs="Arial"/>
            </w:rPr>
          </w:pPr>
          <w:r>
            <w:rPr>
              <w:rFonts w:cs="Arial"/>
            </w:rPr>
            <w:t>Issues Paper</w:t>
          </w:r>
        </w:p>
      </w:tc>
      <w:tc>
        <w:tcPr>
          <w:tcW w:w="510" w:type="dxa"/>
        </w:tcPr>
        <w:p w14:paraId="66649143" w14:textId="77777777" w:rsidR="002938B7" w:rsidRPr="00A24443" w:rsidRDefault="002938B7">
          <w:pPr>
            <w:pStyle w:val="Footer"/>
            <w:jc w:val="right"/>
            <w:rP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5B43BA">
            <w:rPr>
              <w:rStyle w:val="PageNumber"/>
              <w:caps w:val="0"/>
              <w:noProof/>
            </w:rPr>
            <w:t>iii</w:t>
          </w:r>
          <w:r w:rsidRPr="00A24443">
            <w:rPr>
              <w:rStyle w:val="PageNumber"/>
              <w:caps w:val="0"/>
            </w:rPr>
            <w:fldChar w:fldCharType="end"/>
          </w:r>
        </w:p>
      </w:tc>
    </w:tr>
  </w:tbl>
  <w:p w14:paraId="2C2838E9" w14:textId="77777777" w:rsidR="002938B7" w:rsidRDefault="002938B7">
    <w:pPr>
      <w:pStyle w:val="FooterEnd"/>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2938B7" w14:paraId="4DBF283C" w14:textId="77777777" w:rsidTr="005F48ED">
      <w:trPr>
        <w:trHeight w:hRule="exact" w:val="567"/>
      </w:trPr>
      <w:tc>
        <w:tcPr>
          <w:tcW w:w="510" w:type="dxa"/>
        </w:tcPr>
        <w:p w14:paraId="1A0925F7" w14:textId="77777777" w:rsidR="002938B7" w:rsidRPr="00A24443" w:rsidRDefault="002938B7" w:rsidP="0019293B">
          <w:pPr>
            <w:pStyle w:val="Footer"/>
            <w:tabs>
              <w:tab w:val="left" w:pos="0"/>
            </w:tabs>
            <w:ind w:right="0"/>
            <w:rPr>
              <w:rStyle w:val="PageNumbe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5B43BA">
            <w:rPr>
              <w:rStyle w:val="PageNumber"/>
              <w:caps w:val="0"/>
              <w:noProof/>
            </w:rPr>
            <w:t>22</w:t>
          </w:r>
          <w:r w:rsidRPr="00A24443">
            <w:rPr>
              <w:rStyle w:val="PageNumber"/>
              <w:caps w:val="0"/>
            </w:rPr>
            <w:fldChar w:fldCharType="end"/>
          </w:r>
        </w:p>
      </w:tc>
      <w:tc>
        <w:tcPr>
          <w:tcW w:w="7767" w:type="dxa"/>
        </w:tcPr>
        <w:p w14:paraId="6C022236" w14:textId="14E4EC81" w:rsidR="002938B7" w:rsidRPr="0013739A" w:rsidRDefault="002938B7" w:rsidP="00DF358F">
          <w:pPr>
            <w:pStyle w:val="Footer"/>
            <w:rPr>
              <w:rFonts w:cs="Arial"/>
            </w:rPr>
          </w:pPr>
          <w:r w:rsidRPr="005B2764">
            <w:rPr>
              <w:rFonts w:cs="Arial"/>
            </w:rPr>
            <w:t>Alternative Default Models</w:t>
          </w:r>
        </w:p>
      </w:tc>
      <w:tc>
        <w:tcPr>
          <w:tcW w:w="510" w:type="dxa"/>
        </w:tcPr>
        <w:p w14:paraId="28E75546" w14:textId="77777777" w:rsidR="002938B7" w:rsidRDefault="002938B7" w:rsidP="0019293B">
          <w:pPr>
            <w:pStyle w:val="Footer"/>
          </w:pPr>
        </w:p>
      </w:tc>
    </w:tr>
  </w:tbl>
  <w:p w14:paraId="39775C6A" w14:textId="77777777" w:rsidR="002938B7" w:rsidRDefault="002938B7" w:rsidP="0019293B">
    <w:pPr>
      <w:pStyle w:val="FooterEnd"/>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2938B7" w14:paraId="75B7F5ED" w14:textId="77777777" w:rsidTr="005F48ED">
      <w:trPr>
        <w:trHeight w:hRule="exact" w:val="567"/>
      </w:trPr>
      <w:tc>
        <w:tcPr>
          <w:tcW w:w="510" w:type="dxa"/>
        </w:tcPr>
        <w:p w14:paraId="19F3318F" w14:textId="77777777" w:rsidR="002938B7" w:rsidRDefault="002938B7">
          <w:pPr>
            <w:pStyle w:val="Footer"/>
            <w:ind w:right="360" w:firstLine="360"/>
          </w:pPr>
        </w:p>
      </w:tc>
      <w:tc>
        <w:tcPr>
          <w:tcW w:w="7767" w:type="dxa"/>
        </w:tcPr>
        <w:p w14:paraId="21C0F911" w14:textId="76ADE096" w:rsidR="002938B7" w:rsidRPr="00BA5B14" w:rsidRDefault="002938B7" w:rsidP="0013739A">
          <w:pPr>
            <w:pStyle w:val="Footer"/>
            <w:jc w:val="right"/>
            <w:rPr>
              <w:rFonts w:cs="Arial"/>
            </w:rPr>
          </w:pPr>
          <w:r>
            <w:rPr>
              <w:rFonts w:cs="Arial"/>
            </w:rPr>
            <w:t>Issues Paper</w:t>
          </w:r>
        </w:p>
      </w:tc>
      <w:tc>
        <w:tcPr>
          <w:tcW w:w="510" w:type="dxa"/>
        </w:tcPr>
        <w:p w14:paraId="031FCAE9" w14:textId="77777777" w:rsidR="002938B7" w:rsidRPr="00A24443" w:rsidRDefault="002938B7">
          <w:pPr>
            <w:pStyle w:val="Footer"/>
            <w:jc w:val="right"/>
            <w:rP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5B43BA">
            <w:rPr>
              <w:rStyle w:val="PageNumber"/>
              <w:caps w:val="0"/>
              <w:noProof/>
            </w:rPr>
            <w:t>21</w:t>
          </w:r>
          <w:r w:rsidRPr="00A24443">
            <w:rPr>
              <w:rStyle w:val="PageNumber"/>
              <w:caps w:val="0"/>
            </w:rPr>
            <w:fldChar w:fldCharType="end"/>
          </w:r>
        </w:p>
      </w:tc>
    </w:tr>
  </w:tbl>
  <w:p w14:paraId="2D628887" w14:textId="77777777" w:rsidR="002938B7" w:rsidRDefault="002938B7">
    <w:pPr>
      <w:pStyle w:val="FooterEn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C9FAAD" w14:textId="77777777" w:rsidR="002938B7" w:rsidRDefault="002938B7">
      <w:r>
        <w:separator/>
      </w:r>
    </w:p>
  </w:footnote>
  <w:footnote w:type="continuationSeparator" w:id="0">
    <w:p w14:paraId="28274558" w14:textId="77777777" w:rsidR="002938B7" w:rsidRDefault="002938B7">
      <w:r>
        <w:continuationSeparator/>
      </w:r>
    </w:p>
  </w:footnote>
  <w:footnote w:type="continuationNotice" w:id="1">
    <w:p w14:paraId="4D8CED99" w14:textId="77777777" w:rsidR="002938B7" w:rsidRDefault="002938B7"/>
  </w:footnote>
  <w:footnote w:id="2">
    <w:p w14:paraId="06F0747F" w14:textId="77777777" w:rsidR="002938B7" w:rsidRDefault="002938B7" w:rsidP="00312502">
      <w:pPr>
        <w:pStyle w:val="FootnoteText"/>
      </w:pPr>
      <w:r>
        <w:rPr>
          <w:rStyle w:val="FootnoteReference"/>
        </w:rPr>
        <w:footnoteRef/>
      </w:r>
      <w:r>
        <w:tab/>
        <w:t>In this inquiry, the Commission does not intend to countenance a fully centralised model — in the form of a monopoly government-run default product — because it is not consistent with the requirement in the terms of reference for alternative models to be competitive.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2938B7" w14:paraId="2C3AF918" w14:textId="77777777">
      <w:tc>
        <w:tcPr>
          <w:tcW w:w="6634" w:type="dxa"/>
          <w:tcBorders>
            <w:top w:val="single" w:sz="6" w:space="0" w:color="auto"/>
          </w:tcBorders>
        </w:tcPr>
        <w:p w14:paraId="67CE00E9" w14:textId="77777777" w:rsidR="002938B7" w:rsidRDefault="002938B7" w:rsidP="00E669E2">
          <w:pPr>
            <w:pStyle w:val="HeaderOdd"/>
          </w:pPr>
        </w:p>
      </w:tc>
      <w:tc>
        <w:tcPr>
          <w:tcW w:w="2155" w:type="dxa"/>
          <w:tcBorders>
            <w:top w:val="single" w:sz="24" w:space="0" w:color="auto"/>
          </w:tcBorders>
        </w:tcPr>
        <w:p w14:paraId="6505D7F7" w14:textId="77777777" w:rsidR="002938B7" w:rsidRDefault="002938B7" w:rsidP="00E669E2">
          <w:pPr>
            <w:pStyle w:val="HeaderOdd"/>
          </w:pPr>
        </w:p>
      </w:tc>
    </w:tr>
  </w:tbl>
  <w:p w14:paraId="6D72E9CE" w14:textId="77777777" w:rsidR="002938B7" w:rsidRDefault="002938B7" w:rsidP="00E669E2">
    <w:pPr>
      <w:pStyle w:val="HeaderEn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2155"/>
      <w:gridCol w:w="6634"/>
    </w:tblGrid>
    <w:tr w:rsidR="002938B7" w14:paraId="6B8D1C98" w14:textId="77777777" w:rsidTr="00775E4D">
      <w:tc>
        <w:tcPr>
          <w:tcW w:w="2155" w:type="dxa"/>
          <w:tcBorders>
            <w:top w:val="single" w:sz="24" w:space="0" w:color="auto"/>
          </w:tcBorders>
        </w:tcPr>
        <w:p w14:paraId="2BAF3E33" w14:textId="77777777" w:rsidR="002938B7" w:rsidRDefault="002938B7" w:rsidP="00775E4D">
          <w:pPr>
            <w:pStyle w:val="HeaderEven"/>
          </w:pPr>
        </w:p>
      </w:tc>
      <w:tc>
        <w:tcPr>
          <w:tcW w:w="6634" w:type="dxa"/>
          <w:tcBorders>
            <w:top w:val="single" w:sz="6" w:space="0" w:color="auto"/>
          </w:tcBorders>
        </w:tcPr>
        <w:p w14:paraId="7CF203EA" w14:textId="77777777" w:rsidR="002938B7" w:rsidRDefault="002938B7" w:rsidP="00775E4D">
          <w:pPr>
            <w:pStyle w:val="HeaderEven"/>
          </w:pPr>
        </w:p>
      </w:tc>
    </w:tr>
  </w:tbl>
  <w:p w14:paraId="1F8EE556" w14:textId="77777777" w:rsidR="002938B7" w:rsidRDefault="002938B7" w:rsidP="009F6FCD">
    <w:pPr>
      <w:pStyle w:val="HeaderEn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2938B7" w14:paraId="50A7A4B3" w14:textId="77777777">
      <w:tc>
        <w:tcPr>
          <w:tcW w:w="6634" w:type="dxa"/>
          <w:tcBorders>
            <w:top w:val="single" w:sz="6" w:space="0" w:color="auto"/>
          </w:tcBorders>
        </w:tcPr>
        <w:p w14:paraId="64A98518" w14:textId="77777777" w:rsidR="002938B7" w:rsidRDefault="002938B7" w:rsidP="00E669E2">
          <w:pPr>
            <w:pStyle w:val="HeaderOdd"/>
          </w:pPr>
        </w:p>
      </w:tc>
      <w:tc>
        <w:tcPr>
          <w:tcW w:w="2155" w:type="dxa"/>
          <w:tcBorders>
            <w:top w:val="single" w:sz="24" w:space="0" w:color="auto"/>
          </w:tcBorders>
        </w:tcPr>
        <w:p w14:paraId="5663E07B" w14:textId="77777777" w:rsidR="002938B7" w:rsidRDefault="002938B7" w:rsidP="00E669E2">
          <w:pPr>
            <w:pStyle w:val="HeaderOdd"/>
          </w:pPr>
        </w:p>
      </w:tc>
    </w:tr>
  </w:tbl>
  <w:p w14:paraId="4A6654F2" w14:textId="77777777" w:rsidR="002938B7" w:rsidRDefault="002938B7" w:rsidP="00E669E2">
    <w:pPr>
      <w:pStyle w:val="HeaderEnd"/>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2155"/>
      <w:gridCol w:w="6634"/>
    </w:tblGrid>
    <w:tr w:rsidR="002938B7" w14:paraId="68C36982" w14:textId="77777777">
      <w:tc>
        <w:tcPr>
          <w:tcW w:w="2155" w:type="dxa"/>
          <w:tcBorders>
            <w:top w:val="single" w:sz="24" w:space="0" w:color="auto"/>
          </w:tcBorders>
        </w:tcPr>
        <w:p w14:paraId="5B3E7A4F" w14:textId="77777777" w:rsidR="002938B7" w:rsidRDefault="002938B7" w:rsidP="0019293B">
          <w:pPr>
            <w:pStyle w:val="HeaderEven"/>
          </w:pPr>
        </w:p>
      </w:tc>
      <w:tc>
        <w:tcPr>
          <w:tcW w:w="6634" w:type="dxa"/>
          <w:tcBorders>
            <w:top w:val="single" w:sz="6" w:space="0" w:color="auto"/>
          </w:tcBorders>
        </w:tcPr>
        <w:p w14:paraId="06E70BFC" w14:textId="77777777" w:rsidR="002938B7" w:rsidRDefault="002938B7" w:rsidP="0019293B">
          <w:pPr>
            <w:pStyle w:val="HeaderEven"/>
          </w:pPr>
        </w:p>
      </w:tc>
    </w:tr>
  </w:tbl>
  <w:p w14:paraId="2BB38B73" w14:textId="77777777" w:rsidR="002938B7" w:rsidRDefault="002938B7" w:rsidP="0019293B">
    <w:pPr>
      <w:pStyle w:val="HeaderEnd"/>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2938B7" w14:paraId="685AFB2E" w14:textId="77777777">
      <w:tc>
        <w:tcPr>
          <w:tcW w:w="6634" w:type="dxa"/>
          <w:tcBorders>
            <w:top w:val="single" w:sz="6" w:space="0" w:color="auto"/>
          </w:tcBorders>
        </w:tcPr>
        <w:p w14:paraId="7E5CE7DA" w14:textId="77777777" w:rsidR="002938B7" w:rsidRDefault="002938B7" w:rsidP="00E669E2">
          <w:pPr>
            <w:pStyle w:val="HeaderOdd"/>
          </w:pPr>
        </w:p>
      </w:tc>
      <w:tc>
        <w:tcPr>
          <w:tcW w:w="2155" w:type="dxa"/>
          <w:tcBorders>
            <w:top w:val="single" w:sz="24" w:space="0" w:color="auto"/>
          </w:tcBorders>
        </w:tcPr>
        <w:p w14:paraId="4D3794F9" w14:textId="77777777" w:rsidR="002938B7" w:rsidRDefault="002938B7" w:rsidP="00E669E2">
          <w:pPr>
            <w:pStyle w:val="HeaderOdd"/>
          </w:pPr>
        </w:p>
      </w:tc>
    </w:tr>
  </w:tbl>
  <w:p w14:paraId="0563150B" w14:textId="77777777" w:rsidR="002938B7" w:rsidRDefault="002938B7" w:rsidP="00E669E2">
    <w:pPr>
      <w:pStyle w:val="HeaderEn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FEC6F90"/>
    <w:lvl w:ilvl="0">
      <w:start w:val="1"/>
      <w:numFmt w:val="decimal"/>
      <w:lvlText w:val="%1."/>
      <w:lvlJc w:val="left"/>
      <w:pPr>
        <w:tabs>
          <w:tab w:val="num" w:pos="1492"/>
        </w:tabs>
        <w:ind w:left="1492" w:hanging="360"/>
      </w:pPr>
    </w:lvl>
  </w:abstractNum>
  <w:abstractNum w:abstractNumId="1">
    <w:nsid w:val="FFFFFF7D"/>
    <w:multiLevelType w:val="singleLevel"/>
    <w:tmpl w:val="90744332"/>
    <w:lvl w:ilvl="0">
      <w:start w:val="1"/>
      <w:numFmt w:val="decimal"/>
      <w:lvlText w:val="%1."/>
      <w:lvlJc w:val="left"/>
      <w:pPr>
        <w:tabs>
          <w:tab w:val="num" w:pos="1209"/>
        </w:tabs>
        <w:ind w:left="1209" w:hanging="360"/>
      </w:pPr>
    </w:lvl>
  </w:abstractNum>
  <w:abstractNum w:abstractNumId="2">
    <w:nsid w:val="FFFFFF80"/>
    <w:multiLevelType w:val="singleLevel"/>
    <w:tmpl w:val="F85C7518"/>
    <w:lvl w:ilvl="0">
      <w:start w:val="1"/>
      <w:numFmt w:val="bullet"/>
      <w:lvlText w:val=""/>
      <w:lvlJc w:val="left"/>
      <w:pPr>
        <w:tabs>
          <w:tab w:val="num" w:pos="1492"/>
        </w:tabs>
        <w:ind w:left="1492" w:hanging="360"/>
      </w:pPr>
      <w:rPr>
        <w:rFonts w:ascii="Symbol" w:hAnsi="Symbol" w:hint="default"/>
      </w:rPr>
    </w:lvl>
  </w:abstractNum>
  <w:abstractNum w:abstractNumId="3">
    <w:nsid w:val="FFFFFF81"/>
    <w:multiLevelType w:val="singleLevel"/>
    <w:tmpl w:val="14E4D100"/>
    <w:lvl w:ilvl="0">
      <w:start w:val="1"/>
      <w:numFmt w:val="bullet"/>
      <w:lvlText w:val=""/>
      <w:lvlJc w:val="left"/>
      <w:pPr>
        <w:tabs>
          <w:tab w:val="num" w:pos="1209"/>
        </w:tabs>
        <w:ind w:left="1209" w:hanging="360"/>
      </w:pPr>
      <w:rPr>
        <w:rFonts w:ascii="Symbol" w:hAnsi="Symbol" w:hint="default"/>
      </w:rPr>
    </w:lvl>
  </w:abstractNum>
  <w:abstractNum w:abstractNumId="4">
    <w:nsid w:val="FFFFFF83"/>
    <w:multiLevelType w:val="singleLevel"/>
    <w:tmpl w:val="0BA2943E"/>
    <w:lvl w:ilvl="0">
      <w:start w:val="1"/>
      <w:numFmt w:val="bullet"/>
      <w:lvlText w:val=""/>
      <w:lvlJc w:val="left"/>
      <w:pPr>
        <w:tabs>
          <w:tab w:val="num" w:pos="643"/>
        </w:tabs>
        <w:ind w:left="643" w:hanging="360"/>
      </w:pPr>
      <w:rPr>
        <w:rFonts w:ascii="Symbol" w:hAnsi="Symbol" w:hint="default"/>
      </w:rPr>
    </w:lvl>
  </w:abstractNum>
  <w:abstractNum w:abstractNumId="5">
    <w:nsid w:val="FFFFFFFE"/>
    <w:multiLevelType w:val="singleLevel"/>
    <w:tmpl w:val="FFFFFFFF"/>
    <w:lvl w:ilvl="0">
      <w:numFmt w:val="decimal"/>
      <w:lvlText w:val="*"/>
      <w:lvlJc w:val="left"/>
    </w:lvl>
  </w:abstractNum>
  <w:abstractNum w:abstractNumId="6">
    <w:nsid w:val="015C5911"/>
    <w:multiLevelType w:val="hybridMultilevel"/>
    <w:tmpl w:val="01E4E34C"/>
    <w:lvl w:ilvl="0" w:tplc="42484832">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02D84BB9"/>
    <w:multiLevelType w:val="hybridMultilevel"/>
    <w:tmpl w:val="5F24570C"/>
    <w:lvl w:ilvl="0" w:tplc="6C209310">
      <w:start w:val="1"/>
      <w:numFmt w:val="bullet"/>
      <w:pStyle w:val="Jurisdictioncommentslistbullet"/>
      <w:lvlText w:val=""/>
      <w:lvlJc w:val="left"/>
      <w:pPr>
        <w:tabs>
          <w:tab w:val="num" w:pos="318"/>
        </w:tabs>
        <w:ind w:left="318" w:hanging="318"/>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nsid w:val="047A7C39"/>
    <w:multiLevelType w:val="singleLevel"/>
    <w:tmpl w:val="4438961C"/>
    <w:lvl w:ilvl="0">
      <w:numFmt w:val="bullet"/>
      <w:pStyle w:val="ListBullet2"/>
      <w:lvlText w:val="–"/>
      <w:lvlJc w:val="left"/>
      <w:pPr>
        <w:tabs>
          <w:tab w:val="num" w:pos="680"/>
        </w:tabs>
        <w:ind w:left="680" w:hanging="340"/>
      </w:pPr>
      <w:rPr>
        <w:rFonts w:ascii="Times New Roman" w:hAnsi="Times New Roman" w:cs="Times New Roman" w:hint="default"/>
      </w:rPr>
    </w:lvl>
  </w:abstractNum>
  <w:abstractNum w:abstractNumId="9">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10">
    <w:nsid w:val="0D6519F8"/>
    <w:multiLevelType w:val="hybridMultilevel"/>
    <w:tmpl w:val="57F845AA"/>
    <w:lvl w:ilvl="0" w:tplc="DA5A5940">
      <w:start w:val="4"/>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0E116344"/>
    <w:multiLevelType w:val="multilevel"/>
    <w:tmpl w:val="3B188B36"/>
    <w:lvl w:ilvl="0">
      <w:start w:val="1"/>
      <w:numFmt w:val="decimal"/>
      <w:pStyle w:val="BoxListNumber"/>
      <w:lvlText w:val="%1."/>
      <w:lvlJc w:val="left"/>
      <w:pPr>
        <w:tabs>
          <w:tab w:val="num" w:pos="284"/>
        </w:tabs>
        <w:ind w:left="284" w:hanging="284"/>
      </w:pPr>
      <w:rPr>
        <w:rFonts w:hint="default"/>
      </w:rPr>
    </w:lvl>
    <w:lvl w:ilvl="1">
      <w:start w:val="1"/>
      <w:numFmt w:val="lowerLetter"/>
      <w:pStyle w:val="BoxListNumber2"/>
      <w:lvlText w:val="(%2)"/>
      <w:lvlJc w:val="left"/>
      <w:pPr>
        <w:tabs>
          <w:tab w:val="num" w:pos="680"/>
        </w:tabs>
        <w:ind w:left="680" w:hanging="396"/>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0ED95F65"/>
    <w:multiLevelType w:val="multilevel"/>
    <w:tmpl w:val="7752F45A"/>
    <w:lvl w:ilvl="0">
      <w:start w:val="1"/>
      <w:numFmt w:val="decimal"/>
      <w:pStyle w:val="ListNumber"/>
      <w:lvlText w:val="%1."/>
      <w:lvlJc w:val="left"/>
      <w:pPr>
        <w:ind w:left="360" w:hanging="360"/>
      </w:pPr>
    </w:lvl>
    <w:lvl w:ilvl="1">
      <w:start w:val="1"/>
      <w:numFmt w:val="lowerLetter"/>
      <w:pStyle w:val="ListNumber2"/>
      <w:lvlText w:val="(%2)"/>
      <w:lvlJc w:val="left"/>
      <w:pPr>
        <w:tabs>
          <w:tab w:val="num" w:pos="794"/>
        </w:tabs>
        <w:ind w:left="794" w:hanging="454"/>
      </w:pPr>
      <w:rPr>
        <w:rFonts w:hint="default"/>
      </w:rPr>
    </w:lvl>
    <w:lvl w:ilvl="2">
      <w:start w:val="1"/>
      <w:numFmt w:val="lowerRoman"/>
      <w:pStyle w:val="ListNumber3"/>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nsid w:val="11CE45D8"/>
    <w:multiLevelType w:val="singleLevel"/>
    <w:tmpl w:val="650622E4"/>
    <w:lvl w:ilvl="0">
      <w:numFmt w:val="bullet"/>
      <w:pStyle w:val="SideNoteBullet"/>
      <w:lvlText w:val="–"/>
      <w:lvlJc w:val="left"/>
      <w:pPr>
        <w:tabs>
          <w:tab w:val="num" w:pos="360"/>
        </w:tabs>
        <w:ind w:left="227" w:hanging="227"/>
      </w:pPr>
      <w:rPr>
        <w:rFonts w:ascii="Times New Roman" w:hAnsi="Times New Roman" w:hint="default"/>
      </w:rPr>
    </w:lvl>
  </w:abstractNum>
  <w:abstractNum w:abstractNumId="14">
    <w:nsid w:val="1452415F"/>
    <w:multiLevelType w:val="hybridMultilevel"/>
    <w:tmpl w:val="11042038"/>
    <w:lvl w:ilvl="0" w:tplc="CC683DAA">
      <w:start w:val="1"/>
      <w:numFmt w:val="bullet"/>
      <w:pStyle w:val="KeyPointsListBullet2"/>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nsid w:val="23FF358D"/>
    <w:multiLevelType w:val="singleLevel"/>
    <w:tmpl w:val="4146A198"/>
    <w:lvl w:ilvl="0">
      <w:start w:val="1"/>
      <w:numFmt w:val="bullet"/>
      <w:pStyle w:val="RecBBullet"/>
      <w:lvlText w:val=""/>
      <w:lvlJc w:val="left"/>
      <w:pPr>
        <w:tabs>
          <w:tab w:val="num" w:pos="340"/>
        </w:tabs>
        <w:ind w:left="340" w:hanging="340"/>
      </w:pPr>
      <w:rPr>
        <w:rFonts w:ascii="Symbol" w:hAnsi="Symbol" w:hint="default"/>
        <w:b w:val="0"/>
        <w:i w:val="0"/>
        <w:sz w:val="18"/>
      </w:rPr>
    </w:lvl>
  </w:abstractNum>
  <w:abstractNum w:abstractNumId="16">
    <w:nsid w:val="2B466A13"/>
    <w:multiLevelType w:val="hybridMultilevel"/>
    <w:tmpl w:val="3E0CC5BA"/>
    <w:lvl w:ilvl="0" w:tplc="2B829644">
      <w:numFmt w:val="bullet"/>
      <w:pStyle w:val="BoxQuoteBullet"/>
      <w:lvlText w:val=""/>
      <w:lvlJc w:val="left"/>
      <w:pPr>
        <w:ind w:left="1004" w:hanging="360"/>
      </w:pPr>
      <w:rPr>
        <w:rFonts w:ascii="Symbol" w:hAnsi="Symbol" w:hint="default"/>
        <w:sz w:val="18"/>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7">
    <w:nsid w:val="2ECC1680"/>
    <w:multiLevelType w:val="hybridMultilevel"/>
    <w:tmpl w:val="90BABCC8"/>
    <w:lvl w:ilvl="0" w:tplc="6B8AFEF4">
      <w:start w:val="2"/>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19">
    <w:nsid w:val="483F5952"/>
    <w:multiLevelType w:val="hybridMultilevel"/>
    <w:tmpl w:val="0264F93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4C2B5347"/>
    <w:multiLevelType w:val="hybridMultilevel"/>
    <w:tmpl w:val="8B002072"/>
    <w:lvl w:ilvl="0" w:tplc="720CA4D2">
      <w:start w:val="1"/>
      <w:numFmt w:val="bullet"/>
      <w:pStyle w:val="InformationRequestBullet"/>
      <w:lvlText w:val=""/>
      <w:lvlJc w:val="left"/>
      <w:pPr>
        <w:ind w:left="36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22">
    <w:nsid w:val="543E1FD6"/>
    <w:multiLevelType w:val="singleLevel"/>
    <w:tmpl w:val="039AA380"/>
    <w:lvl w:ilvl="0">
      <w:start w:val="1"/>
      <w:numFmt w:val="bullet"/>
      <w:pStyle w:val="TableBullet"/>
      <w:lvlText w:val=""/>
      <w:lvlJc w:val="left"/>
      <w:pPr>
        <w:tabs>
          <w:tab w:val="num" w:pos="170"/>
        </w:tabs>
        <w:ind w:left="170" w:hanging="170"/>
      </w:pPr>
      <w:rPr>
        <w:rFonts w:ascii="Symbol" w:hAnsi="Symbol" w:hint="default"/>
        <w:b w:val="0"/>
        <w:i w:val="0"/>
        <w:sz w:val="18"/>
      </w:rPr>
    </w:lvl>
  </w:abstractNum>
  <w:abstractNum w:abstractNumId="23">
    <w:nsid w:val="56107838"/>
    <w:multiLevelType w:val="singleLevel"/>
    <w:tmpl w:val="775A3F3A"/>
    <w:lvl w:ilvl="0">
      <w:start w:val="1"/>
      <w:numFmt w:val="bullet"/>
      <w:pStyle w:val="QuoteBullet"/>
      <w:lvlText w:val=""/>
      <w:lvlJc w:val="left"/>
      <w:pPr>
        <w:tabs>
          <w:tab w:val="num" w:pos="680"/>
        </w:tabs>
        <w:ind w:left="680" w:hanging="340"/>
      </w:pPr>
      <w:rPr>
        <w:rFonts w:ascii="Symbol" w:hAnsi="Symbol" w:hint="default"/>
        <w:sz w:val="18"/>
      </w:rPr>
    </w:lvl>
  </w:abstractNum>
  <w:abstractNum w:abstractNumId="24">
    <w:nsid w:val="592D6D4E"/>
    <w:multiLevelType w:val="hybridMultilevel"/>
    <w:tmpl w:val="0C44FF7A"/>
    <w:lvl w:ilvl="0" w:tplc="B4385E08">
      <w:start w:val="1"/>
      <w:numFmt w:val="bullet"/>
      <w:pStyle w:val="BoxListBullet3"/>
      <w:lvlText w:val=""/>
      <w:lvlJc w:val="left"/>
      <w:pPr>
        <w:ind w:left="1287" w:hanging="360"/>
      </w:pPr>
      <w:rPr>
        <w:rFonts w:ascii="MT Extra" w:hAnsi="MT Extra" w:hint="default"/>
        <w:b w:val="0"/>
        <w:i w:val="0"/>
        <w:sz w:val="16"/>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5">
    <w:nsid w:val="5EB17693"/>
    <w:multiLevelType w:val="hybridMultilevel"/>
    <w:tmpl w:val="1D6E5EC4"/>
    <w:lvl w:ilvl="0" w:tplc="D68A1E70">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60A27097"/>
    <w:multiLevelType w:val="hybridMultilevel"/>
    <w:tmpl w:val="39D64E4A"/>
    <w:lvl w:ilvl="0" w:tplc="FEF6E6BE">
      <w:start w:val="1"/>
      <w:numFmt w:val="bullet"/>
      <w:pStyle w:val="KeyPointsListBullet"/>
      <w:lvlText w:val=""/>
      <w:lvlJc w:val="left"/>
      <w:pPr>
        <w:ind w:left="72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643516F3"/>
    <w:multiLevelType w:val="singleLevel"/>
    <w:tmpl w:val="C05AE1DC"/>
    <w:lvl w:ilvl="0">
      <w:start w:val="1"/>
      <w:numFmt w:val="bullet"/>
      <w:pStyle w:val="ListBullet3"/>
      <w:lvlText w:val=""/>
      <w:lvlJc w:val="left"/>
      <w:pPr>
        <w:tabs>
          <w:tab w:val="num" w:pos="1021"/>
        </w:tabs>
        <w:ind w:left="1021" w:hanging="341"/>
      </w:pPr>
      <w:rPr>
        <w:rFonts w:ascii="MT Extra" w:hAnsi="MT Extra" w:hint="default"/>
        <w:b w:val="0"/>
        <w:i w:val="0"/>
        <w:sz w:val="16"/>
      </w:rPr>
    </w:lvl>
  </w:abstractNum>
  <w:abstractNum w:abstractNumId="28">
    <w:nsid w:val="787D34BD"/>
    <w:multiLevelType w:val="hybridMultilevel"/>
    <w:tmpl w:val="F99EE556"/>
    <w:lvl w:ilvl="0" w:tplc="81BEFEA8">
      <w:start w:val="4"/>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30">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num w:numId="1">
    <w:abstractNumId w:val="18"/>
  </w:num>
  <w:num w:numId="2">
    <w:abstractNumId w:val="7"/>
  </w:num>
  <w:num w:numId="3">
    <w:abstractNumId w:val="21"/>
  </w:num>
  <w:num w:numId="4">
    <w:abstractNumId w:val="8"/>
  </w:num>
  <w:num w:numId="5">
    <w:abstractNumId w:val="27"/>
  </w:num>
  <w:num w:numId="6">
    <w:abstractNumId w:val="23"/>
  </w:num>
  <w:num w:numId="7">
    <w:abstractNumId w:val="13"/>
  </w:num>
  <w:num w:numId="8">
    <w:abstractNumId w:val="22"/>
  </w:num>
  <w:num w:numId="9">
    <w:abstractNumId w:val="12"/>
  </w:num>
  <w:num w:numId="10">
    <w:abstractNumId w:val="11"/>
  </w:num>
  <w:num w:numId="11">
    <w:abstractNumId w:val="15"/>
  </w:num>
  <w:num w:numId="12">
    <w:abstractNumId w:val="16"/>
  </w:num>
  <w:num w:numId="13">
    <w:abstractNumId w:val="9"/>
  </w:num>
  <w:num w:numId="14">
    <w:abstractNumId w:val="24"/>
  </w:num>
  <w:num w:numId="15">
    <w:abstractNumId w:val="29"/>
  </w:num>
  <w:num w:numId="16">
    <w:abstractNumId w:val="20"/>
  </w:num>
  <w:num w:numId="17">
    <w:abstractNumId w:val="30"/>
  </w:num>
  <w:num w:numId="18">
    <w:abstractNumId w:val="4"/>
  </w:num>
  <w:num w:numId="19">
    <w:abstractNumId w:val="5"/>
    <w:lvlOverride w:ilvl="0">
      <w:lvl w:ilvl="0">
        <w:start w:val="1"/>
        <w:numFmt w:val="bullet"/>
        <w:lvlText w:val=""/>
        <w:legacy w:legacy="1" w:legacySpace="0" w:legacyIndent="284"/>
        <w:lvlJc w:val="left"/>
        <w:pPr>
          <w:ind w:left="284" w:hanging="284"/>
        </w:pPr>
        <w:rPr>
          <w:rFonts w:ascii="Symbol" w:hAnsi="Symbol" w:hint="default"/>
          <w:sz w:val="18"/>
        </w:rPr>
      </w:lvl>
    </w:lvlOverride>
  </w:num>
  <w:num w:numId="20">
    <w:abstractNumId w:val="26"/>
  </w:num>
  <w:num w:numId="21">
    <w:abstractNumId w:val="14"/>
  </w:num>
  <w:num w:numId="22">
    <w:abstractNumId w:val="3"/>
  </w:num>
  <w:num w:numId="23">
    <w:abstractNumId w:val="2"/>
  </w:num>
  <w:num w:numId="24">
    <w:abstractNumId w:val="1"/>
  </w:num>
  <w:num w:numId="25">
    <w:abstractNumId w:val="0"/>
  </w:num>
  <w:num w:numId="26">
    <w:abstractNumId w:val="21"/>
  </w:num>
  <w:num w:numId="27">
    <w:abstractNumId w:val="6"/>
  </w:num>
  <w:num w:numId="28">
    <w:abstractNumId w:val="21"/>
  </w:num>
  <w:num w:numId="29">
    <w:abstractNumId w:val="21"/>
  </w:num>
  <w:num w:numId="30">
    <w:abstractNumId w:val="21"/>
  </w:num>
  <w:num w:numId="31">
    <w:abstractNumId w:val="10"/>
  </w:num>
  <w:num w:numId="32">
    <w:abstractNumId w:val="28"/>
  </w:num>
  <w:num w:numId="33">
    <w:abstractNumId w:val="21"/>
  </w:num>
  <w:num w:numId="34">
    <w:abstractNumId w:val="17"/>
  </w:num>
  <w:num w:numId="35">
    <w:abstractNumId w:val="19"/>
  </w:num>
  <w:num w:numId="36">
    <w:abstractNumId w:val="21"/>
  </w:num>
  <w:num w:numId="37">
    <w:abstractNumId w:val="25"/>
  </w:num>
  <w:numIdMacAtCleanup w:val="1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y">
    <w15:presenceInfo w15:providerId="None" w15:user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clickAndTypeStyle w:val="BodyText"/>
  <w:evenAndOddHeaders/>
  <w:characterSpacingControl w:val="doNotCompress"/>
  <w:hdrShapeDefaults>
    <o:shapedefaults v:ext="edit" spidmax="29696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FindingOptions" w:val="1"/>
    <w:docVar w:name="RecOptions" w:val="111"/>
    <w:docVar w:name="ShortChapterTitle" w:val="Chapter"/>
    <w:docVar w:name="ShortReportTitle" w:val="Report"/>
  </w:docVars>
  <w:rsids>
    <w:rsidRoot w:val="004F1ABB"/>
    <w:rsid w:val="000008E5"/>
    <w:rsid w:val="00000A96"/>
    <w:rsid w:val="00000F8F"/>
    <w:rsid w:val="00000F95"/>
    <w:rsid w:val="000012E8"/>
    <w:rsid w:val="00001A6B"/>
    <w:rsid w:val="00002D21"/>
    <w:rsid w:val="00004D37"/>
    <w:rsid w:val="00006117"/>
    <w:rsid w:val="000065F3"/>
    <w:rsid w:val="0000678B"/>
    <w:rsid w:val="0000714A"/>
    <w:rsid w:val="00007171"/>
    <w:rsid w:val="0001213E"/>
    <w:rsid w:val="00014252"/>
    <w:rsid w:val="00014592"/>
    <w:rsid w:val="00014A76"/>
    <w:rsid w:val="0001534A"/>
    <w:rsid w:val="0001546B"/>
    <w:rsid w:val="00015AC0"/>
    <w:rsid w:val="00016932"/>
    <w:rsid w:val="00016C44"/>
    <w:rsid w:val="00016DE9"/>
    <w:rsid w:val="00017125"/>
    <w:rsid w:val="0001772F"/>
    <w:rsid w:val="00020B7C"/>
    <w:rsid w:val="00020C08"/>
    <w:rsid w:val="00021248"/>
    <w:rsid w:val="00021657"/>
    <w:rsid w:val="000227D5"/>
    <w:rsid w:val="000245AA"/>
    <w:rsid w:val="000246BC"/>
    <w:rsid w:val="000247CC"/>
    <w:rsid w:val="00025A6E"/>
    <w:rsid w:val="00025BEE"/>
    <w:rsid w:val="000263F5"/>
    <w:rsid w:val="00026EE9"/>
    <w:rsid w:val="00030749"/>
    <w:rsid w:val="000313FE"/>
    <w:rsid w:val="0003213E"/>
    <w:rsid w:val="00032D87"/>
    <w:rsid w:val="00032DB2"/>
    <w:rsid w:val="00034740"/>
    <w:rsid w:val="0003491C"/>
    <w:rsid w:val="0003664B"/>
    <w:rsid w:val="00036EBE"/>
    <w:rsid w:val="00037B69"/>
    <w:rsid w:val="00040454"/>
    <w:rsid w:val="00040C80"/>
    <w:rsid w:val="0004111F"/>
    <w:rsid w:val="00042B15"/>
    <w:rsid w:val="000430A5"/>
    <w:rsid w:val="00043427"/>
    <w:rsid w:val="00044A23"/>
    <w:rsid w:val="0004730C"/>
    <w:rsid w:val="000474B9"/>
    <w:rsid w:val="000478A5"/>
    <w:rsid w:val="00050D02"/>
    <w:rsid w:val="000511FC"/>
    <w:rsid w:val="00052480"/>
    <w:rsid w:val="000524E8"/>
    <w:rsid w:val="00052DEC"/>
    <w:rsid w:val="00054203"/>
    <w:rsid w:val="00054E19"/>
    <w:rsid w:val="00054FF9"/>
    <w:rsid w:val="00055077"/>
    <w:rsid w:val="000555DA"/>
    <w:rsid w:val="000558D0"/>
    <w:rsid w:val="000565B3"/>
    <w:rsid w:val="0005792C"/>
    <w:rsid w:val="000615F5"/>
    <w:rsid w:val="00061CB0"/>
    <w:rsid w:val="00061E82"/>
    <w:rsid w:val="00062989"/>
    <w:rsid w:val="00062E79"/>
    <w:rsid w:val="0006366F"/>
    <w:rsid w:val="0006419C"/>
    <w:rsid w:val="00064CF3"/>
    <w:rsid w:val="00064FDC"/>
    <w:rsid w:val="00067C09"/>
    <w:rsid w:val="0007150B"/>
    <w:rsid w:val="00072B48"/>
    <w:rsid w:val="00073730"/>
    <w:rsid w:val="00075AE0"/>
    <w:rsid w:val="00080072"/>
    <w:rsid w:val="00080E56"/>
    <w:rsid w:val="000812AE"/>
    <w:rsid w:val="00082232"/>
    <w:rsid w:val="00083689"/>
    <w:rsid w:val="00084739"/>
    <w:rsid w:val="000852E7"/>
    <w:rsid w:val="00086666"/>
    <w:rsid w:val="000873B7"/>
    <w:rsid w:val="000873C6"/>
    <w:rsid w:val="00087E1D"/>
    <w:rsid w:val="000938F5"/>
    <w:rsid w:val="00095356"/>
    <w:rsid w:val="00095663"/>
    <w:rsid w:val="0009621C"/>
    <w:rsid w:val="000963DF"/>
    <w:rsid w:val="00096E55"/>
    <w:rsid w:val="0009783E"/>
    <w:rsid w:val="00097F45"/>
    <w:rsid w:val="000A1624"/>
    <w:rsid w:val="000A1859"/>
    <w:rsid w:val="000A34AC"/>
    <w:rsid w:val="000A34E5"/>
    <w:rsid w:val="000A3EB1"/>
    <w:rsid w:val="000A4C89"/>
    <w:rsid w:val="000A5F66"/>
    <w:rsid w:val="000A6107"/>
    <w:rsid w:val="000A6CAF"/>
    <w:rsid w:val="000A7C0D"/>
    <w:rsid w:val="000A7FD5"/>
    <w:rsid w:val="000B1022"/>
    <w:rsid w:val="000B1461"/>
    <w:rsid w:val="000B1F52"/>
    <w:rsid w:val="000B1F9D"/>
    <w:rsid w:val="000B266F"/>
    <w:rsid w:val="000B26EF"/>
    <w:rsid w:val="000B2AA9"/>
    <w:rsid w:val="000B3C8E"/>
    <w:rsid w:val="000B40C0"/>
    <w:rsid w:val="000B4881"/>
    <w:rsid w:val="000B601B"/>
    <w:rsid w:val="000C19FF"/>
    <w:rsid w:val="000C207E"/>
    <w:rsid w:val="000C23A3"/>
    <w:rsid w:val="000C2990"/>
    <w:rsid w:val="000C34E3"/>
    <w:rsid w:val="000C42C5"/>
    <w:rsid w:val="000C432B"/>
    <w:rsid w:val="000C73A7"/>
    <w:rsid w:val="000C78FD"/>
    <w:rsid w:val="000D0460"/>
    <w:rsid w:val="000D2463"/>
    <w:rsid w:val="000D3454"/>
    <w:rsid w:val="000D3B7B"/>
    <w:rsid w:val="000D41E9"/>
    <w:rsid w:val="000D4A7B"/>
    <w:rsid w:val="000D583E"/>
    <w:rsid w:val="000D5D0A"/>
    <w:rsid w:val="000D7E13"/>
    <w:rsid w:val="000E0EB0"/>
    <w:rsid w:val="000E0FEB"/>
    <w:rsid w:val="000E2059"/>
    <w:rsid w:val="000E257F"/>
    <w:rsid w:val="000E32BD"/>
    <w:rsid w:val="000E3E04"/>
    <w:rsid w:val="000E56F6"/>
    <w:rsid w:val="000E5E94"/>
    <w:rsid w:val="000F0035"/>
    <w:rsid w:val="000F00A1"/>
    <w:rsid w:val="000F03D6"/>
    <w:rsid w:val="000F13D2"/>
    <w:rsid w:val="000F1C12"/>
    <w:rsid w:val="000F2F66"/>
    <w:rsid w:val="000F36BA"/>
    <w:rsid w:val="000F420B"/>
    <w:rsid w:val="000F47F5"/>
    <w:rsid w:val="000F59CA"/>
    <w:rsid w:val="000F5FDE"/>
    <w:rsid w:val="000F6859"/>
    <w:rsid w:val="000F7DE4"/>
    <w:rsid w:val="00101815"/>
    <w:rsid w:val="00104593"/>
    <w:rsid w:val="00105082"/>
    <w:rsid w:val="001056C2"/>
    <w:rsid w:val="0010634F"/>
    <w:rsid w:val="00106483"/>
    <w:rsid w:val="00106DAF"/>
    <w:rsid w:val="00110116"/>
    <w:rsid w:val="0011074A"/>
    <w:rsid w:val="00110D07"/>
    <w:rsid w:val="0011145D"/>
    <w:rsid w:val="00112A25"/>
    <w:rsid w:val="00112B87"/>
    <w:rsid w:val="00113D05"/>
    <w:rsid w:val="00114832"/>
    <w:rsid w:val="00115E44"/>
    <w:rsid w:val="00116EE3"/>
    <w:rsid w:val="001177FB"/>
    <w:rsid w:val="00120072"/>
    <w:rsid w:val="00122441"/>
    <w:rsid w:val="00122FF2"/>
    <w:rsid w:val="00124A1C"/>
    <w:rsid w:val="00126EB8"/>
    <w:rsid w:val="00126F82"/>
    <w:rsid w:val="001274D4"/>
    <w:rsid w:val="00130C54"/>
    <w:rsid w:val="00130F83"/>
    <w:rsid w:val="00131C7A"/>
    <w:rsid w:val="00132710"/>
    <w:rsid w:val="00132DB4"/>
    <w:rsid w:val="001363AA"/>
    <w:rsid w:val="00136952"/>
    <w:rsid w:val="00136CB1"/>
    <w:rsid w:val="0013739A"/>
    <w:rsid w:val="001373D9"/>
    <w:rsid w:val="00141764"/>
    <w:rsid w:val="00142BD6"/>
    <w:rsid w:val="00144935"/>
    <w:rsid w:val="00145282"/>
    <w:rsid w:val="00145E75"/>
    <w:rsid w:val="00150BFC"/>
    <w:rsid w:val="00150EC7"/>
    <w:rsid w:val="001524E3"/>
    <w:rsid w:val="00152C17"/>
    <w:rsid w:val="00152CE5"/>
    <w:rsid w:val="00153367"/>
    <w:rsid w:val="00154926"/>
    <w:rsid w:val="00154F73"/>
    <w:rsid w:val="0015510F"/>
    <w:rsid w:val="00155232"/>
    <w:rsid w:val="00156FA8"/>
    <w:rsid w:val="00160318"/>
    <w:rsid w:val="00162966"/>
    <w:rsid w:val="001634F9"/>
    <w:rsid w:val="00163879"/>
    <w:rsid w:val="00163D43"/>
    <w:rsid w:val="001642F3"/>
    <w:rsid w:val="00164C99"/>
    <w:rsid w:val="001657A1"/>
    <w:rsid w:val="00165952"/>
    <w:rsid w:val="00170121"/>
    <w:rsid w:val="00171054"/>
    <w:rsid w:val="00171495"/>
    <w:rsid w:val="00173773"/>
    <w:rsid w:val="00173902"/>
    <w:rsid w:val="00173E52"/>
    <w:rsid w:val="00174D87"/>
    <w:rsid w:val="00175D64"/>
    <w:rsid w:val="00176CF2"/>
    <w:rsid w:val="00177525"/>
    <w:rsid w:val="00177A83"/>
    <w:rsid w:val="00180139"/>
    <w:rsid w:val="001805A0"/>
    <w:rsid w:val="001821ED"/>
    <w:rsid w:val="00183E82"/>
    <w:rsid w:val="00184197"/>
    <w:rsid w:val="00184A5E"/>
    <w:rsid w:val="00184AFA"/>
    <w:rsid w:val="00184C82"/>
    <w:rsid w:val="00185243"/>
    <w:rsid w:val="0018674C"/>
    <w:rsid w:val="001878BB"/>
    <w:rsid w:val="00187AB9"/>
    <w:rsid w:val="00190231"/>
    <w:rsid w:val="00191AE0"/>
    <w:rsid w:val="0019293B"/>
    <w:rsid w:val="00193044"/>
    <w:rsid w:val="0019426B"/>
    <w:rsid w:val="00195189"/>
    <w:rsid w:val="00195ADD"/>
    <w:rsid w:val="00195BDA"/>
    <w:rsid w:val="00195CE6"/>
    <w:rsid w:val="00196ED6"/>
    <w:rsid w:val="00196EE9"/>
    <w:rsid w:val="00197303"/>
    <w:rsid w:val="00197393"/>
    <w:rsid w:val="001A1306"/>
    <w:rsid w:val="001A18CC"/>
    <w:rsid w:val="001A3399"/>
    <w:rsid w:val="001A3D20"/>
    <w:rsid w:val="001A4536"/>
    <w:rsid w:val="001A4ED2"/>
    <w:rsid w:val="001A551F"/>
    <w:rsid w:val="001A69E2"/>
    <w:rsid w:val="001B0955"/>
    <w:rsid w:val="001B1598"/>
    <w:rsid w:val="001B1FF2"/>
    <w:rsid w:val="001B2104"/>
    <w:rsid w:val="001B339D"/>
    <w:rsid w:val="001B3D22"/>
    <w:rsid w:val="001B4388"/>
    <w:rsid w:val="001B4BD2"/>
    <w:rsid w:val="001B5A25"/>
    <w:rsid w:val="001B5FDB"/>
    <w:rsid w:val="001B650E"/>
    <w:rsid w:val="001B6E36"/>
    <w:rsid w:val="001B7064"/>
    <w:rsid w:val="001C0865"/>
    <w:rsid w:val="001C1219"/>
    <w:rsid w:val="001C1991"/>
    <w:rsid w:val="001C3A05"/>
    <w:rsid w:val="001C3ABA"/>
    <w:rsid w:val="001C4F03"/>
    <w:rsid w:val="001C5111"/>
    <w:rsid w:val="001C6A3C"/>
    <w:rsid w:val="001D0348"/>
    <w:rsid w:val="001D07B0"/>
    <w:rsid w:val="001D1F63"/>
    <w:rsid w:val="001D3852"/>
    <w:rsid w:val="001D3F4E"/>
    <w:rsid w:val="001D553E"/>
    <w:rsid w:val="001D5C13"/>
    <w:rsid w:val="001D624B"/>
    <w:rsid w:val="001D755C"/>
    <w:rsid w:val="001E0B5F"/>
    <w:rsid w:val="001E12F0"/>
    <w:rsid w:val="001E1373"/>
    <w:rsid w:val="001E20D7"/>
    <w:rsid w:val="001E2F3A"/>
    <w:rsid w:val="001E3576"/>
    <w:rsid w:val="001E3935"/>
    <w:rsid w:val="001E3DFF"/>
    <w:rsid w:val="001E4D46"/>
    <w:rsid w:val="001E5054"/>
    <w:rsid w:val="001E719D"/>
    <w:rsid w:val="001E7BE8"/>
    <w:rsid w:val="001F0248"/>
    <w:rsid w:val="001F0E25"/>
    <w:rsid w:val="001F0E27"/>
    <w:rsid w:val="001F1312"/>
    <w:rsid w:val="001F373E"/>
    <w:rsid w:val="001F39D3"/>
    <w:rsid w:val="001F3EB3"/>
    <w:rsid w:val="001F3EF9"/>
    <w:rsid w:val="001F49AE"/>
    <w:rsid w:val="001F4F86"/>
    <w:rsid w:val="001F4FB9"/>
    <w:rsid w:val="001F5043"/>
    <w:rsid w:val="001F5053"/>
    <w:rsid w:val="001F52FE"/>
    <w:rsid w:val="001F6B46"/>
    <w:rsid w:val="001F6CBD"/>
    <w:rsid w:val="001F7BD1"/>
    <w:rsid w:val="002009AB"/>
    <w:rsid w:val="002009F2"/>
    <w:rsid w:val="0020171E"/>
    <w:rsid w:val="00202C2C"/>
    <w:rsid w:val="0020363D"/>
    <w:rsid w:val="00203E16"/>
    <w:rsid w:val="00205171"/>
    <w:rsid w:val="0020700E"/>
    <w:rsid w:val="0020779D"/>
    <w:rsid w:val="002079C6"/>
    <w:rsid w:val="00210395"/>
    <w:rsid w:val="00210DF4"/>
    <w:rsid w:val="00212630"/>
    <w:rsid w:val="002133FD"/>
    <w:rsid w:val="002135AB"/>
    <w:rsid w:val="002144BE"/>
    <w:rsid w:val="0021508A"/>
    <w:rsid w:val="00215449"/>
    <w:rsid w:val="00215773"/>
    <w:rsid w:val="00220501"/>
    <w:rsid w:val="00221E5B"/>
    <w:rsid w:val="00221E79"/>
    <w:rsid w:val="0022245A"/>
    <w:rsid w:val="00222C66"/>
    <w:rsid w:val="00222DD6"/>
    <w:rsid w:val="00225484"/>
    <w:rsid w:val="002260CD"/>
    <w:rsid w:val="00226752"/>
    <w:rsid w:val="0022710C"/>
    <w:rsid w:val="00227409"/>
    <w:rsid w:val="00231DD2"/>
    <w:rsid w:val="00232B21"/>
    <w:rsid w:val="002334A7"/>
    <w:rsid w:val="00233E73"/>
    <w:rsid w:val="00233EA4"/>
    <w:rsid w:val="002342E5"/>
    <w:rsid w:val="0023437A"/>
    <w:rsid w:val="00234B59"/>
    <w:rsid w:val="00236000"/>
    <w:rsid w:val="00237981"/>
    <w:rsid w:val="00237F1B"/>
    <w:rsid w:val="00237F29"/>
    <w:rsid w:val="002400FC"/>
    <w:rsid w:val="00240119"/>
    <w:rsid w:val="00240145"/>
    <w:rsid w:val="00240CD8"/>
    <w:rsid w:val="00242279"/>
    <w:rsid w:val="00242576"/>
    <w:rsid w:val="002429AA"/>
    <w:rsid w:val="00243289"/>
    <w:rsid w:val="0024356B"/>
    <w:rsid w:val="00243997"/>
    <w:rsid w:val="0024516C"/>
    <w:rsid w:val="002455CA"/>
    <w:rsid w:val="002458AB"/>
    <w:rsid w:val="00245C82"/>
    <w:rsid w:val="00245DAF"/>
    <w:rsid w:val="00247628"/>
    <w:rsid w:val="00247D1C"/>
    <w:rsid w:val="00250898"/>
    <w:rsid w:val="00251002"/>
    <w:rsid w:val="00251408"/>
    <w:rsid w:val="00252D25"/>
    <w:rsid w:val="002532E9"/>
    <w:rsid w:val="00254BEF"/>
    <w:rsid w:val="002576C2"/>
    <w:rsid w:val="00260884"/>
    <w:rsid w:val="00260EB2"/>
    <w:rsid w:val="00261470"/>
    <w:rsid w:val="00261EB2"/>
    <w:rsid w:val="00262EC7"/>
    <w:rsid w:val="00264010"/>
    <w:rsid w:val="00264B16"/>
    <w:rsid w:val="002650D5"/>
    <w:rsid w:val="002668FB"/>
    <w:rsid w:val="00266AAF"/>
    <w:rsid w:val="00266AB5"/>
    <w:rsid w:val="00270A5B"/>
    <w:rsid w:val="002713C6"/>
    <w:rsid w:val="00271B85"/>
    <w:rsid w:val="002724BA"/>
    <w:rsid w:val="00273D6F"/>
    <w:rsid w:val="0027412A"/>
    <w:rsid w:val="0027418A"/>
    <w:rsid w:val="00275594"/>
    <w:rsid w:val="002755F6"/>
    <w:rsid w:val="002767EF"/>
    <w:rsid w:val="0027712C"/>
    <w:rsid w:val="00277438"/>
    <w:rsid w:val="002778EE"/>
    <w:rsid w:val="00277BC5"/>
    <w:rsid w:val="00281249"/>
    <w:rsid w:val="002815B8"/>
    <w:rsid w:val="00281700"/>
    <w:rsid w:val="00282092"/>
    <w:rsid w:val="00282E63"/>
    <w:rsid w:val="0028447C"/>
    <w:rsid w:val="00284C63"/>
    <w:rsid w:val="00284E13"/>
    <w:rsid w:val="00286CF5"/>
    <w:rsid w:val="00287E79"/>
    <w:rsid w:val="00290B07"/>
    <w:rsid w:val="00291B40"/>
    <w:rsid w:val="002922DF"/>
    <w:rsid w:val="002938B7"/>
    <w:rsid w:val="002961EC"/>
    <w:rsid w:val="0029639E"/>
    <w:rsid w:val="00296F08"/>
    <w:rsid w:val="00297377"/>
    <w:rsid w:val="002A0975"/>
    <w:rsid w:val="002A14B9"/>
    <w:rsid w:val="002A38E8"/>
    <w:rsid w:val="002A4004"/>
    <w:rsid w:val="002A43FB"/>
    <w:rsid w:val="002A4981"/>
    <w:rsid w:val="002A4E38"/>
    <w:rsid w:val="002A61BF"/>
    <w:rsid w:val="002A64AD"/>
    <w:rsid w:val="002A76A6"/>
    <w:rsid w:val="002A7C0B"/>
    <w:rsid w:val="002B0D86"/>
    <w:rsid w:val="002B0DE4"/>
    <w:rsid w:val="002B14C3"/>
    <w:rsid w:val="002B1513"/>
    <w:rsid w:val="002B1944"/>
    <w:rsid w:val="002B25AF"/>
    <w:rsid w:val="002B2C74"/>
    <w:rsid w:val="002B2C87"/>
    <w:rsid w:val="002B4008"/>
    <w:rsid w:val="002B5A77"/>
    <w:rsid w:val="002B7422"/>
    <w:rsid w:val="002C1263"/>
    <w:rsid w:val="002C179F"/>
    <w:rsid w:val="002C1C95"/>
    <w:rsid w:val="002C2289"/>
    <w:rsid w:val="002C2A9E"/>
    <w:rsid w:val="002C3A6C"/>
    <w:rsid w:val="002C439F"/>
    <w:rsid w:val="002C43A8"/>
    <w:rsid w:val="002C4493"/>
    <w:rsid w:val="002C67A5"/>
    <w:rsid w:val="002C7368"/>
    <w:rsid w:val="002D0E8E"/>
    <w:rsid w:val="002D1BA7"/>
    <w:rsid w:val="002D1EBE"/>
    <w:rsid w:val="002D35F6"/>
    <w:rsid w:val="002D3855"/>
    <w:rsid w:val="002D3EE5"/>
    <w:rsid w:val="002D472A"/>
    <w:rsid w:val="002D63CF"/>
    <w:rsid w:val="002E1539"/>
    <w:rsid w:val="002E1A2A"/>
    <w:rsid w:val="002E385E"/>
    <w:rsid w:val="002E4BA0"/>
    <w:rsid w:val="002E5403"/>
    <w:rsid w:val="002E73A3"/>
    <w:rsid w:val="002E7B1A"/>
    <w:rsid w:val="002F1272"/>
    <w:rsid w:val="002F1856"/>
    <w:rsid w:val="002F1A23"/>
    <w:rsid w:val="002F2818"/>
    <w:rsid w:val="002F40B6"/>
    <w:rsid w:val="002F4571"/>
    <w:rsid w:val="002F4A24"/>
    <w:rsid w:val="002F4CC2"/>
    <w:rsid w:val="002F5292"/>
    <w:rsid w:val="002F5327"/>
    <w:rsid w:val="002F57E0"/>
    <w:rsid w:val="002F6670"/>
    <w:rsid w:val="002F6C94"/>
    <w:rsid w:val="002F77EA"/>
    <w:rsid w:val="00300367"/>
    <w:rsid w:val="00301189"/>
    <w:rsid w:val="0030138C"/>
    <w:rsid w:val="0030176B"/>
    <w:rsid w:val="00301A8B"/>
    <w:rsid w:val="00301B87"/>
    <w:rsid w:val="00301E4A"/>
    <w:rsid w:val="00302270"/>
    <w:rsid w:val="003050D2"/>
    <w:rsid w:val="0030533E"/>
    <w:rsid w:val="00305A47"/>
    <w:rsid w:val="003103A9"/>
    <w:rsid w:val="003105D2"/>
    <w:rsid w:val="0031060D"/>
    <w:rsid w:val="00310B8C"/>
    <w:rsid w:val="00312502"/>
    <w:rsid w:val="00313242"/>
    <w:rsid w:val="003140D5"/>
    <w:rsid w:val="00314495"/>
    <w:rsid w:val="00315A4E"/>
    <w:rsid w:val="003166E5"/>
    <w:rsid w:val="003168B8"/>
    <w:rsid w:val="00317C72"/>
    <w:rsid w:val="003208D0"/>
    <w:rsid w:val="00321914"/>
    <w:rsid w:val="00321DD0"/>
    <w:rsid w:val="00321E1C"/>
    <w:rsid w:val="00321FF5"/>
    <w:rsid w:val="00322CF9"/>
    <w:rsid w:val="00323BE4"/>
    <w:rsid w:val="00323CD1"/>
    <w:rsid w:val="00323E09"/>
    <w:rsid w:val="00324148"/>
    <w:rsid w:val="00324531"/>
    <w:rsid w:val="00324B2F"/>
    <w:rsid w:val="00324E57"/>
    <w:rsid w:val="0032783F"/>
    <w:rsid w:val="00327E0E"/>
    <w:rsid w:val="003317A7"/>
    <w:rsid w:val="00332413"/>
    <w:rsid w:val="0033322B"/>
    <w:rsid w:val="00333243"/>
    <w:rsid w:val="00333932"/>
    <w:rsid w:val="00335692"/>
    <w:rsid w:val="00335DE0"/>
    <w:rsid w:val="00336A02"/>
    <w:rsid w:val="00336F4B"/>
    <w:rsid w:val="0033720E"/>
    <w:rsid w:val="003375E8"/>
    <w:rsid w:val="003379E8"/>
    <w:rsid w:val="0034107E"/>
    <w:rsid w:val="00341DE1"/>
    <w:rsid w:val="0034593A"/>
    <w:rsid w:val="00350DDD"/>
    <w:rsid w:val="003518AA"/>
    <w:rsid w:val="00352165"/>
    <w:rsid w:val="00352301"/>
    <w:rsid w:val="003525E7"/>
    <w:rsid w:val="00353182"/>
    <w:rsid w:val="003534DE"/>
    <w:rsid w:val="003565D9"/>
    <w:rsid w:val="00357DCB"/>
    <w:rsid w:val="003602E1"/>
    <w:rsid w:val="0036093E"/>
    <w:rsid w:val="00362C06"/>
    <w:rsid w:val="00362FDD"/>
    <w:rsid w:val="0036387E"/>
    <w:rsid w:val="00366D8E"/>
    <w:rsid w:val="0037026F"/>
    <w:rsid w:val="00370994"/>
    <w:rsid w:val="00371240"/>
    <w:rsid w:val="00371CF5"/>
    <w:rsid w:val="00371F67"/>
    <w:rsid w:val="00373726"/>
    <w:rsid w:val="00374731"/>
    <w:rsid w:val="00374E19"/>
    <w:rsid w:val="00376E59"/>
    <w:rsid w:val="003770AD"/>
    <w:rsid w:val="0037785B"/>
    <w:rsid w:val="003779BE"/>
    <w:rsid w:val="00377AE1"/>
    <w:rsid w:val="003802A6"/>
    <w:rsid w:val="00380340"/>
    <w:rsid w:val="0038218B"/>
    <w:rsid w:val="00382303"/>
    <w:rsid w:val="00382884"/>
    <w:rsid w:val="00382EA4"/>
    <w:rsid w:val="003842D2"/>
    <w:rsid w:val="00384E6A"/>
    <w:rsid w:val="00386121"/>
    <w:rsid w:val="00387309"/>
    <w:rsid w:val="00390E8E"/>
    <w:rsid w:val="003913B0"/>
    <w:rsid w:val="00391500"/>
    <w:rsid w:val="0039177E"/>
    <w:rsid w:val="003919F9"/>
    <w:rsid w:val="00392B7F"/>
    <w:rsid w:val="0039373F"/>
    <w:rsid w:val="00394013"/>
    <w:rsid w:val="00394B24"/>
    <w:rsid w:val="00397335"/>
    <w:rsid w:val="0039769A"/>
    <w:rsid w:val="003A0EEA"/>
    <w:rsid w:val="003A3785"/>
    <w:rsid w:val="003A4DD1"/>
    <w:rsid w:val="003A4DF7"/>
    <w:rsid w:val="003A5E37"/>
    <w:rsid w:val="003A61F4"/>
    <w:rsid w:val="003A766A"/>
    <w:rsid w:val="003B0A9B"/>
    <w:rsid w:val="003B0F74"/>
    <w:rsid w:val="003B1904"/>
    <w:rsid w:val="003B23C2"/>
    <w:rsid w:val="003B403B"/>
    <w:rsid w:val="003B4872"/>
    <w:rsid w:val="003B5034"/>
    <w:rsid w:val="003B5AFC"/>
    <w:rsid w:val="003B5C88"/>
    <w:rsid w:val="003B681D"/>
    <w:rsid w:val="003B7585"/>
    <w:rsid w:val="003B7C81"/>
    <w:rsid w:val="003C01FE"/>
    <w:rsid w:val="003C0EFF"/>
    <w:rsid w:val="003C1110"/>
    <w:rsid w:val="003C1230"/>
    <w:rsid w:val="003C1F30"/>
    <w:rsid w:val="003C22F8"/>
    <w:rsid w:val="003C38B5"/>
    <w:rsid w:val="003C5654"/>
    <w:rsid w:val="003C59DD"/>
    <w:rsid w:val="003C5D99"/>
    <w:rsid w:val="003C671B"/>
    <w:rsid w:val="003D09E3"/>
    <w:rsid w:val="003D0C19"/>
    <w:rsid w:val="003D1087"/>
    <w:rsid w:val="003D1640"/>
    <w:rsid w:val="003D1706"/>
    <w:rsid w:val="003D3432"/>
    <w:rsid w:val="003D355D"/>
    <w:rsid w:val="003D3798"/>
    <w:rsid w:val="003D39AC"/>
    <w:rsid w:val="003D3ABD"/>
    <w:rsid w:val="003D3E1C"/>
    <w:rsid w:val="003D3EA5"/>
    <w:rsid w:val="003D5F5A"/>
    <w:rsid w:val="003D6279"/>
    <w:rsid w:val="003D66D1"/>
    <w:rsid w:val="003D66F5"/>
    <w:rsid w:val="003D67CA"/>
    <w:rsid w:val="003D70FD"/>
    <w:rsid w:val="003E05F2"/>
    <w:rsid w:val="003E0C63"/>
    <w:rsid w:val="003E17E8"/>
    <w:rsid w:val="003E20FF"/>
    <w:rsid w:val="003E24AC"/>
    <w:rsid w:val="003E2ACA"/>
    <w:rsid w:val="003E2F59"/>
    <w:rsid w:val="003E4F5E"/>
    <w:rsid w:val="003E52FF"/>
    <w:rsid w:val="003E5EB5"/>
    <w:rsid w:val="003E746B"/>
    <w:rsid w:val="003E7A01"/>
    <w:rsid w:val="003E7BDF"/>
    <w:rsid w:val="003E7F14"/>
    <w:rsid w:val="003F0789"/>
    <w:rsid w:val="003F186E"/>
    <w:rsid w:val="003F3041"/>
    <w:rsid w:val="003F4784"/>
    <w:rsid w:val="003F4903"/>
    <w:rsid w:val="003F5F47"/>
    <w:rsid w:val="003F686A"/>
    <w:rsid w:val="003F6A06"/>
    <w:rsid w:val="003F773F"/>
    <w:rsid w:val="003F79A3"/>
    <w:rsid w:val="003F7F59"/>
    <w:rsid w:val="00400BC1"/>
    <w:rsid w:val="00400C3D"/>
    <w:rsid w:val="00401136"/>
    <w:rsid w:val="00401882"/>
    <w:rsid w:val="00402F69"/>
    <w:rsid w:val="00404526"/>
    <w:rsid w:val="0040743C"/>
    <w:rsid w:val="0040746D"/>
    <w:rsid w:val="00407555"/>
    <w:rsid w:val="0040762B"/>
    <w:rsid w:val="0040767F"/>
    <w:rsid w:val="00407A4B"/>
    <w:rsid w:val="004100C8"/>
    <w:rsid w:val="0041186F"/>
    <w:rsid w:val="00411BCB"/>
    <w:rsid w:val="00411DBD"/>
    <w:rsid w:val="00412169"/>
    <w:rsid w:val="0041235D"/>
    <w:rsid w:val="00412ACE"/>
    <w:rsid w:val="004138AF"/>
    <w:rsid w:val="0041395F"/>
    <w:rsid w:val="00413B18"/>
    <w:rsid w:val="00413E8B"/>
    <w:rsid w:val="004145D2"/>
    <w:rsid w:val="00414E1A"/>
    <w:rsid w:val="00415928"/>
    <w:rsid w:val="00415F39"/>
    <w:rsid w:val="004163A9"/>
    <w:rsid w:val="00416A16"/>
    <w:rsid w:val="0041741C"/>
    <w:rsid w:val="004176D6"/>
    <w:rsid w:val="00417B4F"/>
    <w:rsid w:val="004202FA"/>
    <w:rsid w:val="00421394"/>
    <w:rsid w:val="0042199C"/>
    <w:rsid w:val="004220B7"/>
    <w:rsid w:val="0042230C"/>
    <w:rsid w:val="00422316"/>
    <w:rsid w:val="00422DB8"/>
    <w:rsid w:val="00422DC0"/>
    <w:rsid w:val="00425967"/>
    <w:rsid w:val="00426CB4"/>
    <w:rsid w:val="00426DD4"/>
    <w:rsid w:val="00427734"/>
    <w:rsid w:val="00430321"/>
    <w:rsid w:val="00430380"/>
    <w:rsid w:val="00430E1E"/>
    <w:rsid w:val="00431249"/>
    <w:rsid w:val="004316C1"/>
    <w:rsid w:val="004319D7"/>
    <w:rsid w:val="00433C40"/>
    <w:rsid w:val="00434C19"/>
    <w:rsid w:val="00434DC2"/>
    <w:rsid w:val="004359D9"/>
    <w:rsid w:val="00436046"/>
    <w:rsid w:val="0043619E"/>
    <w:rsid w:val="004378BB"/>
    <w:rsid w:val="0044096A"/>
    <w:rsid w:val="004411C1"/>
    <w:rsid w:val="004426BC"/>
    <w:rsid w:val="00443C00"/>
    <w:rsid w:val="00444B6F"/>
    <w:rsid w:val="00444D03"/>
    <w:rsid w:val="00444F84"/>
    <w:rsid w:val="00444F9C"/>
    <w:rsid w:val="0044513A"/>
    <w:rsid w:val="0044611F"/>
    <w:rsid w:val="00446D7D"/>
    <w:rsid w:val="00447904"/>
    <w:rsid w:val="00447BEB"/>
    <w:rsid w:val="00450810"/>
    <w:rsid w:val="004517D8"/>
    <w:rsid w:val="00451A0C"/>
    <w:rsid w:val="00451C60"/>
    <w:rsid w:val="0045244F"/>
    <w:rsid w:val="00452628"/>
    <w:rsid w:val="00453673"/>
    <w:rsid w:val="0045590C"/>
    <w:rsid w:val="00455B58"/>
    <w:rsid w:val="00457A27"/>
    <w:rsid w:val="00460B6F"/>
    <w:rsid w:val="004619F5"/>
    <w:rsid w:val="004620A1"/>
    <w:rsid w:val="00462339"/>
    <w:rsid w:val="00463C11"/>
    <w:rsid w:val="0047032D"/>
    <w:rsid w:val="00470737"/>
    <w:rsid w:val="004709BC"/>
    <w:rsid w:val="00471332"/>
    <w:rsid w:val="00471983"/>
    <w:rsid w:val="0047282E"/>
    <w:rsid w:val="00473842"/>
    <w:rsid w:val="00473C94"/>
    <w:rsid w:val="0047425F"/>
    <w:rsid w:val="004756EA"/>
    <w:rsid w:val="00477144"/>
    <w:rsid w:val="00477DF8"/>
    <w:rsid w:val="0048176F"/>
    <w:rsid w:val="0048270A"/>
    <w:rsid w:val="00482FC6"/>
    <w:rsid w:val="00483899"/>
    <w:rsid w:val="00483A32"/>
    <w:rsid w:val="00484188"/>
    <w:rsid w:val="004843A6"/>
    <w:rsid w:val="004851D4"/>
    <w:rsid w:val="0048534F"/>
    <w:rsid w:val="00485406"/>
    <w:rsid w:val="004878F3"/>
    <w:rsid w:val="00487AFD"/>
    <w:rsid w:val="00491265"/>
    <w:rsid w:val="00491380"/>
    <w:rsid w:val="004917A4"/>
    <w:rsid w:val="00492A26"/>
    <w:rsid w:val="00493DA5"/>
    <w:rsid w:val="0049459F"/>
    <w:rsid w:val="004945E4"/>
    <w:rsid w:val="00496654"/>
    <w:rsid w:val="00496D96"/>
    <w:rsid w:val="004970BB"/>
    <w:rsid w:val="0049744C"/>
    <w:rsid w:val="0049747D"/>
    <w:rsid w:val="00497577"/>
    <w:rsid w:val="004A38DD"/>
    <w:rsid w:val="004A43E8"/>
    <w:rsid w:val="004A4B16"/>
    <w:rsid w:val="004A5448"/>
    <w:rsid w:val="004A5810"/>
    <w:rsid w:val="004A6093"/>
    <w:rsid w:val="004A7AF3"/>
    <w:rsid w:val="004B10D5"/>
    <w:rsid w:val="004B1824"/>
    <w:rsid w:val="004B4280"/>
    <w:rsid w:val="004B43AE"/>
    <w:rsid w:val="004B4E3B"/>
    <w:rsid w:val="004B4F0A"/>
    <w:rsid w:val="004B72B0"/>
    <w:rsid w:val="004B779A"/>
    <w:rsid w:val="004B79FA"/>
    <w:rsid w:val="004B7A3E"/>
    <w:rsid w:val="004C12CD"/>
    <w:rsid w:val="004C14C1"/>
    <w:rsid w:val="004C1779"/>
    <w:rsid w:val="004C1ADE"/>
    <w:rsid w:val="004C2BFE"/>
    <w:rsid w:val="004C2DB9"/>
    <w:rsid w:val="004C30ED"/>
    <w:rsid w:val="004C370C"/>
    <w:rsid w:val="004C3EEA"/>
    <w:rsid w:val="004C5B1D"/>
    <w:rsid w:val="004D0040"/>
    <w:rsid w:val="004D014C"/>
    <w:rsid w:val="004D1095"/>
    <w:rsid w:val="004D15A1"/>
    <w:rsid w:val="004D1F6A"/>
    <w:rsid w:val="004D2759"/>
    <w:rsid w:val="004D2E37"/>
    <w:rsid w:val="004D4076"/>
    <w:rsid w:val="004D4543"/>
    <w:rsid w:val="004D4B4B"/>
    <w:rsid w:val="004D4B98"/>
    <w:rsid w:val="004D5675"/>
    <w:rsid w:val="004D61BB"/>
    <w:rsid w:val="004D6217"/>
    <w:rsid w:val="004D7E44"/>
    <w:rsid w:val="004E02A8"/>
    <w:rsid w:val="004E0AB8"/>
    <w:rsid w:val="004E1016"/>
    <w:rsid w:val="004E292D"/>
    <w:rsid w:val="004E3341"/>
    <w:rsid w:val="004E3537"/>
    <w:rsid w:val="004E363F"/>
    <w:rsid w:val="004E531E"/>
    <w:rsid w:val="004E56C6"/>
    <w:rsid w:val="004E56DD"/>
    <w:rsid w:val="004E5973"/>
    <w:rsid w:val="004E62C9"/>
    <w:rsid w:val="004E6AA5"/>
    <w:rsid w:val="004E6F71"/>
    <w:rsid w:val="004F09FA"/>
    <w:rsid w:val="004F1ABB"/>
    <w:rsid w:val="004F3001"/>
    <w:rsid w:val="004F3AF5"/>
    <w:rsid w:val="004F4A51"/>
    <w:rsid w:val="004F7FC3"/>
    <w:rsid w:val="0050084E"/>
    <w:rsid w:val="0050089B"/>
    <w:rsid w:val="00500D72"/>
    <w:rsid w:val="00502796"/>
    <w:rsid w:val="005030DF"/>
    <w:rsid w:val="00503F12"/>
    <w:rsid w:val="0050451A"/>
    <w:rsid w:val="0050486E"/>
    <w:rsid w:val="005050D4"/>
    <w:rsid w:val="00505519"/>
    <w:rsid w:val="00506055"/>
    <w:rsid w:val="005078E4"/>
    <w:rsid w:val="00510A4C"/>
    <w:rsid w:val="0051273F"/>
    <w:rsid w:val="00512884"/>
    <w:rsid w:val="005128BA"/>
    <w:rsid w:val="00512C20"/>
    <w:rsid w:val="0051331D"/>
    <w:rsid w:val="00514843"/>
    <w:rsid w:val="00515BEE"/>
    <w:rsid w:val="00516252"/>
    <w:rsid w:val="0051680E"/>
    <w:rsid w:val="00517021"/>
    <w:rsid w:val="005172E5"/>
    <w:rsid w:val="00517594"/>
    <w:rsid w:val="00517795"/>
    <w:rsid w:val="005178F5"/>
    <w:rsid w:val="00520318"/>
    <w:rsid w:val="00520BED"/>
    <w:rsid w:val="00520F5C"/>
    <w:rsid w:val="00521185"/>
    <w:rsid w:val="00521B9A"/>
    <w:rsid w:val="005227AD"/>
    <w:rsid w:val="0052326B"/>
    <w:rsid w:val="00523639"/>
    <w:rsid w:val="00524B2E"/>
    <w:rsid w:val="00524D51"/>
    <w:rsid w:val="00525D35"/>
    <w:rsid w:val="00527921"/>
    <w:rsid w:val="00530E86"/>
    <w:rsid w:val="00531458"/>
    <w:rsid w:val="00531668"/>
    <w:rsid w:val="00531FE5"/>
    <w:rsid w:val="00534A8F"/>
    <w:rsid w:val="00534C4A"/>
    <w:rsid w:val="0053537D"/>
    <w:rsid w:val="00535855"/>
    <w:rsid w:val="00535B43"/>
    <w:rsid w:val="00535E3D"/>
    <w:rsid w:val="00536C15"/>
    <w:rsid w:val="00537657"/>
    <w:rsid w:val="00540147"/>
    <w:rsid w:val="005402FA"/>
    <w:rsid w:val="0054058A"/>
    <w:rsid w:val="00540751"/>
    <w:rsid w:val="00540AF9"/>
    <w:rsid w:val="00542BF7"/>
    <w:rsid w:val="00543DBB"/>
    <w:rsid w:val="00543EEB"/>
    <w:rsid w:val="005444F9"/>
    <w:rsid w:val="0054615E"/>
    <w:rsid w:val="00546828"/>
    <w:rsid w:val="00547D07"/>
    <w:rsid w:val="0055176C"/>
    <w:rsid w:val="005519CA"/>
    <w:rsid w:val="00554425"/>
    <w:rsid w:val="00555887"/>
    <w:rsid w:val="0055656D"/>
    <w:rsid w:val="00560811"/>
    <w:rsid w:val="0056239D"/>
    <w:rsid w:val="005633E6"/>
    <w:rsid w:val="00563AAD"/>
    <w:rsid w:val="00564905"/>
    <w:rsid w:val="005675AE"/>
    <w:rsid w:val="0057000E"/>
    <w:rsid w:val="00571977"/>
    <w:rsid w:val="00572226"/>
    <w:rsid w:val="005727C0"/>
    <w:rsid w:val="005729BD"/>
    <w:rsid w:val="00573135"/>
    <w:rsid w:val="005743E1"/>
    <w:rsid w:val="00574DD4"/>
    <w:rsid w:val="00576761"/>
    <w:rsid w:val="00576E27"/>
    <w:rsid w:val="00580858"/>
    <w:rsid w:val="00583C39"/>
    <w:rsid w:val="00583D61"/>
    <w:rsid w:val="00583DC8"/>
    <w:rsid w:val="005851DA"/>
    <w:rsid w:val="00585812"/>
    <w:rsid w:val="00585AF9"/>
    <w:rsid w:val="00585D78"/>
    <w:rsid w:val="0058674C"/>
    <w:rsid w:val="00586974"/>
    <w:rsid w:val="00586AC6"/>
    <w:rsid w:val="00587331"/>
    <w:rsid w:val="00587F28"/>
    <w:rsid w:val="005909CF"/>
    <w:rsid w:val="00591D19"/>
    <w:rsid w:val="00591E71"/>
    <w:rsid w:val="00592C75"/>
    <w:rsid w:val="005930CF"/>
    <w:rsid w:val="005938C7"/>
    <w:rsid w:val="00593AF3"/>
    <w:rsid w:val="0059627B"/>
    <w:rsid w:val="005962D6"/>
    <w:rsid w:val="0059707D"/>
    <w:rsid w:val="0059714F"/>
    <w:rsid w:val="00597C99"/>
    <w:rsid w:val="005A02BE"/>
    <w:rsid w:val="005A0D41"/>
    <w:rsid w:val="005A140A"/>
    <w:rsid w:val="005A1E2E"/>
    <w:rsid w:val="005A1E56"/>
    <w:rsid w:val="005A34A5"/>
    <w:rsid w:val="005A49A5"/>
    <w:rsid w:val="005A4CDB"/>
    <w:rsid w:val="005A535F"/>
    <w:rsid w:val="005A5F04"/>
    <w:rsid w:val="005A6417"/>
    <w:rsid w:val="005A6ED6"/>
    <w:rsid w:val="005A6FA2"/>
    <w:rsid w:val="005B1ED7"/>
    <w:rsid w:val="005B22C7"/>
    <w:rsid w:val="005B2764"/>
    <w:rsid w:val="005B2A42"/>
    <w:rsid w:val="005B2D85"/>
    <w:rsid w:val="005B3B3A"/>
    <w:rsid w:val="005B43BA"/>
    <w:rsid w:val="005B5D9A"/>
    <w:rsid w:val="005B71E9"/>
    <w:rsid w:val="005C0325"/>
    <w:rsid w:val="005C06A0"/>
    <w:rsid w:val="005C188D"/>
    <w:rsid w:val="005C194E"/>
    <w:rsid w:val="005C3142"/>
    <w:rsid w:val="005C34C6"/>
    <w:rsid w:val="005C5277"/>
    <w:rsid w:val="005C5E19"/>
    <w:rsid w:val="005C616F"/>
    <w:rsid w:val="005C778D"/>
    <w:rsid w:val="005C7A8A"/>
    <w:rsid w:val="005D0E5C"/>
    <w:rsid w:val="005D18DD"/>
    <w:rsid w:val="005D2380"/>
    <w:rsid w:val="005D41AB"/>
    <w:rsid w:val="005D5D55"/>
    <w:rsid w:val="005E087E"/>
    <w:rsid w:val="005E0951"/>
    <w:rsid w:val="005E0C4D"/>
    <w:rsid w:val="005E2114"/>
    <w:rsid w:val="005E404D"/>
    <w:rsid w:val="005E44F9"/>
    <w:rsid w:val="005E4B35"/>
    <w:rsid w:val="005E59E6"/>
    <w:rsid w:val="005E65E4"/>
    <w:rsid w:val="005E6952"/>
    <w:rsid w:val="005E6FD6"/>
    <w:rsid w:val="005F1413"/>
    <w:rsid w:val="005F3849"/>
    <w:rsid w:val="005F48BD"/>
    <w:rsid w:val="005F48ED"/>
    <w:rsid w:val="005F4D8F"/>
    <w:rsid w:val="005F5B95"/>
    <w:rsid w:val="005F6BE7"/>
    <w:rsid w:val="005F7335"/>
    <w:rsid w:val="005F76DE"/>
    <w:rsid w:val="00600707"/>
    <w:rsid w:val="00601009"/>
    <w:rsid w:val="00601137"/>
    <w:rsid w:val="006029CC"/>
    <w:rsid w:val="006031EF"/>
    <w:rsid w:val="0060337C"/>
    <w:rsid w:val="00603678"/>
    <w:rsid w:val="006061B8"/>
    <w:rsid w:val="00606E78"/>
    <w:rsid w:val="00607BF1"/>
    <w:rsid w:val="00607F4B"/>
    <w:rsid w:val="00610F46"/>
    <w:rsid w:val="00611D96"/>
    <w:rsid w:val="00612D86"/>
    <w:rsid w:val="00612D8E"/>
    <w:rsid w:val="00613667"/>
    <w:rsid w:val="00613730"/>
    <w:rsid w:val="00613886"/>
    <w:rsid w:val="006143BB"/>
    <w:rsid w:val="00615361"/>
    <w:rsid w:val="00616400"/>
    <w:rsid w:val="006169BA"/>
    <w:rsid w:val="00617023"/>
    <w:rsid w:val="006173A1"/>
    <w:rsid w:val="00617613"/>
    <w:rsid w:val="00620B3D"/>
    <w:rsid w:val="00620D86"/>
    <w:rsid w:val="006211C8"/>
    <w:rsid w:val="00621A28"/>
    <w:rsid w:val="00621F50"/>
    <w:rsid w:val="006229DC"/>
    <w:rsid w:val="006233FE"/>
    <w:rsid w:val="006234E8"/>
    <w:rsid w:val="00624B41"/>
    <w:rsid w:val="00624E70"/>
    <w:rsid w:val="00624EC6"/>
    <w:rsid w:val="00625FF3"/>
    <w:rsid w:val="0062707F"/>
    <w:rsid w:val="0062747D"/>
    <w:rsid w:val="0062766F"/>
    <w:rsid w:val="00630B24"/>
    <w:rsid w:val="00630D4D"/>
    <w:rsid w:val="00630F04"/>
    <w:rsid w:val="00631489"/>
    <w:rsid w:val="00631C29"/>
    <w:rsid w:val="00632536"/>
    <w:rsid w:val="006329E0"/>
    <w:rsid w:val="00632A74"/>
    <w:rsid w:val="0063773E"/>
    <w:rsid w:val="0063791C"/>
    <w:rsid w:val="00637BA8"/>
    <w:rsid w:val="006401F3"/>
    <w:rsid w:val="00640726"/>
    <w:rsid w:val="006407B2"/>
    <w:rsid w:val="00644A2D"/>
    <w:rsid w:val="00644DD6"/>
    <w:rsid w:val="0064718E"/>
    <w:rsid w:val="00647B9E"/>
    <w:rsid w:val="006520CF"/>
    <w:rsid w:val="006531EF"/>
    <w:rsid w:val="00654A1E"/>
    <w:rsid w:val="00654D42"/>
    <w:rsid w:val="00655E4D"/>
    <w:rsid w:val="0065623E"/>
    <w:rsid w:val="006565DB"/>
    <w:rsid w:val="0066040A"/>
    <w:rsid w:val="00660835"/>
    <w:rsid w:val="006608EE"/>
    <w:rsid w:val="00661FB0"/>
    <w:rsid w:val="006626D9"/>
    <w:rsid w:val="006627E0"/>
    <w:rsid w:val="00662BCA"/>
    <w:rsid w:val="006651B8"/>
    <w:rsid w:val="006656A3"/>
    <w:rsid w:val="00667347"/>
    <w:rsid w:val="00667924"/>
    <w:rsid w:val="00670195"/>
    <w:rsid w:val="0067042D"/>
    <w:rsid w:val="0067080B"/>
    <w:rsid w:val="00671D2C"/>
    <w:rsid w:val="006723B2"/>
    <w:rsid w:val="006723C5"/>
    <w:rsid w:val="00674690"/>
    <w:rsid w:val="00675695"/>
    <w:rsid w:val="00675B30"/>
    <w:rsid w:val="006769AA"/>
    <w:rsid w:val="0068104A"/>
    <w:rsid w:val="0068210D"/>
    <w:rsid w:val="00683AD4"/>
    <w:rsid w:val="00683E80"/>
    <w:rsid w:val="00684D41"/>
    <w:rsid w:val="006860AA"/>
    <w:rsid w:val="0068788E"/>
    <w:rsid w:val="0069165A"/>
    <w:rsid w:val="00692303"/>
    <w:rsid w:val="006927BE"/>
    <w:rsid w:val="006941E5"/>
    <w:rsid w:val="00695B7A"/>
    <w:rsid w:val="006971D5"/>
    <w:rsid w:val="00697762"/>
    <w:rsid w:val="006A08DB"/>
    <w:rsid w:val="006A1C33"/>
    <w:rsid w:val="006A2507"/>
    <w:rsid w:val="006A3D0E"/>
    <w:rsid w:val="006A4655"/>
    <w:rsid w:val="006A6918"/>
    <w:rsid w:val="006A698B"/>
    <w:rsid w:val="006A6F27"/>
    <w:rsid w:val="006A7264"/>
    <w:rsid w:val="006A79A6"/>
    <w:rsid w:val="006B0FCB"/>
    <w:rsid w:val="006B1304"/>
    <w:rsid w:val="006B2205"/>
    <w:rsid w:val="006B2B3C"/>
    <w:rsid w:val="006B431C"/>
    <w:rsid w:val="006B4FF3"/>
    <w:rsid w:val="006B6703"/>
    <w:rsid w:val="006B7020"/>
    <w:rsid w:val="006B7840"/>
    <w:rsid w:val="006C14E6"/>
    <w:rsid w:val="006C1676"/>
    <w:rsid w:val="006C1D81"/>
    <w:rsid w:val="006C2FF8"/>
    <w:rsid w:val="006C36F0"/>
    <w:rsid w:val="006C52B8"/>
    <w:rsid w:val="006C53C9"/>
    <w:rsid w:val="006C69BA"/>
    <w:rsid w:val="006C6D6B"/>
    <w:rsid w:val="006C7038"/>
    <w:rsid w:val="006C76FD"/>
    <w:rsid w:val="006C7806"/>
    <w:rsid w:val="006D0B43"/>
    <w:rsid w:val="006D0ED2"/>
    <w:rsid w:val="006D1C04"/>
    <w:rsid w:val="006D201E"/>
    <w:rsid w:val="006D564E"/>
    <w:rsid w:val="006D7492"/>
    <w:rsid w:val="006D79D4"/>
    <w:rsid w:val="006D7DD1"/>
    <w:rsid w:val="006E2BE2"/>
    <w:rsid w:val="006E37FC"/>
    <w:rsid w:val="006E3E5B"/>
    <w:rsid w:val="006E4380"/>
    <w:rsid w:val="006E5187"/>
    <w:rsid w:val="006E53BA"/>
    <w:rsid w:val="006E5AA4"/>
    <w:rsid w:val="006E6078"/>
    <w:rsid w:val="006E6729"/>
    <w:rsid w:val="006E6B56"/>
    <w:rsid w:val="006E7213"/>
    <w:rsid w:val="006E73EF"/>
    <w:rsid w:val="006F170B"/>
    <w:rsid w:val="006F253E"/>
    <w:rsid w:val="006F2C8E"/>
    <w:rsid w:val="006F50E6"/>
    <w:rsid w:val="006F5FDB"/>
    <w:rsid w:val="006F6C35"/>
    <w:rsid w:val="006F6EEC"/>
    <w:rsid w:val="006F7BC5"/>
    <w:rsid w:val="00700086"/>
    <w:rsid w:val="00701575"/>
    <w:rsid w:val="00701F24"/>
    <w:rsid w:val="00702328"/>
    <w:rsid w:val="00703754"/>
    <w:rsid w:val="00705AA3"/>
    <w:rsid w:val="00705E15"/>
    <w:rsid w:val="00706FCB"/>
    <w:rsid w:val="007071AA"/>
    <w:rsid w:val="007079C9"/>
    <w:rsid w:val="00707D6C"/>
    <w:rsid w:val="00710B20"/>
    <w:rsid w:val="007120A0"/>
    <w:rsid w:val="00712197"/>
    <w:rsid w:val="007131FB"/>
    <w:rsid w:val="00713263"/>
    <w:rsid w:val="00714D4D"/>
    <w:rsid w:val="0071569F"/>
    <w:rsid w:val="0071790E"/>
    <w:rsid w:val="00722015"/>
    <w:rsid w:val="00723DD1"/>
    <w:rsid w:val="007251E4"/>
    <w:rsid w:val="00725589"/>
    <w:rsid w:val="00725AE5"/>
    <w:rsid w:val="007260D8"/>
    <w:rsid w:val="007266D3"/>
    <w:rsid w:val="00726FCF"/>
    <w:rsid w:val="00727AF5"/>
    <w:rsid w:val="00727DEB"/>
    <w:rsid w:val="007311E1"/>
    <w:rsid w:val="00731C98"/>
    <w:rsid w:val="00732029"/>
    <w:rsid w:val="00733766"/>
    <w:rsid w:val="0073479C"/>
    <w:rsid w:val="00734AB1"/>
    <w:rsid w:val="007358BB"/>
    <w:rsid w:val="00735CAE"/>
    <w:rsid w:val="0073677E"/>
    <w:rsid w:val="00742C6D"/>
    <w:rsid w:val="00743BC9"/>
    <w:rsid w:val="00744597"/>
    <w:rsid w:val="00744651"/>
    <w:rsid w:val="00744B96"/>
    <w:rsid w:val="007450EB"/>
    <w:rsid w:val="00745860"/>
    <w:rsid w:val="007470A8"/>
    <w:rsid w:val="007470B0"/>
    <w:rsid w:val="007508A4"/>
    <w:rsid w:val="00750A1D"/>
    <w:rsid w:val="00750FBA"/>
    <w:rsid w:val="00751FD3"/>
    <w:rsid w:val="007528B4"/>
    <w:rsid w:val="0075294D"/>
    <w:rsid w:val="007535E0"/>
    <w:rsid w:val="007537D0"/>
    <w:rsid w:val="00753957"/>
    <w:rsid w:val="007539E1"/>
    <w:rsid w:val="007545D1"/>
    <w:rsid w:val="00754952"/>
    <w:rsid w:val="00754FAE"/>
    <w:rsid w:val="007601D3"/>
    <w:rsid w:val="007604BB"/>
    <w:rsid w:val="00760DD4"/>
    <w:rsid w:val="0076308A"/>
    <w:rsid w:val="007642BE"/>
    <w:rsid w:val="00764390"/>
    <w:rsid w:val="0076462E"/>
    <w:rsid w:val="0076476C"/>
    <w:rsid w:val="00770A50"/>
    <w:rsid w:val="00770BA7"/>
    <w:rsid w:val="00772039"/>
    <w:rsid w:val="00772932"/>
    <w:rsid w:val="00772F2F"/>
    <w:rsid w:val="00773812"/>
    <w:rsid w:val="00774B30"/>
    <w:rsid w:val="00775E4D"/>
    <w:rsid w:val="0077616C"/>
    <w:rsid w:val="00776230"/>
    <w:rsid w:val="00781524"/>
    <w:rsid w:val="00781B72"/>
    <w:rsid w:val="00781E00"/>
    <w:rsid w:val="007829F3"/>
    <w:rsid w:val="00782B30"/>
    <w:rsid w:val="00783D14"/>
    <w:rsid w:val="00783F33"/>
    <w:rsid w:val="00784CAF"/>
    <w:rsid w:val="00784FBF"/>
    <w:rsid w:val="00785232"/>
    <w:rsid w:val="00785A5B"/>
    <w:rsid w:val="00785E58"/>
    <w:rsid w:val="00785EF7"/>
    <w:rsid w:val="0078677A"/>
    <w:rsid w:val="00787660"/>
    <w:rsid w:val="0079011A"/>
    <w:rsid w:val="00790D37"/>
    <w:rsid w:val="00791858"/>
    <w:rsid w:val="00791C20"/>
    <w:rsid w:val="00791CDC"/>
    <w:rsid w:val="00792483"/>
    <w:rsid w:val="00792627"/>
    <w:rsid w:val="00793F5B"/>
    <w:rsid w:val="00794E5C"/>
    <w:rsid w:val="00796E7F"/>
    <w:rsid w:val="0079701E"/>
    <w:rsid w:val="007A21EB"/>
    <w:rsid w:val="007A28CD"/>
    <w:rsid w:val="007A3512"/>
    <w:rsid w:val="007A3E0A"/>
    <w:rsid w:val="007A3EFF"/>
    <w:rsid w:val="007A417D"/>
    <w:rsid w:val="007A4B77"/>
    <w:rsid w:val="007A55A8"/>
    <w:rsid w:val="007A594A"/>
    <w:rsid w:val="007A6994"/>
    <w:rsid w:val="007A6E43"/>
    <w:rsid w:val="007A702E"/>
    <w:rsid w:val="007A7AB2"/>
    <w:rsid w:val="007B0BAD"/>
    <w:rsid w:val="007B1A93"/>
    <w:rsid w:val="007B1E73"/>
    <w:rsid w:val="007B2558"/>
    <w:rsid w:val="007B3537"/>
    <w:rsid w:val="007B4264"/>
    <w:rsid w:val="007B4671"/>
    <w:rsid w:val="007B4EF2"/>
    <w:rsid w:val="007B536B"/>
    <w:rsid w:val="007B79E0"/>
    <w:rsid w:val="007B7CA9"/>
    <w:rsid w:val="007C0799"/>
    <w:rsid w:val="007C09CA"/>
    <w:rsid w:val="007C2245"/>
    <w:rsid w:val="007C2A55"/>
    <w:rsid w:val="007C2BEB"/>
    <w:rsid w:val="007C36C9"/>
    <w:rsid w:val="007C3A76"/>
    <w:rsid w:val="007C555D"/>
    <w:rsid w:val="007C55C8"/>
    <w:rsid w:val="007C7911"/>
    <w:rsid w:val="007C7C52"/>
    <w:rsid w:val="007D0842"/>
    <w:rsid w:val="007D1671"/>
    <w:rsid w:val="007D2464"/>
    <w:rsid w:val="007D24FA"/>
    <w:rsid w:val="007D27DE"/>
    <w:rsid w:val="007D4363"/>
    <w:rsid w:val="007D5E8A"/>
    <w:rsid w:val="007D5F72"/>
    <w:rsid w:val="007D6401"/>
    <w:rsid w:val="007E01E4"/>
    <w:rsid w:val="007E02DD"/>
    <w:rsid w:val="007E09DC"/>
    <w:rsid w:val="007E18C0"/>
    <w:rsid w:val="007E2F44"/>
    <w:rsid w:val="007E7A12"/>
    <w:rsid w:val="007E7C8C"/>
    <w:rsid w:val="007E7D31"/>
    <w:rsid w:val="007E7FA7"/>
    <w:rsid w:val="007F0120"/>
    <w:rsid w:val="007F030C"/>
    <w:rsid w:val="007F084E"/>
    <w:rsid w:val="007F0A87"/>
    <w:rsid w:val="007F1FE0"/>
    <w:rsid w:val="007F3152"/>
    <w:rsid w:val="007F3180"/>
    <w:rsid w:val="007F3789"/>
    <w:rsid w:val="007F4F56"/>
    <w:rsid w:val="007F5868"/>
    <w:rsid w:val="007F5FFA"/>
    <w:rsid w:val="007F7107"/>
    <w:rsid w:val="008003B7"/>
    <w:rsid w:val="00800AAD"/>
    <w:rsid w:val="00800D4C"/>
    <w:rsid w:val="0080383F"/>
    <w:rsid w:val="00803CFD"/>
    <w:rsid w:val="008040BC"/>
    <w:rsid w:val="00804D66"/>
    <w:rsid w:val="008101AF"/>
    <w:rsid w:val="0081030F"/>
    <w:rsid w:val="00810393"/>
    <w:rsid w:val="008105D1"/>
    <w:rsid w:val="00810C32"/>
    <w:rsid w:val="00810C3C"/>
    <w:rsid w:val="00810DCB"/>
    <w:rsid w:val="00811B5E"/>
    <w:rsid w:val="00811BFC"/>
    <w:rsid w:val="00811E82"/>
    <w:rsid w:val="00812F4A"/>
    <w:rsid w:val="00813D8F"/>
    <w:rsid w:val="008149B4"/>
    <w:rsid w:val="0081522B"/>
    <w:rsid w:val="00815263"/>
    <w:rsid w:val="00815B1F"/>
    <w:rsid w:val="008171F7"/>
    <w:rsid w:val="0082042F"/>
    <w:rsid w:val="0082087D"/>
    <w:rsid w:val="008218BC"/>
    <w:rsid w:val="00821C1A"/>
    <w:rsid w:val="00821DFF"/>
    <w:rsid w:val="0082364E"/>
    <w:rsid w:val="00823B11"/>
    <w:rsid w:val="00824666"/>
    <w:rsid w:val="0082554A"/>
    <w:rsid w:val="00826AF6"/>
    <w:rsid w:val="00826F14"/>
    <w:rsid w:val="00827356"/>
    <w:rsid w:val="00827A11"/>
    <w:rsid w:val="008321AC"/>
    <w:rsid w:val="0083242C"/>
    <w:rsid w:val="008331CB"/>
    <w:rsid w:val="008351EA"/>
    <w:rsid w:val="00835771"/>
    <w:rsid w:val="008357FA"/>
    <w:rsid w:val="008361C0"/>
    <w:rsid w:val="0083646C"/>
    <w:rsid w:val="008411AE"/>
    <w:rsid w:val="00842933"/>
    <w:rsid w:val="00842DEB"/>
    <w:rsid w:val="00842EDC"/>
    <w:rsid w:val="00844915"/>
    <w:rsid w:val="00847029"/>
    <w:rsid w:val="00847B6C"/>
    <w:rsid w:val="00850970"/>
    <w:rsid w:val="0085121D"/>
    <w:rsid w:val="00851D0C"/>
    <w:rsid w:val="0085342A"/>
    <w:rsid w:val="008552EF"/>
    <w:rsid w:val="00855B4C"/>
    <w:rsid w:val="00855F3E"/>
    <w:rsid w:val="0085668F"/>
    <w:rsid w:val="0086082C"/>
    <w:rsid w:val="0086153C"/>
    <w:rsid w:val="008621F9"/>
    <w:rsid w:val="008625EC"/>
    <w:rsid w:val="00862E51"/>
    <w:rsid w:val="008645F0"/>
    <w:rsid w:val="00864A10"/>
    <w:rsid w:val="00864ADC"/>
    <w:rsid w:val="00865319"/>
    <w:rsid w:val="008654E1"/>
    <w:rsid w:val="00865F68"/>
    <w:rsid w:val="008677CD"/>
    <w:rsid w:val="00867B01"/>
    <w:rsid w:val="0087025D"/>
    <w:rsid w:val="00870D08"/>
    <w:rsid w:val="00871125"/>
    <w:rsid w:val="0087146A"/>
    <w:rsid w:val="00871E0D"/>
    <w:rsid w:val="00872F04"/>
    <w:rsid w:val="00872F45"/>
    <w:rsid w:val="00873E66"/>
    <w:rsid w:val="00874619"/>
    <w:rsid w:val="00874625"/>
    <w:rsid w:val="008751CE"/>
    <w:rsid w:val="00880153"/>
    <w:rsid w:val="008801A5"/>
    <w:rsid w:val="008802CF"/>
    <w:rsid w:val="00880F97"/>
    <w:rsid w:val="0088133A"/>
    <w:rsid w:val="008825D9"/>
    <w:rsid w:val="008859A9"/>
    <w:rsid w:val="00886001"/>
    <w:rsid w:val="0088635B"/>
    <w:rsid w:val="0088636C"/>
    <w:rsid w:val="00890215"/>
    <w:rsid w:val="00890E0C"/>
    <w:rsid w:val="00891290"/>
    <w:rsid w:val="008925A9"/>
    <w:rsid w:val="0089285E"/>
    <w:rsid w:val="00892D76"/>
    <w:rsid w:val="00893394"/>
    <w:rsid w:val="00894009"/>
    <w:rsid w:val="0089425F"/>
    <w:rsid w:val="0089436C"/>
    <w:rsid w:val="00895272"/>
    <w:rsid w:val="00895BCB"/>
    <w:rsid w:val="0089621F"/>
    <w:rsid w:val="00896CCA"/>
    <w:rsid w:val="00896DDA"/>
    <w:rsid w:val="008973AD"/>
    <w:rsid w:val="008973DD"/>
    <w:rsid w:val="008979D3"/>
    <w:rsid w:val="008A040B"/>
    <w:rsid w:val="008A082C"/>
    <w:rsid w:val="008A132B"/>
    <w:rsid w:val="008A161B"/>
    <w:rsid w:val="008A183E"/>
    <w:rsid w:val="008A18DA"/>
    <w:rsid w:val="008A5950"/>
    <w:rsid w:val="008A71B5"/>
    <w:rsid w:val="008A74AF"/>
    <w:rsid w:val="008A7A0B"/>
    <w:rsid w:val="008A7A8D"/>
    <w:rsid w:val="008A7B4B"/>
    <w:rsid w:val="008B0249"/>
    <w:rsid w:val="008B1404"/>
    <w:rsid w:val="008B2684"/>
    <w:rsid w:val="008B2EFA"/>
    <w:rsid w:val="008B344E"/>
    <w:rsid w:val="008B34B7"/>
    <w:rsid w:val="008B5B62"/>
    <w:rsid w:val="008B621D"/>
    <w:rsid w:val="008C1C36"/>
    <w:rsid w:val="008C2FAF"/>
    <w:rsid w:val="008C3C35"/>
    <w:rsid w:val="008C7A6E"/>
    <w:rsid w:val="008C7FC5"/>
    <w:rsid w:val="008D0CCD"/>
    <w:rsid w:val="008D125E"/>
    <w:rsid w:val="008D1291"/>
    <w:rsid w:val="008D1F53"/>
    <w:rsid w:val="008D1FFF"/>
    <w:rsid w:val="008D35F8"/>
    <w:rsid w:val="008D3602"/>
    <w:rsid w:val="008D365C"/>
    <w:rsid w:val="008D3A48"/>
    <w:rsid w:val="008D3A6F"/>
    <w:rsid w:val="008D4366"/>
    <w:rsid w:val="008D441F"/>
    <w:rsid w:val="008D4DC2"/>
    <w:rsid w:val="008D5E4F"/>
    <w:rsid w:val="008D5F76"/>
    <w:rsid w:val="008D64BE"/>
    <w:rsid w:val="008D71CA"/>
    <w:rsid w:val="008D7925"/>
    <w:rsid w:val="008E06CE"/>
    <w:rsid w:val="008E0814"/>
    <w:rsid w:val="008E21C9"/>
    <w:rsid w:val="008E27DD"/>
    <w:rsid w:val="008E32C3"/>
    <w:rsid w:val="008E3F20"/>
    <w:rsid w:val="008E4ED1"/>
    <w:rsid w:val="008E5A7B"/>
    <w:rsid w:val="008E5C98"/>
    <w:rsid w:val="008E5D35"/>
    <w:rsid w:val="008E61A4"/>
    <w:rsid w:val="008E6276"/>
    <w:rsid w:val="008E7508"/>
    <w:rsid w:val="008E7834"/>
    <w:rsid w:val="008E7B4D"/>
    <w:rsid w:val="008F0244"/>
    <w:rsid w:val="008F2557"/>
    <w:rsid w:val="008F4276"/>
    <w:rsid w:val="008F4D6B"/>
    <w:rsid w:val="009001E0"/>
    <w:rsid w:val="009005D9"/>
    <w:rsid w:val="009009F0"/>
    <w:rsid w:val="00902843"/>
    <w:rsid w:val="00903023"/>
    <w:rsid w:val="009030BF"/>
    <w:rsid w:val="009034E9"/>
    <w:rsid w:val="00903B52"/>
    <w:rsid w:val="00904662"/>
    <w:rsid w:val="009049CD"/>
    <w:rsid w:val="00904C66"/>
    <w:rsid w:val="00906F10"/>
    <w:rsid w:val="00906F83"/>
    <w:rsid w:val="00907AC6"/>
    <w:rsid w:val="00907B1C"/>
    <w:rsid w:val="0091032F"/>
    <w:rsid w:val="009115B0"/>
    <w:rsid w:val="00911AA4"/>
    <w:rsid w:val="00912464"/>
    <w:rsid w:val="00914368"/>
    <w:rsid w:val="00914411"/>
    <w:rsid w:val="009145B8"/>
    <w:rsid w:val="009165A7"/>
    <w:rsid w:val="009174CF"/>
    <w:rsid w:val="00917ED1"/>
    <w:rsid w:val="00920974"/>
    <w:rsid w:val="00920ACF"/>
    <w:rsid w:val="00920B0A"/>
    <w:rsid w:val="009237B5"/>
    <w:rsid w:val="00926207"/>
    <w:rsid w:val="00926D85"/>
    <w:rsid w:val="00931076"/>
    <w:rsid w:val="0093297F"/>
    <w:rsid w:val="009345D9"/>
    <w:rsid w:val="00934B15"/>
    <w:rsid w:val="00934D79"/>
    <w:rsid w:val="00935E37"/>
    <w:rsid w:val="0093641D"/>
    <w:rsid w:val="0093699D"/>
    <w:rsid w:val="00937421"/>
    <w:rsid w:val="00940096"/>
    <w:rsid w:val="00940C87"/>
    <w:rsid w:val="009411C1"/>
    <w:rsid w:val="0094256B"/>
    <w:rsid w:val="009429E6"/>
    <w:rsid w:val="00942B62"/>
    <w:rsid w:val="0094400E"/>
    <w:rsid w:val="00944148"/>
    <w:rsid w:val="00944A98"/>
    <w:rsid w:val="00947E4F"/>
    <w:rsid w:val="00951805"/>
    <w:rsid w:val="00952AFD"/>
    <w:rsid w:val="00952E51"/>
    <w:rsid w:val="00952F63"/>
    <w:rsid w:val="0095323B"/>
    <w:rsid w:val="00954191"/>
    <w:rsid w:val="00954C40"/>
    <w:rsid w:val="0095550C"/>
    <w:rsid w:val="00955B2A"/>
    <w:rsid w:val="00956950"/>
    <w:rsid w:val="00956A0C"/>
    <w:rsid w:val="00956BD9"/>
    <w:rsid w:val="00957EB3"/>
    <w:rsid w:val="00957F70"/>
    <w:rsid w:val="00960B71"/>
    <w:rsid w:val="00960E4D"/>
    <w:rsid w:val="00962489"/>
    <w:rsid w:val="00962C28"/>
    <w:rsid w:val="009635D2"/>
    <w:rsid w:val="00963A07"/>
    <w:rsid w:val="00963A3F"/>
    <w:rsid w:val="0096528B"/>
    <w:rsid w:val="00965DCC"/>
    <w:rsid w:val="00965FD5"/>
    <w:rsid w:val="009661A6"/>
    <w:rsid w:val="00966B51"/>
    <w:rsid w:val="00966DDE"/>
    <w:rsid w:val="00967CD3"/>
    <w:rsid w:val="00970343"/>
    <w:rsid w:val="0097084F"/>
    <w:rsid w:val="00971260"/>
    <w:rsid w:val="00971DD3"/>
    <w:rsid w:val="00972FAB"/>
    <w:rsid w:val="009731E2"/>
    <w:rsid w:val="0097378C"/>
    <w:rsid w:val="0097548A"/>
    <w:rsid w:val="00975F68"/>
    <w:rsid w:val="00976959"/>
    <w:rsid w:val="009778E5"/>
    <w:rsid w:val="00977E08"/>
    <w:rsid w:val="0098077B"/>
    <w:rsid w:val="00981AD2"/>
    <w:rsid w:val="009821B1"/>
    <w:rsid w:val="00983025"/>
    <w:rsid w:val="00983523"/>
    <w:rsid w:val="00983920"/>
    <w:rsid w:val="0098449B"/>
    <w:rsid w:val="00984A38"/>
    <w:rsid w:val="00985115"/>
    <w:rsid w:val="009865C7"/>
    <w:rsid w:val="00990445"/>
    <w:rsid w:val="0099094C"/>
    <w:rsid w:val="00990C2C"/>
    <w:rsid w:val="00992324"/>
    <w:rsid w:val="00992703"/>
    <w:rsid w:val="0099422A"/>
    <w:rsid w:val="0099479D"/>
    <w:rsid w:val="00994DF0"/>
    <w:rsid w:val="00994E96"/>
    <w:rsid w:val="009963E0"/>
    <w:rsid w:val="009963E2"/>
    <w:rsid w:val="00997108"/>
    <w:rsid w:val="00997D66"/>
    <w:rsid w:val="00997DED"/>
    <w:rsid w:val="009A1767"/>
    <w:rsid w:val="009A1BDE"/>
    <w:rsid w:val="009A25AC"/>
    <w:rsid w:val="009A2D19"/>
    <w:rsid w:val="009A4F25"/>
    <w:rsid w:val="009A581A"/>
    <w:rsid w:val="009A7C9A"/>
    <w:rsid w:val="009A7E16"/>
    <w:rsid w:val="009B0E2F"/>
    <w:rsid w:val="009B167A"/>
    <w:rsid w:val="009B1B7A"/>
    <w:rsid w:val="009B2606"/>
    <w:rsid w:val="009B4609"/>
    <w:rsid w:val="009B469F"/>
    <w:rsid w:val="009B5E1D"/>
    <w:rsid w:val="009B7211"/>
    <w:rsid w:val="009B774F"/>
    <w:rsid w:val="009B7E20"/>
    <w:rsid w:val="009C1A22"/>
    <w:rsid w:val="009C1C3B"/>
    <w:rsid w:val="009C213B"/>
    <w:rsid w:val="009C54BE"/>
    <w:rsid w:val="009C5C1D"/>
    <w:rsid w:val="009C756E"/>
    <w:rsid w:val="009D0095"/>
    <w:rsid w:val="009D03DA"/>
    <w:rsid w:val="009D03EC"/>
    <w:rsid w:val="009D07CD"/>
    <w:rsid w:val="009D12E2"/>
    <w:rsid w:val="009D217C"/>
    <w:rsid w:val="009D2EEC"/>
    <w:rsid w:val="009D30E8"/>
    <w:rsid w:val="009D5882"/>
    <w:rsid w:val="009D5E5E"/>
    <w:rsid w:val="009D7BCF"/>
    <w:rsid w:val="009E020D"/>
    <w:rsid w:val="009E105C"/>
    <w:rsid w:val="009E1844"/>
    <w:rsid w:val="009E273D"/>
    <w:rsid w:val="009E2768"/>
    <w:rsid w:val="009E45B2"/>
    <w:rsid w:val="009E5731"/>
    <w:rsid w:val="009E597E"/>
    <w:rsid w:val="009E5CC5"/>
    <w:rsid w:val="009E679F"/>
    <w:rsid w:val="009E779A"/>
    <w:rsid w:val="009E7BAC"/>
    <w:rsid w:val="009F0D1B"/>
    <w:rsid w:val="009F1979"/>
    <w:rsid w:val="009F2708"/>
    <w:rsid w:val="009F324A"/>
    <w:rsid w:val="009F3E26"/>
    <w:rsid w:val="009F535A"/>
    <w:rsid w:val="009F53F9"/>
    <w:rsid w:val="009F5A68"/>
    <w:rsid w:val="009F5BBD"/>
    <w:rsid w:val="009F696D"/>
    <w:rsid w:val="009F6BC6"/>
    <w:rsid w:val="009F6DFF"/>
    <w:rsid w:val="009F6FCD"/>
    <w:rsid w:val="009F7399"/>
    <w:rsid w:val="009F74EF"/>
    <w:rsid w:val="009F77D0"/>
    <w:rsid w:val="00A001C8"/>
    <w:rsid w:val="00A01256"/>
    <w:rsid w:val="00A013CC"/>
    <w:rsid w:val="00A014CF"/>
    <w:rsid w:val="00A02073"/>
    <w:rsid w:val="00A03744"/>
    <w:rsid w:val="00A0409C"/>
    <w:rsid w:val="00A05EF0"/>
    <w:rsid w:val="00A061A7"/>
    <w:rsid w:val="00A07F29"/>
    <w:rsid w:val="00A11AF8"/>
    <w:rsid w:val="00A126FB"/>
    <w:rsid w:val="00A139C9"/>
    <w:rsid w:val="00A140E2"/>
    <w:rsid w:val="00A149BA"/>
    <w:rsid w:val="00A15D5A"/>
    <w:rsid w:val="00A168D0"/>
    <w:rsid w:val="00A16B75"/>
    <w:rsid w:val="00A17328"/>
    <w:rsid w:val="00A17463"/>
    <w:rsid w:val="00A20B97"/>
    <w:rsid w:val="00A20F85"/>
    <w:rsid w:val="00A21969"/>
    <w:rsid w:val="00A22AF3"/>
    <w:rsid w:val="00A23902"/>
    <w:rsid w:val="00A23A20"/>
    <w:rsid w:val="00A23FDA"/>
    <w:rsid w:val="00A24443"/>
    <w:rsid w:val="00A24AA7"/>
    <w:rsid w:val="00A24AF0"/>
    <w:rsid w:val="00A262E9"/>
    <w:rsid w:val="00A26431"/>
    <w:rsid w:val="00A268B9"/>
    <w:rsid w:val="00A2703A"/>
    <w:rsid w:val="00A3146B"/>
    <w:rsid w:val="00A32184"/>
    <w:rsid w:val="00A3247F"/>
    <w:rsid w:val="00A33BD8"/>
    <w:rsid w:val="00A33C63"/>
    <w:rsid w:val="00A33DFF"/>
    <w:rsid w:val="00A347CC"/>
    <w:rsid w:val="00A35115"/>
    <w:rsid w:val="00A354B8"/>
    <w:rsid w:val="00A3621D"/>
    <w:rsid w:val="00A36D9A"/>
    <w:rsid w:val="00A374AA"/>
    <w:rsid w:val="00A40232"/>
    <w:rsid w:val="00A40FC3"/>
    <w:rsid w:val="00A41187"/>
    <w:rsid w:val="00A41375"/>
    <w:rsid w:val="00A41791"/>
    <w:rsid w:val="00A41B78"/>
    <w:rsid w:val="00A42134"/>
    <w:rsid w:val="00A421B3"/>
    <w:rsid w:val="00A42465"/>
    <w:rsid w:val="00A43A11"/>
    <w:rsid w:val="00A4478D"/>
    <w:rsid w:val="00A44958"/>
    <w:rsid w:val="00A4576A"/>
    <w:rsid w:val="00A46690"/>
    <w:rsid w:val="00A47332"/>
    <w:rsid w:val="00A503FA"/>
    <w:rsid w:val="00A509C4"/>
    <w:rsid w:val="00A519D4"/>
    <w:rsid w:val="00A51AB6"/>
    <w:rsid w:val="00A528BF"/>
    <w:rsid w:val="00A53C99"/>
    <w:rsid w:val="00A5402C"/>
    <w:rsid w:val="00A54047"/>
    <w:rsid w:val="00A544EB"/>
    <w:rsid w:val="00A54CD2"/>
    <w:rsid w:val="00A55013"/>
    <w:rsid w:val="00A550BA"/>
    <w:rsid w:val="00A554AB"/>
    <w:rsid w:val="00A5581D"/>
    <w:rsid w:val="00A55C5F"/>
    <w:rsid w:val="00A560BB"/>
    <w:rsid w:val="00A569E6"/>
    <w:rsid w:val="00A56E51"/>
    <w:rsid w:val="00A57062"/>
    <w:rsid w:val="00A5713A"/>
    <w:rsid w:val="00A5728C"/>
    <w:rsid w:val="00A6055B"/>
    <w:rsid w:val="00A63D2B"/>
    <w:rsid w:val="00A63EE6"/>
    <w:rsid w:val="00A654C0"/>
    <w:rsid w:val="00A658CF"/>
    <w:rsid w:val="00A65CB2"/>
    <w:rsid w:val="00A6602B"/>
    <w:rsid w:val="00A67022"/>
    <w:rsid w:val="00A67181"/>
    <w:rsid w:val="00A67596"/>
    <w:rsid w:val="00A67781"/>
    <w:rsid w:val="00A67B78"/>
    <w:rsid w:val="00A67EE9"/>
    <w:rsid w:val="00A74A83"/>
    <w:rsid w:val="00A75166"/>
    <w:rsid w:val="00A75A47"/>
    <w:rsid w:val="00A761F9"/>
    <w:rsid w:val="00A76508"/>
    <w:rsid w:val="00A77470"/>
    <w:rsid w:val="00A7759D"/>
    <w:rsid w:val="00A8136C"/>
    <w:rsid w:val="00A81A88"/>
    <w:rsid w:val="00A829F5"/>
    <w:rsid w:val="00A82F59"/>
    <w:rsid w:val="00A8373C"/>
    <w:rsid w:val="00A86B12"/>
    <w:rsid w:val="00A900CC"/>
    <w:rsid w:val="00A90856"/>
    <w:rsid w:val="00A90A54"/>
    <w:rsid w:val="00A91D5D"/>
    <w:rsid w:val="00A92A7D"/>
    <w:rsid w:val="00A92B53"/>
    <w:rsid w:val="00A93CFF"/>
    <w:rsid w:val="00A94669"/>
    <w:rsid w:val="00A94FA6"/>
    <w:rsid w:val="00AA13E8"/>
    <w:rsid w:val="00AA394A"/>
    <w:rsid w:val="00AA4178"/>
    <w:rsid w:val="00AA4512"/>
    <w:rsid w:val="00AA49A0"/>
    <w:rsid w:val="00AA547E"/>
    <w:rsid w:val="00AA5747"/>
    <w:rsid w:val="00AA59BA"/>
    <w:rsid w:val="00AA6710"/>
    <w:rsid w:val="00AA7759"/>
    <w:rsid w:val="00AB0681"/>
    <w:rsid w:val="00AB07D8"/>
    <w:rsid w:val="00AB0BA4"/>
    <w:rsid w:val="00AB22F4"/>
    <w:rsid w:val="00AB2397"/>
    <w:rsid w:val="00AB374E"/>
    <w:rsid w:val="00AB3C84"/>
    <w:rsid w:val="00AB49FD"/>
    <w:rsid w:val="00AB5F47"/>
    <w:rsid w:val="00AB6AFE"/>
    <w:rsid w:val="00AC0341"/>
    <w:rsid w:val="00AC262B"/>
    <w:rsid w:val="00AC3940"/>
    <w:rsid w:val="00AC39BF"/>
    <w:rsid w:val="00AC4E51"/>
    <w:rsid w:val="00AC5558"/>
    <w:rsid w:val="00AC6641"/>
    <w:rsid w:val="00AC6D30"/>
    <w:rsid w:val="00AC7C7D"/>
    <w:rsid w:val="00AC7EFF"/>
    <w:rsid w:val="00AD0C82"/>
    <w:rsid w:val="00AD1889"/>
    <w:rsid w:val="00AD258C"/>
    <w:rsid w:val="00AD4E65"/>
    <w:rsid w:val="00AD520B"/>
    <w:rsid w:val="00AD5CEE"/>
    <w:rsid w:val="00AD6695"/>
    <w:rsid w:val="00AD6B5F"/>
    <w:rsid w:val="00AD7B26"/>
    <w:rsid w:val="00AD7DCD"/>
    <w:rsid w:val="00AE0571"/>
    <w:rsid w:val="00AE1637"/>
    <w:rsid w:val="00AE16E1"/>
    <w:rsid w:val="00AE1875"/>
    <w:rsid w:val="00AE24EC"/>
    <w:rsid w:val="00AE25A5"/>
    <w:rsid w:val="00AE26F0"/>
    <w:rsid w:val="00AE2A3D"/>
    <w:rsid w:val="00AE2E62"/>
    <w:rsid w:val="00AE37D5"/>
    <w:rsid w:val="00AE3BCC"/>
    <w:rsid w:val="00AE441B"/>
    <w:rsid w:val="00AF142D"/>
    <w:rsid w:val="00AF1B5D"/>
    <w:rsid w:val="00AF1EB5"/>
    <w:rsid w:val="00AF38CF"/>
    <w:rsid w:val="00AF664E"/>
    <w:rsid w:val="00AF6B6C"/>
    <w:rsid w:val="00AF6DB1"/>
    <w:rsid w:val="00AF7620"/>
    <w:rsid w:val="00AF7945"/>
    <w:rsid w:val="00B00821"/>
    <w:rsid w:val="00B01A3F"/>
    <w:rsid w:val="00B0251D"/>
    <w:rsid w:val="00B028F5"/>
    <w:rsid w:val="00B0321E"/>
    <w:rsid w:val="00B03521"/>
    <w:rsid w:val="00B03CA3"/>
    <w:rsid w:val="00B04B9A"/>
    <w:rsid w:val="00B05D65"/>
    <w:rsid w:val="00B0643F"/>
    <w:rsid w:val="00B064E0"/>
    <w:rsid w:val="00B070A4"/>
    <w:rsid w:val="00B104CF"/>
    <w:rsid w:val="00B106D3"/>
    <w:rsid w:val="00B11858"/>
    <w:rsid w:val="00B144EE"/>
    <w:rsid w:val="00B14B74"/>
    <w:rsid w:val="00B14E3B"/>
    <w:rsid w:val="00B16C17"/>
    <w:rsid w:val="00B1757C"/>
    <w:rsid w:val="00B175E8"/>
    <w:rsid w:val="00B20774"/>
    <w:rsid w:val="00B2134F"/>
    <w:rsid w:val="00B218B1"/>
    <w:rsid w:val="00B21E1C"/>
    <w:rsid w:val="00B21E8C"/>
    <w:rsid w:val="00B21EF1"/>
    <w:rsid w:val="00B22000"/>
    <w:rsid w:val="00B2294F"/>
    <w:rsid w:val="00B24B4B"/>
    <w:rsid w:val="00B250EC"/>
    <w:rsid w:val="00B25392"/>
    <w:rsid w:val="00B25A57"/>
    <w:rsid w:val="00B26E16"/>
    <w:rsid w:val="00B270CC"/>
    <w:rsid w:val="00B270E8"/>
    <w:rsid w:val="00B271E4"/>
    <w:rsid w:val="00B27F87"/>
    <w:rsid w:val="00B31F5D"/>
    <w:rsid w:val="00B32097"/>
    <w:rsid w:val="00B32589"/>
    <w:rsid w:val="00B35FAA"/>
    <w:rsid w:val="00B36F0C"/>
    <w:rsid w:val="00B40D0A"/>
    <w:rsid w:val="00B41C63"/>
    <w:rsid w:val="00B425C3"/>
    <w:rsid w:val="00B440AD"/>
    <w:rsid w:val="00B440BB"/>
    <w:rsid w:val="00B444FD"/>
    <w:rsid w:val="00B445A6"/>
    <w:rsid w:val="00B44664"/>
    <w:rsid w:val="00B4492A"/>
    <w:rsid w:val="00B44FE0"/>
    <w:rsid w:val="00B45552"/>
    <w:rsid w:val="00B46312"/>
    <w:rsid w:val="00B46E46"/>
    <w:rsid w:val="00B479BB"/>
    <w:rsid w:val="00B51916"/>
    <w:rsid w:val="00B51FA2"/>
    <w:rsid w:val="00B52CB0"/>
    <w:rsid w:val="00B53E7E"/>
    <w:rsid w:val="00B54195"/>
    <w:rsid w:val="00B541B9"/>
    <w:rsid w:val="00B54B1F"/>
    <w:rsid w:val="00B54C93"/>
    <w:rsid w:val="00B54FC9"/>
    <w:rsid w:val="00B54FCE"/>
    <w:rsid w:val="00B55AEE"/>
    <w:rsid w:val="00B55B87"/>
    <w:rsid w:val="00B561B3"/>
    <w:rsid w:val="00B60925"/>
    <w:rsid w:val="00B610F5"/>
    <w:rsid w:val="00B61867"/>
    <w:rsid w:val="00B61DE3"/>
    <w:rsid w:val="00B62EFE"/>
    <w:rsid w:val="00B632CA"/>
    <w:rsid w:val="00B63322"/>
    <w:rsid w:val="00B633E2"/>
    <w:rsid w:val="00B6342E"/>
    <w:rsid w:val="00B64045"/>
    <w:rsid w:val="00B650A2"/>
    <w:rsid w:val="00B6516D"/>
    <w:rsid w:val="00B65367"/>
    <w:rsid w:val="00B66101"/>
    <w:rsid w:val="00B668E5"/>
    <w:rsid w:val="00B67D9F"/>
    <w:rsid w:val="00B7019F"/>
    <w:rsid w:val="00B701B9"/>
    <w:rsid w:val="00B70578"/>
    <w:rsid w:val="00B7113F"/>
    <w:rsid w:val="00B73A84"/>
    <w:rsid w:val="00B7580C"/>
    <w:rsid w:val="00B7761C"/>
    <w:rsid w:val="00B776B7"/>
    <w:rsid w:val="00B81595"/>
    <w:rsid w:val="00B81704"/>
    <w:rsid w:val="00B825EC"/>
    <w:rsid w:val="00B8341B"/>
    <w:rsid w:val="00B84E20"/>
    <w:rsid w:val="00B85386"/>
    <w:rsid w:val="00B85778"/>
    <w:rsid w:val="00B85C94"/>
    <w:rsid w:val="00B86773"/>
    <w:rsid w:val="00B87469"/>
    <w:rsid w:val="00B87576"/>
    <w:rsid w:val="00B87DF8"/>
    <w:rsid w:val="00B90111"/>
    <w:rsid w:val="00B91A96"/>
    <w:rsid w:val="00B92465"/>
    <w:rsid w:val="00B92505"/>
    <w:rsid w:val="00B93B67"/>
    <w:rsid w:val="00B94935"/>
    <w:rsid w:val="00B94A42"/>
    <w:rsid w:val="00B9550A"/>
    <w:rsid w:val="00BA1E86"/>
    <w:rsid w:val="00BA23F2"/>
    <w:rsid w:val="00BA2BCF"/>
    <w:rsid w:val="00BA34FF"/>
    <w:rsid w:val="00BA43AA"/>
    <w:rsid w:val="00BA5B14"/>
    <w:rsid w:val="00BA64B8"/>
    <w:rsid w:val="00BA6DEC"/>
    <w:rsid w:val="00BA73B6"/>
    <w:rsid w:val="00BA7591"/>
    <w:rsid w:val="00BA77CF"/>
    <w:rsid w:val="00BA7C8B"/>
    <w:rsid w:val="00BA7E27"/>
    <w:rsid w:val="00BB1252"/>
    <w:rsid w:val="00BB23B2"/>
    <w:rsid w:val="00BB2603"/>
    <w:rsid w:val="00BB38AA"/>
    <w:rsid w:val="00BB45D4"/>
    <w:rsid w:val="00BB4738"/>
    <w:rsid w:val="00BB4F07"/>
    <w:rsid w:val="00BB4FCD"/>
    <w:rsid w:val="00BB5835"/>
    <w:rsid w:val="00BB5ABE"/>
    <w:rsid w:val="00BB6AD0"/>
    <w:rsid w:val="00BC0363"/>
    <w:rsid w:val="00BC036F"/>
    <w:rsid w:val="00BC04E9"/>
    <w:rsid w:val="00BC1F56"/>
    <w:rsid w:val="00BC2834"/>
    <w:rsid w:val="00BC49EC"/>
    <w:rsid w:val="00BC5EDF"/>
    <w:rsid w:val="00BC61C9"/>
    <w:rsid w:val="00BC7F6E"/>
    <w:rsid w:val="00BD0197"/>
    <w:rsid w:val="00BD13EA"/>
    <w:rsid w:val="00BD1B74"/>
    <w:rsid w:val="00BD32B9"/>
    <w:rsid w:val="00BD4697"/>
    <w:rsid w:val="00BD6F0E"/>
    <w:rsid w:val="00BD7200"/>
    <w:rsid w:val="00BD7B48"/>
    <w:rsid w:val="00BE333D"/>
    <w:rsid w:val="00BE3420"/>
    <w:rsid w:val="00BE3808"/>
    <w:rsid w:val="00BE4489"/>
    <w:rsid w:val="00BE4C60"/>
    <w:rsid w:val="00BE5D9E"/>
    <w:rsid w:val="00BE70E9"/>
    <w:rsid w:val="00BE7220"/>
    <w:rsid w:val="00BE72B6"/>
    <w:rsid w:val="00BE7C4E"/>
    <w:rsid w:val="00BF0565"/>
    <w:rsid w:val="00BF0AC0"/>
    <w:rsid w:val="00BF1F0C"/>
    <w:rsid w:val="00BF323C"/>
    <w:rsid w:val="00BF33D7"/>
    <w:rsid w:val="00BF65F6"/>
    <w:rsid w:val="00BF689B"/>
    <w:rsid w:val="00BF6CE8"/>
    <w:rsid w:val="00BF7C8C"/>
    <w:rsid w:val="00C004BE"/>
    <w:rsid w:val="00C043A7"/>
    <w:rsid w:val="00C04DBB"/>
    <w:rsid w:val="00C04F9E"/>
    <w:rsid w:val="00C0530C"/>
    <w:rsid w:val="00C062E9"/>
    <w:rsid w:val="00C066DF"/>
    <w:rsid w:val="00C06860"/>
    <w:rsid w:val="00C06B0E"/>
    <w:rsid w:val="00C07B64"/>
    <w:rsid w:val="00C1138D"/>
    <w:rsid w:val="00C132F1"/>
    <w:rsid w:val="00C134E2"/>
    <w:rsid w:val="00C13721"/>
    <w:rsid w:val="00C13F2F"/>
    <w:rsid w:val="00C14FE4"/>
    <w:rsid w:val="00C1570A"/>
    <w:rsid w:val="00C15C36"/>
    <w:rsid w:val="00C164C4"/>
    <w:rsid w:val="00C17E54"/>
    <w:rsid w:val="00C21197"/>
    <w:rsid w:val="00C2139A"/>
    <w:rsid w:val="00C22C09"/>
    <w:rsid w:val="00C231B2"/>
    <w:rsid w:val="00C24686"/>
    <w:rsid w:val="00C2488D"/>
    <w:rsid w:val="00C268C0"/>
    <w:rsid w:val="00C27289"/>
    <w:rsid w:val="00C27B28"/>
    <w:rsid w:val="00C3066D"/>
    <w:rsid w:val="00C31AA9"/>
    <w:rsid w:val="00C32AC9"/>
    <w:rsid w:val="00C32D6F"/>
    <w:rsid w:val="00C35CCB"/>
    <w:rsid w:val="00C366A2"/>
    <w:rsid w:val="00C40575"/>
    <w:rsid w:val="00C41143"/>
    <w:rsid w:val="00C43DCE"/>
    <w:rsid w:val="00C440DE"/>
    <w:rsid w:val="00C44159"/>
    <w:rsid w:val="00C45BDB"/>
    <w:rsid w:val="00C463E3"/>
    <w:rsid w:val="00C46775"/>
    <w:rsid w:val="00C468B9"/>
    <w:rsid w:val="00C47103"/>
    <w:rsid w:val="00C50958"/>
    <w:rsid w:val="00C50B49"/>
    <w:rsid w:val="00C514DA"/>
    <w:rsid w:val="00C518F3"/>
    <w:rsid w:val="00C52416"/>
    <w:rsid w:val="00C52F8B"/>
    <w:rsid w:val="00C53FB0"/>
    <w:rsid w:val="00C543F4"/>
    <w:rsid w:val="00C54816"/>
    <w:rsid w:val="00C54C4D"/>
    <w:rsid w:val="00C5510E"/>
    <w:rsid w:val="00C55E25"/>
    <w:rsid w:val="00C5656D"/>
    <w:rsid w:val="00C56E9B"/>
    <w:rsid w:val="00C5744D"/>
    <w:rsid w:val="00C57B79"/>
    <w:rsid w:val="00C613C9"/>
    <w:rsid w:val="00C6248D"/>
    <w:rsid w:val="00C6291C"/>
    <w:rsid w:val="00C633CB"/>
    <w:rsid w:val="00C64CBA"/>
    <w:rsid w:val="00C65284"/>
    <w:rsid w:val="00C65927"/>
    <w:rsid w:val="00C664CD"/>
    <w:rsid w:val="00C667DF"/>
    <w:rsid w:val="00C67744"/>
    <w:rsid w:val="00C67D64"/>
    <w:rsid w:val="00C70234"/>
    <w:rsid w:val="00C70CD4"/>
    <w:rsid w:val="00C736B7"/>
    <w:rsid w:val="00C738C7"/>
    <w:rsid w:val="00C75F0E"/>
    <w:rsid w:val="00C76978"/>
    <w:rsid w:val="00C769E9"/>
    <w:rsid w:val="00C774B9"/>
    <w:rsid w:val="00C80708"/>
    <w:rsid w:val="00C81D4A"/>
    <w:rsid w:val="00C837B2"/>
    <w:rsid w:val="00C83957"/>
    <w:rsid w:val="00C842C7"/>
    <w:rsid w:val="00C853CE"/>
    <w:rsid w:val="00C86C05"/>
    <w:rsid w:val="00C8762C"/>
    <w:rsid w:val="00C87854"/>
    <w:rsid w:val="00C90B63"/>
    <w:rsid w:val="00C90BFB"/>
    <w:rsid w:val="00C92674"/>
    <w:rsid w:val="00C92818"/>
    <w:rsid w:val="00C92C49"/>
    <w:rsid w:val="00C932E6"/>
    <w:rsid w:val="00C93DF5"/>
    <w:rsid w:val="00C950E9"/>
    <w:rsid w:val="00C9606A"/>
    <w:rsid w:val="00C96846"/>
    <w:rsid w:val="00C9700E"/>
    <w:rsid w:val="00C97EA8"/>
    <w:rsid w:val="00CA00F9"/>
    <w:rsid w:val="00CA08FB"/>
    <w:rsid w:val="00CA0BD6"/>
    <w:rsid w:val="00CA0D9A"/>
    <w:rsid w:val="00CA2961"/>
    <w:rsid w:val="00CA2B29"/>
    <w:rsid w:val="00CA56DF"/>
    <w:rsid w:val="00CA5D20"/>
    <w:rsid w:val="00CA5DB5"/>
    <w:rsid w:val="00CA5E1A"/>
    <w:rsid w:val="00CA5F9B"/>
    <w:rsid w:val="00CA6B0F"/>
    <w:rsid w:val="00CA76BA"/>
    <w:rsid w:val="00CB0D52"/>
    <w:rsid w:val="00CB43BA"/>
    <w:rsid w:val="00CB50D7"/>
    <w:rsid w:val="00CB5C67"/>
    <w:rsid w:val="00CB5D92"/>
    <w:rsid w:val="00CB6096"/>
    <w:rsid w:val="00CB7177"/>
    <w:rsid w:val="00CB7244"/>
    <w:rsid w:val="00CB7CED"/>
    <w:rsid w:val="00CC070F"/>
    <w:rsid w:val="00CC134A"/>
    <w:rsid w:val="00CC1998"/>
    <w:rsid w:val="00CC2015"/>
    <w:rsid w:val="00CC3CC5"/>
    <w:rsid w:val="00CC4946"/>
    <w:rsid w:val="00CC64A1"/>
    <w:rsid w:val="00CC7F4C"/>
    <w:rsid w:val="00CD004B"/>
    <w:rsid w:val="00CD0674"/>
    <w:rsid w:val="00CD0BA7"/>
    <w:rsid w:val="00CD11DC"/>
    <w:rsid w:val="00CD195D"/>
    <w:rsid w:val="00CD4FD3"/>
    <w:rsid w:val="00CD6630"/>
    <w:rsid w:val="00CD7FBC"/>
    <w:rsid w:val="00CE067E"/>
    <w:rsid w:val="00CE1379"/>
    <w:rsid w:val="00CE13B8"/>
    <w:rsid w:val="00CE1505"/>
    <w:rsid w:val="00CE2A3D"/>
    <w:rsid w:val="00CE2A3F"/>
    <w:rsid w:val="00CE2B06"/>
    <w:rsid w:val="00CE392A"/>
    <w:rsid w:val="00CE4407"/>
    <w:rsid w:val="00CE4780"/>
    <w:rsid w:val="00CE49E3"/>
    <w:rsid w:val="00CE515E"/>
    <w:rsid w:val="00CE5356"/>
    <w:rsid w:val="00CE580D"/>
    <w:rsid w:val="00CE5A9F"/>
    <w:rsid w:val="00CE62C4"/>
    <w:rsid w:val="00CE69B9"/>
    <w:rsid w:val="00CE76E0"/>
    <w:rsid w:val="00CE79EF"/>
    <w:rsid w:val="00CF0A1E"/>
    <w:rsid w:val="00CF114E"/>
    <w:rsid w:val="00CF23FB"/>
    <w:rsid w:val="00CF2DBA"/>
    <w:rsid w:val="00CF2E16"/>
    <w:rsid w:val="00CF3012"/>
    <w:rsid w:val="00CF32BA"/>
    <w:rsid w:val="00CF3B11"/>
    <w:rsid w:val="00CF3C66"/>
    <w:rsid w:val="00CF5039"/>
    <w:rsid w:val="00CF53E3"/>
    <w:rsid w:val="00CF55E8"/>
    <w:rsid w:val="00CF6212"/>
    <w:rsid w:val="00CF6F18"/>
    <w:rsid w:val="00CF7730"/>
    <w:rsid w:val="00D028BB"/>
    <w:rsid w:val="00D03A63"/>
    <w:rsid w:val="00D04220"/>
    <w:rsid w:val="00D0632F"/>
    <w:rsid w:val="00D06534"/>
    <w:rsid w:val="00D0781D"/>
    <w:rsid w:val="00D10DFC"/>
    <w:rsid w:val="00D11072"/>
    <w:rsid w:val="00D1179A"/>
    <w:rsid w:val="00D12582"/>
    <w:rsid w:val="00D125CD"/>
    <w:rsid w:val="00D12870"/>
    <w:rsid w:val="00D1308C"/>
    <w:rsid w:val="00D149FF"/>
    <w:rsid w:val="00D150A1"/>
    <w:rsid w:val="00D17E69"/>
    <w:rsid w:val="00D208EE"/>
    <w:rsid w:val="00D215C7"/>
    <w:rsid w:val="00D233EE"/>
    <w:rsid w:val="00D239D2"/>
    <w:rsid w:val="00D23C21"/>
    <w:rsid w:val="00D244DE"/>
    <w:rsid w:val="00D25323"/>
    <w:rsid w:val="00D25373"/>
    <w:rsid w:val="00D256AB"/>
    <w:rsid w:val="00D25C55"/>
    <w:rsid w:val="00D26910"/>
    <w:rsid w:val="00D270A4"/>
    <w:rsid w:val="00D2751B"/>
    <w:rsid w:val="00D316BB"/>
    <w:rsid w:val="00D31787"/>
    <w:rsid w:val="00D31AA5"/>
    <w:rsid w:val="00D31FE9"/>
    <w:rsid w:val="00D32516"/>
    <w:rsid w:val="00D32632"/>
    <w:rsid w:val="00D32C7F"/>
    <w:rsid w:val="00D33C67"/>
    <w:rsid w:val="00D33CDD"/>
    <w:rsid w:val="00D33F90"/>
    <w:rsid w:val="00D34E1B"/>
    <w:rsid w:val="00D356E4"/>
    <w:rsid w:val="00D358C3"/>
    <w:rsid w:val="00D376BA"/>
    <w:rsid w:val="00D4045C"/>
    <w:rsid w:val="00D407E2"/>
    <w:rsid w:val="00D417EE"/>
    <w:rsid w:val="00D44656"/>
    <w:rsid w:val="00D44C06"/>
    <w:rsid w:val="00D45634"/>
    <w:rsid w:val="00D50053"/>
    <w:rsid w:val="00D508CA"/>
    <w:rsid w:val="00D50A69"/>
    <w:rsid w:val="00D50CD8"/>
    <w:rsid w:val="00D522A2"/>
    <w:rsid w:val="00D523C0"/>
    <w:rsid w:val="00D547AC"/>
    <w:rsid w:val="00D54D96"/>
    <w:rsid w:val="00D5568A"/>
    <w:rsid w:val="00D55A96"/>
    <w:rsid w:val="00D565E8"/>
    <w:rsid w:val="00D56AD7"/>
    <w:rsid w:val="00D56B48"/>
    <w:rsid w:val="00D6044A"/>
    <w:rsid w:val="00D611F8"/>
    <w:rsid w:val="00D616B7"/>
    <w:rsid w:val="00D61895"/>
    <w:rsid w:val="00D6273D"/>
    <w:rsid w:val="00D62DE7"/>
    <w:rsid w:val="00D63D73"/>
    <w:rsid w:val="00D64452"/>
    <w:rsid w:val="00D64CD9"/>
    <w:rsid w:val="00D650EB"/>
    <w:rsid w:val="00D651EB"/>
    <w:rsid w:val="00D65433"/>
    <w:rsid w:val="00D655C5"/>
    <w:rsid w:val="00D662A6"/>
    <w:rsid w:val="00D66E1E"/>
    <w:rsid w:val="00D70629"/>
    <w:rsid w:val="00D70696"/>
    <w:rsid w:val="00D7084E"/>
    <w:rsid w:val="00D70C99"/>
    <w:rsid w:val="00D71391"/>
    <w:rsid w:val="00D7223E"/>
    <w:rsid w:val="00D74A49"/>
    <w:rsid w:val="00D75722"/>
    <w:rsid w:val="00D76177"/>
    <w:rsid w:val="00D8095F"/>
    <w:rsid w:val="00D80CF5"/>
    <w:rsid w:val="00D81437"/>
    <w:rsid w:val="00D81497"/>
    <w:rsid w:val="00D81762"/>
    <w:rsid w:val="00D81845"/>
    <w:rsid w:val="00D8286E"/>
    <w:rsid w:val="00D83CC8"/>
    <w:rsid w:val="00D84D3F"/>
    <w:rsid w:val="00D850BE"/>
    <w:rsid w:val="00D85169"/>
    <w:rsid w:val="00D85369"/>
    <w:rsid w:val="00D853E0"/>
    <w:rsid w:val="00D85C2C"/>
    <w:rsid w:val="00D85D5F"/>
    <w:rsid w:val="00D8731C"/>
    <w:rsid w:val="00D87FBF"/>
    <w:rsid w:val="00D90453"/>
    <w:rsid w:val="00D91638"/>
    <w:rsid w:val="00D932C4"/>
    <w:rsid w:val="00D94838"/>
    <w:rsid w:val="00D958E6"/>
    <w:rsid w:val="00D96304"/>
    <w:rsid w:val="00D9693E"/>
    <w:rsid w:val="00D975B1"/>
    <w:rsid w:val="00D97B8F"/>
    <w:rsid w:val="00DA03EF"/>
    <w:rsid w:val="00DA2877"/>
    <w:rsid w:val="00DA33BF"/>
    <w:rsid w:val="00DA3EB4"/>
    <w:rsid w:val="00DA4DF2"/>
    <w:rsid w:val="00DA5BBA"/>
    <w:rsid w:val="00DA6531"/>
    <w:rsid w:val="00DA7714"/>
    <w:rsid w:val="00DA7770"/>
    <w:rsid w:val="00DA7B79"/>
    <w:rsid w:val="00DA7C09"/>
    <w:rsid w:val="00DB05B6"/>
    <w:rsid w:val="00DB26D2"/>
    <w:rsid w:val="00DB2AE0"/>
    <w:rsid w:val="00DB4007"/>
    <w:rsid w:val="00DB4153"/>
    <w:rsid w:val="00DB4ED3"/>
    <w:rsid w:val="00DB60E8"/>
    <w:rsid w:val="00DB67C9"/>
    <w:rsid w:val="00DB791F"/>
    <w:rsid w:val="00DB7DFC"/>
    <w:rsid w:val="00DC00E6"/>
    <w:rsid w:val="00DC0C7C"/>
    <w:rsid w:val="00DC0C95"/>
    <w:rsid w:val="00DC11DE"/>
    <w:rsid w:val="00DC19D7"/>
    <w:rsid w:val="00DC2276"/>
    <w:rsid w:val="00DC2853"/>
    <w:rsid w:val="00DC2AB5"/>
    <w:rsid w:val="00DC2FE9"/>
    <w:rsid w:val="00DC3731"/>
    <w:rsid w:val="00DC3ACD"/>
    <w:rsid w:val="00DC4E2F"/>
    <w:rsid w:val="00DC57BA"/>
    <w:rsid w:val="00DC5E0D"/>
    <w:rsid w:val="00DC67A0"/>
    <w:rsid w:val="00DC766D"/>
    <w:rsid w:val="00DC7EC0"/>
    <w:rsid w:val="00DD0043"/>
    <w:rsid w:val="00DD1069"/>
    <w:rsid w:val="00DD1A02"/>
    <w:rsid w:val="00DD1B20"/>
    <w:rsid w:val="00DD277D"/>
    <w:rsid w:val="00DD2F40"/>
    <w:rsid w:val="00DD3167"/>
    <w:rsid w:val="00DD33F2"/>
    <w:rsid w:val="00DD5E20"/>
    <w:rsid w:val="00DD5F68"/>
    <w:rsid w:val="00DD6580"/>
    <w:rsid w:val="00DD6899"/>
    <w:rsid w:val="00DD6AB3"/>
    <w:rsid w:val="00DD77E1"/>
    <w:rsid w:val="00DE16BB"/>
    <w:rsid w:val="00DE18E9"/>
    <w:rsid w:val="00DE1967"/>
    <w:rsid w:val="00DE2832"/>
    <w:rsid w:val="00DE2D6A"/>
    <w:rsid w:val="00DE33BA"/>
    <w:rsid w:val="00DE3EAB"/>
    <w:rsid w:val="00DE5832"/>
    <w:rsid w:val="00DE5A1B"/>
    <w:rsid w:val="00DE6DC1"/>
    <w:rsid w:val="00DE7528"/>
    <w:rsid w:val="00DE76D9"/>
    <w:rsid w:val="00DE799C"/>
    <w:rsid w:val="00DF215A"/>
    <w:rsid w:val="00DF358F"/>
    <w:rsid w:val="00DF373C"/>
    <w:rsid w:val="00DF4C2E"/>
    <w:rsid w:val="00DF4C3E"/>
    <w:rsid w:val="00DF5B51"/>
    <w:rsid w:val="00E0153E"/>
    <w:rsid w:val="00E01D7F"/>
    <w:rsid w:val="00E03179"/>
    <w:rsid w:val="00E03C9D"/>
    <w:rsid w:val="00E03DCC"/>
    <w:rsid w:val="00E04ED5"/>
    <w:rsid w:val="00E05ED8"/>
    <w:rsid w:val="00E07D1F"/>
    <w:rsid w:val="00E11CA2"/>
    <w:rsid w:val="00E11E7A"/>
    <w:rsid w:val="00E1279C"/>
    <w:rsid w:val="00E12BBF"/>
    <w:rsid w:val="00E13668"/>
    <w:rsid w:val="00E139F5"/>
    <w:rsid w:val="00E14278"/>
    <w:rsid w:val="00E14FA7"/>
    <w:rsid w:val="00E15800"/>
    <w:rsid w:val="00E17C72"/>
    <w:rsid w:val="00E208CA"/>
    <w:rsid w:val="00E21060"/>
    <w:rsid w:val="00E2187D"/>
    <w:rsid w:val="00E21FC6"/>
    <w:rsid w:val="00E23511"/>
    <w:rsid w:val="00E23DF2"/>
    <w:rsid w:val="00E24040"/>
    <w:rsid w:val="00E24CE0"/>
    <w:rsid w:val="00E253FC"/>
    <w:rsid w:val="00E2684E"/>
    <w:rsid w:val="00E30097"/>
    <w:rsid w:val="00E30345"/>
    <w:rsid w:val="00E30AF0"/>
    <w:rsid w:val="00E30D13"/>
    <w:rsid w:val="00E324FA"/>
    <w:rsid w:val="00E32BD2"/>
    <w:rsid w:val="00E345EA"/>
    <w:rsid w:val="00E37D13"/>
    <w:rsid w:val="00E40F47"/>
    <w:rsid w:val="00E418D7"/>
    <w:rsid w:val="00E423EB"/>
    <w:rsid w:val="00E42451"/>
    <w:rsid w:val="00E431A9"/>
    <w:rsid w:val="00E438AC"/>
    <w:rsid w:val="00E43C58"/>
    <w:rsid w:val="00E4464B"/>
    <w:rsid w:val="00E44D2A"/>
    <w:rsid w:val="00E44DA1"/>
    <w:rsid w:val="00E468A0"/>
    <w:rsid w:val="00E47114"/>
    <w:rsid w:val="00E51454"/>
    <w:rsid w:val="00E51E80"/>
    <w:rsid w:val="00E52939"/>
    <w:rsid w:val="00E53084"/>
    <w:rsid w:val="00E53D07"/>
    <w:rsid w:val="00E55194"/>
    <w:rsid w:val="00E56938"/>
    <w:rsid w:val="00E57D99"/>
    <w:rsid w:val="00E60CAD"/>
    <w:rsid w:val="00E60CC9"/>
    <w:rsid w:val="00E6257F"/>
    <w:rsid w:val="00E63228"/>
    <w:rsid w:val="00E641E2"/>
    <w:rsid w:val="00E653BF"/>
    <w:rsid w:val="00E669E2"/>
    <w:rsid w:val="00E700CC"/>
    <w:rsid w:val="00E7042D"/>
    <w:rsid w:val="00E70981"/>
    <w:rsid w:val="00E71D66"/>
    <w:rsid w:val="00E7208E"/>
    <w:rsid w:val="00E72857"/>
    <w:rsid w:val="00E72AFB"/>
    <w:rsid w:val="00E73845"/>
    <w:rsid w:val="00E7387C"/>
    <w:rsid w:val="00E75046"/>
    <w:rsid w:val="00E75654"/>
    <w:rsid w:val="00E76135"/>
    <w:rsid w:val="00E770E8"/>
    <w:rsid w:val="00E778A1"/>
    <w:rsid w:val="00E8167B"/>
    <w:rsid w:val="00E81C1A"/>
    <w:rsid w:val="00E81E77"/>
    <w:rsid w:val="00E8244D"/>
    <w:rsid w:val="00E82CCC"/>
    <w:rsid w:val="00E82F4F"/>
    <w:rsid w:val="00E831B7"/>
    <w:rsid w:val="00E8378C"/>
    <w:rsid w:val="00E84171"/>
    <w:rsid w:val="00E85091"/>
    <w:rsid w:val="00E864DF"/>
    <w:rsid w:val="00E874D1"/>
    <w:rsid w:val="00E87B62"/>
    <w:rsid w:val="00E9035C"/>
    <w:rsid w:val="00E90B22"/>
    <w:rsid w:val="00E9435C"/>
    <w:rsid w:val="00E95267"/>
    <w:rsid w:val="00E95919"/>
    <w:rsid w:val="00E96EC5"/>
    <w:rsid w:val="00E97639"/>
    <w:rsid w:val="00EA033C"/>
    <w:rsid w:val="00EA06F8"/>
    <w:rsid w:val="00EA1AFF"/>
    <w:rsid w:val="00EA1C25"/>
    <w:rsid w:val="00EA37A3"/>
    <w:rsid w:val="00EA3D46"/>
    <w:rsid w:val="00EA53FD"/>
    <w:rsid w:val="00EA5475"/>
    <w:rsid w:val="00EA59E5"/>
    <w:rsid w:val="00EA5CF3"/>
    <w:rsid w:val="00EB0811"/>
    <w:rsid w:val="00EB0D29"/>
    <w:rsid w:val="00EB3496"/>
    <w:rsid w:val="00EB3888"/>
    <w:rsid w:val="00EB388F"/>
    <w:rsid w:val="00EB3CB0"/>
    <w:rsid w:val="00EB4972"/>
    <w:rsid w:val="00EB53F9"/>
    <w:rsid w:val="00EB5CC0"/>
    <w:rsid w:val="00EB6008"/>
    <w:rsid w:val="00EB6914"/>
    <w:rsid w:val="00EB7B6F"/>
    <w:rsid w:val="00EC0379"/>
    <w:rsid w:val="00EC06FA"/>
    <w:rsid w:val="00EC0A05"/>
    <w:rsid w:val="00EC2844"/>
    <w:rsid w:val="00EC2D05"/>
    <w:rsid w:val="00EC4627"/>
    <w:rsid w:val="00EC5500"/>
    <w:rsid w:val="00EC643B"/>
    <w:rsid w:val="00EC6DFA"/>
    <w:rsid w:val="00EC73F6"/>
    <w:rsid w:val="00EC7513"/>
    <w:rsid w:val="00ED09EA"/>
    <w:rsid w:val="00ED18F8"/>
    <w:rsid w:val="00ED281D"/>
    <w:rsid w:val="00ED37D2"/>
    <w:rsid w:val="00ED3AF0"/>
    <w:rsid w:val="00ED3CEF"/>
    <w:rsid w:val="00ED3FA2"/>
    <w:rsid w:val="00ED49D2"/>
    <w:rsid w:val="00ED54AD"/>
    <w:rsid w:val="00ED5B37"/>
    <w:rsid w:val="00ED5F86"/>
    <w:rsid w:val="00ED60A1"/>
    <w:rsid w:val="00ED6D93"/>
    <w:rsid w:val="00ED7471"/>
    <w:rsid w:val="00ED7EA6"/>
    <w:rsid w:val="00EE00D4"/>
    <w:rsid w:val="00EE0E7E"/>
    <w:rsid w:val="00EE0FCB"/>
    <w:rsid w:val="00EE1837"/>
    <w:rsid w:val="00EE1DCE"/>
    <w:rsid w:val="00EE3175"/>
    <w:rsid w:val="00EE3865"/>
    <w:rsid w:val="00EE46D3"/>
    <w:rsid w:val="00EE49AF"/>
    <w:rsid w:val="00EE4F0C"/>
    <w:rsid w:val="00EE4F1E"/>
    <w:rsid w:val="00EE53E2"/>
    <w:rsid w:val="00EE5809"/>
    <w:rsid w:val="00EE5D2A"/>
    <w:rsid w:val="00EE634D"/>
    <w:rsid w:val="00EE659E"/>
    <w:rsid w:val="00EE6DEC"/>
    <w:rsid w:val="00EE6EDA"/>
    <w:rsid w:val="00EE7CF8"/>
    <w:rsid w:val="00EF200E"/>
    <w:rsid w:val="00EF21B3"/>
    <w:rsid w:val="00EF37E3"/>
    <w:rsid w:val="00EF527D"/>
    <w:rsid w:val="00EF6C6C"/>
    <w:rsid w:val="00EF6CE2"/>
    <w:rsid w:val="00EF6DC9"/>
    <w:rsid w:val="00EF7859"/>
    <w:rsid w:val="00F007E9"/>
    <w:rsid w:val="00F00FA6"/>
    <w:rsid w:val="00F01DB9"/>
    <w:rsid w:val="00F02166"/>
    <w:rsid w:val="00F03350"/>
    <w:rsid w:val="00F03FAC"/>
    <w:rsid w:val="00F04A9C"/>
    <w:rsid w:val="00F04BD6"/>
    <w:rsid w:val="00F053D0"/>
    <w:rsid w:val="00F0569B"/>
    <w:rsid w:val="00F056FC"/>
    <w:rsid w:val="00F0632F"/>
    <w:rsid w:val="00F064E5"/>
    <w:rsid w:val="00F069AE"/>
    <w:rsid w:val="00F06C63"/>
    <w:rsid w:val="00F06F73"/>
    <w:rsid w:val="00F1031F"/>
    <w:rsid w:val="00F103CD"/>
    <w:rsid w:val="00F10476"/>
    <w:rsid w:val="00F134A1"/>
    <w:rsid w:val="00F135D8"/>
    <w:rsid w:val="00F14186"/>
    <w:rsid w:val="00F161E1"/>
    <w:rsid w:val="00F17509"/>
    <w:rsid w:val="00F17870"/>
    <w:rsid w:val="00F17F21"/>
    <w:rsid w:val="00F20529"/>
    <w:rsid w:val="00F20F98"/>
    <w:rsid w:val="00F21BB3"/>
    <w:rsid w:val="00F21E3C"/>
    <w:rsid w:val="00F24394"/>
    <w:rsid w:val="00F244B2"/>
    <w:rsid w:val="00F2458A"/>
    <w:rsid w:val="00F24E59"/>
    <w:rsid w:val="00F24ECE"/>
    <w:rsid w:val="00F25668"/>
    <w:rsid w:val="00F2602E"/>
    <w:rsid w:val="00F26050"/>
    <w:rsid w:val="00F27412"/>
    <w:rsid w:val="00F309AD"/>
    <w:rsid w:val="00F31299"/>
    <w:rsid w:val="00F3176C"/>
    <w:rsid w:val="00F32D5A"/>
    <w:rsid w:val="00F33839"/>
    <w:rsid w:val="00F33B6E"/>
    <w:rsid w:val="00F34D21"/>
    <w:rsid w:val="00F34D7D"/>
    <w:rsid w:val="00F34F33"/>
    <w:rsid w:val="00F3534A"/>
    <w:rsid w:val="00F3638A"/>
    <w:rsid w:val="00F36E48"/>
    <w:rsid w:val="00F42E9C"/>
    <w:rsid w:val="00F43698"/>
    <w:rsid w:val="00F43B2F"/>
    <w:rsid w:val="00F44726"/>
    <w:rsid w:val="00F455C5"/>
    <w:rsid w:val="00F501F8"/>
    <w:rsid w:val="00F50459"/>
    <w:rsid w:val="00F5136A"/>
    <w:rsid w:val="00F5149C"/>
    <w:rsid w:val="00F51609"/>
    <w:rsid w:val="00F51C15"/>
    <w:rsid w:val="00F51E2C"/>
    <w:rsid w:val="00F52CEE"/>
    <w:rsid w:val="00F534E0"/>
    <w:rsid w:val="00F5358E"/>
    <w:rsid w:val="00F53DEE"/>
    <w:rsid w:val="00F54CD6"/>
    <w:rsid w:val="00F551FF"/>
    <w:rsid w:val="00F5549D"/>
    <w:rsid w:val="00F55C25"/>
    <w:rsid w:val="00F56321"/>
    <w:rsid w:val="00F56C05"/>
    <w:rsid w:val="00F6092A"/>
    <w:rsid w:val="00F61F0E"/>
    <w:rsid w:val="00F65767"/>
    <w:rsid w:val="00F667EE"/>
    <w:rsid w:val="00F674D0"/>
    <w:rsid w:val="00F70B45"/>
    <w:rsid w:val="00F728CC"/>
    <w:rsid w:val="00F73049"/>
    <w:rsid w:val="00F73744"/>
    <w:rsid w:val="00F7462D"/>
    <w:rsid w:val="00F748CE"/>
    <w:rsid w:val="00F75C21"/>
    <w:rsid w:val="00F76398"/>
    <w:rsid w:val="00F766A7"/>
    <w:rsid w:val="00F769FC"/>
    <w:rsid w:val="00F77321"/>
    <w:rsid w:val="00F77D00"/>
    <w:rsid w:val="00F77F44"/>
    <w:rsid w:val="00F81006"/>
    <w:rsid w:val="00F823DD"/>
    <w:rsid w:val="00F836F9"/>
    <w:rsid w:val="00F83D65"/>
    <w:rsid w:val="00F85325"/>
    <w:rsid w:val="00F864AD"/>
    <w:rsid w:val="00F8670C"/>
    <w:rsid w:val="00F879F6"/>
    <w:rsid w:val="00F87E62"/>
    <w:rsid w:val="00F9067B"/>
    <w:rsid w:val="00F93D06"/>
    <w:rsid w:val="00F93F2E"/>
    <w:rsid w:val="00F93F4C"/>
    <w:rsid w:val="00F95733"/>
    <w:rsid w:val="00F95AB2"/>
    <w:rsid w:val="00F95EBD"/>
    <w:rsid w:val="00F96959"/>
    <w:rsid w:val="00F969C6"/>
    <w:rsid w:val="00F96FA5"/>
    <w:rsid w:val="00F97098"/>
    <w:rsid w:val="00FA0E63"/>
    <w:rsid w:val="00FA1DBF"/>
    <w:rsid w:val="00FA3D73"/>
    <w:rsid w:val="00FA4633"/>
    <w:rsid w:val="00FA475A"/>
    <w:rsid w:val="00FA4E24"/>
    <w:rsid w:val="00FA7B39"/>
    <w:rsid w:val="00FB0A5B"/>
    <w:rsid w:val="00FB20A0"/>
    <w:rsid w:val="00FB23C1"/>
    <w:rsid w:val="00FB2485"/>
    <w:rsid w:val="00FB2F6D"/>
    <w:rsid w:val="00FB3494"/>
    <w:rsid w:val="00FB3942"/>
    <w:rsid w:val="00FB41B0"/>
    <w:rsid w:val="00FB430F"/>
    <w:rsid w:val="00FB4BA2"/>
    <w:rsid w:val="00FC1059"/>
    <w:rsid w:val="00FC2299"/>
    <w:rsid w:val="00FC26FB"/>
    <w:rsid w:val="00FC29FB"/>
    <w:rsid w:val="00FC2B38"/>
    <w:rsid w:val="00FC2D27"/>
    <w:rsid w:val="00FC34C6"/>
    <w:rsid w:val="00FC42CF"/>
    <w:rsid w:val="00FC4791"/>
    <w:rsid w:val="00FC49A8"/>
    <w:rsid w:val="00FC4CA0"/>
    <w:rsid w:val="00FC7712"/>
    <w:rsid w:val="00FD1208"/>
    <w:rsid w:val="00FD22B1"/>
    <w:rsid w:val="00FD232B"/>
    <w:rsid w:val="00FD256D"/>
    <w:rsid w:val="00FD2A00"/>
    <w:rsid w:val="00FD33F1"/>
    <w:rsid w:val="00FD3566"/>
    <w:rsid w:val="00FD6851"/>
    <w:rsid w:val="00FD7923"/>
    <w:rsid w:val="00FE0896"/>
    <w:rsid w:val="00FE1CE0"/>
    <w:rsid w:val="00FE21B4"/>
    <w:rsid w:val="00FE27BB"/>
    <w:rsid w:val="00FE39E1"/>
    <w:rsid w:val="00FE43DE"/>
    <w:rsid w:val="00FE4C15"/>
    <w:rsid w:val="00FE5048"/>
    <w:rsid w:val="00FE5397"/>
    <w:rsid w:val="00FE53A4"/>
    <w:rsid w:val="00FE5920"/>
    <w:rsid w:val="00FE761D"/>
    <w:rsid w:val="00FF0055"/>
    <w:rsid w:val="00FF154B"/>
    <w:rsid w:val="00FF1972"/>
    <w:rsid w:val="00FF1CBD"/>
    <w:rsid w:val="00FF1E7C"/>
    <w:rsid w:val="00FF3D96"/>
    <w:rsid w:val="00FF48E3"/>
    <w:rsid w:val="00FF4F03"/>
    <w:rsid w:val="00FF500C"/>
    <w:rsid w:val="00FF5307"/>
    <w:rsid w:val="00FF53DA"/>
    <w:rsid w:val="00FF583D"/>
    <w:rsid w:val="00FF5BD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61"/>
    <o:shapelayout v:ext="edit">
      <o:idmap v:ext="edit" data="1"/>
    </o:shapelayout>
  </w:shapeDefaults>
  <w:decimalSymbol w:val="."/>
  <w:listSeparator w:val=","/>
  <w14:docId w14:val="67C12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No List" w:uiPriority="9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775E4D"/>
    <w:rPr>
      <w:sz w:val="24"/>
      <w:szCs w:val="24"/>
    </w:rPr>
  </w:style>
  <w:style w:type="paragraph" w:styleId="Heading1">
    <w:name w:val="heading 1"/>
    <w:basedOn w:val="BodyText"/>
    <w:next w:val="BodyText"/>
    <w:rsid w:val="00FD22B1"/>
    <w:pPr>
      <w:keepNext/>
      <w:spacing w:before="160" w:after="1360" w:line="600" w:lineRule="exact"/>
      <w:ind w:left="907" w:hanging="907"/>
      <w:jc w:val="left"/>
      <w:outlineLvl w:val="0"/>
    </w:pPr>
    <w:rPr>
      <w:sz w:val="52"/>
    </w:rPr>
  </w:style>
  <w:style w:type="paragraph" w:styleId="Heading2">
    <w:name w:val="heading 2"/>
    <w:basedOn w:val="Chapter"/>
    <w:next w:val="BodyText"/>
    <w:link w:val="Heading2Char"/>
    <w:qFormat/>
    <w:rsid w:val="00A17328"/>
    <w:pPr>
      <w:spacing w:before="600" w:after="0" w:line="400" w:lineRule="exact"/>
      <w:ind w:left="907" w:hanging="907"/>
      <w:outlineLvl w:val="1"/>
    </w:pPr>
    <w:rPr>
      <w:rFonts w:ascii="Arial" w:hAnsi="Arial"/>
      <w:b/>
      <w:sz w:val="32"/>
    </w:rPr>
  </w:style>
  <w:style w:type="paragraph" w:styleId="Heading3">
    <w:name w:val="heading 3"/>
    <w:basedOn w:val="Heading2"/>
    <w:next w:val="BodyText"/>
    <w:link w:val="Heading3Char"/>
    <w:qFormat/>
    <w:rsid w:val="00A17328"/>
    <w:pPr>
      <w:spacing w:before="560" w:line="320" w:lineRule="exact"/>
      <w:ind w:left="0" w:firstLine="0"/>
      <w:outlineLvl w:val="2"/>
    </w:pPr>
    <w:rPr>
      <w:sz w:val="26"/>
    </w:rPr>
  </w:style>
  <w:style w:type="paragraph" w:styleId="Heading4">
    <w:name w:val="heading 4"/>
    <w:basedOn w:val="Heading3"/>
    <w:next w:val="BodyText"/>
    <w:link w:val="Heading4Char"/>
    <w:qFormat/>
    <w:rsid w:val="00812F4A"/>
    <w:pPr>
      <w:spacing w:before="480"/>
      <w:outlineLvl w:val="3"/>
    </w:pPr>
    <w:rPr>
      <w:b w:val="0"/>
      <w:sz w:val="24"/>
    </w:rPr>
  </w:style>
  <w:style w:type="paragraph" w:styleId="Heading5">
    <w:name w:val="heading 5"/>
    <w:basedOn w:val="Heading4"/>
    <w:next w:val="BodyText"/>
    <w:link w:val="Heading5Char"/>
    <w:qFormat/>
    <w:rsid w:val="00812F4A"/>
    <w:pPr>
      <w:outlineLvl w:val="4"/>
    </w:pPr>
    <w:rPr>
      <w:i/>
      <w:sz w:val="22"/>
    </w:rPr>
  </w:style>
  <w:style w:type="paragraph" w:styleId="Heading6">
    <w:name w:val="heading 6"/>
    <w:basedOn w:val="BodyText"/>
    <w:next w:val="BodyText"/>
    <w:semiHidden/>
    <w:rsid w:val="00A17328"/>
    <w:pPr>
      <w:spacing w:after="60"/>
      <w:jc w:val="left"/>
      <w:outlineLvl w:val="5"/>
    </w:pPr>
    <w:rPr>
      <w:i/>
      <w:sz w:val="22"/>
    </w:rPr>
  </w:style>
  <w:style w:type="paragraph" w:styleId="Heading7">
    <w:name w:val="heading 7"/>
    <w:basedOn w:val="BodyText"/>
    <w:next w:val="BodyText"/>
    <w:semiHidden/>
    <w:rsid w:val="00A17328"/>
    <w:pPr>
      <w:spacing w:after="60" w:line="240" w:lineRule="auto"/>
      <w:jc w:val="left"/>
      <w:outlineLvl w:val="6"/>
    </w:pPr>
    <w:rPr>
      <w:rFonts w:ascii="Arial" w:hAnsi="Arial"/>
      <w:sz w:val="20"/>
    </w:rPr>
  </w:style>
  <w:style w:type="paragraph" w:styleId="Heading8">
    <w:name w:val="heading 8"/>
    <w:basedOn w:val="BodyText"/>
    <w:next w:val="BodyText"/>
    <w:semiHidden/>
    <w:rsid w:val="00A17328"/>
    <w:pPr>
      <w:spacing w:after="60" w:line="240" w:lineRule="auto"/>
      <w:jc w:val="left"/>
      <w:outlineLvl w:val="7"/>
    </w:pPr>
    <w:rPr>
      <w:rFonts w:ascii="Arial" w:hAnsi="Arial"/>
      <w:i/>
      <w:sz w:val="20"/>
    </w:rPr>
  </w:style>
  <w:style w:type="paragraph" w:styleId="Heading9">
    <w:name w:val="heading 9"/>
    <w:basedOn w:val="BodyText"/>
    <w:next w:val="BodyText"/>
    <w:semiHidden/>
    <w:rsid w:val="00A17328"/>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812F4A"/>
    <w:pPr>
      <w:spacing w:before="240" w:line="300" w:lineRule="atLeast"/>
      <w:jc w:val="both"/>
    </w:pPr>
    <w:rPr>
      <w:sz w:val="24"/>
    </w:rPr>
  </w:style>
  <w:style w:type="paragraph" w:styleId="Footer">
    <w:name w:val="footer"/>
    <w:basedOn w:val="BodyText"/>
    <w:link w:val="FooterChar"/>
    <w:semiHidden/>
    <w:rsid w:val="00E01D7F"/>
    <w:pPr>
      <w:spacing w:before="80" w:line="200" w:lineRule="exact"/>
      <w:ind w:right="6"/>
      <w:jc w:val="left"/>
    </w:pPr>
    <w:rPr>
      <w:rFonts w:ascii="Arial" w:hAnsi="Arial"/>
      <w:caps/>
      <w:spacing w:val="-4"/>
      <w:sz w:val="16"/>
    </w:rPr>
  </w:style>
  <w:style w:type="paragraph" w:customStyle="1" w:styleId="FooterEnd">
    <w:name w:val="Footer End"/>
    <w:basedOn w:val="Footer"/>
    <w:rsid w:val="00A17328"/>
    <w:pPr>
      <w:spacing w:before="0" w:line="20" w:lineRule="exact"/>
    </w:pPr>
  </w:style>
  <w:style w:type="paragraph" w:styleId="Header">
    <w:name w:val="header"/>
    <w:basedOn w:val="BodyText"/>
    <w:rsid w:val="00A17328"/>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914368"/>
    <w:pPr>
      <w:spacing w:line="20" w:lineRule="exact"/>
    </w:pPr>
    <w:rPr>
      <w:sz w:val="16"/>
    </w:rPr>
  </w:style>
  <w:style w:type="paragraph" w:customStyle="1" w:styleId="HeaderEven">
    <w:name w:val="Header Even"/>
    <w:basedOn w:val="Header"/>
    <w:semiHidden/>
    <w:rsid w:val="00C543F4"/>
  </w:style>
  <w:style w:type="paragraph" w:customStyle="1" w:styleId="HeaderOdd">
    <w:name w:val="Header Odd"/>
    <w:basedOn w:val="Header"/>
    <w:semiHidden/>
    <w:rsid w:val="00C543F4"/>
  </w:style>
  <w:style w:type="character" w:styleId="PageNumber">
    <w:name w:val="page number"/>
    <w:basedOn w:val="DefaultParagraphFont"/>
    <w:rsid w:val="00A17328"/>
    <w:rPr>
      <w:rFonts w:ascii="Arial" w:hAnsi="Arial"/>
      <w:b/>
      <w:sz w:val="16"/>
    </w:rPr>
  </w:style>
  <w:style w:type="paragraph" w:customStyle="1" w:styleId="Abbreviation">
    <w:name w:val="Abbreviation"/>
    <w:basedOn w:val="BodyText"/>
    <w:rsid w:val="00A17328"/>
    <w:pPr>
      <w:spacing w:before="120"/>
      <w:ind w:left="2381" w:hanging="2381"/>
      <w:jc w:val="left"/>
    </w:pPr>
  </w:style>
  <w:style w:type="paragraph" w:customStyle="1" w:styleId="Box">
    <w:name w:val="Box"/>
    <w:basedOn w:val="BodyText"/>
    <w:qFormat/>
    <w:rsid w:val="00812F4A"/>
    <w:pPr>
      <w:keepNext/>
      <w:spacing w:before="120" w:line="260" w:lineRule="atLeast"/>
    </w:pPr>
    <w:rPr>
      <w:rFonts w:ascii="Arial" w:hAnsi="Arial"/>
      <w:sz w:val="20"/>
    </w:rPr>
  </w:style>
  <w:style w:type="paragraph" w:customStyle="1" w:styleId="BoxContinued">
    <w:name w:val="Box Continued"/>
    <w:basedOn w:val="BodyText"/>
    <w:next w:val="BodyText"/>
    <w:semiHidden/>
    <w:rsid w:val="00A17328"/>
    <w:pPr>
      <w:spacing w:before="180" w:line="220" w:lineRule="exact"/>
      <w:jc w:val="right"/>
    </w:pPr>
    <w:rPr>
      <w:rFonts w:ascii="Arial" w:hAnsi="Arial"/>
      <w:sz w:val="18"/>
    </w:rPr>
  </w:style>
  <w:style w:type="paragraph" w:customStyle="1" w:styleId="BoxHeading1">
    <w:name w:val="Box Heading 1"/>
    <w:basedOn w:val="BodyText"/>
    <w:next w:val="Box"/>
    <w:rsid w:val="00A17328"/>
    <w:pPr>
      <w:keepNext/>
      <w:spacing w:before="200" w:line="280" w:lineRule="atLeast"/>
    </w:pPr>
    <w:rPr>
      <w:rFonts w:ascii="Arial" w:hAnsi="Arial"/>
      <w:b/>
      <w:sz w:val="22"/>
    </w:rPr>
  </w:style>
  <w:style w:type="paragraph" w:customStyle="1" w:styleId="BoxHeading2">
    <w:name w:val="Box Heading 2"/>
    <w:basedOn w:val="BoxHeading1"/>
    <w:next w:val="Normal"/>
    <w:rsid w:val="00A17328"/>
    <w:rPr>
      <w:b w:val="0"/>
      <w:i/>
    </w:rPr>
  </w:style>
  <w:style w:type="paragraph" w:customStyle="1" w:styleId="BoxListBullet">
    <w:name w:val="Box List Bullet"/>
    <w:basedOn w:val="BodyText"/>
    <w:rsid w:val="009F5BBD"/>
    <w:pPr>
      <w:keepNext/>
      <w:numPr>
        <w:numId w:val="1"/>
      </w:numPr>
      <w:spacing w:before="100" w:line="260" w:lineRule="atLeast"/>
    </w:pPr>
    <w:rPr>
      <w:rFonts w:ascii="Arial" w:hAnsi="Arial"/>
      <w:sz w:val="20"/>
    </w:rPr>
  </w:style>
  <w:style w:type="paragraph" w:customStyle="1" w:styleId="BoxListBullet2">
    <w:name w:val="Box List Bullet 2"/>
    <w:basedOn w:val="BoxListBullet"/>
    <w:rsid w:val="00812F4A"/>
    <w:pPr>
      <w:numPr>
        <w:numId w:val="13"/>
      </w:numPr>
      <w:ind w:left="568" w:hanging="284"/>
    </w:pPr>
  </w:style>
  <w:style w:type="paragraph" w:customStyle="1" w:styleId="BoxListNumber">
    <w:name w:val="Box List Number"/>
    <w:basedOn w:val="BodyText"/>
    <w:rsid w:val="00812F4A"/>
    <w:pPr>
      <w:keepNext/>
      <w:numPr>
        <w:numId w:val="10"/>
      </w:numPr>
      <w:spacing w:before="100" w:line="260" w:lineRule="atLeast"/>
    </w:pPr>
    <w:rPr>
      <w:rFonts w:ascii="Arial" w:hAnsi="Arial"/>
      <w:sz w:val="20"/>
    </w:rPr>
  </w:style>
  <w:style w:type="paragraph" w:customStyle="1" w:styleId="BoxListNumber2">
    <w:name w:val="Box List Number 2"/>
    <w:basedOn w:val="BoxListNumber"/>
    <w:rsid w:val="00055077"/>
    <w:pPr>
      <w:numPr>
        <w:ilvl w:val="1"/>
      </w:numPr>
      <w:ind w:left="681" w:hanging="397"/>
    </w:pPr>
  </w:style>
  <w:style w:type="paragraph" w:customStyle="1" w:styleId="BoxQuote">
    <w:name w:val="Box Quote"/>
    <w:basedOn w:val="BodyText"/>
    <w:next w:val="Box"/>
    <w:qFormat/>
    <w:rsid w:val="00812F4A"/>
    <w:pPr>
      <w:keepNext/>
      <w:spacing w:before="60" w:line="240" w:lineRule="exact"/>
      <w:ind w:left="284"/>
    </w:pPr>
    <w:rPr>
      <w:rFonts w:ascii="Arial" w:hAnsi="Arial"/>
      <w:sz w:val="18"/>
    </w:rPr>
  </w:style>
  <w:style w:type="paragraph" w:customStyle="1" w:styleId="Note">
    <w:name w:val="Note"/>
    <w:basedOn w:val="BodyText"/>
    <w:next w:val="BodyText"/>
    <w:rsid w:val="00812F4A"/>
    <w:pPr>
      <w:keepLines/>
      <w:spacing w:before="80" w:line="220" w:lineRule="exact"/>
    </w:pPr>
    <w:rPr>
      <w:rFonts w:ascii="Arial" w:hAnsi="Arial"/>
      <w:sz w:val="18"/>
    </w:rPr>
  </w:style>
  <w:style w:type="paragraph" w:customStyle="1" w:styleId="Source">
    <w:name w:val="Source"/>
    <w:basedOn w:val="Normal"/>
    <w:next w:val="BodyText"/>
    <w:rsid w:val="00517795"/>
    <w:pPr>
      <w:keepLines/>
      <w:spacing w:before="80" w:line="220" w:lineRule="exact"/>
      <w:jc w:val="both"/>
    </w:pPr>
    <w:rPr>
      <w:rFonts w:ascii="Arial" w:hAnsi="Arial"/>
      <w:sz w:val="18"/>
    </w:rPr>
  </w:style>
  <w:style w:type="paragraph" w:customStyle="1" w:styleId="BoxSource">
    <w:name w:val="Box Source"/>
    <w:basedOn w:val="Source"/>
    <w:next w:val="BodyText"/>
    <w:rsid w:val="009F74EF"/>
    <w:pPr>
      <w:spacing w:before="120"/>
    </w:pPr>
  </w:style>
  <w:style w:type="paragraph" w:customStyle="1" w:styleId="BoxSpaceAbove">
    <w:name w:val="Box Space Above"/>
    <w:basedOn w:val="BodyText"/>
    <w:rsid w:val="00A17328"/>
    <w:pPr>
      <w:keepNext/>
      <w:spacing w:before="360" w:line="80" w:lineRule="exact"/>
      <w:jc w:val="left"/>
    </w:pPr>
  </w:style>
  <w:style w:type="paragraph" w:styleId="Caption">
    <w:name w:val="caption"/>
    <w:basedOn w:val="Normal"/>
    <w:next w:val="BodyText"/>
    <w:rsid w:val="00A17328"/>
    <w:pPr>
      <w:keepNext/>
      <w:keepLines/>
      <w:spacing w:before="360" w:after="80" w:line="280" w:lineRule="exact"/>
      <w:ind w:left="1474" w:hanging="1474"/>
    </w:pPr>
    <w:rPr>
      <w:rFonts w:ascii="Arial" w:hAnsi="Arial"/>
      <w:b/>
    </w:rPr>
  </w:style>
  <w:style w:type="paragraph" w:customStyle="1" w:styleId="BoxTitle">
    <w:name w:val="Box Title"/>
    <w:basedOn w:val="Caption"/>
    <w:next w:val="BoxSubtitle"/>
    <w:rsid w:val="009F74EF"/>
    <w:pPr>
      <w:spacing w:before="120" w:after="0"/>
    </w:pPr>
  </w:style>
  <w:style w:type="paragraph" w:customStyle="1" w:styleId="BoxSubtitle">
    <w:name w:val="Box Subtitle"/>
    <w:basedOn w:val="BoxTitle"/>
    <w:next w:val="Normal"/>
    <w:rsid w:val="009F74EF"/>
    <w:pPr>
      <w:spacing w:after="80" w:line="200" w:lineRule="exact"/>
      <w:ind w:firstLine="0"/>
    </w:pPr>
    <w:rPr>
      <w:b w:val="0"/>
      <w:sz w:val="20"/>
    </w:rPr>
  </w:style>
  <w:style w:type="paragraph" w:customStyle="1" w:styleId="Chapter">
    <w:name w:val="Chapter"/>
    <w:basedOn w:val="Heading1"/>
    <w:next w:val="BodyText"/>
    <w:semiHidden/>
    <w:rsid w:val="00A17328"/>
    <w:pPr>
      <w:ind w:left="0" w:firstLine="0"/>
      <w:outlineLvl w:val="9"/>
    </w:pPr>
  </w:style>
  <w:style w:type="paragraph" w:customStyle="1" w:styleId="ChapterSummary">
    <w:name w:val="Chapter Summary"/>
    <w:basedOn w:val="BodyText"/>
    <w:rsid w:val="00517795"/>
    <w:pPr>
      <w:spacing w:line="280" w:lineRule="atLeast"/>
      <w:ind w:left="907"/>
    </w:pPr>
    <w:rPr>
      <w:rFonts w:ascii="Arial" w:hAnsi="Arial"/>
      <w:b/>
      <w:sz w:val="20"/>
    </w:rPr>
  </w:style>
  <w:style w:type="character" w:styleId="CommentReference">
    <w:name w:val="annotation reference"/>
    <w:basedOn w:val="DefaultParagraphFont"/>
    <w:semiHidden/>
    <w:rsid w:val="00A17328"/>
    <w:rPr>
      <w:b/>
      <w:vanish/>
      <w:color w:val="FF00FF"/>
      <w:sz w:val="20"/>
    </w:rPr>
  </w:style>
  <w:style w:type="paragraph" w:styleId="CommentText">
    <w:name w:val="annotation text"/>
    <w:basedOn w:val="Normal"/>
    <w:link w:val="CommentTextChar"/>
    <w:semiHidden/>
    <w:rsid w:val="00A17328"/>
    <w:pPr>
      <w:spacing w:before="120" w:line="240" w:lineRule="atLeast"/>
      <w:ind w:left="567" w:hanging="567"/>
    </w:pPr>
    <w:rPr>
      <w:sz w:val="20"/>
    </w:rPr>
  </w:style>
  <w:style w:type="paragraph" w:customStyle="1" w:styleId="Continued">
    <w:name w:val="Continued"/>
    <w:basedOn w:val="BoxContinued"/>
    <w:next w:val="BodyText"/>
    <w:rsid w:val="00517795"/>
  </w:style>
  <w:style w:type="character" w:customStyle="1" w:styleId="DocumentInfo">
    <w:name w:val="Document Info"/>
    <w:basedOn w:val="DefaultParagraphFont"/>
    <w:semiHidden/>
    <w:rsid w:val="00A17328"/>
    <w:rPr>
      <w:rFonts w:ascii="Arial" w:hAnsi="Arial"/>
      <w:sz w:val="14"/>
    </w:rPr>
  </w:style>
  <w:style w:type="character" w:customStyle="1" w:styleId="DraftingNote">
    <w:name w:val="Drafting Note"/>
    <w:basedOn w:val="DefaultParagraphFont"/>
    <w:rsid w:val="00A17328"/>
    <w:rPr>
      <w:b/>
      <w:color w:val="FF0000"/>
      <w:sz w:val="24"/>
      <w:u w:val="dotted"/>
    </w:rPr>
  </w:style>
  <w:style w:type="paragraph" w:customStyle="1" w:styleId="Figure">
    <w:name w:val="Figure"/>
    <w:basedOn w:val="BodyText"/>
    <w:rsid w:val="00A17328"/>
    <w:pPr>
      <w:keepNext/>
      <w:spacing w:before="120" w:after="120" w:line="240" w:lineRule="atLeast"/>
      <w:jc w:val="center"/>
    </w:pPr>
  </w:style>
  <w:style w:type="paragraph" w:customStyle="1" w:styleId="FigureTitle">
    <w:name w:val="Figure Title"/>
    <w:basedOn w:val="Caption"/>
    <w:next w:val="Subtitle"/>
    <w:rsid w:val="009F74EF"/>
    <w:pPr>
      <w:spacing w:before="120"/>
    </w:pPr>
  </w:style>
  <w:style w:type="paragraph" w:styleId="Subtitle">
    <w:name w:val="Subtitle"/>
    <w:basedOn w:val="Caption"/>
    <w:link w:val="SubtitleChar"/>
    <w:qFormat/>
    <w:rsid w:val="00301E4A"/>
    <w:pPr>
      <w:spacing w:before="0" w:line="200" w:lineRule="exact"/>
      <w:ind w:firstLine="0"/>
    </w:pPr>
    <w:rPr>
      <w:b w:val="0"/>
      <w:sz w:val="20"/>
    </w:rPr>
  </w:style>
  <w:style w:type="paragraph" w:customStyle="1" w:styleId="Finding">
    <w:name w:val="Finding"/>
    <w:basedOn w:val="BodyText"/>
    <w:rsid w:val="009F5BBD"/>
    <w:pPr>
      <w:keepLines/>
      <w:spacing w:before="120" w:line="280" w:lineRule="atLeast"/>
    </w:pPr>
    <w:rPr>
      <w:rFonts w:ascii="Arial" w:hAnsi="Arial"/>
      <w:sz w:val="22"/>
    </w:rPr>
  </w:style>
  <w:style w:type="paragraph" w:customStyle="1" w:styleId="FindingBullet">
    <w:name w:val="Finding Bullet"/>
    <w:basedOn w:val="Finding"/>
    <w:rsid w:val="009F5BBD"/>
    <w:pPr>
      <w:numPr>
        <w:numId w:val="15"/>
      </w:numPr>
      <w:spacing w:before="80"/>
    </w:pPr>
  </w:style>
  <w:style w:type="paragraph" w:customStyle="1" w:styleId="FindingNoTitle">
    <w:name w:val="Finding NoTitle"/>
    <w:basedOn w:val="Finding"/>
    <w:semiHidden/>
    <w:rsid w:val="00AB0681"/>
    <w:pPr>
      <w:spacing w:before="240"/>
    </w:pPr>
  </w:style>
  <w:style w:type="paragraph" w:customStyle="1" w:styleId="RecTitle">
    <w:name w:val="Rec Title"/>
    <w:basedOn w:val="BodyText"/>
    <w:next w:val="Rec"/>
    <w:qFormat/>
    <w:rsid w:val="009F5BBD"/>
    <w:pPr>
      <w:keepNext/>
      <w:keepLines/>
      <w:spacing w:line="280" w:lineRule="atLeast"/>
    </w:pPr>
    <w:rPr>
      <w:rFonts w:ascii="Arial" w:hAnsi="Arial"/>
      <w:caps/>
      <w:sz w:val="18"/>
    </w:rPr>
  </w:style>
  <w:style w:type="paragraph" w:customStyle="1" w:styleId="FindingTitle">
    <w:name w:val="Finding Title"/>
    <w:basedOn w:val="RecTitle"/>
    <w:next w:val="Finding"/>
    <w:rsid w:val="00301E4A"/>
    <w:pPr>
      <w:framePr w:wrap="notBeside" w:hAnchor="text"/>
    </w:pPr>
  </w:style>
  <w:style w:type="character" w:styleId="FootnoteReference">
    <w:name w:val="footnote reference"/>
    <w:basedOn w:val="DefaultParagraphFont"/>
    <w:semiHidden/>
    <w:rsid w:val="00243997"/>
    <w:rPr>
      <w:rFonts w:ascii="Times New Roman" w:hAnsi="Times New Roman"/>
      <w:position w:val="6"/>
      <w:sz w:val="20"/>
      <w:vertAlign w:val="baseline"/>
    </w:rPr>
  </w:style>
  <w:style w:type="paragraph" w:styleId="FootnoteText">
    <w:name w:val="footnote text"/>
    <w:basedOn w:val="BodyText"/>
    <w:link w:val="FootnoteTextChar"/>
    <w:rsid w:val="00243997"/>
    <w:pPr>
      <w:tabs>
        <w:tab w:val="left" w:pos="284"/>
      </w:tabs>
      <w:spacing w:before="80" w:line="240" w:lineRule="exact"/>
      <w:ind w:left="284" w:hanging="284"/>
    </w:pPr>
    <w:rPr>
      <w:sz w:val="20"/>
    </w:rPr>
  </w:style>
  <w:style w:type="paragraph" w:customStyle="1" w:styleId="InformationRequest">
    <w:name w:val="Information Request"/>
    <w:basedOn w:val="Finding"/>
    <w:next w:val="BodyText"/>
    <w:rsid w:val="009F5BBD"/>
    <w:rPr>
      <w:i/>
    </w:rPr>
  </w:style>
  <w:style w:type="paragraph" w:customStyle="1" w:styleId="Jurisdictioncommentsbodytext">
    <w:name w:val="Jurisdiction comments body text"/>
    <w:rsid w:val="00A17328"/>
    <w:pPr>
      <w:spacing w:after="140"/>
      <w:jc w:val="both"/>
    </w:pPr>
    <w:rPr>
      <w:rFonts w:ascii="Arial" w:hAnsi="Arial"/>
      <w:sz w:val="24"/>
      <w:lang w:eastAsia="en-US"/>
    </w:rPr>
  </w:style>
  <w:style w:type="paragraph" w:customStyle="1" w:styleId="Jurisdictioncommentsheading">
    <w:name w:val="Jurisdiction comments heading"/>
    <w:rsid w:val="00A17328"/>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A17328"/>
    <w:pPr>
      <w:numPr>
        <w:numId w:val="2"/>
      </w:numPr>
      <w:spacing w:after="140"/>
      <w:jc w:val="both"/>
    </w:pPr>
    <w:rPr>
      <w:rFonts w:ascii="Arial" w:hAnsi="Arial"/>
      <w:sz w:val="24"/>
      <w:lang w:eastAsia="en-US"/>
    </w:rPr>
  </w:style>
  <w:style w:type="paragraph" w:styleId="ListBullet">
    <w:name w:val="List Bullet"/>
    <w:basedOn w:val="BodyText"/>
    <w:rsid w:val="00812F4A"/>
    <w:pPr>
      <w:numPr>
        <w:numId w:val="3"/>
      </w:numPr>
      <w:spacing w:before="120"/>
    </w:pPr>
  </w:style>
  <w:style w:type="paragraph" w:styleId="ListBullet2">
    <w:name w:val="List Bullet 2"/>
    <w:basedOn w:val="BodyText"/>
    <w:rsid w:val="00DB67C9"/>
    <w:pPr>
      <w:numPr>
        <w:numId w:val="4"/>
      </w:numPr>
      <w:spacing w:before="120"/>
    </w:pPr>
  </w:style>
  <w:style w:type="paragraph" w:styleId="ListBullet3">
    <w:name w:val="List Bullet 3"/>
    <w:basedOn w:val="BodyText"/>
    <w:rsid w:val="00055077"/>
    <w:pPr>
      <w:numPr>
        <w:numId w:val="5"/>
      </w:numPr>
      <w:spacing w:before="120"/>
      <w:ind w:left="1020" w:hanging="340"/>
    </w:pPr>
  </w:style>
  <w:style w:type="paragraph" w:styleId="ListNumber">
    <w:name w:val="List Number"/>
    <w:basedOn w:val="BodyText"/>
    <w:rsid w:val="00872F45"/>
    <w:pPr>
      <w:numPr>
        <w:numId w:val="9"/>
      </w:numPr>
      <w:spacing w:before="120"/>
    </w:pPr>
  </w:style>
  <w:style w:type="paragraph" w:styleId="ListNumber2">
    <w:name w:val="List Number 2"/>
    <w:basedOn w:val="ListNumber"/>
    <w:rsid w:val="00864ADC"/>
    <w:pPr>
      <w:numPr>
        <w:ilvl w:val="1"/>
      </w:numPr>
    </w:pPr>
  </w:style>
  <w:style w:type="paragraph" w:styleId="ListNumber3">
    <w:name w:val="List Number 3"/>
    <w:basedOn w:val="ListNumber2"/>
    <w:rsid w:val="00C52416"/>
    <w:pPr>
      <w:numPr>
        <w:ilvl w:val="2"/>
      </w:numPr>
    </w:pPr>
  </w:style>
  <w:style w:type="character" w:customStyle="1" w:styleId="NoteLabel">
    <w:name w:val="Note Label"/>
    <w:basedOn w:val="DefaultParagraphFont"/>
    <w:rsid w:val="00812F4A"/>
    <w:rPr>
      <w:rFonts w:ascii="Arial" w:hAnsi="Arial"/>
      <w:b/>
      <w:position w:val="6"/>
      <w:sz w:val="18"/>
    </w:rPr>
  </w:style>
  <w:style w:type="paragraph" w:customStyle="1" w:styleId="PartDivider">
    <w:name w:val="Part Divider"/>
    <w:basedOn w:val="BodyText"/>
    <w:next w:val="BodyText"/>
    <w:semiHidden/>
    <w:rsid w:val="00A17328"/>
    <w:pPr>
      <w:spacing w:before="0" w:line="40" w:lineRule="exact"/>
      <w:jc w:val="right"/>
    </w:pPr>
    <w:rPr>
      <w:smallCaps/>
      <w:sz w:val="16"/>
    </w:rPr>
  </w:style>
  <w:style w:type="paragraph" w:customStyle="1" w:styleId="PartNumber">
    <w:name w:val="Part Number"/>
    <w:basedOn w:val="BodyText"/>
    <w:next w:val="BodyText"/>
    <w:semiHidden/>
    <w:rsid w:val="00A17328"/>
    <w:pPr>
      <w:spacing w:before="4000" w:line="320" w:lineRule="exact"/>
      <w:ind w:left="6634"/>
      <w:jc w:val="right"/>
    </w:pPr>
    <w:rPr>
      <w:smallCaps/>
      <w:spacing w:val="60"/>
      <w:sz w:val="32"/>
    </w:rPr>
  </w:style>
  <w:style w:type="paragraph" w:customStyle="1" w:styleId="PartTitle">
    <w:name w:val="Part Title"/>
    <w:basedOn w:val="BodyText"/>
    <w:semiHidden/>
    <w:rsid w:val="00A17328"/>
    <w:pPr>
      <w:spacing w:before="160" w:after="1360" w:line="520" w:lineRule="exact"/>
      <w:ind w:right="2381"/>
      <w:jc w:val="right"/>
    </w:pPr>
    <w:rPr>
      <w:smallCaps/>
      <w:sz w:val="52"/>
    </w:rPr>
  </w:style>
  <w:style w:type="paragraph" w:styleId="Quote">
    <w:name w:val="Quote"/>
    <w:basedOn w:val="BodyText"/>
    <w:next w:val="BodyText"/>
    <w:qFormat/>
    <w:rsid w:val="00CB7CED"/>
    <w:pPr>
      <w:spacing w:before="120" w:line="280" w:lineRule="exact"/>
      <w:ind w:left="340"/>
    </w:pPr>
    <w:rPr>
      <w:sz w:val="22"/>
    </w:rPr>
  </w:style>
  <w:style w:type="paragraph" w:customStyle="1" w:styleId="QuoteBullet">
    <w:name w:val="Quote Bullet"/>
    <w:basedOn w:val="Quote"/>
    <w:rsid w:val="00812F4A"/>
    <w:pPr>
      <w:numPr>
        <w:numId w:val="6"/>
      </w:numPr>
    </w:pPr>
  </w:style>
  <w:style w:type="paragraph" w:customStyle="1" w:styleId="Rec">
    <w:name w:val="Rec"/>
    <w:basedOn w:val="BodyText"/>
    <w:qFormat/>
    <w:rsid w:val="009F5BBD"/>
    <w:pPr>
      <w:keepLines/>
      <w:spacing w:before="120" w:line="280" w:lineRule="atLeast"/>
    </w:pPr>
    <w:rPr>
      <w:rFonts w:ascii="Arial" w:hAnsi="Arial"/>
      <w:sz w:val="22"/>
    </w:rPr>
  </w:style>
  <w:style w:type="paragraph" w:customStyle="1" w:styleId="RecBullet">
    <w:name w:val="Rec Bullet"/>
    <w:basedOn w:val="Rec"/>
    <w:rsid w:val="00301E4A"/>
    <w:pPr>
      <w:numPr>
        <w:numId w:val="17"/>
      </w:numPr>
      <w:spacing w:before="80"/>
    </w:pPr>
  </w:style>
  <w:style w:type="paragraph" w:customStyle="1" w:styleId="RecB">
    <w:name w:val="RecB"/>
    <w:basedOn w:val="Normal"/>
    <w:semiHidden/>
    <w:rsid w:val="00F85325"/>
    <w:pPr>
      <w:keepLines/>
      <w:pBdr>
        <w:left w:val="single" w:sz="24" w:space="12" w:color="C0C0C0"/>
      </w:pBdr>
      <w:spacing w:before="180" w:line="320" w:lineRule="atLeast"/>
      <w:jc w:val="both"/>
    </w:pPr>
    <w:rPr>
      <w:b/>
      <w:i/>
    </w:rPr>
  </w:style>
  <w:style w:type="paragraph" w:customStyle="1" w:styleId="RecBBullet">
    <w:name w:val="RecB Bullet"/>
    <w:basedOn w:val="RecB"/>
    <w:semiHidden/>
    <w:rsid w:val="00F85325"/>
    <w:pPr>
      <w:numPr>
        <w:numId w:val="11"/>
      </w:numPr>
      <w:spacing w:before="80"/>
    </w:pPr>
  </w:style>
  <w:style w:type="paragraph" w:customStyle="1" w:styleId="RecBNoTitle">
    <w:name w:val="RecB NoTitle"/>
    <w:basedOn w:val="RecB"/>
    <w:semiHidden/>
    <w:rsid w:val="00F85325"/>
    <w:pPr>
      <w:spacing w:before="240"/>
    </w:pPr>
  </w:style>
  <w:style w:type="paragraph" w:customStyle="1" w:styleId="Reference">
    <w:name w:val="Reference"/>
    <w:basedOn w:val="BodyText"/>
    <w:rsid w:val="00A17328"/>
    <w:pPr>
      <w:spacing w:before="120"/>
      <w:ind w:left="340" w:hanging="340"/>
    </w:pPr>
  </w:style>
  <w:style w:type="paragraph" w:customStyle="1" w:styleId="SequenceInfo">
    <w:name w:val="Sequence Info"/>
    <w:basedOn w:val="BodyText"/>
    <w:semiHidden/>
    <w:rsid w:val="00A17328"/>
    <w:rPr>
      <w:vanish/>
      <w:sz w:val="16"/>
    </w:rPr>
  </w:style>
  <w:style w:type="paragraph" w:customStyle="1" w:styleId="SideNote">
    <w:name w:val="Side Note"/>
    <w:basedOn w:val="BodyText"/>
    <w:next w:val="BodyText"/>
    <w:semiHidden/>
    <w:rsid w:val="00A17328"/>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A17328"/>
    <w:pPr>
      <w:framePr w:wrap="around"/>
      <w:numPr>
        <w:numId w:val="7"/>
      </w:numPr>
      <w:tabs>
        <w:tab w:val="left" w:pos="227"/>
      </w:tabs>
    </w:pPr>
  </w:style>
  <w:style w:type="paragraph" w:customStyle="1" w:styleId="SideNoteGraphic">
    <w:name w:val="Side Note Graphic"/>
    <w:basedOn w:val="SideNote"/>
    <w:next w:val="BodyText"/>
    <w:semiHidden/>
    <w:rsid w:val="00A17328"/>
    <w:pPr>
      <w:framePr w:wrap="around"/>
    </w:pPr>
  </w:style>
  <w:style w:type="paragraph" w:customStyle="1" w:styleId="TableBodyText">
    <w:name w:val="Table Body Text"/>
    <w:basedOn w:val="BodyText"/>
    <w:rsid w:val="00812F4A"/>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812F4A"/>
    <w:pPr>
      <w:numPr>
        <w:numId w:val="8"/>
      </w:numPr>
      <w:jc w:val="left"/>
    </w:pPr>
  </w:style>
  <w:style w:type="paragraph" w:customStyle="1" w:styleId="TableColumnHeading">
    <w:name w:val="Table Column Heading"/>
    <w:basedOn w:val="TableBodyText"/>
    <w:rsid w:val="00812F4A"/>
    <w:pPr>
      <w:spacing w:before="80" w:after="80"/>
    </w:pPr>
    <w:rPr>
      <w:i/>
    </w:rPr>
  </w:style>
  <w:style w:type="paragraph" w:styleId="TOC2">
    <w:name w:val="toc 2"/>
    <w:basedOn w:val="BodyText"/>
    <w:rsid w:val="005C5E19"/>
    <w:pPr>
      <w:tabs>
        <w:tab w:val="right" w:pos="8789"/>
      </w:tabs>
      <w:ind w:left="510" w:right="851" w:hanging="510"/>
      <w:jc w:val="left"/>
    </w:pPr>
    <w:rPr>
      <w:rFonts w:ascii="Arial" w:hAnsi="Arial"/>
      <w:b/>
    </w:rPr>
  </w:style>
  <w:style w:type="paragraph" w:styleId="TOC3">
    <w:name w:val="toc 3"/>
    <w:basedOn w:val="TOC2"/>
    <w:rsid w:val="00A17328"/>
    <w:pPr>
      <w:spacing w:before="60"/>
      <w:ind w:left="1190" w:hanging="680"/>
    </w:pPr>
    <w:rPr>
      <w:b w:val="0"/>
    </w:rPr>
  </w:style>
  <w:style w:type="paragraph" w:styleId="TableofFigures">
    <w:name w:val="table of figures"/>
    <w:basedOn w:val="TOC3"/>
    <w:next w:val="BodyText"/>
    <w:semiHidden/>
    <w:rsid w:val="00A17328"/>
    <w:pPr>
      <w:ind w:left="737" w:hanging="737"/>
    </w:pPr>
  </w:style>
  <w:style w:type="paragraph" w:customStyle="1" w:styleId="TableTitle">
    <w:name w:val="Table Title"/>
    <w:basedOn w:val="Caption"/>
    <w:next w:val="Subtitle"/>
    <w:qFormat/>
    <w:rsid w:val="00D80CF5"/>
  </w:style>
  <w:style w:type="paragraph" w:customStyle="1" w:styleId="TableUnitsRow">
    <w:name w:val="Table Units Row"/>
    <w:basedOn w:val="TableBodyText"/>
    <w:rsid w:val="00812F4A"/>
    <w:pPr>
      <w:spacing w:before="80" w:after="80"/>
    </w:pPr>
  </w:style>
  <w:style w:type="paragraph" w:styleId="TOC1">
    <w:name w:val="toc 1"/>
    <w:basedOn w:val="Normal"/>
    <w:next w:val="TOC2"/>
    <w:rsid w:val="005C5E19"/>
    <w:pPr>
      <w:tabs>
        <w:tab w:val="right" w:pos="8789"/>
      </w:tabs>
      <w:spacing w:before="480" w:after="60" w:line="320" w:lineRule="exact"/>
      <w:ind w:left="1191" w:right="851" w:hanging="1191"/>
    </w:pPr>
    <w:rPr>
      <w:rFonts w:ascii="Arial" w:hAnsi="Arial"/>
      <w:b/>
      <w:caps/>
    </w:rPr>
  </w:style>
  <w:style w:type="paragraph" w:styleId="TOC4">
    <w:name w:val="toc 4"/>
    <w:basedOn w:val="TOC3"/>
    <w:semiHidden/>
    <w:rsid w:val="00A17328"/>
    <w:pPr>
      <w:ind w:left="1191" w:firstLine="0"/>
    </w:pPr>
  </w:style>
  <w:style w:type="paragraph" w:customStyle="1" w:styleId="RecBBullet2">
    <w:name w:val="RecB Bullet 2"/>
    <w:basedOn w:val="ListBullet2"/>
    <w:semiHidden/>
    <w:rsid w:val="006B2B3C"/>
    <w:pPr>
      <w:pBdr>
        <w:left w:val="single" w:sz="24" w:space="29" w:color="C0C0C0"/>
      </w:pBdr>
    </w:pPr>
    <w:rPr>
      <w:b/>
      <w:i/>
    </w:rPr>
  </w:style>
  <w:style w:type="paragraph" w:styleId="BalloonText">
    <w:name w:val="Balloon Text"/>
    <w:basedOn w:val="Normal"/>
    <w:link w:val="BalloonTextChar"/>
    <w:rsid w:val="006B2B3C"/>
    <w:rPr>
      <w:rFonts w:ascii="Tahoma" w:hAnsi="Tahoma" w:cs="Tahoma"/>
      <w:sz w:val="16"/>
      <w:szCs w:val="16"/>
    </w:rPr>
  </w:style>
  <w:style w:type="character" w:customStyle="1" w:styleId="BalloonTextChar">
    <w:name w:val="Balloon Text Char"/>
    <w:basedOn w:val="DefaultParagraphFont"/>
    <w:link w:val="BalloonText"/>
    <w:rsid w:val="006B2B3C"/>
    <w:rPr>
      <w:rFonts w:ascii="Tahoma" w:hAnsi="Tahoma" w:cs="Tahoma"/>
      <w:sz w:val="16"/>
      <w:szCs w:val="16"/>
    </w:rPr>
  </w:style>
  <w:style w:type="character" w:customStyle="1" w:styleId="SubtitleChar">
    <w:name w:val="Subtitle Char"/>
    <w:basedOn w:val="DefaultParagraphFont"/>
    <w:link w:val="Subtitle"/>
    <w:rsid w:val="00301E4A"/>
    <w:rPr>
      <w:rFonts w:ascii="Arial" w:hAnsi="Arial"/>
      <w:szCs w:val="24"/>
    </w:rPr>
  </w:style>
  <w:style w:type="paragraph" w:customStyle="1" w:styleId="BoxListBullet3">
    <w:name w:val="Box List Bullet 3"/>
    <w:basedOn w:val="ListBullet3"/>
    <w:rsid w:val="00812F4A"/>
    <w:pPr>
      <w:numPr>
        <w:numId w:val="14"/>
      </w:numPr>
      <w:tabs>
        <w:tab w:val="left" w:pos="907"/>
      </w:tabs>
      <w:spacing w:before="60" w:line="260" w:lineRule="atLeast"/>
      <w:ind w:left="907" w:hanging="340"/>
    </w:pPr>
    <w:rPr>
      <w:rFonts w:ascii="Arial" w:hAnsi="Arial"/>
      <w:sz w:val="20"/>
    </w:rPr>
  </w:style>
  <w:style w:type="character" w:styleId="Emphasis">
    <w:name w:val="Emphasis"/>
    <w:basedOn w:val="DefaultParagraphFont"/>
    <w:rsid w:val="00DA5BBA"/>
    <w:rPr>
      <w:i/>
      <w:iCs/>
    </w:rPr>
  </w:style>
  <w:style w:type="paragraph" w:customStyle="1" w:styleId="BoxQuoteBullet">
    <w:name w:val="Box Quote Bullet"/>
    <w:basedOn w:val="BoxQuote"/>
    <w:next w:val="Box"/>
    <w:rsid w:val="00812F4A"/>
    <w:pPr>
      <w:numPr>
        <w:numId w:val="12"/>
      </w:numPr>
      <w:ind w:left="568" w:hanging="284"/>
    </w:pPr>
  </w:style>
  <w:style w:type="paragraph" w:customStyle="1" w:styleId="InformationRequestBullet">
    <w:name w:val="Information Request Bullet"/>
    <w:basedOn w:val="ListBullet"/>
    <w:next w:val="BodyText"/>
    <w:rsid w:val="004145D2"/>
    <w:pPr>
      <w:numPr>
        <w:numId w:val="16"/>
      </w:numPr>
      <w:spacing w:before="80" w:line="280" w:lineRule="atLeast"/>
      <w:ind w:left="357" w:hanging="357"/>
    </w:pPr>
    <w:rPr>
      <w:rFonts w:ascii="Arial" w:hAnsi="Arial"/>
      <w:i/>
      <w:sz w:val="22"/>
    </w:rPr>
  </w:style>
  <w:style w:type="paragraph" w:customStyle="1" w:styleId="BoxSpaceBelow">
    <w:name w:val="Box Space Below"/>
    <w:basedOn w:val="Box"/>
    <w:rsid w:val="009E1844"/>
    <w:pPr>
      <w:keepNext w:val="0"/>
      <w:spacing w:before="60" w:after="60" w:line="80" w:lineRule="exact"/>
    </w:pPr>
    <w:rPr>
      <w:sz w:val="14"/>
    </w:rPr>
  </w:style>
  <w:style w:type="paragraph" w:customStyle="1" w:styleId="KeyPointsListBullet">
    <w:name w:val="Key Points List Bullet"/>
    <w:basedOn w:val="Normal"/>
    <w:qFormat/>
    <w:rsid w:val="00F55C25"/>
    <w:pPr>
      <w:keepNext/>
      <w:numPr>
        <w:numId w:val="20"/>
      </w:numPr>
      <w:spacing w:before="100" w:line="260" w:lineRule="atLeast"/>
      <w:ind w:left="357" w:hanging="357"/>
      <w:jc w:val="both"/>
    </w:pPr>
    <w:rPr>
      <w:rFonts w:ascii="Arial" w:hAnsi="Arial"/>
      <w:sz w:val="20"/>
    </w:rPr>
  </w:style>
  <w:style w:type="paragraph" w:customStyle="1" w:styleId="KeyPointsListBullet2">
    <w:name w:val="Key Points List Bullet 2"/>
    <w:basedOn w:val="BoxListBullet2"/>
    <w:rsid w:val="00470737"/>
    <w:pPr>
      <w:numPr>
        <w:numId w:val="21"/>
      </w:numPr>
      <w:ind w:left="568" w:hanging="284"/>
    </w:pPr>
  </w:style>
  <w:style w:type="paragraph" w:customStyle="1" w:styleId="InformationRequestTitle">
    <w:name w:val="Information Request Title"/>
    <w:basedOn w:val="FindingTitle"/>
    <w:next w:val="InformationRequest"/>
    <w:rsid w:val="009F5BBD"/>
    <w:pPr>
      <w:framePr w:wrap="auto"/>
    </w:pPr>
    <w:rPr>
      <w:i/>
    </w:rPr>
  </w:style>
  <w:style w:type="paragraph" w:customStyle="1" w:styleId="Space">
    <w:name w:val="Space"/>
    <w:basedOn w:val="Normal"/>
    <w:rsid w:val="00967CD3"/>
    <w:pPr>
      <w:keepNext/>
      <w:spacing w:line="120" w:lineRule="exact"/>
      <w:jc w:val="both"/>
    </w:pPr>
    <w:rPr>
      <w:rFonts w:ascii="Arial" w:hAnsi="Arial"/>
      <w:sz w:val="20"/>
    </w:rPr>
  </w:style>
  <w:style w:type="paragraph" w:customStyle="1" w:styleId="Heading1nochapterno">
    <w:name w:val="Heading 1 (no chapter no.)"/>
    <w:basedOn w:val="Heading1"/>
    <w:rsid w:val="00CC070F"/>
    <w:pPr>
      <w:spacing w:before="0"/>
      <w:ind w:left="0" w:firstLine="0"/>
    </w:pPr>
  </w:style>
  <w:style w:type="paragraph" w:customStyle="1" w:styleId="Heading2nosectionno">
    <w:name w:val="Heading 2 (no section no.)"/>
    <w:basedOn w:val="Heading2"/>
    <w:rsid w:val="00CC070F"/>
    <w:pPr>
      <w:ind w:left="0" w:firstLine="0"/>
    </w:pPr>
  </w:style>
  <w:style w:type="character" w:customStyle="1" w:styleId="Heading5Char">
    <w:name w:val="Heading 5 Char"/>
    <w:basedOn w:val="DefaultParagraphFont"/>
    <w:link w:val="Heading5"/>
    <w:rsid w:val="00812F4A"/>
    <w:rPr>
      <w:rFonts w:ascii="Arial" w:hAnsi="Arial"/>
      <w:i/>
      <w:sz w:val="22"/>
    </w:rPr>
  </w:style>
  <w:style w:type="paragraph" w:customStyle="1" w:styleId="Figurespace">
    <w:name w:val="Figure space"/>
    <w:basedOn w:val="Box"/>
    <w:rsid w:val="000B1022"/>
    <w:pPr>
      <w:spacing w:before="0" w:line="120" w:lineRule="exact"/>
    </w:pPr>
  </w:style>
  <w:style w:type="paragraph" w:customStyle="1" w:styleId="FooterDraftReport">
    <w:name w:val="FooterDraftReport"/>
    <w:basedOn w:val="Footer"/>
    <w:rsid w:val="0013739A"/>
    <w:pPr>
      <w:spacing w:before="40"/>
    </w:pPr>
    <w:rPr>
      <w:rFonts w:cs="Arial"/>
      <w:color w:val="000000" w:themeColor="text1"/>
      <w14:textFill>
        <w14:solidFill>
          <w14:schemeClr w14:val="tx1">
            <w14:lumMod w14:val="50000"/>
            <w14:lumOff w14:val="50000"/>
            <w14:lumMod w14:val="50000"/>
            <w14:lumOff w14:val="50000"/>
          </w14:schemeClr>
        </w14:solidFill>
      </w14:textFill>
    </w:rPr>
  </w:style>
  <w:style w:type="character" w:customStyle="1" w:styleId="Heading2Char">
    <w:name w:val="Heading 2 Char"/>
    <w:basedOn w:val="DefaultParagraphFont"/>
    <w:link w:val="Heading2"/>
    <w:rsid w:val="00415F39"/>
    <w:rPr>
      <w:rFonts w:ascii="Arial" w:hAnsi="Arial"/>
      <w:b/>
      <w:sz w:val="32"/>
    </w:rPr>
  </w:style>
  <w:style w:type="character" w:styleId="Hyperlink">
    <w:name w:val="Hyperlink"/>
    <w:basedOn w:val="DefaultParagraphFont"/>
    <w:rsid w:val="00415F39"/>
    <w:rPr>
      <w:color w:val="78A22F" w:themeColor="hyperlink"/>
      <w:u w:val="single"/>
    </w:rPr>
  </w:style>
  <w:style w:type="table" w:styleId="TableGrid">
    <w:name w:val="Table Grid"/>
    <w:basedOn w:val="TableNormal"/>
    <w:rsid w:val="009F3E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rsid w:val="00391500"/>
    <w:rPr>
      <w:rFonts w:ascii="Arial" w:hAnsi="Arial"/>
      <w:b/>
      <w:sz w:val="26"/>
    </w:rPr>
  </w:style>
  <w:style w:type="character" w:customStyle="1" w:styleId="FooterChar">
    <w:name w:val="Footer Char"/>
    <w:basedOn w:val="DefaultParagraphFont"/>
    <w:link w:val="Footer"/>
    <w:semiHidden/>
    <w:rsid w:val="009F6FCD"/>
    <w:rPr>
      <w:rFonts w:ascii="Arial" w:hAnsi="Arial"/>
      <w:caps/>
      <w:spacing w:val="-4"/>
      <w:sz w:val="16"/>
    </w:rPr>
  </w:style>
  <w:style w:type="character" w:customStyle="1" w:styleId="BodyTextChar">
    <w:name w:val="Body Text Char"/>
    <w:basedOn w:val="DefaultParagraphFont"/>
    <w:link w:val="BodyText"/>
    <w:rsid w:val="001F49AE"/>
    <w:rPr>
      <w:sz w:val="24"/>
    </w:rPr>
  </w:style>
  <w:style w:type="character" w:customStyle="1" w:styleId="CommentTextChar">
    <w:name w:val="Comment Text Char"/>
    <w:basedOn w:val="DefaultParagraphFont"/>
    <w:link w:val="CommentText"/>
    <w:semiHidden/>
    <w:rsid w:val="001F49AE"/>
    <w:rPr>
      <w:lang w:eastAsia="en-US"/>
    </w:rPr>
  </w:style>
  <w:style w:type="paragraph" w:styleId="CommentSubject">
    <w:name w:val="annotation subject"/>
    <w:basedOn w:val="CommentText"/>
    <w:next w:val="CommentText"/>
    <w:link w:val="CommentSubjectChar"/>
    <w:rsid w:val="00171495"/>
    <w:pPr>
      <w:spacing w:before="0" w:line="240" w:lineRule="auto"/>
      <w:ind w:left="0" w:firstLine="0"/>
    </w:pPr>
    <w:rPr>
      <w:b/>
      <w:bCs/>
    </w:rPr>
  </w:style>
  <w:style w:type="character" w:customStyle="1" w:styleId="CommentSubjectChar">
    <w:name w:val="Comment Subject Char"/>
    <w:basedOn w:val="CommentTextChar"/>
    <w:link w:val="CommentSubject"/>
    <w:rsid w:val="00171495"/>
    <w:rPr>
      <w:b/>
      <w:bCs/>
      <w:lang w:eastAsia="en-US"/>
    </w:rPr>
  </w:style>
  <w:style w:type="paragraph" w:styleId="Revision">
    <w:name w:val="Revision"/>
    <w:hidden/>
    <w:uiPriority w:val="99"/>
    <w:semiHidden/>
    <w:rsid w:val="008D3A48"/>
    <w:rPr>
      <w:sz w:val="26"/>
      <w:lang w:eastAsia="en-US"/>
    </w:rPr>
  </w:style>
  <w:style w:type="character" w:styleId="EndnoteReference">
    <w:name w:val="endnote reference"/>
    <w:basedOn w:val="DefaultParagraphFont"/>
    <w:rsid w:val="00775E4D"/>
    <w:rPr>
      <w:vertAlign w:val="superscript"/>
    </w:rPr>
  </w:style>
  <w:style w:type="paragraph" w:styleId="ListParagraph">
    <w:name w:val="List Paragraph"/>
    <w:basedOn w:val="Normal"/>
    <w:uiPriority w:val="34"/>
    <w:rsid w:val="008D3602"/>
    <w:pPr>
      <w:ind w:left="720"/>
      <w:contextualSpacing/>
    </w:pPr>
  </w:style>
  <w:style w:type="paragraph" w:styleId="Bibliography">
    <w:name w:val="Bibliography"/>
    <w:basedOn w:val="Normal"/>
    <w:next w:val="Normal"/>
    <w:uiPriority w:val="37"/>
    <w:unhideWhenUsed/>
    <w:rsid w:val="00A262E9"/>
    <w:pPr>
      <w:spacing w:after="240"/>
      <w:ind w:left="720" w:hanging="720"/>
    </w:pPr>
  </w:style>
  <w:style w:type="character" w:customStyle="1" w:styleId="Heading4Char">
    <w:name w:val="Heading 4 Char"/>
    <w:basedOn w:val="DefaultParagraphFont"/>
    <w:link w:val="Heading4"/>
    <w:rsid w:val="00CF2E16"/>
    <w:rPr>
      <w:rFonts w:ascii="Arial" w:hAnsi="Arial"/>
      <w:sz w:val="24"/>
    </w:rPr>
  </w:style>
  <w:style w:type="character" w:customStyle="1" w:styleId="FootnoteTextChar">
    <w:name w:val="Footnote Text Char"/>
    <w:basedOn w:val="DefaultParagraphFont"/>
    <w:link w:val="FootnoteText"/>
    <w:rsid w:val="00CF2E16"/>
  </w:style>
  <w:style w:type="paragraph" w:customStyle="1" w:styleId="BoxSpaceAboveElement">
    <w:name w:val="Box Space Above Element"/>
    <w:basedOn w:val="BoxSpaceAbove"/>
    <w:link w:val="BoxSpaceAboveElementChar"/>
    <w:qFormat/>
    <w:rsid w:val="00607F4B"/>
    <w:pPr>
      <w:spacing w:before="240"/>
    </w:pPr>
    <w:rPr>
      <w:b/>
      <w:vanish/>
      <w:color w:val="FF00FF"/>
      <w:sz w:val="14"/>
    </w:rPr>
  </w:style>
  <w:style w:type="character" w:customStyle="1" w:styleId="BoxSpaceAboveElementChar">
    <w:name w:val="Box Space Above Element Char"/>
    <w:basedOn w:val="DefaultParagraphFont"/>
    <w:link w:val="BoxSpaceAboveElement"/>
    <w:rsid w:val="00607F4B"/>
    <w:rPr>
      <w:b/>
      <w:vanish/>
      <w:color w:val="FF00FF"/>
      <w:sz w:val="14"/>
    </w:rPr>
  </w:style>
  <w:style w:type="character" w:styleId="FollowedHyperlink">
    <w:name w:val="FollowedHyperlink"/>
    <w:basedOn w:val="DefaultParagraphFont"/>
    <w:rsid w:val="00F24E59"/>
    <w:rPr>
      <w:color w:val="387DD2" w:themeColor="followedHyperlink"/>
      <w:u w:val="single"/>
    </w:rPr>
  </w:style>
  <w:style w:type="paragraph" w:customStyle="1" w:styleId="NoParagraphStyle">
    <w:name w:val="[No Paragraph Style]"/>
    <w:rsid w:val="00C46775"/>
    <w:pPr>
      <w:autoSpaceDE w:val="0"/>
      <w:autoSpaceDN w:val="0"/>
      <w:adjustRightInd w:val="0"/>
      <w:spacing w:line="288" w:lineRule="auto"/>
      <w:textAlignment w:val="center"/>
    </w:pPr>
    <w:rPr>
      <w:rFonts w:ascii="MinionPro-Regular" w:hAnsi="MinionPro-Regular" w:cs="MinionPro-Regular"/>
      <w:color w:val="000000"/>
      <w:sz w:val="24"/>
      <w:szCs w:val="24"/>
      <w:lang w:val="en-GB"/>
    </w:rPr>
  </w:style>
  <w:style w:type="paragraph" w:customStyle="1" w:styleId="SubHeading2">
    <w:name w:val="Sub Heading 2"/>
    <w:basedOn w:val="NoParagraphStyle"/>
    <w:uiPriority w:val="99"/>
    <w:rsid w:val="00C46775"/>
    <w:pPr>
      <w:ind w:left="283"/>
    </w:pPr>
    <w:rPr>
      <w:rFonts w:ascii="Goudy" w:hAnsi="Goudy" w:cs="Goudy"/>
      <w:sz w:val="28"/>
      <w:szCs w:val="2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No List" w:uiPriority="9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775E4D"/>
    <w:rPr>
      <w:sz w:val="24"/>
      <w:szCs w:val="24"/>
    </w:rPr>
  </w:style>
  <w:style w:type="paragraph" w:styleId="Heading1">
    <w:name w:val="heading 1"/>
    <w:basedOn w:val="BodyText"/>
    <w:next w:val="BodyText"/>
    <w:rsid w:val="00FD22B1"/>
    <w:pPr>
      <w:keepNext/>
      <w:spacing w:before="160" w:after="1360" w:line="600" w:lineRule="exact"/>
      <w:ind w:left="907" w:hanging="907"/>
      <w:jc w:val="left"/>
      <w:outlineLvl w:val="0"/>
    </w:pPr>
    <w:rPr>
      <w:sz w:val="52"/>
    </w:rPr>
  </w:style>
  <w:style w:type="paragraph" w:styleId="Heading2">
    <w:name w:val="heading 2"/>
    <w:basedOn w:val="Chapter"/>
    <w:next w:val="BodyText"/>
    <w:link w:val="Heading2Char"/>
    <w:qFormat/>
    <w:rsid w:val="00A17328"/>
    <w:pPr>
      <w:spacing w:before="600" w:after="0" w:line="400" w:lineRule="exact"/>
      <w:ind w:left="907" w:hanging="907"/>
      <w:outlineLvl w:val="1"/>
    </w:pPr>
    <w:rPr>
      <w:rFonts w:ascii="Arial" w:hAnsi="Arial"/>
      <w:b/>
      <w:sz w:val="32"/>
    </w:rPr>
  </w:style>
  <w:style w:type="paragraph" w:styleId="Heading3">
    <w:name w:val="heading 3"/>
    <w:basedOn w:val="Heading2"/>
    <w:next w:val="BodyText"/>
    <w:link w:val="Heading3Char"/>
    <w:qFormat/>
    <w:rsid w:val="00A17328"/>
    <w:pPr>
      <w:spacing w:before="560" w:line="320" w:lineRule="exact"/>
      <w:ind w:left="0" w:firstLine="0"/>
      <w:outlineLvl w:val="2"/>
    </w:pPr>
    <w:rPr>
      <w:sz w:val="26"/>
    </w:rPr>
  </w:style>
  <w:style w:type="paragraph" w:styleId="Heading4">
    <w:name w:val="heading 4"/>
    <w:basedOn w:val="Heading3"/>
    <w:next w:val="BodyText"/>
    <w:link w:val="Heading4Char"/>
    <w:qFormat/>
    <w:rsid w:val="00812F4A"/>
    <w:pPr>
      <w:spacing w:before="480"/>
      <w:outlineLvl w:val="3"/>
    </w:pPr>
    <w:rPr>
      <w:b w:val="0"/>
      <w:sz w:val="24"/>
    </w:rPr>
  </w:style>
  <w:style w:type="paragraph" w:styleId="Heading5">
    <w:name w:val="heading 5"/>
    <w:basedOn w:val="Heading4"/>
    <w:next w:val="BodyText"/>
    <w:link w:val="Heading5Char"/>
    <w:qFormat/>
    <w:rsid w:val="00812F4A"/>
    <w:pPr>
      <w:outlineLvl w:val="4"/>
    </w:pPr>
    <w:rPr>
      <w:i/>
      <w:sz w:val="22"/>
    </w:rPr>
  </w:style>
  <w:style w:type="paragraph" w:styleId="Heading6">
    <w:name w:val="heading 6"/>
    <w:basedOn w:val="BodyText"/>
    <w:next w:val="BodyText"/>
    <w:semiHidden/>
    <w:rsid w:val="00A17328"/>
    <w:pPr>
      <w:spacing w:after="60"/>
      <w:jc w:val="left"/>
      <w:outlineLvl w:val="5"/>
    </w:pPr>
    <w:rPr>
      <w:i/>
      <w:sz w:val="22"/>
    </w:rPr>
  </w:style>
  <w:style w:type="paragraph" w:styleId="Heading7">
    <w:name w:val="heading 7"/>
    <w:basedOn w:val="BodyText"/>
    <w:next w:val="BodyText"/>
    <w:semiHidden/>
    <w:rsid w:val="00A17328"/>
    <w:pPr>
      <w:spacing w:after="60" w:line="240" w:lineRule="auto"/>
      <w:jc w:val="left"/>
      <w:outlineLvl w:val="6"/>
    </w:pPr>
    <w:rPr>
      <w:rFonts w:ascii="Arial" w:hAnsi="Arial"/>
      <w:sz w:val="20"/>
    </w:rPr>
  </w:style>
  <w:style w:type="paragraph" w:styleId="Heading8">
    <w:name w:val="heading 8"/>
    <w:basedOn w:val="BodyText"/>
    <w:next w:val="BodyText"/>
    <w:semiHidden/>
    <w:rsid w:val="00A17328"/>
    <w:pPr>
      <w:spacing w:after="60" w:line="240" w:lineRule="auto"/>
      <w:jc w:val="left"/>
      <w:outlineLvl w:val="7"/>
    </w:pPr>
    <w:rPr>
      <w:rFonts w:ascii="Arial" w:hAnsi="Arial"/>
      <w:i/>
      <w:sz w:val="20"/>
    </w:rPr>
  </w:style>
  <w:style w:type="paragraph" w:styleId="Heading9">
    <w:name w:val="heading 9"/>
    <w:basedOn w:val="BodyText"/>
    <w:next w:val="BodyText"/>
    <w:semiHidden/>
    <w:rsid w:val="00A17328"/>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812F4A"/>
    <w:pPr>
      <w:spacing w:before="240" w:line="300" w:lineRule="atLeast"/>
      <w:jc w:val="both"/>
    </w:pPr>
    <w:rPr>
      <w:sz w:val="24"/>
    </w:rPr>
  </w:style>
  <w:style w:type="paragraph" w:styleId="Footer">
    <w:name w:val="footer"/>
    <w:basedOn w:val="BodyText"/>
    <w:link w:val="FooterChar"/>
    <w:semiHidden/>
    <w:rsid w:val="00E01D7F"/>
    <w:pPr>
      <w:spacing w:before="80" w:line="200" w:lineRule="exact"/>
      <w:ind w:right="6"/>
      <w:jc w:val="left"/>
    </w:pPr>
    <w:rPr>
      <w:rFonts w:ascii="Arial" w:hAnsi="Arial"/>
      <w:caps/>
      <w:spacing w:val="-4"/>
      <w:sz w:val="16"/>
    </w:rPr>
  </w:style>
  <w:style w:type="paragraph" w:customStyle="1" w:styleId="FooterEnd">
    <w:name w:val="Footer End"/>
    <w:basedOn w:val="Footer"/>
    <w:rsid w:val="00A17328"/>
    <w:pPr>
      <w:spacing w:before="0" w:line="20" w:lineRule="exact"/>
    </w:pPr>
  </w:style>
  <w:style w:type="paragraph" w:styleId="Header">
    <w:name w:val="header"/>
    <w:basedOn w:val="BodyText"/>
    <w:rsid w:val="00A17328"/>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914368"/>
    <w:pPr>
      <w:spacing w:line="20" w:lineRule="exact"/>
    </w:pPr>
    <w:rPr>
      <w:sz w:val="16"/>
    </w:rPr>
  </w:style>
  <w:style w:type="paragraph" w:customStyle="1" w:styleId="HeaderEven">
    <w:name w:val="Header Even"/>
    <w:basedOn w:val="Header"/>
    <w:semiHidden/>
    <w:rsid w:val="00C543F4"/>
  </w:style>
  <w:style w:type="paragraph" w:customStyle="1" w:styleId="HeaderOdd">
    <w:name w:val="Header Odd"/>
    <w:basedOn w:val="Header"/>
    <w:semiHidden/>
    <w:rsid w:val="00C543F4"/>
  </w:style>
  <w:style w:type="character" w:styleId="PageNumber">
    <w:name w:val="page number"/>
    <w:basedOn w:val="DefaultParagraphFont"/>
    <w:rsid w:val="00A17328"/>
    <w:rPr>
      <w:rFonts w:ascii="Arial" w:hAnsi="Arial"/>
      <w:b/>
      <w:sz w:val="16"/>
    </w:rPr>
  </w:style>
  <w:style w:type="paragraph" w:customStyle="1" w:styleId="Abbreviation">
    <w:name w:val="Abbreviation"/>
    <w:basedOn w:val="BodyText"/>
    <w:rsid w:val="00A17328"/>
    <w:pPr>
      <w:spacing w:before="120"/>
      <w:ind w:left="2381" w:hanging="2381"/>
      <w:jc w:val="left"/>
    </w:pPr>
  </w:style>
  <w:style w:type="paragraph" w:customStyle="1" w:styleId="Box">
    <w:name w:val="Box"/>
    <w:basedOn w:val="BodyText"/>
    <w:qFormat/>
    <w:rsid w:val="00812F4A"/>
    <w:pPr>
      <w:keepNext/>
      <w:spacing w:before="120" w:line="260" w:lineRule="atLeast"/>
    </w:pPr>
    <w:rPr>
      <w:rFonts w:ascii="Arial" w:hAnsi="Arial"/>
      <w:sz w:val="20"/>
    </w:rPr>
  </w:style>
  <w:style w:type="paragraph" w:customStyle="1" w:styleId="BoxContinued">
    <w:name w:val="Box Continued"/>
    <w:basedOn w:val="BodyText"/>
    <w:next w:val="BodyText"/>
    <w:semiHidden/>
    <w:rsid w:val="00A17328"/>
    <w:pPr>
      <w:spacing w:before="180" w:line="220" w:lineRule="exact"/>
      <w:jc w:val="right"/>
    </w:pPr>
    <w:rPr>
      <w:rFonts w:ascii="Arial" w:hAnsi="Arial"/>
      <w:sz w:val="18"/>
    </w:rPr>
  </w:style>
  <w:style w:type="paragraph" w:customStyle="1" w:styleId="BoxHeading1">
    <w:name w:val="Box Heading 1"/>
    <w:basedOn w:val="BodyText"/>
    <w:next w:val="Box"/>
    <w:rsid w:val="00A17328"/>
    <w:pPr>
      <w:keepNext/>
      <w:spacing w:before="200" w:line="280" w:lineRule="atLeast"/>
    </w:pPr>
    <w:rPr>
      <w:rFonts w:ascii="Arial" w:hAnsi="Arial"/>
      <w:b/>
      <w:sz w:val="22"/>
    </w:rPr>
  </w:style>
  <w:style w:type="paragraph" w:customStyle="1" w:styleId="BoxHeading2">
    <w:name w:val="Box Heading 2"/>
    <w:basedOn w:val="BoxHeading1"/>
    <w:next w:val="Normal"/>
    <w:rsid w:val="00A17328"/>
    <w:rPr>
      <w:b w:val="0"/>
      <w:i/>
    </w:rPr>
  </w:style>
  <w:style w:type="paragraph" w:customStyle="1" w:styleId="BoxListBullet">
    <w:name w:val="Box List Bullet"/>
    <w:basedOn w:val="BodyText"/>
    <w:rsid w:val="009F5BBD"/>
    <w:pPr>
      <w:keepNext/>
      <w:numPr>
        <w:numId w:val="1"/>
      </w:numPr>
      <w:spacing w:before="100" w:line="260" w:lineRule="atLeast"/>
    </w:pPr>
    <w:rPr>
      <w:rFonts w:ascii="Arial" w:hAnsi="Arial"/>
      <w:sz w:val="20"/>
    </w:rPr>
  </w:style>
  <w:style w:type="paragraph" w:customStyle="1" w:styleId="BoxListBullet2">
    <w:name w:val="Box List Bullet 2"/>
    <w:basedOn w:val="BoxListBullet"/>
    <w:rsid w:val="00812F4A"/>
    <w:pPr>
      <w:numPr>
        <w:numId w:val="13"/>
      </w:numPr>
      <w:ind w:left="568" w:hanging="284"/>
    </w:pPr>
  </w:style>
  <w:style w:type="paragraph" w:customStyle="1" w:styleId="BoxListNumber">
    <w:name w:val="Box List Number"/>
    <w:basedOn w:val="BodyText"/>
    <w:rsid w:val="00812F4A"/>
    <w:pPr>
      <w:keepNext/>
      <w:numPr>
        <w:numId w:val="10"/>
      </w:numPr>
      <w:spacing w:before="100" w:line="260" w:lineRule="atLeast"/>
    </w:pPr>
    <w:rPr>
      <w:rFonts w:ascii="Arial" w:hAnsi="Arial"/>
      <w:sz w:val="20"/>
    </w:rPr>
  </w:style>
  <w:style w:type="paragraph" w:customStyle="1" w:styleId="BoxListNumber2">
    <w:name w:val="Box List Number 2"/>
    <w:basedOn w:val="BoxListNumber"/>
    <w:rsid w:val="00055077"/>
    <w:pPr>
      <w:numPr>
        <w:ilvl w:val="1"/>
      </w:numPr>
      <w:ind w:left="681" w:hanging="397"/>
    </w:pPr>
  </w:style>
  <w:style w:type="paragraph" w:customStyle="1" w:styleId="BoxQuote">
    <w:name w:val="Box Quote"/>
    <w:basedOn w:val="BodyText"/>
    <w:next w:val="Box"/>
    <w:qFormat/>
    <w:rsid w:val="00812F4A"/>
    <w:pPr>
      <w:keepNext/>
      <w:spacing w:before="60" w:line="240" w:lineRule="exact"/>
      <w:ind w:left="284"/>
    </w:pPr>
    <w:rPr>
      <w:rFonts w:ascii="Arial" w:hAnsi="Arial"/>
      <w:sz w:val="18"/>
    </w:rPr>
  </w:style>
  <w:style w:type="paragraph" w:customStyle="1" w:styleId="Note">
    <w:name w:val="Note"/>
    <w:basedOn w:val="BodyText"/>
    <w:next w:val="BodyText"/>
    <w:rsid w:val="00812F4A"/>
    <w:pPr>
      <w:keepLines/>
      <w:spacing w:before="80" w:line="220" w:lineRule="exact"/>
    </w:pPr>
    <w:rPr>
      <w:rFonts w:ascii="Arial" w:hAnsi="Arial"/>
      <w:sz w:val="18"/>
    </w:rPr>
  </w:style>
  <w:style w:type="paragraph" w:customStyle="1" w:styleId="Source">
    <w:name w:val="Source"/>
    <w:basedOn w:val="Normal"/>
    <w:next w:val="BodyText"/>
    <w:rsid w:val="00517795"/>
    <w:pPr>
      <w:keepLines/>
      <w:spacing w:before="80" w:line="220" w:lineRule="exact"/>
      <w:jc w:val="both"/>
    </w:pPr>
    <w:rPr>
      <w:rFonts w:ascii="Arial" w:hAnsi="Arial"/>
      <w:sz w:val="18"/>
    </w:rPr>
  </w:style>
  <w:style w:type="paragraph" w:customStyle="1" w:styleId="BoxSource">
    <w:name w:val="Box Source"/>
    <w:basedOn w:val="Source"/>
    <w:next w:val="BodyText"/>
    <w:rsid w:val="009F74EF"/>
    <w:pPr>
      <w:spacing w:before="120"/>
    </w:pPr>
  </w:style>
  <w:style w:type="paragraph" w:customStyle="1" w:styleId="BoxSpaceAbove">
    <w:name w:val="Box Space Above"/>
    <w:basedOn w:val="BodyText"/>
    <w:rsid w:val="00A17328"/>
    <w:pPr>
      <w:keepNext/>
      <w:spacing w:before="360" w:line="80" w:lineRule="exact"/>
      <w:jc w:val="left"/>
    </w:pPr>
  </w:style>
  <w:style w:type="paragraph" w:styleId="Caption">
    <w:name w:val="caption"/>
    <w:basedOn w:val="Normal"/>
    <w:next w:val="BodyText"/>
    <w:rsid w:val="00A17328"/>
    <w:pPr>
      <w:keepNext/>
      <w:keepLines/>
      <w:spacing w:before="360" w:after="80" w:line="280" w:lineRule="exact"/>
      <w:ind w:left="1474" w:hanging="1474"/>
    </w:pPr>
    <w:rPr>
      <w:rFonts w:ascii="Arial" w:hAnsi="Arial"/>
      <w:b/>
    </w:rPr>
  </w:style>
  <w:style w:type="paragraph" w:customStyle="1" w:styleId="BoxTitle">
    <w:name w:val="Box Title"/>
    <w:basedOn w:val="Caption"/>
    <w:next w:val="BoxSubtitle"/>
    <w:rsid w:val="009F74EF"/>
    <w:pPr>
      <w:spacing w:before="120" w:after="0"/>
    </w:pPr>
  </w:style>
  <w:style w:type="paragraph" w:customStyle="1" w:styleId="BoxSubtitle">
    <w:name w:val="Box Subtitle"/>
    <w:basedOn w:val="BoxTitle"/>
    <w:next w:val="Normal"/>
    <w:rsid w:val="009F74EF"/>
    <w:pPr>
      <w:spacing w:after="80" w:line="200" w:lineRule="exact"/>
      <w:ind w:firstLine="0"/>
    </w:pPr>
    <w:rPr>
      <w:b w:val="0"/>
      <w:sz w:val="20"/>
    </w:rPr>
  </w:style>
  <w:style w:type="paragraph" w:customStyle="1" w:styleId="Chapter">
    <w:name w:val="Chapter"/>
    <w:basedOn w:val="Heading1"/>
    <w:next w:val="BodyText"/>
    <w:semiHidden/>
    <w:rsid w:val="00A17328"/>
    <w:pPr>
      <w:ind w:left="0" w:firstLine="0"/>
      <w:outlineLvl w:val="9"/>
    </w:pPr>
  </w:style>
  <w:style w:type="paragraph" w:customStyle="1" w:styleId="ChapterSummary">
    <w:name w:val="Chapter Summary"/>
    <w:basedOn w:val="BodyText"/>
    <w:rsid w:val="00517795"/>
    <w:pPr>
      <w:spacing w:line="280" w:lineRule="atLeast"/>
      <w:ind w:left="907"/>
    </w:pPr>
    <w:rPr>
      <w:rFonts w:ascii="Arial" w:hAnsi="Arial"/>
      <w:b/>
      <w:sz w:val="20"/>
    </w:rPr>
  </w:style>
  <w:style w:type="character" w:styleId="CommentReference">
    <w:name w:val="annotation reference"/>
    <w:basedOn w:val="DefaultParagraphFont"/>
    <w:semiHidden/>
    <w:rsid w:val="00A17328"/>
    <w:rPr>
      <w:b/>
      <w:vanish/>
      <w:color w:val="FF00FF"/>
      <w:sz w:val="20"/>
    </w:rPr>
  </w:style>
  <w:style w:type="paragraph" w:styleId="CommentText">
    <w:name w:val="annotation text"/>
    <w:basedOn w:val="Normal"/>
    <w:link w:val="CommentTextChar"/>
    <w:semiHidden/>
    <w:rsid w:val="00A17328"/>
    <w:pPr>
      <w:spacing w:before="120" w:line="240" w:lineRule="atLeast"/>
      <w:ind w:left="567" w:hanging="567"/>
    </w:pPr>
    <w:rPr>
      <w:sz w:val="20"/>
    </w:rPr>
  </w:style>
  <w:style w:type="paragraph" w:customStyle="1" w:styleId="Continued">
    <w:name w:val="Continued"/>
    <w:basedOn w:val="BoxContinued"/>
    <w:next w:val="BodyText"/>
    <w:rsid w:val="00517795"/>
  </w:style>
  <w:style w:type="character" w:customStyle="1" w:styleId="DocumentInfo">
    <w:name w:val="Document Info"/>
    <w:basedOn w:val="DefaultParagraphFont"/>
    <w:semiHidden/>
    <w:rsid w:val="00A17328"/>
    <w:rPr>
      <w:rFonts w:ascii="Arial" w:hAnsi="Arial"/>
      <w:sz w:val="14"/>
    </w:rPr>
  </w:style>
  <w:style w:type="character" w:customStyle="1" w:styleId="DraftingNote">
    <w:name w:val="Drafting Note"/>
    <w:basedOn w:val="DefaultParagraphFont"/>
    <w:rsid w:val="00A17328"/>
    <w:rPr>
      <w:b/>
      <w:color w:val="FF0000"/>
      <w:sz w:val="24"/>
      <w:u w:val="dotted"/>
    </w:rPr>
  </w:style>
  <w:style w:type="paragraph" w:customStyle="1" w:styleId="Figure">
    <w:name w:val="Figure"/>
    <w:basedOn w:val="BodyText"/>
    <w:rsid w:val="00A17328"/>
    <w:pPr>
      <w:keepNext/>
      <w:spacing w:before="120" w:after="120" w:line="240" w:lineRule="atLeast"/>
      <w:jc w:val="center"/>
    </w:pPr>
  </w:style>
  <w:style w:type="paragraph" w:customStyle="1" w:styleId="FigureTitle">
    <w:name w:val="Figure Title"/>
    <w:basedOn w:val="Caption"/>
    <w:next w:val="Subtitle"/>
    <w:rsid w:val="009F74EF"/>
    <w:pPr>
      <w:spacing w:before="120"/>
    </w:pPr>
  </w:style>
  <w:style w:type="paragraph" w:styleId="Subtitle">
    <w:name w:val="Subtitle"/>
    <w:basedOn w:val="Caption"/>
    <w:link w:val="SubtitleChar"/>
    <w:qFormat/>
    <w:rsid w:val="00301E4A"/>
    <w:pPr>
      <w:spacing w:before="0" w:line="200" w:lineRule="exact"/>
      <w:ind w:firstLine="0"/>
    </w:pPr>
    <w:rPr>
      <w:b w:val="0"/>
      <w:sz w:val="20"/>
    </w:rPr>
  </w:style>
  <w:style w:type="paragraph" w:customStyle="1" w:styleId="Finding">
    <w:name w:val="Finding"/>
    <w:basedOn w:val="BodyText"/>
    <w:rsid w:val="009F5BBD"/>
    <w:pPr>
      <w:keepLines/>
      <w:spacing w:before="120" w:line="280" w:lineRule="atLeast"/>
    </w:pPr>
    <w:rPr>
      <w:rFonts w:ascii="Arial" w:hAnsi="Arial"/>
      <w:sz w:val="22"/>
    </w:rPr>
  </w:style>
  <w:style w:type="paragraph" w:customStyle="1" w:styleId="FindingBullet">
    <w:name w:val="Finding Bullet"/>
    <w:basedOn w:val="Finding"/>
    <w:rsid w:val="009F5BBD"/>
    <w:pPr>
      <w:numPr>
        <w:numId w:val="15"/>
      </w:numPr>
      <w:spacing w:before="80"/>
    </w:pPr>
  </w:style>
  <w:style w:type="paragraph" w:customStyle="1" w:styleId="FindingNoTitle">
    <w:name w:val="Finding NoTitle"/>
    <w:basedOn w:val="Finding"/>
    <w:semiHidden/>
    <w:rsid w:val="00AB0681"/>
    <w:pPr>
      <w:spacing w:before="240"/>
    </w:pPr>
  </w:style>
  <w:style w:type="paragraph" w:customStyle="1" w:styleId="RecTitle">
    <w:name w:val="Rec Title"/>
    <w:basedOn w:val="BodyText"/>
    <w:next w:val="Rec"/>
    <w:qFormat/>
    <w:rsid w:val="009F5BBD"/>
    <w:pPr>
      <w:keepNext/>
      <w:keepLines/>
      <w:spacing w:line="280" w:lineRule="atLeast"/>
    </w:pPr>
    <w:rPr>
      <w:rFonts w:ascii="Arial" w:hAnsi="Arial"/>
      <w:caps/>
      <w:sz w:val="18"/>
    </w:rPr>
  </w:style>
  <w:style w:type="paragraph" w:customStyle="1" w:styleId="FindingTitle">
    <w:name w:val="Finding Title"/>
    <w:basedOn w:val="RecTitle"/>
    <w:next w:val="Finding"/>
    <w:rsid w:val="00301E4A"/>
    <w:pPr>
      <w:framePr w:wrap="notBeside" w:hAnchor="text"/>
    </w:pPr>
  </w:style>
  <w:style w:type="character" w:styleId="FootnoteReference">
    <w:name w:val="footnote reference"/>
    <w:basedOn w:val="DefaultParagraphFont"/>
    <w:semiHidden/>
    <w:rsid w:val="00243997"/>
    <w:rPr>
      <w:rFonts w:ascii="Times New Roman" w:hAnsi="Times New Roman"/>
      <w:position w:val="6"/>
      <w:sz w:val="20"/>
      <w:vertAlign w:val="baseline"/>
    </w:rPr>
  </w:style>
  <w:style w:type="paragraph" w:styleId="FootnoteText">
    <w:name w:val="footnote text"/>
    <w:basedOn w:val="BodyText"/>
    <w:link w:val="FootnoteTextChar"/>
    <w:rsid w:val="00243997"/>
    <w:pPr>
      <w:tabs>
        <w:tab w:val="left" w:pos="284"/>
      </w:tabs>
      <w:spacing w:before="80" w:line="240" w:lineRule="exact"/>
      <w:ind w:left="284" w:hanging="284"/>
    </w:pPr>
    <w:rPr>
      <w:sz w:val="20"/>
    </w:rPr>
  </w:style>
  <w:style w:type="paragraph" w:customStyle="1" w:styleId="InformationRequest">
    <w:name w:val="Information Request"/>
    <w:basedOn w:val="Finding"/>
    <w:next w:val="BodyText"/>
    <w:rsid w:val="009F5BBD"/>
    <w:rPr>
      <w:i/>
    </w:rPr>
  </w:style>
  <w:style w:type="paragraph" w:customStyle="1" w:styleId="Jurisdictioncommentsbodytext">
    <w:name w:val="Jurisdiction comments body text"/>
    <w:rsid w:val="00A17328"/>
    <w:pPr>
      <w:spacing w:after="140"/>
      <w:jc w:val="both"/>
    </w:pPr>
    <w:rPr>
      <w:rFonts w:ascii="Arial" w:hAnsi="Arial"/>
      <w:sz w:val="24"/>
      <w:lang w:eastAsia="en-US"/>
    </w:rPr>
  </w:style>
  <w:style w:type="paragraph" w:customStyle="1" w:styleId="Jurisdictioncommentsheading">
    <w:name w:val="Jurisdiction comments heading"/>
    <w:rsid w:val="00A17328"/>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A17328"/>
    <w:pPr>
      <w:numPr>
        <w:numId w:val="2"/>
      </w:numPr>
      <w:spacing w:after="140"/>
      <w:jc w:val="both"/>
    </w:pPr>
    <w:rPr>
      <w:rFonts w:ascii="Arial" w:hAnsi="Arial"/>
      <w:sz w:val="24"/>
      <w:lang w:eastAsia="en-US"/>
    </w:rPr>
  </w:style>
  <w:style w:type="paragraph" w:styleId="ListBullet">
    <w:name w:val="List Bullet"/>
    <w:basedOn w:val="BodyText"/>
    <w:rsid w:val="00812F4A"/>
    <w:pPr>
      <w:numPr>
        <w:numId w:val="3"/>
      </w:numPr>
      <w:spacing w:before="120"/>
    </w:pPr>
  </w:style>
  <w:style w:type="paragraph" w:styleId="ListBullet2">
    <w:name w:val="List Bullet 2"/>
    <w:basedOn w:val="BodyText"/>
    <w:rsid w:val="00DB67C9"/>
    <w:pPr>
      <w:numPr>
        <w:numId w:val="4"/>
      </w:numPr>
      <w:spacing w:before="120"/>
    </w:pPr>
  </w:style>
  <w:style w:type="paragraph" w:styleId="ListBullet3">
    <w:name w:val="List Bullet 3"/>
    <w:basedOn w:val="BodyText"/>
    <w:rsid w:val="00055077"/>
    <w:pPr>
      <w:numPr>
        <w:numId w:val="5"/>
      </w:numPr>
      <w:spacing w:before="120"/>
      <w:ind w:left="1020" w:hanging="340"/>
    </w:pPr>
  </w:style>
  <w:style w:type="paragraph" w:styleId="ListNumber">
    <w:name w:val="List Number"/>
    <w:basedOn w:val="BodyText"/>
    <w:rsid w:val="00872F45"/>
    <w:pPr>
      <w:numPr>
        <w:numId w:val="9"/>
      </w:numPr>
      <w:spacing w:before="120"/>
    </w:pPr>
  </w:style>
  <w:style w:type="paragraph" w:styleId="ListNumber2">
    <w:name w:val="List Number 2"/>
    <w:basedOn w:val="ListNumber"/>
    <w:rsid w:val="00864ADC"/>
    <w:pPr>
      <w:numPr>
        <w:ilvl w:val="1"/>
      </w:numPr>
    </w:pPr>
  </w:style>
  <w:style w:type="paragraph" w:styleId="ListNumber3">
    <w:name w:val="List Number 3"/>
    <w:basedOn w:val="ListNumber2"/>
    <w:rsid w:val="00C52416"/>
    <w:pPr>
      <w:numPr>
        <w:ilvl w:val="2"/>
      </w:numPr>
    </w:pPr>
  </w:style>
  <w:style w:type="character" w:customStyle="1" w:styleId="NoteLabel">
    <w:name w:val="Note Label"/>
    <w:basedOn w:val="DefaultParagraphFont"/>
    <w:rsid w:val="00812F4A"/>
    <w:rPr>
      <w:rFonts w:ascii="Arial" w:hAnsi="Arial"/>
      <w:b/>
      <w:position w:val="6"/>
      <w:sz w:val="18"/>
    </w:rPr>
  </w:style>
  <w:style w:type="paragraph" w:customStyle="1" w:styleId="PartDivider">
    <w:name w:val="Part Divider"/>
    <w:basedOn w:val="BodyText"/>
    <w:next w:val="BodyText"/>
    <w:semiHidden/>
    <w:rsid w:val="00A17328"/>
    <w:pPr>
      <w:spacing w:before="0" w:line="40" w:lineRule="exact"/>
      <w:jc w:val="right"/>
    </w:pPr>
    <w:rPr>
      <w:smallCaps/>
      <w:sz w:val="16"/>
    </w:rPr>
  </w:style>
  <w:style w:type="paragraph" w:customStyle="1" w:styleId="PartNumber">
    <w:name w:val="Part Number"/>
    <w:basedOn w:val="BodyText"/>
    <w:next w:val="BodyText"/>
    <w:semiHidden/>
    <w:rsid w:val="00A17328"/>
    <w:pPr>
      <w:spacing w:before="4000" w:line="320" w:lineRule="exact"/>
      <w:ind w:left="6634"/>
      <w:jc w:val="right"/>
    </w:pPr>
    <w:rPr>
      <w:smallCaps/>
      <w:spacing w:val="60"/>
      <w:sz w:val="32"/>
    </w:rPr>
  </w:style>
  <w:style w:type="paragraph" w:customStyle="1" w:styleId="PartTitle">
    <w:name w:val="Part Title"/>
    <w:basedOn w:val="BodyText"/>
    <w:semiHidden/>
    <w:rsid w:val="00A17328"/>
    <w:pPr>
      <w:spacing w:before="160" w:after="1360" w:line="520" w:lineRule="exact"/>
      <w:ind w:right="2381"/>
      <w:jc w:val="right"/>
    </w:pPr>
    <w:rPr>
      <w:smallCaps/>
      <w:sz w:val="52"/>
    </w:rPr>
  </w:style>
  <w:style w:type="paragraph" w:styleId="Quote">
    <w:name w:val="Quote"/>
    <w:basedOn w:val="BodyText"/>
    <w:next w:val="BodyText"/>
    <w:qFormat/>
    <w:rsid w:val="00CB7CED"/>
    <w:pPr>
      <w:spacing w:before="120" w:line="280" w:lineRule="exact"/>
      <w:ind w:left="340"/>
    </w:pPr>
    <w:rPr>
      <w:sz w:val="22"/>
    </w:rPr>
  </w:style>
  <w:style w:type="paragraph" w:customStyle="1" w:styleId="QuoteBullet">
    <w:name w:val="Quote Bullet"/>
    <w:basedOn w:val="Quote"/>
    <w:rsid w:val="00812F4A"/>
    <w:pPr>
      <w:numPr>
        <w:numId w:val="6"/>
      </w:numPr>
    </w:pPr>
  </w:style>
  <w:style w:type="paragraph" w:customStyle="1" w:styleId="Rec">
    <w:name w:val="Rec"/>
    <w:basedOn w:val="BodyText"/>
    <w:qFormat/>
    <w:rsid w:val="009F5BBD"/>
    <w:pPr>
      <w:keepLines/>
      <w:spacing w:before="120" w:line="280" w:lineRule="atLeast"/>
    </w:pPr>
    <w:rPr>
      <w:rFonts w:ascii="Arial" w:hAnsi="Arial"/>
      <w:sz w:val="22"/>
    </w:rPr>
  </w:style>
  <w:style w:type="paragraph" w:customStyle="1" w:styleId="RecBullet">
    <w:name w:val="Rec Bullet"/>
    <w:basedOn w:val="Rec"/>
    <w:rsid w:val="00301E4A"/>
    <w:pPr>
      <w:numPr>
        <w:numId w:val="17"/>
      </w:numPr>
      <w:spacing w:before="80"/>
    </w:pPr>
  </w:style>
  <w:style w:type="paragraph" w:customStyle="1" w:styleId="RecB">
    <w:name w:val="RecB"/>
    <w:basedOn w:val="Normal"/>
    <w:semiHidden/>
    <w:rsid w:val="00F85325"/>
    <w:pPr>
      <w:keepLines/>
      <w:pBdr>
        <w:left w:val="single" w:sz="24" w:space="12" w:color="C0C0C0"/>
      </w:pBdr>
      <w:spacing w:before="180" w:line="320" w:lineRule="atLeast"/>
      <w:jc w:val="both"/>
    </w:pPr>
    <w:rPr>
      <w:b/>
      <w:i/>
    </w:rPr>
  </w:style>
  <w:style w:type="paragraph" w:customStyle="1" w:styleId="RecBBullet">
    <w:name w:val="RecB Bullet"/>
    <w:basedOn w:val="RecB"/>
    <w:semiHidden/>
    <w:rsid w:val="00F85325"/>
    <w:pPr>
      <w:numPr>
        <w:numId w:val="11"/>
      </w:numPr>
      <w:spacing w:before="80"/>
    </w:pPr>
  </w:style>
  <w:style w:type="paragraph" w:customStyle="1" w:styleId="RecBNoTitle">
    <w:name w:val="RecB NoTitle"/>
    <w:basedOn w:val="RecB"/>
    <w:semiHidden/>
    <w:rsid w:val="00F85325"/>
    <w:pPr>
      <w:spacing w:before="240"/>
    </w:pPr>
  </w:style>
  <w:style w:type="paragraph" w:customStyle="1" w:styleId="Reference">
    <w:name w:val="Reference"/>
    <w:basedOn w:val="BodyText"/>
    <w:rsid w:val="00A17328"/>
    <w:pPr>
      <w:spacing w:before="120"/>
      <w:ind w:left="340" w:hanging="340"/>
    </w:pPr>
  </w:style>
  <w:style w:type="paragraph" w:customStyle="1" w:styleId="SequenceInfo">
    <w:name w:val="Sequence Info"/>
    <w:basedOn w:val="BodyText"/>
    <w:semiHidden/>
    <w:rsid w:val="00A17328"/>
    <w:rPr>
      <w:vanish/>
      <w:sz w:val="16"/>
    </w:rPr>
  </w:style>
  <w:style w:type="paragraph" w:customStyle="1" w:styleId="SideNote">
    <w:name w:val="Side Note"/>
    <w:basedOn w:val="BodyText"/>
    <w:next w:val="BodyText"/>
    <w:semiHidden/>
    <w:rsid w:val="00A17328"/>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A17328"/>
    <w:pPr>
      <w:framePr w:wrap="around"/>
      <w:numPr>
        <w:numId w:val="7"/>
      </w:numPr>
      <w:tabs>
        <w:tab w:val="left" w:pos="227"/>
      </w:tabs>
    </w:pPr>
  </w:style>
  <w:style w:type="paragraph" w:customStyle="1" w:styleId="SideNoteGraphic">
    <w:name w:val="Side Note Graphic"/>
    <w:basedOn w:val="SideNote"/>
    <w:next w:val="BodyText"/>
    <w:semiHidden/>
    <w:rsid w:val="00A17328"/>
    <w:pPr>
      <w:framePr w:wrap="around"/>
    </w:pPr>
  </w:style>
  <w:style w:type="paragraph" w:customStyle="1" w:styleId="TableBodyText">
    <w:name w:val="Table Body Text"/>
    <w:basedOn w:val="BodyText"/>
    <w:rsid w:val="00812F4A"/>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812F4A"/>
    <w:pPr>
      <w:numPr>
        <w:numId w:val="8"/>
      </w:numPr>
      <w:jc w:val="left"/>
    </w:pPr>
  </w:style>
  <w:style w:type="paragraph" w:customStyle="1" w:styleId="TableColumnHeading">
    <w:name w:val="Table Column Heading"/>
    <w:basedOn w:val="TableBodyText"/>
    <w:rsid w:val="00812F4A"/>
    <w:pPr>
      <w:spacing w:before="80" w:after="80"/>
    </w:pPr>
    <w:rPr>
      <w:i/>
    </w:rPr>
  </w:style>
  <w:style w:type="paragraph" w:styleId="TOC2">
    <w:name w:val="toc 2"/>
    <w:basedOn w:val="BodyText"/>
    <w:rsid w:val="005C5E19"/>
    <w:pPr>
      <w:tabs>
        <w:tab w:val="right" w:pos="8789"/>
      </w:tabs>
      <w:ind w:left="510" w:right="851" w:hanging="510"/>
      <w:jc w:val="left"/>
    </w:pPr>
    <w:rPr>
      <w:rFonts w:ascii="Arial" w:hAnsi="Arial"/>
      <w:b/>
    </w:rPr>
  </w:style>
  <w:style w:type="paragraph" w:styleId="TOC3">
    <w:name w:val="toc 3"/>
    <w:basedOn w:val="TOC2"/>
    <w:rsid w:val="00A17328"/>
    <w:pPr>
      <w:spacing w:before="60"/>
      <w:ind w:left="1190" w:hanging="680"/>
    </w:pPr>
    <w:rPr>
      <w:b w:val="0"/>
    </w:rPr>
  </w:style>
  <w:style w:type="paragraph" w:styleId="TableofFigures">
    <w:name w:val="table of figures"/>
    <w:basedOn w:val="TOC3"/>
    <w:next w:val="BodyText"/>
    <w:semiHidden/>
    <w:rsid w:val="00A17328"/>
    <w:pPr>
      <w:ind w:left="737" w:hanging="737"/>
    </w:pPr>
  </w:style>
  <w:style w:type="paragraph" w:customStyle="1" w:styleId="TableTitle">
    <w:name w:val="Table Title"/>
    <w:basedOn w:val="Caption"/>
    <w:next w:val="Subtitle"/>
    <w:qFormat/>
    <w:rsid w:val="00D80CF5"/>
  </w:style>
  <w:style w:type="paragraph" w:customStyle="1" w:styleId="TableUnitsRow">
    <w:name w:val="Table Units Row"/>
    <w:basedOn w:val="TableBodyText"/>
    <w:rsid w:val="00812F4A"/>
    <w:pPr>
      <w:spacing w:before="80" w:after="80"/>
    </w:pPr>
  </w:style>
  <w:style w:type="paragraph" w:styleId="TOC1">
    <w:name w:val="toc 1"/>
    <w:basedOn w:val="Normal"/>
    <w:next w:val="TOC2"/>
    <w:rsid w:val="005C5E19"/>
    <w:pPr>
      <w:tabs>
        <w:tab w:val="right" w:pos="8789"/>
      </w:tabs>
      <w:spacing w:before="480" w:after="60" w:line="320" w:lineRule="exact"/>
      <w:ind w:left="1191" w:right="851" w:hanging="1191"/>
    </w:pPr>
    <w:rPr>
      <w:rFonts w:ascii="Arial" w:hAnsi="Arial"/>
      <w:b/>
      <w:caps/>
    </w:rPr>
  </w:style>
  <w:style w:type="paragraph" w:styleId="TOC4">
    <w:name w:val="toc 4"/>
    <w:basedOn w:val="TOC3"/>
    <w:semiHidden/>
    <w:rsid w:val="00A17328"/>
    <w:pPr>
      <w:ind w:left="1191" w:firstLine="0"/>
    </w:pPr>
  </w:style>
  <w:style w:type="paragraph" w:customStyle="1" w:styleId="RecBBullet2">
    <w:name w:val="RecB Bullet 2"/>
    <w:basedOn w:val="ListBullet2"/>
    <w:semiHidden/>
    <w:rsid w:val="006B2B3C"/>
    <w:pPr>
      <w:pBdr>
        <w:left w:val="single" w:sz="24" w:space="29" w:color="C0C0C0"/>
      </w:pBdr>
    </w:pPr>
    <w:rPr>
      <w:b/>
      <w:i/>
    </w:rPr>
  </w:style>
  <w:style w:type="paragraph" w:styleId="BalloonText">
    <w:name w:val="Balloon Text"/>
    <w:basedOn w:val="Normal"/>
    <w:link w:val="BalloonTextChar"/>
    <w:rsid w:val="006B2B3C"/>
    <w:rPr>
      <w:rFonts w:ascii="Tahoma" w:hAnsi="Tahoma" w:cs="Tahoma"/>
      <w:sz w:val="16"/>
      <w:szCs w:val="16"/>
    </w:rPr>
  </w:style>
  <w:style w:type="character" w:customStyle="1" w:styleId="BalloonTextChar">
    <w:name w:val="Balloon Text Char"/>
    <w:basedOn w:val="DefaultParagraphFont"/>
    <w:link w:val="BalloonText"/>
    <w:rsid w:val="006B2B3C"/>
    <w:rPr>
      <w:rFonts w:ascii="Tahoma" w:hAnsi="Tahoma" w:cs="Tahoma"/>
      <w:sz w:val="16"/>
      <w:szCs w:val="16"/>
    </w:rPr>
  </w:style>
  <w:style w:type="character" w:customStyle="1" w:styleId="SubtitleChar">
    <w:name w:val="Subtitle Char"/>
    <w:basedOn w:val="DefaultParagraphFont"/>
    <w:link w:val="Subtitle"/>
    <w:rsid w:val="00301E4A"/>
    <w:rPr>
      <w:rFonts w:ascii="Arial" w:hAnsi="Arial"/>
      <w:szCs w:val="24"/>
    </w:rPr>
  </w:style>
  <w:style w:type="paragraph" w:customStyle="1" w:styleId="BoxListBullet3">
    <w:name w:val="Box List Bullet 3"/>
    <w:basedOn w:val="ListBullet3"/>
    <w:rsid w:val="00812F4A"/>
    <w:pPr>
      <w:numPr>
        <w:numId w:val="14"/>
      </w:numPr>
      <w:tabs>
        <w:tab w:val="left" w:pos="907"/>
      </w:tabs>
      <w:spacing w:before="60" w:line="260" w:lineRule="atLeast"/>
      <w:ind w:left="907" w:hanging="340"/>
    </w:pPr>
    <w:rPr>
      <w:rFonts w:ascii="Arial" w:hAnsi="Arial"/>
      <w:sz w:val="20"/>
    </w:rPr>
  </w:style>
  <w:style w:type="character" w:styleId="Emphasis">
    <w:name w:val="Emphasis"/>
    <w:basedOn w:val="DefaultParagraphFont"/>
    <w:rsid w:val="00DA5BBA"/>
    <w:rPr>
      <w:i/>
      <w:iCs/>
    </w:rPr>
  </w:style>
  <w:style w:type="paragraph" w:customStyle="1" w:styleId="BoxQuoteBullet">
    <w:name w:val="Box Quote Bullet"/>
    <w:basedOn w:val="BoxQuote"/>
    <w:next w:val="Box"/>
    <w:rsid w:val="00812F4A"/>
    <w:pPr>
      <w:numPr>
        <w:numId w:val="12"/>
      </w:numPr>
      <w:ind w:left="568" w:hanging="284"/>
    </w:pPr>
  </w:style>
  <w:style w:type="paragraph" w:customStyle="1" w:styleId="InformationRequestBullet">
    <w:name w:val="Information Request Bullet"/>
    <w:basedOn w:val="ListBullet"/>
    <w:next w:val="BodyText"/>
    <w:rsid w:val="004145D2"/>
    <w:pPr>
      <w:numPr>
        <w:numId w:val="16"/>
      </w:numPr>
      <w:spacing w:before="80" w:line="280" w:lineRule="atLeast"/>
      <w:ind w:left="357" w:hanging="357"/>
    </w:pPr>
    <w:rPr>
      <w:rFonts w:ascii="Arial" w:hAnsi="Arial"/>
      <w:i/>
      <w:sz w:val="22"/>
    </w:rPr>
  </w:style>
  <w:style w:type="paragraph" w:customStyle="1" w:styleId="BoxSpaceBelow">
    <w:name w:val="Box Space Below"/>
    <w:basedOn w:val="Box"/>
    <w:rsid w:val="009E1844"/>
    <w:pPr>
      <w:keepNext w:val="0"/>
      <w:spacing w:before="60" w:after="60" w:line="80" w:lineRule="exact"/>
    </w:pPr>
    <w:rPr>
      <w:sz w:val="14"/>
    </w:rPr>
  </w:style>
  <w:style w:type="paragraph" w:customStyle="1" w:styleId="KeyPointsListBullet">
    <w:name w:val="Key Points List Bullet"/>
    <w:basedOn w:val="Normal"/>
    <w:qFormat/>
    <w:rsid w:val="00F55C25"/>
    <w:pPr>
      <w:keepNext/>
      <w:numPr>
        <w:numId w:val="20"/>
      </w:numPr>
      <w:spacing w:before="100" w:line="260" w:lineRule="atLeast"/>
      <w:ind w:left="357" w:hanging="357"/>
      <w:jc w:val="both"/>
    </w:pPr>
    <w:rPr>
      <w:rFonts w:ascii="Arial" w:hAnsi="Arial"/>
      <w:sz w:val="20"/>
    </w:rPr>
  </w:style>
  <w:style w:type="paragraph" w:customStyle="1" w:styleId="KeyPointsListBullet2">
    <w:name w:val="Key Points List Bullet 2"/>
    <w:basedOn w:val="BoxListBullet2"/>
    <w:rsid w:val="00470737"/>
    <w:pPr>
      <w:numPr>
        <w:numId w:val="21"/>
      </w:numPr>
      <w:ind w:left="568" w:hanging="284"/>
    </w:pPr>
  </w:style>
  <w:style w:type="paragraph" w:customStyle="1" w:styleId="InformationRequestTitle">
    <w:name w:val="Information Request Title"/>
    <w:basedOn w:val="FindingTitle"/>
    <w:next w:val="InformationRequest"/>
    <w:rsid w:val="009F5BBD"/>
    <w:pPr>
      <w:framePr w:wrap="auto"/>
    </w:pPr>
    <w:rPr>
      <w:i/>
    </w:rPr>
  </w:style>
  <w:style w:type="paragraph" w:customStyle="1" w:styleId="Space">
    <w:name w:val="Space"/>
    <w:basedOn w:val="Normal"/>
    <w:rsid w:val="00967CD3"/>
    <w:pPr>
      <w:keepNext/>
      <w:spacing w:line="120" w:lineRule="exact"/>
      <w:jc w:val="both"/>
    </w:pPr>
    <w:rPr>
      <w:rFonts w:ascii="Arial" w:hAnsi="Arial"/>
      <w:sz w:val="20"/>
    </w:rPr>
  </w:style>
  <w:style w:type="paragraph" w:customStyle="1" w:styleId="Heading1nochapterno">
    <w:name w:val="Heading 1 (no chapter no.)"/>
    <w:basedOn w:val="Heading1"/>
    <w:rsid w:val="00CC070F"/>
    <w:pPr>
      <w:spacing w:before="0"/>
      <w:ind w:left="0" w:firstLine="0"/>
    </w:pPr>
  </w:style>
  <w:style w:type="paragraph" w:customStyle="1" w:styleId="Heading2nosectionno">
    <w:name w:val="Heading 2 (no section no.)"/>
    <w:basedOn w:val="Heading2"/>
    <w:rsid w:val="00CC070F"/>
    <w:pPr>
      <w:ind w:left="0" w:firstLine="0"/>
    </w:pPr>
  </w:style>
  <w:style w:type="character" w:customStyle="1" w:styleId="Heading5Char">
    <w:name w:val="Heading 5 Char"/>
    <w:basedOn w:val="DefaultParagraphFont"/>
    <w:link w:val="Heading5"/>
    <w:rsid w:val="00812F4A"/>
    <w:rPr>
      <w:rFonts w:ascii="Arial" w:hAnsi="Arial"/>
      <w:i/>
      <w:sz w:val="22"/>
    </w:rPr>
  </w:style>
  <w:style w:type="paragraph" w:customStyle="1" w:styleId="Figurespace">
    <w:name w:val="Figure space"/>
    <w:basedOn w:val="Box"/>
    <w:rsid w:val="000B1022"/>
    <w:pPr>
      <w:spacing w:before="0" w:line="120" w:lineRule="exact"/>
    </w:pPr>
  </w:style>
  <w:style w:type="paragraph" w:customStyle="1" w:styleId="FooterDraftReport">
    <w:name w:val="FooterDraftReport"/>
    <w:basedOn w:val="Footer"/>
    <w:rsid w:val="0013739A"/>
    <w:pPr>
      <w:spacing w:before="40"/>
    </w:pPr>
    <w:rPr>
      <w:rFonts w:cs="Arial"/>
      <w:color w:val="000000" w:themeColor="text1"/>
      <w14:textFill>
        <w14:solidFill>
          <w14:schemeClr w14:val="tx1">
            <w14:lumMod w14:val="50000"/>
            <w14:lumOff w14:val="50000"/>
            <w14:lumMod w14:val="50000"/>
            <w14:lumOff w14:val="50000"/>
          </w14:schemeClr>
        </w14:solidFill>
      </w14:textFill>
    </w:rPr>
  </w:style>
  <w:style w:type="character" w:customStyle="1" w:styleId="Heading2Char">
    <w:name w:val="Heading 2 Char"/>
    <w:basedOn w:val="DefaultParagraphFont"/>
    <w:link w:val="Heading2"/>
    <w:rsid w:val="00415F39"/>
    <w:rPr>
      <w:rFonts w:ascii="Arial" w:hAnsi="Arial"/>
      <w:b/>
      <w:sz w:val="32"/>
    </w:rPr>
  </w:style>
  <w:style w:type="character" w:styleId="Hyperlink">
    <w:name w:val="Hyperlink"/>
    <w:basedOn w:val="DefaultParagraphFont"/>
    <w:rsid w:val="00415F39"/>
    <w:rPr>
      <w:color w:val="78A22F" w:themeColor="hyperlink"/>
      <w:u w:val="single"/>
    </w:rPr>
  </w:style>
  <w:style w:type="table" w:styleId="TableGrid">
    <w:name w:val="Table Grid"/>
    <w:basedOn w:val="TableNormal"/>
    <w:rsid w:val="009F3E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rsid w:val="00391500"/>
    <w:rPr>
      <w:rFonts w:ascii="Arial" w:hAnsi="Arial"/>
      <w:b/>
      <w:sz w:val="26"/>
    </w:rPr>
  </w:style>
  <w:style w:type="character" w:customStyle="1" w:styleId="FooterChar">
    <w:name w:val="Footer Char"/>
    <w:basedOn w:val="DefaultParagraphFont"/>
    <w:link w:val="Footer"/>
    <w:semiHidden/>
    <w:rsid w:val="009F6FCD"/>
    <w:rPr>
      <w:rFonts w:ascii="Arial" w:hAnsi="Arial"/>
      <w:caps/>
      <w:spacing w:val="-4"/>
      <w:sz w:val="16"/>
    </w:rPr>
  </w:style>
  <w:style w:type="character" w:customStyle="1" w:styleId="BodyTextChar">
    <w:name w:val="Body Text Char"/>
    <w:basedOn w:val="DefaultParagraphFont"/>
    <w:link w:val="BodyText"/>
    <w:rsid w:val="001F49AE"/>
    <w:rPr>
      <w:sz w:val="24"/>
    </w:rPr>
  </w:style>
  <w:style w:type="character" w:customStyle="1" w:styleId="CommentTextChar">
    <w:name w:val="Comment Text Char"/>
    <w:basedOn w:val="DefaultParagraphFont"/>
    <w:link w:val="CommentText"/>
    <w:semiHidden/>
    <w:rsid w:val="001F49AE"/>
    <w:rPr>
      <w:lang w:eastAsia="en-US"/>
    </w:rPr>
  </w:style>
  <w:style w:type="paragraph" w:styleId="CommentSubject">
    <w:name w:val="annotation subject"/>
    <w:basedOn w:val="CommentText"/>
    <w:next w:val="CommentText"/>
    <w:link w:val="CommentSubjectChar"/>
    <w:rsid w:val="00171495"/>
    <w:pPr>
      <w:spacing w:before="0" w:line="240" w:lineRule="auto"/>
      <w:ind w:left="0" w:firstLine="0"/>
    </w:pPr>
    <w:rPr>
      <w:b/>
      <w:bCs/>
    </w:rPr>
  </w:style>
  <w:style w:type="character" w:customStyle="1" w:styleId="CommentSubjectChar">
    <w:name w:val="Comment Subject Char"/>
    <w:basedOn w:val="CommentTextChar"/>
    <w:link w:val="CommentSubject"/>
    <w:rsid w:val="00171495"/>
    <w:rPr>
      <w:b/>
      <w:bCs/>
      <w:lang w:eastAsia="en-US"/>
    </w:rPr>
  </w:style>
  <w:style w:type="paragraph" w:styleId="Revision">
    <w:name w:val="Revision"/>
    <w:hidden/>
    <w:uiPriority w:val="99"/>
    <w:semiHidden/>
    <w:rsid w:val="008D3A48"/>
    <w:rPr>
      <w:sz w:val="26"/>
      <w:lang w:eastAsia="en-US"/>
    </w:rPr>
  </w:style>
  <w:style w:type="character" w:styleId="EndnoteReference">
    <w:name w:val="endnote reference"/>
    <w:basedOn w:val="DefaultParagraphFont"/>
    <w:rsid w:val="00775E4D"/>
    <w:rPr>
      <w:vertAlign w:val="superscript"/>
    </w:rPr>
  </w:style>
  <w:style w:type="paragraph" w:styleId="ListParagraph">
    <w:name w:val="List Paragraph"/>
    <w:basedOn w:val="Normal"/>
    <w:uiPriority w:val="34"/>
    <w:rsid w:val="008D3602"/>
    <w:pPr>
      <w:ind w:left="720"/>
      <w:contextualSpacing/>
    </w:pPr>
  </w:style>
  <w:style w:type="paragraph" w:styleId="Bibliography">
    <w:name w:val="Bibliography"/>
    <w:basedOn w:val="Normal"/>
    <w:next w:val="Normal"/>
    <w:uiPriority w:val="37"/>
    <w:unhideWhenUsed/>
    <w:rsid w:val="00A262E9"/>
    <w:pPr>
      <w:spacing w:after="240"/>
      <w:ind w:left="720" w:hanging="720"/>
    </w:pPr>
  </w:style>
  <w:style w:type="character" w:customStyle="1" w:styleId="Heading4Char">
    <w:name w:val="Heading 4 Char"/>
    <w:basedOn w:val="DefaultParagraphFont"/>
    <w:link w:val="Heading4"/>
    <w:rsid w:val="00CF2E16"/>
    <w:rPr>
      <w:rFonts w:ascii="Arial" w:hAnsi="Arial"/>
      <w:sz w:val="24"/>
    </w:rPr>
  </w:style>
  <w:style w:type="character" w:customStyle="1" w:styleId="FootnoteTextChar">
    <w:name w:val="Footnote Text Char"/>
    <w:basedOn w:val="DefaultParagraphFont"/>
    <w:link w:val="FootnoteText"/>
    <w:rsid w:val="00CF2E16"/>
  </w:style>
  <w:style w:type="paragraph" w:customStyle="1" w:styleId="BoxSpaceAboveElement">
    <w:name w:val="Box Space Above Element"/>
    <w:basedOn w:val="BoxSpaceAbove"/>
    <w:link w:val="BoxSpaceAboveElementChar"/>
    <w:qFormat/>
    <w:rsid w:val="00607F4B"/>
    <w:pPr>
      <w:spacing w:before="240"/>
    </w:pPr>
    <w:rPr>
      <w:b/>
      <w:vanish/>
      <w:color w:val="FF00FF"/>
      <w:sz w:val="14"/>
    </w:rPr>
  </w:style>
  <w:style w:type="character" w:customStyle="1" w:styleId="BoxSpaceAboveElementChar">
    <w:name w:val="Box Space Above Element Char"/>
    <w:basedOn w:val="DefaultParagraphFont"/>
    <w:link w:val="BoxSpaceAboveElement"/>
    <w:rsid w:val="00607F4B"/>
    <w:rPr>
      <w:b/>
      <w:vanish/>
      <w:color w:val="FF00FF"/>
      <w:sz w:val="14"/>
    </w:rPr>
  </w:style>
  <w:style w:type="character" w:styleId="FollowedHyperlink">
    <w:name w:val="FollowedHyperlink"/>
    <w:basedOn w:val="DefaultParagraphFont"/>
    <w:rsid w:val="00F24E59"/>
    <w:rPr>
      <w:color w:val="387DD2" w:themeColor="followedHyperlink"/>
      <w:u w:val="single"/>
    </w:rPr>
  </w:style>
  <w:style w:type="paragraph" w:customStyle="1" w:styleId="NoParagraphStyle">
    <w:name w:val="[No Paragraph Style]"/>
    <w:rsid w:val="00C46775"/>
    <w:pPr>
      <w:autoSpaceDE w:val="0"/>
      <w:autoSpaceDN w:val="0"/>
      <w:adjustRightInd w:val="0"/>
      <w:spacing w:line="288" w:lineRule="auto"/>
      <w:textAlignment w:val="center"/>
    </w:pPr>
    <w:rPr>
      <w:rFonts w:ascii="MinionPro-Regular" w:hAnsi="MinionPro-Regular" w:cs="MinionPro-Regular"/>
      <w:color w:val="000000"/>
      <w:sz w:val="24"/>
      <w:szCs w:val="24"/>
      <w:lang w:val="en-GB"/>
    </w:rPr>
  </w:style>
  <w:style w:type="paragraph" w:customStyle="1" w:styleId="SubHeading2">
    <w:name w:val="Sub Heading 2"/>
    <w:basedOn w:val="NoParagraphStyle"/>
    <w:uiPriority w:val="99"/>
    <w:rsid w:val="00C46775"/>
    <w:pPr>
      <w:ind w:left="283"/>
    </w:pPr>
    <w:rPr>
      <w:rFonts w:ascii="Goudy" w:hAnsi="Goudy" w:cs="Goudy"/>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166939">
      <w:bodyDiv w:val="1"/>
      <w:marLeft w:val="0"/>
      <w:marRight w:val="0"/>
      <w:marTop w:val="0"/>
      <w:marBottom w:val="0"/>
      <w:divBdr>
        <w:top w:val="none" w:sz="0" w:space="0" w:color="auto"/>
        <w:left w:val="none" w:sz="0" w:space="0" w:color="auto"/>
        <w:bottom w:val="none" w:sz="0" w:space="0" w:color="auto"/>
        <w:right w:val="none" w:sz="0" w:space="0" w:color="auto"/>
      </w:divBdr>
    </w:div>
    <w:div w:id="362902060">
      <w:bodyDiv w:val="1"/>
      <w:marLeft w:val="0"/>
      <w:marRight w:val="0"/>
      <w:marTop w:val="0"/>
      <w:marBottom w:val="0"/>
      <w:divBdr>
        <w:top w:val="none" w:sz="0" w:space="0" w:color="auto"/>
        <w:left w:val="none" w:sz="0" w:space="0" w:color="auto"/>
        <w:bottom w:val="none" w:sz="0" w:space="0" w:color="auto"/>
        <w:right w:val="none" w:sz="0" w:space="0" w:color="auto"/>
      </w:divBdr>
    </w:div>
    <w:div w:id="630674290">
      <w:bodyDiv w:val="1"/>
      <w:marLeft w:val="0"/>
      <w:marRight w:val="0"/>
      <w:marTop w:val="0"/>
      <w:marBottom w:val="0"/>
      <w:divBdr>
        <w:top w:val="none" w:sz="0" w:space="0" w:color="auto"/>
        <w:left w:val="none" w:sz="0" w:space="0" w:color="auto"/>
        <w:bottom w:val="none" w:sz="0" w:space="0" w:color="auto"/>
        <w:right w:val="none" w:sz="0" w:space="0" w:color="auto"/>
      </w:divBdr>
    </w:div>
    <w:div w:id="835000239">
      <w:bodyDiv w:val="1"/>
      <w:marLeft w:val="0"/>
      <w:marRight w:val="0"/>
      <w:marTop w:val="0"/>
      <w:marBottom w:val="0"/>
      <w:divBdr>
        <w:top w:val="none" w:sz="0" w:space="0" w:color="auto"/>
        <w:left w:val="none" w:sz="0" w:space="0" w:color="auto"/>
        <w:bottom w:val="none" w:sz="0" w:space="0" w:color="auto"/>
        <w:right w:val="none" w:sz="0" w:space="0" w:color="auto"/>
      </w:divBdr>
    </w:div>
    <w:div w:id="1397359787">
      <w:bodyDiv w:val="1"/>
      <w:marLeft w:val="0"/>
      <w:marRight w:val="0"/>
      <w:marTop w:val="0"/>
      <w:marBottom w:val="0"/>
      <w:divBdr>
        <w:top w:val="none" w:sz="0" w:space="0" w:color="auto"/>
        <w:left w:val="none" w:sz="0" w:space="0" w:color="auto"/>
        <w:bottom w:val="none" w:sz="0" w:space="0" w:color="auto"/>
        <w:right w:val="none" w:sz="0" w:space="0" w:color="auto"/>
      </w:divBdr>
    </w:div>
    <w:div w:id="1598250675">
      <w:bodyDiv w:val="1"/>
      <w:marLeft w:val="0"/>
      <w:marRight w:val="0"/>
      <w:marTop w:val="0"/>
      <w:marBottom w:val="0"/>
      <w:divBdr>
        <w:top w:val="none" w:sz="0" w:space="0" w:color="auto"/>
        <w:left w:val="none" w:sz="0" w:space="0" w:color="auto"/>
        <w:bottom w:val="none" w:sz="0" w:space="0" w:color="auto"/>
        <w:right w:val="none" w:sz="0" w:space="0" w:color="auto"/>
      </w:divBdr>
    </w:div>
    <w:div w:id="1901749371">
      <w:bodyDiv w:val="1"/>
      <w:marLeft w:val="0"/>
      <w:marRight w:val="0"/>
      <w:marTop w:val="0"/>
      <w:marBottom w:val="0"/>
      <w:divBdr>
        <w:top w:val="none" w:sz="0" w:space="0" w:color="auto"/>
        <w:left w:val="none" w:sz="0" w:space="0" w:color="auto"/>
        <w:bottom w:val="none" w:sz="0" w:space="0" w:color="auto"/>
        <w:right w:val="none" w:sz="0" w:space="0" w:color="auto"/>
      </w:divBdr>
    </w:div>
    <w:div w:id="1952666802">
      <w:bodyDiv w:val="1"/>
      <w:marLeft w:val="0"/>
      <w:marRight w:val="0"/>
      <w:marTop w:val="0"/>
      <w:marBottom w:val="0"/>
      <w:divBdr>
        <w:top w:val="none" w:sz="0" w:space="0" w:color="auto"/>
        <w:left w:val="none" w:sz="0" w:space="0" w:color="auto"/>
        <w:bottom w:val="none" w:sz="0" w:space="0" w:color="auto"/>
        <w:right w:val="none" w:sz="0" w:space="0" w:color="auto"/>
      </w:divBdr>
    </w:div>
    <w:div w:id="1963799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3.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2.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4.xml"/><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image" Target="media/image4.emf"/><Relationship Id="rId28"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footer" Target="footer2.xml"/><Relationship Id="rId31" Type="http://schemas.microsoft.com/office/2011/relationships/commentsExtended" Target="commentsExtended.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png"/><Relationship Id="rId22" Type="http://schemas.openxmlformats.org/officeDocument/2006/relationships/image" Target="media/image3.emf"/><Relationship Id="rId27" Type="http://schemas.openxmlformats.org/officeDocument/2006/relationships/footer" Target="foot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G:\office\template2010\issues-paper-template.dotm" TargetMode="External"/></Relationships>
</file>

<file path=word/theme/theme1.xml><?xml version="1.0" encoding="utf-8"?>
<a:theme xmlns:a="http://schemas.openxmlformats.org/drawingml/2006/main" name="ProdCommTheme">
  <a:themeElements>
    <a:clrScheme name="PC colour scheme">
      <a:dk1>
        <a:sysClr val="windowText" lastClr="000000"/>
      </a:dk1>
      <a:lt1>
        <a:sysClr val="window" lastClr="FFFFFF"/>
      </a:lt1>
      <a:dk2>
        <a:srgbClr val="000000"/>
      </a:dk2>
      <a:lt2>
        <a:srgbClr val="BFBFBF"/>
      </a:lt2>
      <a:accent1>
        <a:srgbClr val="78A22F"/>
      </a:accent1>
      <a:accent2>
        <a:srgbClr val="265A9A"/>
      </a:accent2>
      <a:accent3>
        <a:srgbClr val="B2D673"/>
      </a:accent3>
      <a:accent4>
        <a:srgbClr val="F2F2F2"/>
      </a:accent4>
      <a:accent5>
        <a:srgbClr val="387DD2"/>
      </a:accent5>
      <a:accent6>
        <a:srgbClr val="C00000"/>
      </a:accent6>
      <a:hlink>
        <a:srgbClr val="78A22F"/>
      </a:hlink>
      <a:folHlink>
        <a:srgbClr val="387DD2"/>
      </a:folHlink>
    </a:clrScheme>
    <a:fontScheme name="PC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Consult" ma:contentTypeID="0x0101007916246811615643A710C6FEAFF56A87110100EEFE548D9549EA4098E3A65339C068F300BA1D7A25FB5C9548AD8F7D9D296E6E88" ma:contentTypeVersion="0" ma:contentTypeDescription="" ma:contentTypeScope="" ma:versionID="d72d8db2250471527e182ae37b4e397f">
  <xsd:schema xmlns:xsd="http://www.w3.org/2001/XMLSchema" xmlns:xs="http://www.w3.org/2001/XMLSchema" xmlns:p="http://schemas.microsoft.com/office/2006/metadata/properties" xmlns:ns2="3f4bcce7-ac1a-4c9d-aa3e-7e77695652db" xmlns:ns3="8044c801-d84b-4ee1-a77e-678f8dcdee17" targetNamespace="http://schemas.microsoft.com/office/2006/metadata/properties" ma:root="true" ma:fieldsID="c2aea08b79f59d8dcb2ffde3823d6df1" ns2:_="" ns3:_="">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3:Archive" minOccurs="0"/>
                <xsd:element ref="ns3:Visit_x0020_Location" minOccurs="0"/>
                <xsd:element ref="ns2: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34acda73-1f87-46c1-87fb-9a6ab750dd38" ma:open="false" ma:isKeyword="false">
      <xsd:complexType>
        <xsd:sequence>
          <xsd:element ref="pc:Terms" minOccurs="0" maxOccurs="1"/>
        </xsd:sequence>
      </xsd:complexType>
    </xsd:element>
    <xsd:element name="TaxKeywordTaxHTField" ma:index="14"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Archive" ma:index="12" nillable="true" ma:displayName="Archive" ma:default="0" ma:internalName="Archive">
      <xsd:simpleType>
        <xsd:restriction base="dms:Boolean"/>
      </xsd:simpleType>
    </xsd:element>
    <xsd:element name="Visit_x0020_Location" ma:index="13" nillable="true" ma:displayName="Visit Location" ma:format="RadioButtons" ma:internalName="Visit_x0020_Location">
      <xsd:simpleType>
        <xsd:union memberTypes="dms:Text">
          <xsd:simpleType>
            <xsd:restriction base="dms:Choice">
              <xsd:enumeration value="Adelaide"/>
              <xsd:enumeration value="Brisbane"/>
              <xsd:enumeration value="Canberra"/>
              <xsd:enumeration value="Darwin"/>
              <xsd:enumeration value="Hobart"/>
              <xsd:enumeration value="Melbourne"/>
              <xsd:enumeration value="Perth"/>
              <xsd:enumeration value="Sydney"/>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70da5c63-8548-4ac8-9616-83b0f373280e" ContentTypeId="0x0101007916246811615643A710C6FEAFF56A871101" PreviousValue="false"/>
</file>

<file path=customXml/item3.xml><?xml version="1.0" encoding="utf-8"?>
<?mso-contentType ?>
<customXsn xmlns="http://schemas.microsoft.com/office/2006/metadata/customXsn">
  <xsnLocation/>
  <cached>True</cached>
  <openByDefault>True</openByDefault>
  <xsnScope/>
</customXs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isit_x0020_Location xmlns="8044c801-d84b-4ee1-a77e-678f8dcdee17" xsi:nil="true"/>
    <TaxKeywordTaxHTField xmlns="3f4bcce7-ac1a-4c9d-aa3e-7e77695652db">
      <Terms xmlns="http://schemas.microsoft.com/office/infopath/2007/PartnerControls">
        <TermInfo xmlns="http://schemas.microsoft.com/office/infopath/2007/PartnerControls">
          <TermName xmlns="http://schemas.microsoft.com/office/infopath/2007/PartnerControls">Default</TermName>
          <TermId xmlns="http://schemas.microsoft.com/office/infopath/2007/PartnerControls">64032201-f6de-400b-9ac3-4f00337179ea</TermId>
        </TermInfo>
      </Terms>
    </TaxKeywordTaxHTField>
    <Archive xmlns="8044c801-d84b-4ee1-a77e-678f8dcdee17">false</Archive>
    <p7a0baa8c88445a78b6f55906390ba17 xmlns="3f4bcce7-ac1a-4c9d-aa3e-7e77695652db">
      <Terms xmlns="http://schemas.microsoft.com/office/infopath/2007/PartnerControls">
        <TermInfo xmlns="http://schemas.microsoft.com/office/infopath/2007/PartnerControls">
          <TermName>Issues Papers</TermName>
          <TermId>3f58d8d8-eba3-4f69-b92f-42d45f1952c5</TermId>
        </TermInfo>
      </Terms>
    </p7a0baa8c88445a78b6f55906390ba17>
    <TaxCatchAll xmlns="3f4bcce7-ac1a-4c9d-aa3e-7e77695652db">
      <Value>249</Value>
      <Value>2433</Value>
    </TaxCatchAl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776C5F-0639-40EE-861A-0E5CC7120D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A12F96-0BFB-4E33-8DAF-8BD4D18E68E4}">
  <ds:schemaRefs>
    <ds:schemaRef ds:uri="Microsoft.SharePoint.Taxonomy.ContentTypeSync"/>
  </ds:schemaRefs>
</ds:datastoreItem>
</file>

<file path=customXml/itemProps3.xml><?xml version="1.0" encoding="utf-8"?>
<ds:datastoreItem xmlns:ds="http://schemas.openxmlformats.org/officeDocument/2006/customXml" ds:itemID="{D3F0877F-0623-4B56-8CCA-FAABDD57EFEF}">
  <ds:schemaRefs>
    <ds:schemaRef ds:uri="http://schemas.microsoft.com/office/2006/metadata/customXsn"/>
  </ds:schemaRefs>
</ds:datastoreItem>
</file>

<file path=customXml/itemProps4.xml><?xml version="1.0" encoding="utf-8"?>
<ds:datastoreItem xmlns:ds="http://schemas.openxmlformats.org/officeDocument/2006/customXml" ds:itemID="{001B388B-DE09-4FEF-9396-3A36E6067D82}">
  <ds:schemaRefs>
    <ds:schemaRef ds:uri="http://schemas.microsoft.com/sharepoint/v3/contenttype/forms"/>
  </ds:schemaRefs>
</ds:datastoreItem>
</file>

<file path=customXml/itemProps5.xml><?xml version="1.0" encoding="utf-8"?>
<ds:datastoreItem xmlns:ds="http://schemas.openxmlformats.org/officeDocument/2006/customXml" ds:itemID="{B91B1829-E8A0-43B2-944A-3957DC372889}">
  <ds:schemaRefs>
    <ds:schemaRef ds:uri="http://schemas.openxmlformats.org/package/2006/metadata/core-properties"/>
    <ds:schemaRef ds:uri="http://purl.org/dc/dcmitype/"/>
    <ds:schemaRef ds:uri="3f4bcce7-ac1a-4c9d-aa3e-7e77695652db"/>
    <ds:schemaRef ds:uri="http://schemas.microsoft.com/office/infopath/2007/PartnerControls"/>
    <ds:schemaRef ds:uri="http://purl.org/dc/elements/1.1/"/>
    <ds:schemaRef ds:uri="http://purl.org/dc/terms/"/>
    <ds:schemaRef ds:uri="http://schemas.microsoft.com/office/2006/documentManagement/types"/>
    <ds:schemaRef ds:uri="http://www.w3.org/XML/1998/namespace"/>
    <ds:schemaRef ds:uri="8044c801-d84b-4ee1-a77e-678f8dcdee17"/>
    <ds:schemaRef ds:uri="http://schemas.microsoft.com/office/2006/metadata/properties"/>
  </ds:schemaRefs>
</ds:datastoreItem>
</file>

<file path=customXml/itemProps6.xml><?xml version="1.0" encoding="utf-8"?>
<ds:datastoreItem xmlns:ds="http://schemas.openxmlformats.org/officeDocument/2006/customXml" ds:itemID="{561288F3-8B7B-44F1-ABDF-9E302EFA4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issues-paper-template.dotm</Template>
  <TotalTime>1</TotalTime>
  <Pages>3</Pages>
  <Words>9282</Words>
  <Characters>52913</Characters>
  <Application>Microsoft Office Word</Application>
  <DocSecurity>0</DocSecurity>
  <Lines>440</Lines>
  <Paragraphs>124</Paragraphs>
  <ScaleCrop>false</ScaleCrop>
  <HeadingPairs>
    <vt:vector size="2" baseType="variant">
      <vt:variant>
        <vt:lpstr>Title</vt:lpstr>
      </vt:variant>
      <vt:variant>
        <vt:i4>1</vt:i4>
      </vt:variant>
    </vt:vector>
  </HeadingPairs>
  <TitlesOfParts>
    <vt:vector size="1" baseType="lpstr">
      <vt:lpstr>Issues paper - Superannuation: Alternative Default Models</vt:lpstr>
    </vt:vector>
  </TitlesOfParts>
  <Company>Productivity Commission</Company>
  <LinksUpToDate>false</LinksUpToDate>
  <CharactersWithSpaces>62071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Issues paper - Superannuation: Alternative Default Models</dc:title>
  <dc:subject>Report</dc:subject>
  <dc:creator>Productivity Commission</dc:creator>
  <cp:keywords>Default</cp:keywords>
  <dc:description>1.</dc:description>
  <cp:lastModifiedBy>Productivity Commission</cp:lastModifiedBy>
  <cp:revision>3</cp:revision>
  <cp:lastPrinted>2016-09-18T23:28:00Z</cp:lastPrinted>
  <dcterms:created xsi:type="dcterms:W3CDTF">2016-09-19T01:49:00Z</dcterms:created>
  <dcterms:modified xsi:type="dcterms:W3CDTF">2016-09-19T02:29:00Z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0x0101007916246811615643A710C6FEAFF56A87110100EEFE548D9549EA4098E3A65339C068F300BA1D7A25FB5C9548AD8F7D9D296E6E88</vt:lpwstr>
  </property>
  <property fmtid="{D5CDD505-2E9C-101B-9397-08002B2CF9AE}" pid="3" name="Record Tag">
    <vt:lpwstr>249;#Issues Papers|3f58d8d8-eba3-4f69-b92f-42d45f1952c5</vt:lpwstr>
  </property>
  <property fmtid="{D5CDD505-2E9C-101B-9397-08002B2CF9AE}" pid="4" name="TaxKeyword">
    <vt:lpwstr>2433;#Default|64032201-f6de-400b-9ac3-4f00337179ea</vt:lpwstr>
  </property>
  <property fmtid="{D5CDD505-2E9C-101B-9397-08002B2CF9AE}" pid="5" name="ZOTERO_PREF_2">
    <vt:lpwstr> value="true"/&gt;&lt;pref name="automaticJournalAbbreviations" value="true"/&gt;&lt;pref name="noteType" value="0"/&gt;&lt;/prefs&gt;&lt;/data&gt;</vt:lpwstr>
  </property>
  <property fmtid="{D5CDD505-2E9C-101B-9397-08002B2CF9AE}" pid="6" name="ZOTERO_PREF_1">
    <vt:lpwstr>&lt;data data-version="3" zotero-version="4.0.29.10"&gt;&lt;session id="w5O0I2z2"/&gt;&lt;style id="http://www.zotero.org/styles/unisa-harvard" hasBibliography="1" bibliographyStyleHasBeenSet="1"/&gt;&lt;prefs&gt;&lt;pref name="fieldType" value="Field"/&gt;&lt;pref name="storeReferences"</vt:lpwstr>
  </property>
</Properties>
</file>