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F5FF3" w14:textId="522175F2" w:rsidR="00415F39" w:rsidRPr="00B41300" w:rsidRDefault="00B41300" w:rsidP="00B41300">
      <w:pPr>
        <w:pStyle w:val="Heading1NotTOC"/>
        <w:rPr>
          <w:color w:val="FFFFFF" w:themeColor="background1"/>
          <w:sz w:val="16"/>
          <w:szCs w:val="16"/>
        </w:rPr>
      </w:pPr>
      <w:bookmarkStart w:id="0" w:name="ChapterNumber"/>
      <w:r>
        <w:rPr>
          <w:noProof/>
          <w:color w:val="FFFFFF" w:themeColor="background1"/>
          <w:sz w:val="16"/>
          <w:szCs w:val="16"/>
          <w:lang w:eastAsia="en-AU"/>
        </w:rPr>
        <w:drawing>
          <wp:anchor distT="0" distB="0" distL="114300" distR="114300" simplePos="0" relativeHeight="251658240" behindDoc="0" locked="0" layoutInCell="1" allowOverlap="1" wp14:anchorId="3CE813E0" wp14:editId="7A78BADB">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ues-paper-cover-super-assessment-inquir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sidRPr="00B41300">
        <w:rPr>
          <w:color w:val="FFFFFF" w:themeColor="background1"/>
          <w:sz w:val="16"/>
          <w:szCs w:val="16"/>
        </w:rPr>
        <w:t>Superannuation: Assessing Competitiveness and Efficiency. Productivity Commission Issues Paper. July 2017.</w:t>
      </w:r>
    </w:p>
    <w:p w14:paraId="2BDF5FF4" w14:textId="77777777" w:rsidR="00415F39" w:rsidRDefault="00415F39" w:rsidP="00415F39">
      <w:pPr>
        <w:pStyle w:val="Heading1"/>
        <w:spacing w:before="0"/>
      </w:pPr>
      <w:r>
        <w:br w:type="page"/>
      </w:r>
    </w:p>
    <w:p w14:paraId="2BDF5FF5"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14:paraId="2BDF5FF7" w14:textId="77777777" w:rsidTr="00687440">
        <w:trPr>
          <w:tblHeader/>
        </w:trPr>
        <w:tc>
          <w:tcPr>
            <w:tcW w:w="8771" w:type="dxa"/>
            <w:tcBorders>
              <w:top w:val="single" w:sz="6" w:space="0" w:color="78A22F"/>
              <w:left w:val="nil"/>
              <w:bottom w:val="nil"/>
              <w:right w:val="nil"/>
            </w:tcBorders>
            <w:shd w:val="clear" w:color="auto" w:fill="F2F2F2" w:themeFill="background1" w:themeFillShade="F2"/>
          </w:tcPr>
          <w:p w14:paraId="2BDF5FF6" w14:textId="77777777" w:rsidR="00415F39" w:rsidRPr="008A3857" w:rsidRDefault="00415F39" w:rsidP="00415F39">
            <w:pPr>
              <w:pStyle w:val="BoxTitle"/>
              <w:rPr>
                <w:sz w:val="22"/>
                <w:szCs w:val="22"/>
              </w:rPr>
            </w:pPr>
            <w:r w:rsidRPr="008A3857">
              <w:rPr>
                <w:sz w:val="22"/>
                <w:szCs w:val="22"/>
              </w:rPr>
              <w:t xml:space="preserve">The </w:t>
            </w:r>
            <w:r>
              <w:rPr>
                <w:sz w:val="22"/>
                <w:szCs w:val="22"/>
              </w:rPr>
              <w:t>Issues Paper</w:t>
            </w:r>
          </w:p>
        </w:tc>
      </w:tr>
      <w:tr w:rsidR="00415F39" w14:paraId="2BDF602A" w14:textId="77777777" w:rsidTr="00687440">
        <w:tc>
          <w:tcPr>
            <w:tcW w:w="8771" w:type="dxa"/>
            <w:tcBorders>
              <w:top w:val="nil"/>
              <w:left w:val="nil"/>
              <w:bottom w:val="nil"/>
              <w:right w:val="nil"/>
            </w:tcBorders>
            <w:shd w:val="clear" w:color="auto" w:fill="F2F2F2" w:themeFill="background1" w:themeFillShade="F2"/>
          </w:tcPr>
          <w:p w14:paraId="2BDF5FF8" w14:textId="4E714C8C" w:rsidR="00415F39" w:rsidRDefault="00415F39" w:rsidP="00415F39">
            <w:pPr>
              <w:pStyle w:val="Box"/>
            </w:pPr>
            <w:r>
              <w:t>The Commission has released this issues paper to assist individuals and organisations to prepare su</w:t>
            </w:r>
            <w:r w:rsidR="00BC2E91">
              <w:t>bmissions to the inquiry</w:t>
            </w:r>
            <w:r>
              <w:t>. It contains and outlines:</w:t>
            </w:r>
          </w:p>
          <w:p w14:paraId="2BDF5FF9" w14:textId="41240D00" w:rsidR="00415F39" w:rsidRDefault="00BC2E91" w:rsidP="00415F39">
            <w:pPr>
              <w:pStyle w:val="BoxListBullet"/>
            </w:pPr>
            <w:r>
              <w:t>the scope of the inquiry</w:t>
            </w:r>
          </w:p>
          <w:p w14:paraId="2BDF5FFA" w14:textId="77777777" w:rsidR="00415F39" w:rsidRDefault="00415F39" w:rsidP="00415F39">
            <w:pPr>
              <w:pStyle w:val="BoxListBullet"/>
            </w:pPr>
            <w:r>
              <w:t>the Commission’s procedures</w:t>
            </w:r>
          </w:p>
          <w:p w14:paraId="2BDF5FFB" w14:textId="77777777" w:rsidR="00415F39" w:rsidRDefault="00415F39" w:rsidP="00415F39">
            <w:pPr>
              <w:pStyle w:val="BoxListBullet"/>
            </w:pPr>
            <w:r>
              <w:t>matters about which the Commission is seeking comment and information</w:t>
            </w:r>
          </w:p>
          <w:p w14:paraId="2BDF5FFC" w14:textId="77777777" w:rsidR="00415F39" w:rsidRDefault="00415F39" w:rsidP="00415F39">
            <w:pPr>
              <w:pStyle w:val="BoxListBullet"/>
            </w:pPr>
            <w:r>
              <w:t>how to make a submission.</w:t>
            </w:r>
          </w:p>
          <w:p w14:paraId="2BDF5FFD" w14:textId="72BAE19E" w:rsidR="00415F39" w:rsidRDefault="00415F39" w:rsidP="00415F39">
            <w:pPr>
              <w:pStyle w:val="Box"/>
            </w:pPr>
            <w:r>
              <w:t>Participants should not feel that they are restricted to comment only on matters raised in the issues paper. The Commission wishes to receive information and comment on issues which partici</w:t>
            </w:r>
            <w:r w:rsidR="00BC2E91">
              <w:t>pants consider relevant to the inquiry’s</w:t>
            </w:r>
            <w:r>
              <w:t xml:space="preserve"> terms of reference.</w:t>
            </w:r>
          </w:p>
          <w:p w14:paraId="2BDF5FFE" w14:textId="1057A71B" w:rsidR="00415F39" w:rsidRDefault="00415F39" w:rsidP="009F3E26">
            <w:pPr>
              <w:pStyle w:val="BoxHeading1"/>
            </w:pPr>
            <w:r>
              <w:t>Key inquiry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9F3E26" w14:paraId="2BDF6001" w14:textId="77777777" w:rsidTr="001E4D46">
              <w:trPr>
                <w:tblHeader/>
              </w:trPr>
              <w:tc>
                <w:tcPr>
                  <w:tcW w:w="3522" w:type="dxa"/>
                  <w:tcMar>
                    <w:left w:w="0" w:type="dxa"/>
                  </w:tcMar>
                </w:tcPr>
                <w:p w14:paraId="2BDF5FFF" w14:textId="77777777" w:rsidR="009F3E26" w:rsidRDefault="009F3E26" w:rsidP="00415F39">
                  <w:pPr>
                    <w:pStyle w:val="Box"/>
                  </w:pPr>
                  <w:r>
                    <w:t>Receipt of terms of reference</w:t>
                  </w:r>
                </w:p>
              </w:tc>
              <w:tc>
                <w:tcPr>
                  <w:tcW w:w="4950" w:type="dxa"/>
                </w:tcPr>
                <w:p w14:paraId="2BDF6000" w14:textId="1BFAF493" w:rsidR="009F3E26" w:rsidRDefault="00BC390A" w:rsidP="00415F39">
                  <w:pPr>
                    <w:pStyle w:val="Box"/>
                  </w:pPr>
                  <w:r>
                    <w:t>30 June 2017</w:t>
                  </w:r>
                </w:p>
              </w:tc>
            </w:tr>
            <w:tr w:rsidR="009F3E26" w14:paraId="2BDF6004" w14:textId="77777777" w:rsidTr="00EC0A05">
              <w:tc>
                <w:tcPr>
                  <w:tcW w:w="3522" w:type="dxa"/>
                  <w:tcMar>
                    <w:left w:w="0" w:type="dxa"/>
                  </w:tcMar>
                </w:tcPr>
                <w:p w14:paraId="2BDF6002" w14:textId="77777777" w:rsidR="009F3E26" w:rsidRDefault="009F3E26" w:rsidP="00DB2AE0">
                  <w:pPr>
                    <w:pStyle w:val="Box"/>
                    <w:spacing w:before="60"/>
                  </w:pPr>
                  <w:r>
                    <w:t>Due date for submissions</w:t>
                  </w:r>
                </w:p>
              </w:tc>
              <w:tc>
                <w:tcPr>
                  <w:tcW w:w="4950" w:type="dxa"/>
                </w:tcPr>
                <w:p w14:paraId="2BDF6003" w14:textId="589FE106" w:rsidR="009F3E26" w:rsidRDefault="00BC390A" w:rsidP="00DB2AE0">
                  <w:pPr>
                    <w:pStyle w:val="Box"/>
                    <w:spacing w:before="60"/>
                  </w:pPr>
                  <w:r>
                    <w:t>21 August 2017</w:t>
                  </w:r>
                </w:p>
              </w:tc>
            </w:tr>
            <w:tr w:rsidR="009F3E26" w14:paraId="2BDF600A" w14:textId="77777777" w:rsidTr="00EC0A05">
              <w:tc>
                <w:tcPr>
                  <w:tcW w:w="3522" w:type="dxa"/>
                  <w:tcMar>
                    <w:left w:w="0" w:type="dxa"/>
                  </w:tcMar>
                </w:tcPr>
                <w:p w14:paraId="2BDF6008" w14:textId="77777777" w:rsidR="009F3E26" w:rsidRDefault="009F3E26" w:rsidP="00DB2AE0">
                  <w:pPr>
                    <w:pStyle w:val="Box"/>
                    <w:spacing w:before="60"/>
                  </w:pPr>
                  <w:r>
                    <w:t>Release of draft report</w:t>
                  </w:r>
                </w:p>
              </w:tc>
              <w:tc>
                <w:tcPr>
                  <w:tcW w:w="4950" w:type="dxa"/>
                </w:tcPr>
                <w:p w14:paraId="2BDF6009" w14:textId="00F6837E" w:rsidR="009F3E26" w:rsidRDefault="00BC390A" w:rsidP="00DB2AE0">
                  <w:pPr>
                    <w:pStyle w:val="Box"/>
                    <w:spacing w:before="60"/>
                  </w:pPr>
                  <w:r>
                    <w:t>January 2018</w:t>
                  </w:r>
                </w:p>
              </w:tc>
            </w:tr>
            <w:tr w:rsidR="009F3E26" w14:paraId="2BDF600D" w14:textId="77777777" w:rsidTr="00EC0A05">
              <w:tc>
                <w:tcPr>
                  <w:tcW w:w="3522" w:type="dxa"/>
                  <w:tcMar>
                    <w:left w:w="0" w:type="dxa"/>
                  </w:tcMar>
                </w:tcPr>
                <w:p w14:paraId="2BDF600B" w14:textId="77777777" w:rsidR="009F3E26" w:rsidRDefault="009F3E26" w:rsidP="00DB2AE0">
                  <w:pPr>
                    <w:pStyle w:val="Box"/>
                    <w:spacing w:before="60"/>
                  </w:pPr>
                  <w:r>
                    <w:t>Draft report public hearings</w:t>
                  </w:r>
                </w:p>
              </w:tc>
              <w:tc>
                <w:tcPr>
                  <w:tcW w:w="4950" w:type="dxa"/>
                </w:tcPr>
                <w:p w14:paraId="2BDF600C" w14:textId="4882B5A5" w:rsidR="009F3E26" w:rsidRDefault="00BC390A" w:rsidP="00DB2AE0">
                  <w:pPr>
                    <w:pStyle w:val="Box"/>
                    <w:spacing w:before="60"/>
                  </w:pPr>
                  <w:r>
                    <w:t>March 2018</w:t>
                  </w:r>
                </w:p>
              </w:tc>
            </w:tr>
            <w:tr w:rsidR="009F3E26" w14:paraId="2BDF6010" w14:textId="77777777" w:rsidTr="00EC0A05">
              <w:tc>
                <w:tcPr>
                  <w:tcW w:w="3522" w:type="dxa"/>
                  <w:tcMar>
                    <w:left w:w="0" w:type="dxa"/>
                  </w:tcMar>
                </w:tcPr>
                <w:p w14:paraId="2BDF600E" w14:textId="77777777" w:rsidR="009F3E26" w:rsidRDefault="009F3E26" w:rsidP="00DB2AE0">
                  <w:pPr>
                    <w:pStyle w:val="Box"/>
                    <w:spacing w:before="60"/>
                  </w:pPr>
                  <w:r>
                    <w:t>Final report to Government</w:t>
                  </w:r>
                </w:p>
              </w:tc>
              <w:tc>
                <w:tcPr>
                  <w:tcW w:w="4950" w:type="dxa"/>
                </w:tcPr>
                <w:p w14:paraId="2BDF600F" w14:textId="5854FCD5" w:rsidR="009F3E26" w:rsidRDefault="00BC390A" w:rsidP="00DB2AE0">
                  <w:pPr>
                    <w:pStyle w:val="Box"/>
                    <w:spacing w:before="60"/>
                  </w:pPr>
                  <w:r>
                    <w:t>June 2018</w:t>
                  </w:r>
                </w:p>
              </w:tc>
            </w:tr>
          </w:tbl>
          <w:p w14:paraId="2BDF6011" w14:textId="77777777" w:rsidR="00415F39" w:rsidRDefault="00415F39" w:rsidP="009F3E26">
            <w:pPr>
              <w:pStyle w:val="BoxHeading1"/>
            </w:pPr>
            <w:r>
              <w:t>S</w:t>
            </w:r>
            <w:r w:rsidR="009F3E26">
              <w:t xml:space="preserve">ubmissions can be </w:t>
            </w:r>
            <w:r w:rsidR="00862E51">
              <w:t>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9F3E26" w14:paraId="2BDF6014" w14:textId="77777777" w:rsidTr="001E4D46">
              <w:trPr>
                <w:tblHeader/>
              </w:trPr>
              <w:tc>
                <w:tcPr>
                  <w:tcW w:w="3522" w:type="dxa"/>
                  <w:tcMar>
                    <w:left w:w="0" w:type="dxa"/>
                  </w:tcMar>
                </w:tcPr>
                <w:p w14:paraId="2BDF6012" w14:textId="77777777" w:rsidR="009F3E26" w:rsidRDefault="00862E51" w:rsidP="00862E51">
                  <w:pPr>
                    <w:pStyle w:val="Box"/>
                  </w:pPr>
                  <w:r>
                    <w:t>Online:</w:t>
                  </w:r>
                </w:p>
              </w:tc>
              <w:tc>
                <w:tcPr>
                  <w:tcW w:w="4950" w:type="dxa"/>
                </w:tcPr>
                <w:p w14:paraId="2BDF6013" w14:textId="643A1CE1" w:rsidR="009F3E26" w:rsidRDefault="00BC390A" w:rsidP="00862E51">
                  <w:pPr>
                    <w:pStyle w:val="Box"/>
                  </w:pPr>
                  <w:r w:rsidRPr="00BC390A">
                    <w:t>http://www.pc.gov.au/inquiries/current/superannuation/assessment</w:t>
                  </w:r>
                </w:p>
              </w:tc>
            </w:tr>
            <w:tr w:rsidR="009F3E26" w14:paraId="2BDF6017" w14:textId="77777777" w:rsidTr="00EC0A05">
              <w:tc>
                <w:tcPr>
                  <w:tcW w:w="3522" w:type="dxa"/>
                  <w:tcMar>
                    <w:left w:w="0" w:type="dxa"/>
                  </w:tcMar>
                </w:tcPr>
                <w:p w14:paraId="2BDF6015" w14:textId="77777777" w:rsidR="009F3E26" w:rsidRDefault="009F3E26" w:rsidP="00DB2AE0">
                  <w:pPr>
                    <w:pStyle w:val="Box"/>
                    <w:spacing w:before="60"/>
                    <w:jc w:val="left"/>
                  </w:pPr>
                  <w:r>
                    <w:t>By post:</w:t>
                  </w:r>
                </w:p>
              </w:tc>
              <w:tc>
                <w:tcPr>
                  <w:tcW w:w="4950" w:type="dxa"/>
                </w:tcPr>
                <w:p w14:paraId="0DBBC937" w14:textId="156CCA4F" w:rsidR="00BC390A" w:rsidRDefault="00BC390A" w:rsidP="00BC390A">
                  <w:pPr>
                    <w:pStyle w:val="Box"/>
                    <w:spacing w:before="60"/>
                    <w:jc w:val="left"/>
                  </w:pPr>
                  <w:r>
                    <w:t>Superannuation</w:t>
                  </w:r>
                  <w:r w:rsidR="009F3E26">
                    <w:br/>
                  </w:r>
                  <w:r>
                    <w:t>Productivity Commission</w:t>
                  </w:r>
                </w:p>
                <w:p w14:paraId="787BC187" w14:textId="77777777" w:rsidR="00BC390A" w:rsidRDefault="00BC390A" w:rsidP="00820A33">
                  <w:pPr>
                    <w:pStyle w:val="Box"/>
                    <w:spacing w:before="0"/>
                    <w:jc w:val="left"/>
                  </w:pPr>
                  <w:r>
                    <w:t>Locked Bag 2, Collins St East</w:t>
                  </w:r>
                </w:p>
                <w:p w14:paraId="2BDF6016" w14:textId="3221BF55" w:rsidR="009F3E26" w:rsidRDefault="00BC390A" w:rsidP="00820A33">
                  <w:pPr>
                    <w:pStyle w:val="Box"/>
                    <w:spacing w:before="0"/>
                    <w:jc w:val="left"/>
                  </w:pPr>
                  <w:r>
                    <w:t>Melbourne VIC 8003</w:t>
                  </w:r>
                </w:p>
              </w:tc>
            </w:tr>
          </w:tbl>
          <w:p w14:paraId="2BDF6018" w14:textId="3EBC5699" w:rsidR="00415F39" w:rsidRDefault="00415F39" w:rsidP="009F3E26">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9F3E26" w14:paraId="2BDF601C" w14:textId="77777777" w:rsidTr="001E4D46">
              <w:trPr>
                <w:tblHeader/>
              </w:trPr>
              <w:tc>
                <w:tcPr>
                  <w:tcW w:w="3522" w:type="dxa"/>
                  <w:tcMar>
                    <w:left w:w="0" w:type="dxa"/>
                  </w:tcMar>
                </w:tcPr>
                <w:p w14:paraId="2BDF6019" w14:textId="77777777" w:rsidR="009F3E26" w:rsidRDefault="009F3E26" w:rsidP="00415F39">
                  <w:pPr>
                    <w:pStyle w:val="Box"/>
                  </w:pPr>
                  <w:r>
                    <w:t>Administrative matters:</w:t>
                  </w:r>
                </w:p>
              </w:tc>
              <w:tc>
                <w:tcPr>
                  <w:tcW w:w="2268" w:type="dxa"/>
                </w:tcPr>
                <w:p w14:paraId="2BDF601A" w14:textId="421DD719" w:rsidR="009F3E26" w:rsidRDefault="00B843AF" w:rsidP="00415F39">
                  <w:pPr>
                    <w:pStyle w:val="Box"/>
                  </w:pPr>
                  <w:r>
                    <w:t>Yvette Goss</w:t>
                  </w:r>
                </w:p>
              </w:tc>
              <w:tc>
                <w:tcPr>
                  <w:tcW w:w="2682" w:type="dxa"/>
                </w:tcPr>
                <w:p w14:paraId="2BDF601B" w14:textId="6AC7B576" w:rsidR="009F3E26" w:rsidRDefault="009F3E26" w:rsidP="00415F39">
                  <w:pPr>
                    <w:pStyle w:val="Box"/>
                  </w:pPr>
                  <w:r>
                    <w:t xml:space="preserve">Ph: </w:t>
                  </w:r>
                  <w:r w:rsidR="00B843AF">
                    <w:t>03 9653 2253</w:t>
                  </w:r>
                </w:p>
              </w:tc>
            </w:tr>
            <w:tr w:rsidR="009F3E26" w14:paraId="2BDF6020" w14:textId="77777777" w:rsidTr="00EC0A05">
              <w:tc>
                <w:tcPr>
                  <w:tcW w:w="3522" w:type="dxa"/>
                  <w:tcMar>
                    <w:left w:w="0" w:type="dxa"/>
                  </w:tcMar>
                </w:tcPr>
                <w:p w14:paraId="2BDF601D" w14:textId="77777777" w:rsidR="009F3E26" w:rsidRDefault="009F3E26" w:rsidP="00DB2AE0">
                  <w:pPr>
                    <w:pStyle w:val="Box"/>
                    <w:spacing w:before="60"/>
                  </w:pPr>
                  <w:r>
                    <w:t>Other matters:</w:t>
                  </w:r>
                </w:p>
              </w:tc>
              <w:tc>
                <w:tcPr>
                  <w:tcW w:w="2268" w:type="dxa"/>
                </w:tcPr>
                <w:p w14:paraId="2BDF601E" w14:textId="7C799887" w:rsidR="009F3E26" w:rsidRDefault="00B843AF" w:rsidP="00DB2AE0">
                  <w:pPr>
                    <w:pStyle w:val="Box"/>
                    <w:spacing w:before="60"/>
                  </w:pPr>
                  <w:r>
                    <w:t>Alex Maevsky</w:t>
                  </w:r>
                </w:p>
              </w:tc>
              <w:tc>
                <w:tcPr>
                  <w:tcW w:w="2682" w:type="dxa"/>
                </w:tcPr>
                <w:p w14:paraId="2BDF601F" w14:textId="16088201" w:rsidR="009F3E26" w:rsidRDefault="009F3E26" w:rsidP="00DB2AE0">
                  <w:pPr>
                    <w:pStyle w:val="Box"/>
                    <w:spacing w:before="60"/>
                  </w:pPr>
                  <w:r>
                    <w:t xml:space="preserve">Ph: </w:t>
                  </w:r>
                  <w:r w:rsidR="00B843AF">
                    <w:t>03 9653 2230</w:t>
                  </w:r>
                </w:p>
              </w:tc>
            </w:tr>
            <w:tr w:rsidR="009F3E26" w14:paraId="2BDF6024" w14:textId="77777777" w:rsidTr="00EC0A05">
              <w:tc>
                <w:tcPr>
                  <w:tcW w:w="3522" w:type="dxa"/>
                  <w:tcMar>
                    <w:left w:w="0" w:type="dxa"/>
                  </w:tcMar>
                </w:tcPr>
                <w:p w14:paraId="2BDF6021" w14:textId="77777777" w:rsidR="009F3E26" w:rsidRDefault="009F3E26" w:rsidP="00DB2AE0">
                  <w:pPr>
                    <w:pStyle w:val="Box"/>
                    <w:spacing w:before="60"/>
                  </w:pPr>
                  <w:r>
                    <w:t>Freecall number for regional areas:</w:t>
                  </w:r>
                </w:p>
              </w:tc>
              <w:tc>
                <w:tcPr>
                  <w:tcW w:w="2268" w:type="dxa"/>
                </w:tcPr>
                <w:p w14:paraId="2BDF6022" w14:textId="77777777" w:rsidR="009F3E26" w:rsidRDefault="009F3E26" w:rsidP="00DB2AE0">
                  <w:pPr>
                    <w:pStyle w:val="Box"/>
                    <w:spacing w:before="60"/>
                  </w:pPr>
                  <w:r>
                    <w:t>1800 020 083</w:t>
                  </w:r>
                </w:p>
              </w:tc>
              <w:tc>
                <w:tcPr>
                  <w:tcW w:w="2682" w:type="dxa"/>
                </w:tcPr>
                <w:p w14:paraId="2BDF6023" w14:textId="77777777" w:rsidR="009F3E26" w:rsidRDefault="009F3E26" w:rsidP="00DB2AE0">
                  <w:pPr>
                    <w:pStyle w:val="Box"/>
                    <w:spacing w:before="60"/>
                  </w:pPr>
                </w:p>
              </w:tc>
            </w:tr>
            <w:tr w:rsidR="009F3E26" w14:paraId="2BDF6028" w14:textId="77777777" w:rsidTr="00EC0A05">
              <w:tc>
                <w:tcPr>
                  <w:tcW w:w="3522" w:type="dxa"/>
                  <w:tcMar>
                    <w:left w:w="0" w:type="dxa"/>
                  </w:tcMar>
                </w:tcPr>
                <w:p w14:paraId="2BDF6025" w14:textId="77777777" w:rsidR="009F3E26" w:rsidRDefault="009F3E26" w:rsidP="00DB2AE0">
                  <w:pPr>
                    <w:pStyle w:val="Box"/>
                    <w:spacing w:before="60"/>
                  </w:pPr>
                  <w:r>
                    <w:t>Website</w:t>
                  </w:r>
                  <w:r w:rsidR="00FB20A0">
                    <w:t>:</w:t>
                  </w:r>
                </w:p>
              </w:tc>
              <w:tc>
                <w:tcPr>
                  <w:tcW w:w="2268" w:type="dxa"/>
                </w:tcPr>
                <w:p w14:paraId="2BDF6026" w14:textId="77777777" w:rsidR="009F3E26" w:rsidRPr="009F3E26" w:rsidRDefault="009F3E26" w:rsidP="00DB2AE0">
                  <w:pPr>
                    <w:pStyle w:val="Box"/>
                    <w:spacing w:before="60"/>
                    <w:rPr>
                      <w:b/>
                    </w:rPr>
                  </w:pPr>
                  <w:r w:rsidRPr="009F3E26">
                    <w:rPr>
                      <w:b/>
                    </w:rPr>
                    <w:t>www.pc.gov.au</w:t>
                  </w:r>
                </w:p>
              </w:tc>
              <w:tc>
                <w:tcPr>
                  <w:tcW w:w="2682" w:type="dxa"/>
                </w:tcPr>
                <w:p w14:paraId="2BDF6027" w14:textId="77777777" w:rsidR="009F3E26" w:rsidRDefault="009F3E26" w:rsidP="00DB2AE0">
                  <w:pPr>
                    <w:pStyle w:val="Box"/>
                    <w:spacing w:before="60"/>
                  </w:pPr>
                </w:p>
              </w:tc>
            </w:tr>
          </w:tbl>
          <w:p w14:paraId="2BDF6029" w14:textId="77777777" w:rsidR="00415F39" w:rsidRDefault="00415F39" w:rsidP="009F3E26">
            <w:pPr>
              <w:pStyle w:val="Box"/>
            </w:pPr>
          </w:p>
        </w:tc>
      </w:tr>
      <w:tr w:rsidR="00415F39" w14:paraId="2BDF602C" w14:textId="77777777" w:rsidTr="00687440">
        <w:tc>
          <w:tcPr>
            <w:tcW w:w="8771" w:type="dxa"/>
            <w:tcBorders>
              <w:top w:val="nil"/>
              <w:left w:val="nil"/>
              <w:bottom w:val="single" w:sz="6" w:space="0" w:color="78A22F"/>
              <w:right w:val="nil"/>
            </w:tcBorders>
            <w:shd w:val="clear" w:color="auto" w:fill="F2F2F2" w:themeFill="background1" w:themeFillShade="F2"/>
          </w:tcPr>
          <w:p w14:paraId="2BDF602B" w14:textId="77777777" w:rsidR="00415F39" w:rsidRDefault="00415F39" w:rsidP="00152C9B">
            <w:pPr>
              <w:pStyle w:val="Box"/>
              <w:spacing w:before="0" w:line="120" w:lineRule="exact"/>
            </w:pPr>
          </w:p>
        </w:tc>
      </w:tr>
    </w:tbl>
    <w:p w14:paraId="2BDF602D"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415F39" w14:paraId="2BDF602F" w14:textId="77777777" w:rsidTr="00687440">
        <w:trPr>
          <w:tblHeader/>
        </w:trPr>
        <w:tc>
          <w:tcPr>
            <w:tcW w:w="8771" w:type="dxa"/>
            <w:tcBorders>
              <w:top w:val="single" w:sz="6" w:space="0" w:color="78A22F"/>
              <w:left w:val="nil"/>
              <w:bottom w:val="nil"/>
              <w:right w:val="nil"/>
            </w:tcBorders>
            <w:shd w:val="clear" w:color="auto" w:fill="F2F2F2" w:themeFill="background1" w:themeFillShade="F2"/>
          </w:tcPr>
          <w:p w14:paraId="2BDF602E" w14:textId="77777777" w:rsidR="00415F39" w:rsidRPr="008A3857" w:rsidRDefault="00415F39" w:rsidP="00152C9B">
            <w:pPr>
              <w:pStyle w:val="BoxTitle"/>
              <w:rPr>
                <w:sz w:val="22"/>
                <w:szCs w:val="22"/>
              </w:rPr>
            </w:pPr>
            <w:r w:rsidRPr="008A3857">
              <w:rPr>
                <w:sz w:val="22"/>
                <w:szCs w:val="22"/>
              </w:rPr>
              <w:t>The Productivity Commission</w:t>
            </w:r>
          </w:p>
        </w:tc>
      </w:tr>
      <w:tr w:rsidR="00415F39" w14:paraId="2BDF6033" w14:textId="77777777" w:rsidTr="00687440">
        <w:trPr>
          <w:cantSplit/>
        </w:trPr>
        <w:tc>
          <w:tcPr>
            <w:tcW w:w="8771" w:type="dxa"/>
            <w:tcBorders>
              <w:top w:val="nil"/>
              <w:left w:val="nil"/>
              <w:bottom w:val="nil"/>
              <w:right w:val="nil"/>
            </w:tcBorders>
            <w:shd w:val="clear" w:color="auto" w:fill="F2F2F2" w:themeFill="background1" w:themeFillShade="F2"/>
          </w:tcPr>
          <w:p w14:paraId="2BDF6030" w14:textId="77777777" w:rsidR="00415F39" w:rsidRDefault="00415F39" w:rsidP="00152C9B">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BDF6031" w14:textId="77777777" w:rsidR="00415F39" w:rsidRDefault="00415F39" w:rsidP="00152C9B">
            <w:pPr>
              <w:pStyle w:val="Box"/>
            </w:pPr>
            <w:r w:rsidRPr="00BB5DCF">
              <w:t>The Commission’s independence is underpinned by an Act of Parliament. Its processes and outputs are open to public scrutiny and are driven by concern for the wellbeing of the community as a whole.</w:t>
            </w:r>
          </w:p>
          <w:p w14:paraId="2BDF6032" w14:textId="77777777" w:rsidR="00415F39" w:rsidRDefault="00415F39" w:rsidP="00152C9B">
            <w:pPr>
              <w:pStyle w:val="Box"/>
            </w:pPr>
            <w:r w:rsidRPr="00BB5DCF">
              <w:rPr>
                <w:szCs w:val="24"/>
              </w:rPr>
              <w:t>Further information on the Productivity Commission can be obtained from the Commission’s website (www.pc.gov.au)</w:t>
            </w:r>
            <w:r>
              <w:rPr>
                <w:szCs w:val="24"/>
              </w:rPr>
              <w:t>.</w:t>
            </w:r>
          </w:p>
        </w:tc>
      </w:tr>
      <w:tr w:rsidR="00415F39" w14:paraId="2BDF6035" w14:textId="77777777" w:rsidTr="00687440">
        <w:trPr>
          <w:cantSplit/>
        </w:trPr>
        <w:tc>
          <w:tcPr>
            <w:tcW w:w="8771" w:type="dxa"/>
            <w:tcBorders>
              <w:top w:val="nil"/>
              <w:left w:val="nil"/>
              <w:bottom w:val="single" w:sz="6" w:space="0" w:color="78A22F"/>
              <w:right w:val="nil"/>
            </w:tcBorders>
            <w:shd w:val="clear" w:color="auto" w:fill="F2F2F2" w:themeFill="background1" w:themeFillShade="F2"/>
          </w:tcPr>
          <w:p w14:paraId="2BDF6034" w14:textId="77777777" w:rsidR="00415F39" w:rsidRDefault="00415F39" w:rsidP="00152C9B">
            <w:pPr>
              <w:pStyle w:val="Box"/>
              <w:spacing w:before="0" w:line="120" w:lineRule="exact"/>
            </w:pPr>
          </w:p>
        </w:tc>
      </w:tr>
    </w:tbl>
    <w:p w14:paraId="2BDF6036" w14:textId="77777777" w:rsidR="00EC0A05" w:rsidRDefault="00EC0A05" w:rsidP="00EC0A05">
      <w:pPr>
        <w:pStyle w:val="BodyText"/>
      </w:pPr>
    </w:p>
    <w:p w14:paraId="2BDF6037" w14:textId="77777777" w:rsidR="00EC0A05" w:rsidRPr="00415F39" w:rsidRDefault="00EC0A05" w:rsidP="00EC0A05">
      <w:pPr>
        <w:pStyle w:val="BodyText"/>
        <w:sectPr w:rsidR="00EC0A05" w:rsidRPr="00415F39" w:rsidSect="00DB6E0B">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560" w:right="1304" w:bottom="851" w:left="1814" w:header="1276" w:footer="397" w:gutter="0"/>
          <w:pgNumType w:fmt="lowerRoman" w:chapSep="period"/>
          <w:cols w:space="720"/>
          <w:titlePg/>
        </w:sectPr>
      </w:pPr>
    </w:p>
    <w:p w14:paraId="2BDF6038" w14:textId="77777777" w:rsidR="00EC0A05" w:rsidRDefault="00EC0A05" w:rsidP="00FB16B3">
      <w:pPr>
        <w:pStyle w:val="Heading2"/>
        <w:spacing w:before="240"/>
      </w:pPr>
      <w:bookmarkStart w:id="1" w:name="_Toc487031374"/>
      <w:bookmarkStart w:id="2" w:name="_Toc487035874"/>
      <w:r>
        <w:lastRenderedPageBreak/>
        <w:t>Terms of reference</w:t>
      </w:r>
      <w:bookmarkEnd w:id="1"/>
      <w:bookmarkEnd w:id="2"/>
    </w:p>
    <w:p w14:paraId="2BDF6039" w14:textId="63354AB8" w:rsidR="00EC0A05" w:rsidRPr="00FB16B3" w:rsidRDefault="00E64FD8" w:rsidP="00FB16B3">
      <w:pPr>
        <w:pStyle w:val="BodyText"/>
        <w:spacing w:before="224" w:after="240"/>
        <w:jc w:val="center"/>
        <w:rPr>
          <w:b/>
          <w:sz w:val="23"/>
          <w:szCs w:val="23"/>
        </w:rPr>
      </w:pPr>
      <w:r w:rsidRPr="00FB16B3">
        <w:rPr>
          <w:b/>
          <w:sz w:val="23"/>
          <w:szCs w:val="23"/>
        </w:rPr>
        <w:t xml:space="preserve">EFFICIENCY AND COMPETITIVENESS OF THE SUPERANNUATION SYSTEM </w:t>
      </w:r>
    </w:p>
    <w:p w14:paraId="1852F272" w14:textId="38D6551A" w:rsidR="00E64FD8" w:rsidRDefault="00E64FD8" w:rsidP="00E64FD8">
      <w:pPr>
        <w:rPr>
          <w:lang w:val="en"/>
        </w:rPr>
      </w:pPr>
      <w:r>
        <w:rPr>
          <w:lang w:val="en"/>
        </w:rPr>
        <w:t xml:space="preserve">I, Scott Morrison, Treasurer, pursuant to Parts 2 and 3 of the </w:t>
      </w:r>
      <w:r>
        <w:rPr>
          <w:i/>
          <w:iCs/>
          <w:lang w:val="en"/>
        </w:rPr>
        <w:t>Productivity Commission Act 1998</w:t>
      </w:r>
      <w:r>
        <w:rPr>
          <w:lang w:val="en"/>
        </w:rPr>
        <w:t xml:space="preserve">, hereby request that the Productivity Commission undertake an inquiry to assess the efficiency and competitiveness of Australia’s superannuation system. </w:t>
      </w:r>
    </w:p>
    <w:p w14:paraId="412BBB82" w14:textId="77777777" w:rsidR="00E64FD8" w:rsidRPr="00FB16B3" w:rsidRDefault="00E64FD8" w:rsidP="00FB16B3">
      <w:pPr>
        <w:pStyle w:val="Heading3"/>
        <w:spacing w:before="360"/>
        <w:rPr>
          <w:sz w:val="24"/>
          <w:szCs w:val="24"/>
          <w:lang w:val="en"/>
        </w:rPr>
      </w:pPr>
      <w:r w:rsidRPr="00FB16B3">
        <w:rPr>
          <w:sz w:val="24"/>
          <w:szCs w:val="24"/>
          <w:lang w:val="en"/>
        </w:rPr>
        <w:t>Background</w:t>
      </w:r>
    </w:p>
    <w:p w14:paraId="45C537A1" w14:textId="77777777" w:rsidR="00E64FD8" w:rsidRDefault="00E64FD8" w:rsidP="00E64FD8">
      <w:pPr>
        <w:pStyle w:val="BodyText"/>
        <w:rPr>
          <w:lang w:val="en"/>
        </w:rPr>
      </w:pPr>
      <w:r>
        <w:rPr>
          <w:lang w:val="en"/>
        </w:rPr>
        <w:t xml:space="preserve">Today, superannuation is a $2 trillion sector. It is important that, given the sheer size of the superannuation system, combined with its compulsory and broad nature, the system is efficient. Competition is also important as it can drive efficient outcomes for price, quality and innovation. Small changes in the system can have a real impact on people’s standard of living in retirement. </w:t>
      </w:r>
    </w:p>
    <w:p w14:paraId="39F3E751" w14:textId="77777777" w:rsidR="00E64FD8" w:rsidRDefault="00E64FD8" w:rsidP="00E64FD8">
      <w:pPr>
        <w:pStyle w:val="BodyText"/>
        <w:rPr>
          <w:lang w:val="en"/>
        </w:rPr>
      </w:pPr>
      <w:r>
        <w:rPr>
          <w:lang w:val="en"/>
        </w:rPr>
        <w:t xml:space="preserve">Following the Government’s response to Financial System Inquiry Recommendation 10 on efficiency in superannuation, on 17 February 2016 the Government tasked the Productivity Commission to develop criteria to assess the efficiency and competitiveness of the superannuation system (Stage 1) and to develop alternative models for allocating default fund members to products (Stage 2). </w:t>
      </w:r>
    </w:p>
    <w:p w14:paraId="5CFDE15F" w14:textId="77777777" w:rsidR="00E64FD8" w:rsidRDefault="00E64FD8" w:rsidP="00E64FD8">
      <w:pPr>
        <w:pStyle w:val="BodyText"/>
      </w:pPr>
      <w:r>
        <w:rPr>
          <w:lang w:val="en"/>
        </w:rPr>
        <w:t>These Terms of Reference task t</w:t>
      </w:r>
      <w:r>
        <w:t xml:space="preserve">he Commission to review the performance of the superannuation system against the criteria identified through the Commission’s Stage 1 report, published in November 2016. This will be the third and final Stage of the review. </w:t>
      </w:r>
    </w:p>
    <w:p w14:paraId="12BBD647" w14:textId="77777777" w:rsidR="00E64FD8" w:rsidRPr="00FB16B3" w:rsidRDefault="00E64FD8" w:rsidP="00FB16B3">
      <w:pPr>
        <w:pStyle w:val="Heading3"/>
        <w:spacing w:before="360"/>
        <w:rPr>
          <w:sz w:val="24"/>
          <w:szCs w:val="24"/>
        </w:rPr>
      </w:pPr>
      <w:r w:rsidRPr="00FB16B3">
        <w:rPr>
          <w:sz w:val="24"/>
          <w:szCs w:val="24"/>
        </w:rPr>
        <w:t>Scope</w:t>
      </w:r>
    </w:p>
    <w:p w14:paraId="4B181053" w14:textId="77777777" w:rsidR="00E64FD8" w:rsidRDefault="00E64FD8" w:rsidP="00E64FD8">
      <w:pPr>
        <w:pStyle w:val="BodyText"/>
      </w:pPr>
      <w:r>
        <w:t>The Commission is to assess the efficiency and competitiveness of Australia’s superannuation system and make recommendations to improve outcomes for members and system stability. The Commission is to also identify, and make recommendations to reduce, barriers to the efficiency and competitiveness of the superannuation system.</w:t>
      </w:r>
    </w:p>
    <w:p w14:paraId="75371245" w14:textId="77777777" w:rsidR="00E64FD8" w:rsidRDefault="00E64FD8" w:rsidP="00E64FD8">
      <w:pPr>
        <w:pStyle w:val="BodyText"/>
      </w:pPr>
      <w:r>
        <w:t>The assessment should be based on the five system-level objectives, 22 assessment criteria, and 89 corresponding indicators set out in the Commission’s Stage 1 report.</w:t>
      </w:r>
    </w:p>
    <w:p w14:paraId="5CC4E444" w14:textId="77777777" w:rsidR="00E64FD8" w:rsidRDefault="00E64FD8" w:rsidP="00E64FD8">
      <w:pPr>
        <w:pStyle w:val="BodyText"/>
      </w:pPr>
      <w:r>
        <w:t>In undertaking its assessment the Commission should evaluate the accumulation, transition and retirement phases of superannuation as well as the default, choice (including self</w:t>
      </w:r>
      <w:r>
        <w:noBreakHyphen/>
        <w:t xml:space="preserve">managed) and corporate fund member segments. </w:t>
      </w:r>
    </w:p>
    <w:p w14:paraId="0875E0A5" w14:textId="77777777" w:rsidR="00E64FD8" w:rsidRDefault="00E64FD8" w:rsidP="00E64FD8">
      <w:pPr>
        <w:pStyle w:val="BodyText"/>
      </w:pPr>
      <w:r>
        <w:t>Whilst not out of scope, defined benefit funds should not be a key focus of the Commission’s assessment.</w:t>
      </w:r>
    </w:p>
    <w:p w14:paraId="66A2860D" w14:textId="77777777" w:rsidR="00E64FD8" w:rsidRDefault="00E64FD8" w:rsidP="00E64FD8"/>
    <w:p w14:paraId="2D37C88C" w14:textId="77777777" w:rsidR="00E64FD8" w:rsidRDefault="00E64FD8" w:rsidP="00E64FD8">
      <w:pPr>
        <w:rPr>
          <w:i/>
        </w:rPr>
      </w:pPr>
      <w:r>
        <w:t>Without limiting the Commission’s assessment on the basis of the framework outlined in its Stage 1 report, the Commission should consider the following matters:</w:t>
      </w:r>
    </w:p>
    <w:p w14:paraId="50157BF3" w14:textId="77777777" w:rsidR="00E64FD8" w:rsidRDefault="00E64FD8" w:rsidP="00E64FD8">
      <w:pPr>
        <w:rPr>
          <w:rFonts w:ascii="Cambria" w:hAnsi="Cambria"/>
          <w:color w:val="4F81BD"/>
          <w:sz w:val="26"/>
          <w:szCs w:val="26"/>
        </w:rPr>
      </w:pPr>
      <w:r>
        <w:rPr>
          <w:i/>
        </w:rPr>
        <w:lastRenderedPageBreak/>
        <w:t>Costs, fees and net returns</w:t>
      </w:r>
    </w:p>
    <w:p w14:paraId="6340F1FE" w14:textId="77777777" w:rsidR="00E64FD8" w:rsidRDefault="00E64FD8" w:rsidP="00E64FD8">
      <w:pPr>
        <w:pStyle w:val="BodyText"/>
      </w:pPr>
      <w:r>
        <w:t xml:space="preserve">The Commission is to focus on assessing system-wide long-term net returns, including by reference to particular segments. Through this assessment, the Commission should have particular regard to: </w:t>
      </w:r>
    </w:p>
    <w:p w14:paraId="4D907982" w14:textId="77777777" w:rsidR="00E64FD8" w:rsidRDefault="00E64FD8" w:rsidP="00FB16B3">
      <w:pPr>
        <w:pStyle w:val="ListBullet"/>
      </w:pPr>
      <w:r>
        <w:t>whether disclosure practices are resulting in a consistent and comparable basis for meaningful comparisons to be made between products;</w:t>
      </w:r>
    </w:p>
    <w:p w14:paraId="3A926112" w14:textId="77777777" w:rsidR="00E64FD8" w:rsidRDefault="00E64FD8" w:rsidP="00FB16B3">
      <w:pPr>
        <w:pStyle w:val="ListBullet"/>
      </w:pPr>
      <w:r>
        <w:t>whether additional disclosure would improve outcomes for members;</w:t>
      </w:r>
    </w:p>
    <w:p w14:paraId="1CA2B826" w14:textId="77777777" w:rsidR="00E64FD8" w:rsidRDefault="00E64FD8" w:rsidP="00FB16B3">
      <w:pPr>
        <w:pStyle w:val="ListBullet"/>
      </w:pPr>
      <w:r>
        <w:t xml:space="preserve">whether the system is minimising costs and fees (including, but not limited to exit fees) for given returns; </w:t>
      </w:r>
    </w:p>
    <w:p w14:paraId="297F3DA8" w14:textId="77777777" w:rsidR="00E64FD8" w:rsidRDefault="00E64FD8" w:rsidP="00FB16B3">
      <w:pPr>
        <w:pStyle w:val="ListBullet"/>
      </w:pPr>
      <w:r>
        <w:t>what impact costs and fees have on members with low account balances, and what actions could be undertaken – whether by funds or policy changes – to ensure that these balances are not eroded needlessly; and</w:t>
      </w:r>
    </w:p>
    <w:p w14:paraId="116D242F" w14:textId="77777777" w:rsidR="00E64FD8" w:rsidRDefault="00E64FD8" w:rsidP="00FB16B3">
      <w:pPr>
        <w:pStyle w:val="ListBullet"/>
      </w:pPr>
      <w:r>
        <w:t>whether tailoring of costs and fees for different member segments would be appropriate.</w:t>
      </w:r>
    </w:p>
    <w:p w14:paraId="6C775229" w14:textId="77777777" w:rsidR="00E64FD8" w:rsidRDefault="00E64FD8" w:rsidP="00E64FD8">
      <w:pPr>
        <w:rPr>
          <w:i/>
        </w:rPr>
      </w:pPr>
    </w:p>
    <w:p w14:paraId="2311E3DC" w14:textId="77777777" w:rsidR="00E64FD8" w:rsidRDefault="00E64FD8" w:rsidP="00E64FD8">
      <w:pPr>
        <w:rPr>
          <w:i/>
        </w:rPr>
      </w:pPr>
      <w:r>
        <w:rPr>
          <w:i/>
        </w:rPr>
        <w:t>Default fund members</w:t>
      </w:r>
    </w:p>
    <w:p w14:paraId="005F3F06" w14:textId="77777777" w:rsidR="00E64FD8" w:rsidRDefault="00E64FD8" w:rsidP="00E64FD8">
      <w:pPr>
        <w:pStyle w:val="BodyText"/>
      </w:pPr>
      <w:r>
        <w:t xml:space="preserve">In relation to default fund members, the Commission should consider: </w:t>
      </w:r>
    </w:p>
    <w:p w14:paraId="61018353" w14:textId="77777777" w:rsidR="00E64FD8" w:rsidRDefault="00E64FD8" w:rsidP="00FB16B3">
      <w:pPr>
        <w:pStyle w:val="ListBullet"/>
      </w:pPr>
      <w:r>
        <w:t>whether the current default settings in the system are appropriate, or whether policy changes would be desirable; and</w:t>
      </w:r>
    </w:p>
    <w:p w14:paraId="1217DF33" w14:textId="77777777" w:rsidR="00E64FD8" w:rsidRDefault="00E64FD8" w:rsidP="00FB16B3">
      <w:pPr>
        <w:pStyle w:val="ListBullet"/>
      </w:pPr>
      <w:r>
        <w:t>whether an alternative default fund allocation mechanism should be introduced that would deliver net benefits.</w:t>
      </w:r>
    </w:p>
    <w:p w14:paraId="66FA1F22" w14:textId="77777777" w:rsidR="00E64FD8" w:rsidRDefault="00E64FD8" w:rsidP="00E64FD8">
      <w:pPr>
        <w:rPr>
          <w:i/>
        </w:rPr>
      </w:pPr>
    </w:p>
    <w:p w14:paraId="38DA5370" w14:textId="77777777" w:rsidR="00E64FD8" w:rsidRDefault="00E64FD8" w:rsidP="00E64FD8">
      <w:pPr>
        <w:rPr>
          <w:i/>
        </w:rPr>
      </w:pPr>
      <w:r>
        <w:rPr>
          <w:i/>
        </w:rPr>
        <w:t>Insurance in superannuation</w:t>
      </w:r>
    </w:p>
    <w:p w14:paraId="2ABFB419" w14:textId="77777777" w:rsidR="00E64FD8" w:rsidRDefault="00E64FD8" w:rsidP="00E64FD8">
      <w:pPr>
        <w:pStyle w:val="BodyText"/>
      </w:pPr>
      <w:r>
        <w:t xml:space="preserve">The Commission should consider the appropriateness of the insurance arrangements inside superannuation, including: </w:t>
      </w:r>
    </w:p>
    <w:p w14:paraId="176CF6B4" w14:textId="77777777" w:rsidR="00E64FD8" w:rsidRDefault="00E64FD8" w:rsidP="00FB16B3">
      <w:pPr>
        <w:pStyle w:val="ListBullet"/>
      </w:pPr>
      <w:r>
        <w:t>the impact of insurance premiums on retirement incomes of both default cover and individually underwritten cover funded inside of superannuation;</w:t>
      </w:r>
    </w:p>
    <w:p w14:paraId="4A412624" w14:textId="77777777" w:rsidR="00E64FD8" w:rsidRDefault="00E64FD8" w:rsidP="00FB16B3">
      <w:pPr>
        <w:pStyle w:val="ListBullet"/>
      </w:pPr>
      <w:r>
        <w:t>the extent to which current policy settings offset costs to government in the form of reduced social security payments;</w:t>
      </w:r>
    </w:p>
    <w:p w14:paraId="4061093F" w14:textId="77777777" w:rsidR="00E64FD8" w:rsidRDefault="00E64FD8" w:rsidP="00FB16B3">
      <w:pPr>
        <w:pStyle w:val="ListBullet"/>
      </w:pPr>
      <w:r>
        <w:t>whether policy changes could improve default cover through superannuation, so that default cover:</w:t>
      </w:r>
    </w:p>
    <w:p w14:paraId="65AC8B61" w14:textId="77777777" w:rsidR="00E64FD8" w:rsidRDefault="00E64FD8" w:rsidP="00FB16B3">
      <w:pPr>
        <w:pStyle w:val="ListBullet2"/>
      </w:pPr>
      <w:r>
        <w:t xml:space="preserve">provides value-for-money; </w:t>
      </w:r>
    </w:p>
    <w:p w14:paraId="276BEBBF" w14:textId="77777777" w:rsidR="00E64FD8" w:rsidRDefault="00E64FD8" w:rsidP="00FB16B3">
      <w:pPr>
        <w:pStyle w:val="ListBullet2"/>
      </w:pPr>
      <w:r>
        <w:t>does not inappropriately erode the retirement savings of members of all ages; and</w:t>
      </w:r>
    </w:p>
    <w:p w14:paraId="723FBA40" w14:textId="77777777" w:rsidR="00E64FD8" w:rsidRDefault="00E64FD8" w:rsidP="00FB16B3">
      <w:pPr>
        <w:pStyle w:val="ListBullet2"/>
      </w:pPr>
      <w:r>
        <w:t>delivers consistent outcomes across the system; and</w:t>
      </w:r>
    </w:p>
    <w:p w14:paraId="11D92E7A" w14:textId="77777777" w:rsidR="00E64FD8" w:rsidRDefault="00E64FD8" w:rsidP="00FB16B3">
      <w:pPr>
        <w:pStyle w:val="ListBullet"/>
      </w:pPr>
      <w:r>
        <w:t>whether policy changes are needed to ensure that insurance is not a barrier to account consolidation.</w:t>
      </w:r>
    </w:p>
    <w:p w14:paraId="468CBEF9" w14:textId="77777777" w:rsidR="00E64FD8" w:rsidRDefault="00E64FD8" w:rsidP="00E64FD8">
      <w:pPr>
        <w:rPr>
          <w:i/>
        </w:rPr>
      </w:pPr>
    </w:p>
    <w:p w14:paraId="53D8B04C" w14:textId="77777777" w:rsidR="00E64FD8" w:rsidRDefault="00E64FD8" w:rsidP="00E64FD8">
      <w:pPr>
        <w:rPr>
          <w:i/>
        </w:rPr>
      </w:pPr>
      <w:r>
        <w:rPr>
          <w:i/>
        </w:rPr>
        <w:lastRenderedPageBreak/>
        <w:t>The broader financial system</w:t>
      </w:r>
    </w:p>
    <w:p w14:paraId="3AF0335E" w14:textId="77777777" w:rsidR="00E64FD8" w:rsidRDefault="00E64FD8" w:rsidP="00E64FD8">
      <w:pPr>
        <w:pStyle w:val="BodyText"/>
      </w:pPr>
      <w:r>
        <w:t xml:space="preserve">In response to the 2014 Financial System Inquiry, the Government agreed to periodic reviews of competition in the financial sector. Pursuant to this response, the Government has also tasked the Commission to conduct an inquiry into competition in the financial system more broadly. </w:t>
      </w:r>
    </w:p>
    <w:p w14:paraId="2BEF7C3C" w14:textId="77777777" w:rsidR="00E64FD8" w:rsidRDefault="00E64FD8" w:rsidP="00E64FD8">
      <w:pPr>
        <w:pStyle w:val="BodyText"/>
      </w:pPr>
      <w:r>
        <w:t>The two inquiries should not duplicate analysis or reporting.</w:t>
      </w:r>
    </w:p>
    <w:p w14:paraId="1D7DD088" w14:textId="77777777" w:rsidR="00E64FD8" w:rsidRPr="00FB16B3" w:rsidRDefault="00E64FD8" w:rsidP="00FB16B3">
      <w:pPr>
        <w:pStyle w:val="Heading3"/>
        <w:spacing w:before="360"/>
        <w:rPr>
          <w:sz w:val="24"/>
          <w:szCs w:val="24"/>
          <w:lang w:val="en"/>
        </w:rPr>
      </w:pPr>
      <w:r w:rsidRPr="00FB16B3">
        <w:rPr>
          <w:sz w:val="24"/>
          <w:szCs w:val="24"/>
          <w:lang w:val="en"/>
        </w:rPr>
        <w:t>Process</w:t>
      </w:r>
    </w:p>
    <w:p w14:paraId="7EB5B6DC" w14:textId="77777777" w:rsidR="00E64FD8" w:rsidRDefault="00E64FD8" w:rsidP="00E64FD8">
      <w:pPr>
        <w:pStyle w:val="BodyText"/>
      </w:pPr>
      <w:r>
        <w:t xml:space="preserve">This review will commence on 1 July 2017. </w:t>
      </w:r>
    </w:p>
    <w:p w14:paraId="1C3524BD" w14:textId="77777777" w:rsidR="00E64FD8" w:rsidRDefault="00E64FD8" w:rsidP="00E64FD8">
      <w:pPr>
        <w:pStyle w:val="BodyText"/>
      </w:pPr>
      <w:r>
        <w:t xml:space="preserve">Surveys involving industry participants should be tested with stakeholders before being implemented, to limit collection costs and ensure respondents consistently interpret data requirements. </w:t>
      </w:r>
    </w:p>
    <w:p w14:paraId="3DCF223B" w14:textId="77777777" w:rsidR="00E64FD8" w:rsidRDefault="00E64FD8" w:rsidP="00E64FD8">
      <w:pPr>
        <w:pStyle w:val="BodyText"/>
      </w:pPr>
      <w:r>
        <w:t xml:space="preserve">The Commission should consult widely and undertake appropriate public consultation processes, including inviting public submissions and holding public hearings. </w:t>
      </w:r>
    </w:p>
    <w:p w14:paraId="4E60F46B" w14:textId="77777777" w:rsidR="00E64FD8" w:rsidRDefault="00E64FD8" w:rsidP="00E64FD8">
      <w:pPr>
        <w:pStyle w:val="BodyText"/>
        <w:rPr>
          <w:lang w:val="en"/>
        </w:rPr>
      </w:pPr>
      <w:r>
        <w:rPr>
          <w:lang w:val="en"/>
        </w:rPr>
        <w:t>The Commission should release a draft report in January 2018 and provide its final report to the Government within 12 months of the commencement of the review.</w:t>
      </w:r>
    </w:p>
    <w:p w14:paraId="788D958B" w14:textId="77777777" w:rsidR="00E64FD8" w:rsidRDefault="00E64FD8" w:rsidP="00E64FD8"/>
    <w:p w14:paraId="6AAEEC2E" w14:textId="77777777" w:rsidR="00E64FD8" w:rsidRPr="00FB16B3" w:rsidRDefault="00E64FD8" w:rsidP="00E64FD8">
      <w:pPr>
        <w:rPr>
          <w:lang w:val="en"/>
        </w:rPr>
      </w:pPr>
      <w:r w:rsidRPr="00FB16B3">
        <w:rPr>
          <w:lang w:val="en"/>
        </w:rPr>
        <w:t>Scott Morrison</w:t>
      </w:r>
      <w:r w:rsidRPr="00FB16B3">
        <w:rPr>
          <w:lang w:val="en"/>
        </w:rPr>
        <w:br/>
        <w:t>Treasurer</w:t>
      </w:r>
    </w:p>
    <w:p w14:paraId="338B405A" w14:textId="77777777" w:rsidR="00E64FD8" w:rsidRDefault="00E64FD8" w:rsidP="00E64FD8">
      <w:pPr>
        <w:rPr>
          <w:bCs/>
          <w:lang w:val="en"/>
        </w:rPr>
      </w:pPr>
    </w:p>
    <w:p w14:paraId="53A7961F" w14:textId="615A27EE" w:rsidR="00E64FD8" w:rsidRDefault="00E64FD8" w:rsidP="00E64FD8">
      <w:pPr>
        <w:rPr>
          <w:lang w:val="en"/>
        </w:rPr>
      </w:pPr>
      <w:r>
        <w:rPr>
          <w:bCs/>
          <w:lang w:val="en"/>
        </w:rPr>
        <w:t>[Received 30 June 2017]</w:t>
      </w:r>
    </w:p>
    <w:p w14:paraId="2BDF6040" w14:textId="77777777" w:rsidR="00415F39" w:rsidRDefault="00415F39" w:rsidP="00120072">
      <w:pPr>
        <w:pStyle w:val="BodyText"/>
      </w:pPr>
      <w:bookmarkStart w:id="3" w:name="begin"/>
      <w:bookmarkEnd w:id="0"/>
      <w:bookmarkEnd w:id="3"/>
    </w:p>
    <w:p w14:paraId="2BDF6041" w14:textId="77777777" w:rsidR="00415F39" w:rsidRDefault="00415F39" w:rsidP="00120072">
      <w:pPr>
        <w:pStyle w:val="BodyText"/>
        <w:sectPr w:rsidR="00415F39" w:rsidSect="00DB6E0B">
          <w:headerReference w:type="even" r:id="rId15"/>
          <w:headerReference w:type="default" r:id="rId16"/>
          <w:footerReference w:type="even" r:id="rId17"/>
          <w:footerReference w:type="default" r:id="rId18"/>
          <w:type w:val="continuous"/>
          <w:pgSz w:w="11907" w:h="16840" w:code="9"/>
          <w:pgMar w:top="1985" w:right="1304" w:bottom="1247" w:left="1814" w:header="1701" w:footer="397" w:gutter="0"/>
          <w:pgNumType w:fmt="lowerRoman" w:start="3" w:chapSep="period"/>
          <w:cols w:space="720"/>
        </w:sectPr>
      </w:pPr>
    </w:p>
    <w:p w14:paraId="2BDF6042" w14:textId="77777777" w:rsidR="00F056FC" w:rsidRDefault="00EC0A05" w:rsidP="0096539E">
      <w:pPr>
        <w:pStyle w:val="Heading2nosectionno"/>
        <w:spacing w:before="360" w:after="360"/>
      </w:pPr>
      <w:r>
        <w:lastRenderedPageBreak/>
        <w:t>Contents</w:t>
      </w:r>
    </w:p>
    <w:p w14:paraId="08636171" w14:textId="1AA6D185" w:rsidR="001C5DCF" w:rsidRDefault="001C5DCF" w:rsidP="001C5DCF">
      <w:pPr>
        <w:pStyle w:val="TOC2"/>
        <w:rPr>
          <w:rFonts w:asciiTheme="minorHAnsi" w:eastAsiaTheme="minorEastAsia" w:hAnsiTheme="minorHAnsi" w:cstheme="minorBidi"/>
          <w:noProof/>
          <w:sz w:val="22"/>
          <w:szCs w:val="22"/>
          <w:lang w:eastAsia="en-AU"/>
        </w:rPr>
      </w:pPr>
      <w:r>
        <w:rPr>
          <w:noProof/>
        </w:rPr>
        <w:t>Cover page</w:t>
      </w:r>
      <w:r>
        <w:rPr>
          <w:noProof/>
        </w:rPr>
        <w:tab/>
        <w:t>i</w:t>
      </w:r>
    </w:p>
    <w:p w14:paraId="679DDE53" w14:textId="78FBE340" w:rsidR="001C5DCF" w:rsidRDefault="001C5DCF" w:rsidP="001C5DCF">
      <w:pPr>
        <w:pStyle w:val="TOC2"/>
        <w:rPr>
          <w:rFonts w:asciiTheme="minorHAnsi" w:eastAsiaTheme="minorEastAsia" w:hAnsiTheme="minorHAnsi" w:cstheme="minorBidi"/>
          <w:noProof/>
          <w:sz w:val="22"/>
          <w:szCs w:val="22"/>
          <w:lang w:eastAsia="en-AU"/>
        </w:rPr>
      </w:pPr>
      <w:r>
        <w:rPr>
          <w:noProof/>
        </w:rPr>
        <w:t>Terms of reference</w:t>
      </w:r>
      <w:r>
        <w:rPr>
          <w:noProof/>
        </w:rPr>
        <w:tab/>
        <w:t>iii</w:t>
      </w:r>
    </w:p>
    <w:p w14:paraId="2E6711C9" w14:textId="12F741A6" w:rsidR="001C5DCF" w:rsidRDefault="001C5DCF" w:rsidP="001C5DCF">
      <w:pPr>
        <w:pStyle w:val="TOC2"/>
        <w:tabs>
          <w:tab w:val="left" w:pos="1134"/>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What is this Inquiry about?</w:t>
      </w:r>
      <w:r>
        <w:rPr>
          <w:noProof/>
        </w:rPr>
        <w:tab/>
        <w:t>1</w:t>
      </w:r>
    </w:p>
    <w:p w14:paraId="43221A9F" w14:textId="148092D6" w:rsidR="001C5DCF" w:rsidRDefault="001C5DCF" w:rsidP="001C5DCF">
      <w:pPr>
        <w:pStyle w:val="TOC2"/>
        <w:tabs>
          <w:tab w:val="left" w:pos="1134"/>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How will the super system be assessed?</w:t>
      </w:r>
      <w:r>
        <w:rPr>
          <w:noProof/>
        </w:rPr>
        <w:tab/>
        <w:t>3</w:t>
      </w:r>
    </w:p>
    <w:p w14:paraId="0E640DFF" w14:textId="751FD2B6" w:rsidR="001C5DCF" w:rsidRDefault="001C5DCF" w:rsidP="001C5DCF">
      <w:pPr>
        <w:pStyle w:val="TOC2"/>
        <w:tabs>
          <w:tab w:val="left" w:pos="1134"/>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How can you contribute to this Inquiry?</w:t>
      </w:r>
      <w:r>
        <w:rPr>
          <w:noProof/>
        </w:rPr>
        <w:tab/>
        <w:t>5</w:t>
      </w:r>
    </w:p>
    <w:p w14:paraId="2F79A703" w14:textId="3DE85DE2" w:rsidR="001C5DCF" w:rsidRDefault="001C5DCF" w:rsidP="001C5DCF">
      <w:pPr>
        <w:pStyle w:val="TOC2"/>
        <w:rPr>
          <w:rFonts w:asciiTheme="minorHAnsi" w:eastAsiaTheme="minorEastAsia" w:hAnsiTheme="minorHAnsi" w:cstheme="minorBidi"/>
          <w:noProof/>
          <w:sz w:val="22"/>
          <w:szCs w:val="22"/>
          <w:lang w:eastAsia="en-AU"/>
        </w:rPr>
      </w:pPr>
      <w:r>
        <w:rPr>
          <w:noProof/>
        </w:rPr>
        <w:t>References</w:t>
      </w:r>
      <w:r>
        <w:rPr>
          <w:noProof/>
        </w:rPr>
        <w:tab/>
        <w:t>20</w:t>
      </w:r>
    </w:p>
    <w:p w14:paraId="6908DA7B" w14:textId="70065D0F" w:rsidR="001C5DCF" w:rsidRDefault="001C5DCF" w:rsidP="001C5DCF">
      <w:pPr>
        <w:pStyle w:val="TOC2"/>
        <w:rPr>
          <w:rFonts w:asciiTheme="minorHAnsi" w:eastAsiaTheme="minorEastAsia" w:hAnsiTheme="minorHAnsi" w:cstheme="minorBidi"/>
          <w:noProof/>
          <w:sz w:val="22"/>
          <w:szCs w:val="22"/>
          <w:lang w:eastAsia="en-AU"/>
        </w:rPr>
      </w:pPr>
      <w:r>
        <w:rPr>
          <w:noProof/>
        </w:rPr>
        <w:t>Attachment A: Additional evidence needs</w:t>
      </w:r>
      <w:r>
        <w:rPr>
          <w:noProof/>
        </w:rPr>
        <w:tab/>
        <w:t>21</w:t>
      </w:r>
    </w:p>
    <w:p w14:paraId="13B289F6" w14:textId="5601CD0D" w:rsidR="001C5DCF" w:rsidRDefault="001C5DCF" w:rsidP="001C5DCF">
      <w:pPr>
        <w:pStyle w:val="TOC2"/>
        <w:rPr>
          <w:rFonts w:asciiTheme="minorHAnsi" w:eastAsiaTheme="minorEastAsia" w:hAnsiTheme="minorHAnsi" w:cstheme="minorBidi"/>
          <w:noProof/>
          <w:sz w:val="22"/>
          <w:szCs w:val="22"/>
          <w:lang w:eastAsia="en-AU"/>
        </w:rPr>
      </w:pPr>
      <w:r>
        <w:rPr>
          <w:noProof/>
        </w:rPr>
        <w:t>Attachment B: The Commission’s assessment framework</w:t>
      </w:r>
      <w:r>
        <w:rPr>
          <w:noProof/>
        </w:rPr>
        <w:tab/>
        <w:t>23</w:t>
      </w:r>
    </w:p>
    <w:p w14:paraId="43635DB6" w14:textId="161E7F27" w:rsidR="001C5DCF" w:rsidRDefault="001C5DCF" w:rsidP="001C5DCF">
      <w:pPr>
        <w:pStyle w:val="TOC2"/>
        <w:rPr>
          <w:rFonts w:asciiTheme="minorHAnsi" w:eastAsiaTheme="minorEastAsia" w:hAnsiTheme="minorHAnsi" w:cstheme="minorBidi"/>
          <w:noProof/>
          <w:sz w:val="22"/>
          <w:szCs w:val="22"/>
          <w:lang w:eastAsia="en-AU"/>
        </w:rPr>
      </w:pPr>
      <w:r>
        <w:rPr>
          <w:noProof/>
        </w:rPr>
        <w:t>Attachment C: ‘No regret’ reforms and a common feature of alternative default models for further consideration</w:t>
      </w:r>
      <w:r>
        <w:rPr>
          <w:noProof/>
        </w:rPr>
        <w:tab/>
        <w:t>34</w:t>
      </w:r>
    </w:p>
    <w:p w14:paraId="560EE38F" w14:textId="7D838E1B" w:rsidR="001C5DCF" w:rsidRDefault="001C5DCF" w:rsidP="001C5DCF">
      <w:pPr>
        <w:pStyle w:val="TOC2"/>
        <w:rPr>
          <w:rFonts w:asciiTheme="minorHAnsi" w:eastAsiaTheme="minorEastAsia" w:hAnsiTheme="minorHAnsi" w:cstheme="minorBidi"/>
          <w:noProof/>
          <w:sz w:val="22"/>
          <w:szCs w:val="22"/>
          <w:lang w:eastAsia="en-AU"/>
        </w:rPr>
      </w:pPr>
      <w:r>
        <w:rPr>
          <w:noProof/>
        </w:rPr>
        <w:t>Attachment D: How to make a submission or comment</w:t>
      </w:r>
      <w:r>
        <w:rPr>
          <w:noProof/>
        </w:rPr>
        <w:tab/>
        <w:t>35</w:t>
      </w:r>
    </w:p>
    <w:p w14:paraId="25355647" w14:textId="77777777" w:rsidR="00042ECD" w:rsidRDefault="00042ECD" w:rsidP="00042ECD">
      <w:pPr>
        <w:pStyle w:val="BodyText"/>
      </w:pPr>
    </w:p>
    <w:p w14:paraId="5DA478C8" w14:textId="77777777" w:rsidR="00152C9B" w:rsidRDefault="00152C9B" w:rsidP="00120072">
      <w:pPr>
        <w:pStyle w:val="BodyText"/>
        <w:sectPr w:rsidR="00152C9B" w:rsidSect="00DB6E0B">
          <w:headerReference w:type="even" r:id="rId19"/>
          <w:headerReference w:type="default" r:id="rId20"/>
          <w:footerReference w:type="even" r:id="rId21"/>
          <w:footerReference w:type="default" r:id="rId22"/>
          <w:pgSz w:w="11907" w:h="16840" w:code="9"/>
          <w:pgMar w:top="1985" w:right="1304" w:bottom="1247" w:left="1814" w:header="1701" w:footer="397" w:gutter="0"/>
          <w:pgNumType w:fmt="lowerRoman" w:chapSep="period"/>
          <w:cols w:space="720"/>
        </w:sectPr>
      </w:pPr>
    </w:p>
    <w:p w14:paraId="6B07B43C" w14:textId="76B87E1B" w:rsidR="00152C9B" w:rsidRDefault="002F543F" w:rsidP="00152C9B">
      <w:pPr>
        <w:pStyle w:val="Heading2"/>
      </w:pPr>
      <w:bookmarkStart w:id="4" w:name="_Toc487031375"/>
      <w:bookmarkStart w:id="5" w:name="_Toc487035875"/>
      <w:r>
        <w:lastRenderedPageBreak/>
        <w:t>1</w:t>
      </w:r>
      <w:r>
        <w:tab/>
        <w:t>What is this Inquiry about?</w:t>
      </w:r>
      <w:bookmarkEnd w:id="4"/>
      <w:bookmarkEnd w:id="5"/>
    </w:p>
    <w:p w14:paraId="1FB59D19" w14:textId="491BF411" w:rsidR="00BB6AEB" w:rsidRDefault="00441FF8" w:rsidP="00BB6AEB">
      <w:pPr>
        <w:pStyle w:val="BodyText"/>
      </w:pPr>
      <w:r>
        <w:t xml:space="preserve">This </w:t>
      </w:r>
      <w:r w:rsidR="00B7031A">
        <w:t>I</w:t>
      </w:r>
      <w:r>
        <w:t xml:space="preserve">nquiry will assess the competitiveness and efficiency of the Australian superannuation system. </w:t>
      </w:r>
      <w:r w:rsidR="00BB6AEB">
        <w:t>The Australian superannuation system has grown rapidly since the introduction of the Superannuation Guarantee in 1992, both in terms of funds under management and coverage</w:t>
      </w:r>
      <w:r w:rsidR="003A6324">
        <w:t xml:space="preserve"> (figure </w:t>
      </w:r>
      <w:r w:rsidR="00FC4F2F">
        <w:t>1</w:t>
      </w:r>
      <w:r w:rsidR="003A6324">
        <w:t>)</w:t>
      </w:r>
      <w:r w:rsidR="00BB6AEB">
        <w:t xml:space="preserve">. Almost all employed Australians contribute to </w:t>
      </w:r>
      <w:r w:rsidR="004B35D5">
        <w:t xml:space="preserve">(their) </w:t>
      </w:r>
      <w:r w:rsidR="00BB6AEB">
        <w:t>superannuation. Collectively, Australians have over $2 trillion of assets in superannuation funds, comprising about 20 per cent of total household assets. In relation to the financial system as a whole, superannuation will continue to increase in relative importance as the system matures by the 2040s.</w:t>
      </w:r>
    </w:p>
    <w:p w14:paraId="6D1E8849" w14:textId="641B52C6" w:rsidR="00D93AA2" w:rsidRDefault="00BB6AEB" w:rsidP="00BB6AEB">
      <w:pPr>
        <w:pStyle w:val="BodyText"/>
      </w:pPr>
      <w:r>
        <w:t>The sheer size of the superannuation system, combined with its compulsory and broad nature, makes the efficiency of the system paramount. Even small changes in</w:t>
      </w:r>
      <w:r w:rsidR="004C4B76">
        <w:t xml:space="preserve"> the</w:t>
      </w:r>
      <w:r>
        <w:t xml:space="preserve"> efficiency</w:t>
      </w:r>
      <w:r w:rsidR="004C4B76">
        <w:t xml:space="preserve"> of the system</w:t>
      </w:r>
      <w:r>
        <w:t xml:space="preserve"> can have significant impacts on the wealth and wellbeing of Australians. Competition is often </w:t>
      </w:r>
      <w:r w:rsidR="004B35D5">
        <w:t>the impetus to promote efficiency and members</w:t>
      </w:r>
      <w:r w:rsidR="00E1028C">
        <w:t>’</w:t>
      </w:r>
      <w:r w:rsidR="004B35D5">
        <w:t xml:space="preserve"> best interests </w:t>
      </w:r>
      <w:r w:rsidR="00E1028C">
        <w:t>—</w:t>
      </w:r>
      <w:r w:rsidR="004B35D5">
        <w:t xml:space="preserve"> an important means to a wellbeing end.</w:t>
      </w:r>
      <w:r>
        <w:t xml:space="preserve"> </w:t>
      </w:r>
    </w:p>
    <w:p w14:paraId="0C09E3CB" w14:textId="55E3DC9A" w:rsidR="00D93AA2" w:rsidRDefault="00D93AA2" w:rsidP="0082797A">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8"/>
      </w:tblGrid>
      <w:tr w:rsidR="00D93AA2" w14:paraId="0336ED2A" w14:textId="77777777" w:rsidTr="00B41300">
        <w:trPr>
          <w:tblHeader/>
        </w:trPr>
        <w:tc>
          <w:tcPr>
            <w:tcW w:w="5000" w:type="pct"/>
            <w:tcBorders>
              <w:top w:val="single" w:sz="6" w:space="0" w:color="78A22F"/>
              <w:left w:val="nil"/>
              <w:bottom w:val="nil"/>
              <w:right w:val="nil"/>
            </w:tcBorders>
            <w:shd w:val="clear" w:color="auto" w:fill="auto"/>
          </w:tcPr>
          <w:p w14:paraId="0020BE73" w14:textId="1ADBFD0D" w:rsidR="00D93AA2" w:rsidRPr="00176D3F" w:rsidRDefault="00D93AA2" w:rsidP="00FC4F2F">
            <w:pPr>
              <w:pStyle w:val="FigureTitle"/>
            </w:pPr>
            <w:r w:rsidRPr="00784A05">
              <w:rPr>
                <w:b w:val="0"/>
              </w:rPr>
              <w:t xml:space="preserve">Figure </w:t>
            </w:r>
            <w:r w:rsidR="00FC4F2F">
              <w:rPr>
                <w:b w:val="0"/>
              </w:rPr>
              <w:t>1</w:t>
            </w:r>
            <w:r>
              <w:tab/>
              <w:t>Key developments in the superannuation system</w:t>
            </w:r>
            <w:r w:rsidRPr="003A6324">
              <w:rPr>
                <w:rStyle w:val="NoteLabel"/>
                <w:b/>
              </w:rPr>
              <w:t>a</w:t>
            </w:r>
          </w:p>
        </w:tc>
      </w:tr>
      <w:tr w:rsidR="00D93AA2" w14:paraId="153DA52E" w14:textId="77777777" w:rsidTr="00B4130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93AA2" w:rsidRPr="00B1465D" w14:paraId="29D67C18" w14:textId="77777777" w:rsidTr="0082797A">
              <w:trPr>
                <w:tblHeader/>
                <w:jc w:val="center"/>
              </w:trPr>
              <w:tc>
                <w:tcPr>
                  <w:tcW w:w="5000" w:type="pct"/>
                  <w:tcBorders>
                    <w:top w:val="nil"/>
                    <w:bottom w:val="nil"/>
                  </w:tcBorders>
                </w:tcPr>
                <w:p w14:paraId="6D351E40" w14:textId="70A5CCAB" w:rsidR="00D93AA2" w:rsidRPr="00B1465D" w:rsidRDefault="00FE4EB8" w:rsidP="0082797A">
                  <w:pPr>
                    <w:pStyle w:val="Figure"/>
                    <w:spacing w:before="60" w:after="60"/>
                    <w:rPr>
                      <w:rFonts w:ascii="Arial" w:hAnsi="Arial" w:cs="Arial"/>
                      <w:sz w:val="18"/>
                      <w:szCs w:val="18"/>
                    </w:rPr>
                  </w:pPr>
                  <w:r w:rsidRPr="00FE4EB8">
                    <w:rPr>
                      <w:rFonts w:ascii="Arial" w:hAnsi="Arial" w:cs="Arial"/>
                      <w:noProof/>
                      <w:sz w:val="18"/>
                      <w:szCs w:val="18"/>
                    </w:rPr>
                    <w:drawing>
                      <wp:inline distT="0" distB="0" distL="0" distR="0" wp14:anchorId="12E92AD4" wp14:editId="53641567">
                        <wp:extent cx="5391150" cy="3362960"/>
                        <wp:effectExtent l="0" t="0" r="0" b="0"/>
                        <wp:docPr id="2" name="Picture 2" descr="This stacked bar chart contains the growth in funds under management at the system level from 1997 to 2016. It stacks each bar by small funds and institutional funds. In 1997 total funds under management were just over $200b (46 per cent of GDP), now it is nearly $2t (122 per cent of GDP). In 1997 there were 4712 institutional funds and 150 000 small funds (almost entirely SMSFs but also counting small APRA-funds and single-member approved deposit funds). In 2016 there were 255 institutional funds and 579,000 small funds. The proportion of funds under management allocated to small funds has increased substantially." title="Figure 1 — Key developments in the superannua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91150" cy="3362960"/>
                                </a:xfrm>
                                <a:prstGeom prst="rect">
                                  <a:avLst/>
                                </a:prstGeom>
                                <a:noFill/>
                                <a:ln>
                                  <a:noFill/>
                                </a:ln>
                              </pic:spPr>
                            </pic:pic>
                          </a:graphicData>
                        </a:graphic>
                      </wp:inline>
                    </w:drawing>
                  </w:r>
                </w:p>
              </w:tc>
            </w:tr>
          </w:tbl>
          <w:p w14:paraId="24636C47" w14:textId="77777777" w:rsidR="00D93AA2" w:rsidRDefault="00D93AA2" w:rsidP="0082797A">
            <w:pPr>
              <w:pStyle w:val="Figure"/>
            </w:pPr>
          </w:p>
        </w:tc>
      </w:tr>
      <w:tr w:rsidR="00D93AA2" w:rsidRPr="00176D3F" w14:paraId="261EFAEC" w14:textId="77777777" w:rsidTr="00B41300">
        <w:tc>
          <w:tcPr>
            <w:tcW w:w="5000" w:type="pct"/>
            <w:tcBorders>
              <w:top w:val="nil"/>
              <w:left w:val="nil"/>
              <w:bottom w:val="nil"/>
              <w:right w:val="nil"/>
            </w:tcBorders>
            <w:shd w:val="clear" w:color="auto" w:fill="auto"/>
          </w:tcPr>
          <w:p w14:paraId="78F690D4" w14:textId="43694E1C" w:rsidR="00D93AA2" w:rsidRPr="00176D3F" w:rsidRDefault="00D93AA2" w:rsidP="004C4B76">
            <w:pPr>
              <w:pStyle w:val="Note"/>
            </w:pPr>
            <w:r>
              <w:rPr>
                <w:rStyle w:val="NoteLabel"/>
              </w:rPr>
              <w:t>a</w:t>
            </w:r>
            <w:r>
              <w:t xml:space="preserve"> ‘Institutional funds’ comprise corporate, industry, public sector and retail funds. ‘Small funds’ </w:t>
            </w:r>
            <w:r w:rsidRPr="00333897">
              <w:t>comprise small APRA funds, single</w:t>
            </w:r>
            <w:r>
              <w:noBreakHyphen/>
            </w:r>
            <w:r w:rsidRPr="00333897">
              <w:t>member approved deposit funds and</w:t>
            </w:r>
            <w:r w:rsidR="004C4B76">
              <w:t xml:space="preserve"> self-managed superannuation funds</w:t>
            </w:r>
            <w:r>
              <w:t>.</w:t>
            </w:r>
          </w:p>
        </w:tc>
      </w:tr>
      <w:tr w:rsidR="00D93AA2" w:rsidRPr="00176D3F" w14:paraId="71235E38" w14:textId="77777777" w:rsidTr="00B41300">
        <w:tc>
          <w:tcPr>
            <w:tcW w:w="5000" w:type="pct"/>
            <w:tcBorders>
              <w:top w:val="nil"/>
              <w:left w:val="nil"/>
              <w:bottom w:val="nil"/>
              <w:right w:val="nil"/>
            </w:tcBorders>
            <w:shd w:val="clear" w:color="auto" w:fill="auto"/>
          </w:tcPr>
          <w:p w14:paraId="0D8CE46A" w14:textId="7A257E93" w:rsidR="00D93AA2" w:rsidRPr="00176D3F" w:rsidRDefault="00D93AA2" w:rsidP="00FE4EB8">
            <w:pPr>
              <w:pStyle w:val="Source"/>
            </w:pPr>
            <w:r w:rsidRPr="00784A05">
              <w:rPr>
                <w:i/>
              </w:rPr>
              <w:t>Data source</w:t>
            </w:r>
            <w:r>
              <w:rPr>
                <w:i/>
              </w:rPr>
              <w:t>s</w:t>
            </w:r>
            <w:r w:rsidRPr="00176D3F">
              <w:t xml:space="preserve">: </w:t>
            </w:r>
            <w:r w:rsidR="00FE4EB8">
              <w:t>ABS (</w:t>
            </w:r>
            <w:r w:rsidR="00FE4EB8" w:rsidRPr="00F11546">
              <w:rPr>
                <w:i/>
              </w:rPr>
              <w:t>Australian National Accounts: National Income, Expenditure and Product, Australia, June 2016</w:t>
            </w:r>
            <w:r w:rsidR="00FE4EB8">
              <w:t xml:space="preserve">, Cat. no. 5206.0); APRA </w:t>
            </w:r>
            <w:r w:rsidR="00FE4EB8" w:rsidRPr="00226D09">
              <w:rPr>
                <w:rFonts w:cs="Arial"/>
              </w:rPr>
              <w:t>(2007, 2014, 2016a, 2016b)</w:t>
            </w:r>
            <w:r w:rsidR="00FE4EB8">
              <w:t>.</w:t>
            </w:r>
          </w:p>
        </w:tc>
      </w:tr>
      <w:tr w:rsidR="00D93AA2" w14:paraId="2DB6DEFA" w14:textId="77777777" w:rsidTr="00B41300">
        <w:tc>
          <w:tcPr>
            <w:tcW w:w="5000" w:type="pct"/>
            <w:tcBorders>
              <w:top w:val="nil"/>
              <w:left w:val="nil"/>
              <w:bottom w:val="single" w:sz="6" w:space="0" w:color="78A22F"/>
              <w:right w:val="nil"/>
            </w:tcBorders>
            <w:shd w:val="clear" w:color="auto" w:fill="auto"/>
          </w:tcPr>
          <w:p w14:paraId="74E26E85" w14:textId="77777777" w:rsidR="00D93AA2" w:rsidRDefault="00D93AA2" w:rsidP="0082797A">
            <w:pPr>
              <w:pStyle w:val="Figurespace"/>
            </w:pPr>
          </w:p>
        </w:tc>
      </w:tr>
      <w:tr w:rsidR="00D93AA2" w:rsidRPr="000863A5" w14:paraId="79076E42" w14:textId="77777777" w:rsidTr="00B41300">
        <w:tc>
          <w:tcPr>
            <w:tcW w:w="5000" w:type="pct"/>
            <w:tcBorders>
              <w:top w:val="single" w:sz="6" w:space="0" w:color="78A22F"/>
              <w:left w:val="nil"/>
              <w:bottom w:val="nil"/>
              <w:right w:val="nil"/>
            </w:tcBorders>
          </w:tcPr>
          <w:p w14:paraId="5B94DDA2" w14:textId="2192F463" w:rsidR="00D93AA2" w:rsidRPr="00626D32" w:rsidRDefault="00C211DD" w:rsidP="00687440">
            <w:pPr>
              <w:pStyle w:val="BoxSpaceBelow"/>
              <w:tabs>
                <w:tab w:val="left" w:pos="6884"/>
                <w:tab w:val="left" w:pos="7504"/>
              </w:tabs>
            </w:pPr>
            <w:r>
              <w:rPr>
                <w:rFonts w:ascii="Times New Roman" w:hAnsi="Times New Roman"/>
                <w:b/>
                <w:color w:val="FF00FF"/>
              </w:rPr>
              <w:tab/>
            </w:r>
            <w:r w:rsidR="00A072BF">
              <w:rPr>
                <w:rFonts w:ascii="Times New Roman" w:hAnsi="Times New Roman"/>
                <w:b/>
                <w:color w:val="FF00FF"/>
              </w:rPr>
              <w:tab/>
            </w:r>
          </w:p>
        </w:tc>
      </w:tr>
    </w:tbl>
    <w:p w14:paraId="3E0C5079" w14:textId="0E964C9A" w:rsidR="00BB6AEB" w:rsidRDefault="00C05FC3" w:rsidP="00BB6AEB">
      <w:pPr>
        <w:pStyle w:val="Heading3"/>
      </w:pPr>
      <w:r>
        <w:lastRenderedPageBreak/>
        <w:t>What has the Commission been asked to do?</w:t>
      </w:r>
    </w:p>
    <w:p w14:paraId="5E7DC632" w14:textId="75EF9B53" w:rsidR="00B46B23" w:rsidRDefault="00BC3BC0" w:rsidP="007F1242">
      <w:pPr>
        <w:pStyle w:val="BodyText"/>
      </w:pPr>
      <w:r>
        <w:t>I</w:t>
      </w:r>
      <w:r w:rsidR="000C7EBA">
        <w:t>n early 2016, the Government tasked the Commission to begin a three</w:t>
      </w:r>
      <w:r w:rsidR="000C7EBA">
        <w:noBreakHyphen/>
        <w:t xml:space="preserve">stage process to assess the competitiveness </w:t>
      </w:r>
      <w:r w:rsidR="00C05FC3">
        <w:t>and efficiency of the superannuation system</w:t>
      </w:r>
      <w:r w:rsidR="00937F96">
        <w:t xml:space="preserve"> (figure </w:t>
      </w:r>
      <w:r w:rsidR="00FC4F2F">
        <w:t>2</w:t>
      </w:r>
      <w:r w:rsidR="00937F96">
        <w:t>)</w:t>
      </w:r>
      <w:r w:rsidR="00C05FC3">
        <w:t>.</w:t>
      </w:r>
      <w:r w:rsidR="00DA0D7D">
        <w:t xml:space="preserve"> </w:t>
      </w:r>
      <w:r>
        <w:t>This review stems from a recommendation made by the 2014 Financial System Inquiry.</w:t>
      </w:r>
    </w:p>
    <w:p w14:paraId="266FD225" w14:textId="1DB637C8" w:rsidR="00937F96" w:rsidRDefault="00937F96" w:rsidP="0082797A">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8"/>
      </w:tblGrid>
      <w:tr w:rsidR="00937F96" w14:paraId="22B05DD4" w14:textId="77777777" w:rsidTr="00B41300">
        <w:trPr>
          <w:tblHeader/>
        </w:trPr>
        <w:tc>
          <w:tcPr>
            <w:tcW w:w="5000" w:type="pct"/>
            <w:tcBorders>
              <w:top w:val="single" w:sz="6" w:space="0" w:color="78A22F"/>
              <w:left w:val="nil"/>
              <w:bottom w:val="nil"/>
              <w:right w:val="nil"/>
            </w:tcBorders>
            <w:shd w:val="clear" w:color="auto" w:fill="auto"/>
          </w:tcPr>
          <w:p w14:paraId="1086E949" w14:textId="5E510EC0" w:rsidR="00937F96" w:rsidRPr="00176D3F" w:rsidRDefault="00937F96" w:rsidP="00FC4F2F">
            <w:pPr>
              <w:pStyle w:val="FigureTitle"/>
            </w:pPr>
            <w:r w:rsidRPr="00784A05">
              <w:rPr>
                <w:b w:val="0"/>
              </w:rPr>
              <w:t xml:space="preserve">Figure </w:t>
            </w:r>
            <w:r w:rsidR="00FC4F2F">
              <w:rPr>
                <w:b w:val="0"/>
              </w:rPr>
              <w:t>2</w:t>
            </w:r>
            <w:r>
              <w:tab/>
              <w:t>Three</w:t>
            </w:r>
            <w:r>
              <w:noBreakHyphen/>
              <w:t>stage superannuation review</w:t>
            </w:r>
          </w:p>
        </w:tc>
      </w:tr>
      <w:tr w:rsidR="00937F96" w14:paraId="19A86077" w14:textId="77777777" w:rsidTr="00B4130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937F96" w:rsidRPr="00B1465D" w14:paraId="69DA1DB1" w14:textId="77777777" w:rsidTr="00B41300">
              <w:trPr>
                <w:tblHeader/>
                <w:jc w:val="center"/>
              </w:trPr>
              <w:tc>
                <w:tcPr>
                  <w:tcW w:w="5000" w:type="pct"/>
                  <w:tcBorders>
                    <w:top w:val="nil"/>
                    <w:bottom w:val="nil"/>
                  </w:tcBorders>
                </w:tcPr>
                <w:p w14:paraId="630C4C5B" w14:textId="470A790D" w:rsidR="00937F96" w:rsidRPr="00B1465D" w:rsidRDefault="00A65E2D" w:rsidP="0082797A">
                  <w:pPr>
                    <w:pStyle w:val="Figure"/>
                    <w:spacing w:before="60" w:after="60"/>
                    <w:rPr>
                      <w:rFonts w:ascii="Arial" w:hAnsi="Arial" w:cs="Arial"/>
                      <w:sz w:val="18"/>
                      <w:szCs w:val="18"/>
                    </w:rPr>
                  </w:pPr>
                  <w:r w:rsidRPr="00A65E2D">
                    <w:rPr>
                      <w:rFonts w:ascii="Arial" w:hAnsi="Arial" w:cs="Arial"/>
                      <w:noProof/>
                      <w:sz w:val="18"/>
                      <w:szCs w:val="18"/>
                    </w:rPr>
                    <w:drawing>
                      <wp:inline distT="0" distB="0" distL="0" distR="0" wp14:anchorId="6A65E030" wp14:editId="314B4080">
                        <wp:extent cx="5474525" cy="2120397"/>
                        <wp:effectExtent l="0" t="0" r="0" b="0"/>
                        <wp:docPr id="5" name="Picture 5" descr="This figure is an illustration of the three tasks ndertaken by the Commission. They include, this study to develop criteria to assess the efficiency and competitiveness of the superannuation system, then an inquiry into developing alternative models for allocating default funds to members to products, and then a review of the efficiency and competitiveness of the superannuation system (using the previously developed criteria). When it is all finished, the government will consider the outcomes." title="Three-stage superannuation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73502" cy="2120001"/>
                                </a:xfrm>
                                <a:prstGeom prst="rect">
                                  <a:avLst/>
                                </a:prstGeom>
                                <a:noFill/>
                                <a:ln>
                                  <a:noFill/>
                                </a:ln>
                              </pic:spPr>
                            </pic:pic>
                          </a:graphicData>
                        </a:graphic>
                      </wp:inline>
                    </w:drawing>
                  </w:r>
                </w:p>
              </w:tc>
            </w:tr>
          </w:tbl>
          <w:p w14:paraId="6FB1F8F2" w14:textId="77777777" w:rsidR="00937F96" w:rsidRDefault="00937F96" w:rsidP="0082797A">
            <w:pPr>
              <w:pStyle w:val="Figure"/>
            </w:pPr>
          </w:p>
        </w:tc>
      </w:tr>
      <w:tr w:rsidR="00937F96" w14:paraId="66CC330A" w14:textId="77777777" w:rsidTr="00B41300">
        <w:tc>
          <w:tcPr>
            <w:tcW w:w="5000" w:type="pct"/>
            <w:tcBorders>
              <w:top w:val="nil"/>
              <w:left w:val="nil"/>
              <w:bottom w:val="single" w:sz="6" w:space="0" w:color="78A22F"/>
              <w:right w:val="nil"/>
            </w:tcBorders>
            <w:shd w:val="clear" w:color="auto" w:fill="auto"/>
          </w:tcPr>
          <w:p w14:paraId="6A0F44B8" w14:textId="77777777" w:rsidR="00937F96" w:rsidRDefault="00937F96" w:rsidP="0082797A">
            <w:pPr>
              <w:pStyle w:val="Figurespace"/>
            </w:pPr>
          </w:p>
        </w:tc>
      </w:tr>
      <w:tr w:rsidR="00937F96" w:rsidRPr="000863A5" w14:paraId="172FC07E" w14:textId="77777777" w:rsidTr="00B41300">
        <w:tc>
          <w:tcPr>
            <w:tcW w:w="5000" w:type="pct"/>
            <w:tcBorders>
              <w:top w:val="single" w:sz="6" w:space="0" w:color="78A22F"/>
              <w:left w:val="nil"/>
              <w:bottom w:val="nil"/>
              <w:right w:val="nil"/>
            </w:tcBorders>
          </w:tcPr>
          <w:p w14:paraId="42CEEB90" w14:textId="7286C7DF" w:rsidR="00937F96" w:rsidRPr="00626D32" w:rsidRDefault="00937F96" w:rsidP="0082797A">
            <w:pPr>
              <w:pStyle w:val="BoxSpaceBelow"/>
            </w:pPr>
          </w:p>
        </w:tc>
      </w:tr>
    </w:tbl>
    <w:p w14:paraId="102573E1" w14:textId="0F6AD843" w:rsidR="00E23476" w:rsidRDefault="00E23476" w:rsidP="00E23476">
      <w:pPr>
        <w:pStyle w:val="BodyText"/>
      </w:pPr>
      <w:r>
        <w:t xml:space="preserve">The </w:t>
      </w:r>
      <w:r w:rsidR="008310AD">
        <w:rPr>
          <w:b/>
        </w:rPr>
        <w:t>stage 1</w:t>
      </w:r>
      <w:r w:rsidR="008310AD">
        <w:t xml:space="preserve"> </w:t>
      </w:r>
      <w:r w:rsidR="000014CF">
        <w:t>S</w:t>
      </w:r>
      <w:r w:rsidR="008310AD" w:rsidRPr="008310AD">
        <w:t>tudy</w:t>
      </w:r>
      <w:r>
        <w:t xml:space="preserve"> involved developing criteria to assess whether, and the extent to which, the superannuation system is efficient and competitive in delivering the best outcomes f</w:t>
      </w:r>
      <w:r w:rsidR="002E6E2D">
        <w:t>or</w:t>
      </w:r>
      <w:r>
        <w:t xml:space="preserve"> members. In November 2016, the Commission published its final report, detailing these criteria — </w:t>
      </w:r>
      <w:r w:rsidRPr="00937F96">
        <w:rPr>
          <w:i/>
        </w:rPr>
        <w:t>How to Assess the Competitiveness and Efficiency of the Superannuation System</w:t>
      </w:r>
      <w:r>
        <w:t xml:space="preserve"> </w:t>
      </w:r>
      <w:r w:rsidR="00B13E7B" w:rsidRPr="00B13E7B">
        <w:rPr>
          <w:szCs w:val="24"/>
        </w:rPr>
        <w:t>(PC 2016)</w:t>
      </w:r>
      <w:r>
        <w:t>. The publication of these criteria provide</w:t>
      </w:r>
      <w:r w:rsidR="00337E8D">
        <w:t>d</w:t>
      </w:r>
      <w:r>
        <w:t xml:space="preserve"> transparency and certainty to the superannuation industry about how it will be assessed ahead of the future review —</w:t>
      </w:r>
      <w:r w:rsidR="00D8751D">
        <w:t xml:space="preserve"> </w:t>
      </w:r>
      <w:r>
        <w:t>stage</w:t>
      </w:r>
      <w:r w:rsidR="00D8751D">
        <w:t> 3</w:t>
      </w:r>
      <w:r>
        <w:t>.</w:t>
      </w:r>
    </w:p>
    <w:p w14:paraId="4587B2D9" w14:textId="69817964" w:rsidR="004A5A10" w:rsidRDefault="00E23476" w:rsidP="00E23476">
      <w:pPr>
        <w:pStyle w:val="BodyText"/>
      </w:pPr>
      <w:r>
        <w:t xml:space="preserve">The </w:t>
      </w:r>
      <w:r w:rsidRPr="00574AD8">
        <w:rPr>
          <w:b/>
        </w:rPr>
        <w:t>stage</w:t>
      </w:r>
      <w:r w:rsidR="008310AD">
        <w:rPr>
          <w:b/>
        </w:rPr>
        <w:t> 2</w:t>
      </w:r>
      <w:r w:rsidR="008310AD">
        <w:t xml:space="preserve"> Inquiry</w:t>
      </w:r>
      <w:r>
        <w:t xml:space="preserve"> </w:t>
      </w:r>
      <w:r w:rsidR="008C5CFA">
        <w:t xml:space="preserve">involved </w:t>
      </w:r>
      <w:r>
        <w:t xml:space="preserve">developing alternative models for a formal competitive process to allocate default superannuation members to products. </w:t>
      </w:r>
      <w:r w:rsidR="004A5A10">
        <w:t xml:space="preserve">The intention of the second stage was for these models to provide </w:t>
      </w:r>
      <w:r w:rsidR="00147103">
        <w:t xml:space="preserve">workable </w:t>
      </w:r>
      <w:r w:rsidR="004A5A10">
        <w:t xml:space="preserve">alternatives for the Government’s consideration, and </w:t>
      </w:r>
      <w:r w:rsidR="00337E8D">
        <w:t>be</w:t>
      </w:r>
      <w:r w:rsidR="004A5A10">
        <w:t xml:space="preserve"> a</w:t>
      </w:r>
      <w:r w:rsidR="00147103">
        <w:t>n</w:t>
      </w:r>
      <w:r w:rsidR="004A5A10">
        <w:t xml:space="preserve"> input to </w:t>
      </w:r>
      <w:r w:rsidR="00906908">
        <w:t>s</w:t>
      </w:r>
      <w:r w:rsidR="004A5A10">
        <w:t>tage 3.</w:t>
      </w:r>
    </w:p>
    <w:p w14:paraId="4C4FB670" w14:textId="02BCCCBC" w:rsidR="00052A51" w:rsidRDefault="00052A51" w:rsidP="00052A51">
      <w:pPr>
        <w:pStyle w:val="BodyText"/>
      </w:pPr>
      <w:r>
        <w:t>Subsequently, and in the context of issuing the Terms of Reference for stage 3, the Treasurer has agreed with the Commission’s request that the stage 2 work be incorporated into and finalised as part of stage 3’s broader review of the competitiveness and efficiency of the system. No final Inquiry report from stage 2 will be issued separately, and instead final advice on its subject matter will be provided in the final report for the stage 3 Inquiry, now commencing.</w:t>
      </w:r>
    </w:p>
    <w:p w14:paraId="2916BA16" w14:textId="77777777" w:rsidR="00052A51" w:rsidRDefault="00052A51" w:rsidP="00052A51">
      <w:pPr>
        <w:pStyle w:val="BodyText"/>
      </w:pPr>
    </w:p>
    <w:p w14:paraId="67ED97D6" w14:textId="514AE8BE" w:rsidR="00052A51" w:rsidRDefault="00052A51" w:rsidP="00052A51">
      <w:pPr>
        <w:pStyle w:val="BodyText"/>
      </w:pPr>
      <w:r>
        <w:lastRenderedPageBreak/>
        <w:t xml:space="preserve">The Commission’s draft report </w:t>
      </w:r>
      <w:r w:rsidRPr="00DA0D7D">
        <w:rPr>
          <w:i/>
        </w:rPr>
        <w:t>Superannuation: Alternative Default Models</w:t>
      </w:r>
      <w:r>
        <w:t xml:space="preserve"> detailed four potential alternative default allocation models. Consultation followed by way of second round submissions and public hearings.</w:t>
      </w:r>
      <w:r w:rsidRPr="00FC3FE9">
        <w:rPr>
          <w:rStyle w:val="FootnoteReference"/>
        </w:rPr>
        <w:footnoteReference w:id="2"/>
      </w:r>
      <w:r w:rsidRPr="00DA0D7D">
        <w:t xml:space="preserve"> </w:t>
      </w:r>
    </w:p>
    <w:p w14:paraId="20E6CF46" w14:textId="605C7787" w:rsidR="00052A51" w:rsidRDefault="00052A51" w:rsidP="00052A51">
      <w:pPr>
        <w:pStyle w:val="BodyText"/>
      </w:pPr>
      <w:r>
        <w:t>Amongst other participant feedback on the draft, a near consensus view was for the Commission to ultimately assess the alternative models alongside the current arrangements. And the Terms of Reference for the stage 3 Inquiry do allow for that.</w:t>
      </w:r>
    </w:p>
    <w:p w14:paraId="499D58F6" w14:textId="4AF9A71D" w:rsidR="001A1F74" w:rsidRDefault="00337E8D" w:rsidP="00E23476">
      <w:pPr>
        <w:pStyle w:val="BodyText"/>
      </w:pPr>
      <w:r>
        <w:t>Participant feedback on the draft report, by way of submissions and public hearings, has been used to refine the alternative models presented in the</w:t>
      </w:r>
      <w:r w:rsidR="00052A51">
        <w:t xml:space="preserve"> </w:t>
      </w:r>
      <w:r w:rsidR="00052A51" w:rsidRPr="0022091C">
        <w:rPr>
          <w:i/>
        </w:rPr>
        <w:t>stage 2</w:t>
      </w:r>
      <w:r>
        <w:t xml:space="preserve"> draft report. The four options have not changed materially from those presented in the draft report and they will now be incorporated for broader consideration as part of the current Inquiry.</w:t>
      </w:r>
    </w:p>
    <w:p w14:paraId="6E5A7F6C" w14:textId="02CD3D23" w:rsidR="004A5A10" w:rsidRDefault="00337E8D" w:rsidP="008C5CFA">
      <w:pPr>
        <w:pStyle w:val="BodyText"/>
      </w:pPr>
      <w:r>
        <w:t>As</w:t>
      </w:r>
      <w:r w:rsidR="00860624">
        <w:t xml:space="preserve"> one of th</w:t>
      </w:r>
      <w:r w:rsidR="004A5A10">
        <w:t xml:space="preserve">e tasks for </w:t>
      </w:r>
      <w:r w:rsidR="00052A51" w:rsidRPr="0022091C">
        <w:t>stage 3</w:t>
      </w:r>
      <w:r w:rsidR="004A5A10">
        <w:t>, the Commission will:</w:t>
      </w:r>
    </w:p>
    <w:p w14:paraId="640E18C3" w14:textId="7FE70563" w:rsidR="004A5A10" w:rsidRDefault="004A5A10" w:rsidP="004A5A10">
      <w:pPr>
        <w:pStyle w:val="ListBullet"/>
      </w:pPr>
      <w:r>
        <w:t xml:space="preserve">assess the current default arrangements against the same baseline of no defaults, and </w:t>
      </w:r>
      <w:r w:rsidR="00147103">
        <w:t xml:space="preserve">consistently </w:t>
      </w:r>
      <w:r>
        <w:t>apply</w:t>
      </w:r>
      <w:r w:rsidR="00147103">
        <w:t xml:space="preserve"> </w:t>
      </w:r>
      <w:r>
        <w:t xml:space="preserve">the same model assessment criteria </w:t>
      </w:r>
    </w:p>
    <w:p w14:paraId="0BD8D2D9" w14:textId="4A27E3E4" w:rsidR="004A5A10" w:rsidRDefault="004A5A10" w:rsidP="004A5A10">
      <w:pPr>
        <w:pStyle w:val="ListBullet"/>
      </w:pPr>
      <w:r>
        <w:t xml:space="preserve">examine the relative merits of the current </w:t>
      </w:r>
      <w:r w:rsidR="00147103">
        <w:t xml:space="preserve">default arrangements </w:t>
      </w:r>
      <w:r>
        <w:t xml:space="preserve">vis-à-vis </w:t>
      </w:r>
      <w:r w:rsidR="00147103">
        <w:t xml:space="preserve">the </w:t>
      </w:r>
      <w:r>
        <w:t xml:space="preserve">alternative model(s) </w:t>
      </w:r>
    </w:p>
    <w:p w14:paraId="0230A94C" w14:textId="58D66A38" w:rsidR="004A5A10" w:rsidRDefault="004A5A10" w:rsidP="00F92A2C">
      <w:pPr>
        <w:pStyle w:val="ListBullet"/>
      </w:pPr>
      <w:r>
        <w:t xml:space="preserve">subject to the above, make recommendations on what (if any) changes should be made to the current </w:t>
      </w:r>
      <w:r w:rsidR="00093581">
        <w:t xml:space="preserve">default </w:t>
      </w:r>
      <w:r>
        <w:t>arrangements, or whether an alternative default model should be introduced.</w:t>
      </w:r>
    </w:p>
    <w:p w14:paraId="7F95347A" w14:textId="0AE3CF3B" w:rsidR="00E23476" w:rsidRDefault="00E23476" w:rsidP="00E23476">
      <w:pPr>
        <w:pStyle w:val="BodyText"/>
      </w:pPr>
      <w:r>
        <w:t xml:space="preserve">This </w:t>
      </w:r>
      <w:r w:rsidR="008310AD" w:rsidRPr="008310AD">
        <w:rPr>
          <w:b/>
        </w:rPr>
        <w:t>stage 3</w:t>
      </w:r>
      <w:r w:rsidR="008310AD">
        <w:t xml:space="preserve"> </w:t>
      </w:r>
      <w:r>
        <w:t xml:space="preserve">Inquiry </w:t>
      </w:r>
      <w:r w:rsidR="008310AD">
        <w:t>is</w:t>
      </w:r>
      <w:r>
        <w:t xml:space="preserve"> the </w:t>
      </w:r>
      <w:r w:rsidRPr="008310AD">
        <w:t>final stage</w:t>
      </w:r>
      <w:r>
        <w:t xml:space="preserve"> of the Commission’s superannuation work</w:t>
      </w:r>
      <w:r w:rsidR="00337E8D">
        <w:t xml:space="preserve"> initiated by the Financial System Inquiry</w:t>
      </w:r>
      <w:r>
        <w:t xml:space="preserve">. The purpose of this </w:t>
      </w:r>
      <w:r w:rsidR="008310AD">
        <w:t>Inquiry</w:t>
      </w:r>
      <w:r>
        <w:t xml:space="preserve"> is to use the criteria developed in the first stage to review the competitiveness and efficiency of the superannuation system. This Inquiry follows the full implementation of the MySuper reforms which required </w:t>
      </w:r>
      <w:r w:rsidR="00EE3683">
        <w:t xml:space="preserve">that </w:t>
      </w:r>
      <w:r>
        <w:t>all default products meet certain requirements by 1 July 2017.</w:t>
      </w:r>
    </w:p>
    <w:p w14:paraId="38DFE66D" w14:textId="25AF6019" w:rsidR="00FE16FE" w:rsidRDefault="002F543F" w:rsidP="00FE16FE">
      <w:pPr>
        <w:pStyle w:val="Heading2"/>
      </w:pPr>
      <w:bookmarkStart w:id="6" w:name="_Toc487031376"/>
      <w:bookmarkStart w:id="7" w:name="_Toc487035876"/>
      <w:r>
        <w:t>2</w:t>
      </w:r>
      <w:r>
        <w:tab/>
        <w:t>How will the super system be assessed?</w:t>
      </w:r>
      <w:bookmarkEnd w:id="6"/>
      <w:bookmarkEnd w:id="7"/>
    </w:p>
    <w:p w14:paraId="25A8A173" w14:textId="2C2EB9C4" w:rsidR="00F31A77" w:rsidRDefault="00190F47" w:rsidP="00190F47">
      <w:pPr>
        <w:pStyle w:val="BodyText"/>
      </w:pPr>
      <w:r w:rsidRPr="00937F96">
        <w:t xml:space="preserve">There is little precedent </w:t>
      </w:r>
      <w:r w:rsidR="00846BEA">
        <w:t xml:space="preserve">here </w:t>
      </w:r>
      <w:r w:rsidRPr="00937F96">
        <w:t>(</w:t>
      </w:r>
      <w:r w:rsidR="00846BEA">
        <w:t xml:space="preserve">and </w:t>
      </w:r>
      <w:r w:rsidRPr="00937F96">
        <w:t xml:space="preserve">internationally) for </w:t>
      </w:r>
      <w:r>
        <w:t xml:space="preserve">reviewing the competitiveness and efficiency of </w:t>
      </w:r>
      <w:r w:rsidR="00846BEA">
        <w:t>a superannuation or pension system i</w:t>
      </w:r>
      <w:r>
        <w:t xml:space="preserve">n its totality. </w:t>
      </w:r>
      <w:r w:rsidRPr="00937F96">
        <w:t xml:space="preserve">The broader efficiency and </w:t>
      </w:r>
      <w:r w:rsidRPr="00C8244F">
        <w:t>system-wide</w:t>
      </w:r>
      <w:r w:rsidRPr="00937F96">
        <w:t xml:space="preserve"> perspectives are both unique and make this a challenging task</w:t>
      </w:r>
      <w:r>
        <w:t xml:space="preserve">. </w:t>
      </w:r>
    </w:p>
    <w:p w14:paraId="2545E770" w14:textId="69E24A6A" w:rsidR="00EA3755" w:rsidRPr="00FE46E6" w:rsidRDefault="00E53A23" w:rsidP="00F92A2C">
      <w:pPr>
        <w:pStyle w:val="BodyText"/>
      </w:pPr>
      <w:r>
        <w:t xml:space="preserve">In its stage 1 </w:t>
      </w:r>
      <w:r w:rsidR="00191DD2">
        <w:t>S</w:t>
      </w:r>
      <w:r w:rsidR="00147103">
        <w:t xml:space="preserve">tudy, </w:t>
      </w:r>
      <w:r>
        <w:t xml:space="preserve">the Commission consulted extensively with </w:t>
      </w:r>
      <w:r w:rsidR="00147103">
        <w:t xml:space="preserve">participants </w:t>
      </w:r>
      <w:r>
        <w:t>on the development of an assessment framework to be applied</w:t>
      </w:r>
      <w:r w:rsidR="00942FD7">
        <w:t>, including through meetings, submissions and roundtables.</w:t>
      </w:r>
      <w:r w:rsidR="007F6F88">
        <w:t xml:space="preserve"> </w:t>
      </w:r>
      <w:r w:rsidR="007F6F88" w:rsidRPr="00F92A2C">
        <w:rPr>
          <w:rStyle w:val="BodyTextChar"/>
        </w:rPr>
        <w:t>The resultant framework was broadly supported by participants</w:t>
      </w:r>
      <w:r w:rsidR="00C935CF">
        <w:rPr>
          <w:rStyle w:val="BodyTextChar"/>
        </w:rPr>
        <w:t xml:space="preserve"> and international observers</w:t>
      </w:r>
      <w:r w:rsidR="007F6F88" w:rsidRPr="00F92A2C">
        <w:rPr>
          <w:rStyle w:val="BodyTextChar"/>
        </w:rPr>
        <w:t xml:space="preserve">. </w:t>
      </w:r>
      <w:r w:rsidRPr="00F92A2C">
        <w:rPr>
          <w:rStyle w:val="BodyTextChar"/>
        </w:rPr>
        <w:t xml:space="preserve"> </w:t>
      </w:r>
    </w:p>
    <w:p w14:paraId="04F50B5D" w14:textId="621715B1" w:rsidR="00F739B2" w:rsidRPr="00F052DC" w:rsidRDefault="00EA3755" w:rsidP="003D41F5">
      <w:pPr>
        <w:pStyle w:val="Quote"/>
        <w:rPr>
          <w:szCs w:val="22"/>
        </w:rPr>
      </w:pPr>
      <w:r>
        <w:lastRenderedPageBreak/>
        <w:t>The Australian Productivity Commission is to be commended for its work in thinking through the proper goals of a pension system and how goal achievement should be benchmarked … its work is not only relevant in Australia, but in other countries with developed pension systems as well …</w:t>
      </w:r>
      <w:r w:rsidR="00D72F43">
        <w:t xml:space="preserve"> </w:t>
      </w:r>
      <w:r w:rsidR="00191DD2" w:rsidRPr="00191DD2">
        <w:rPr>
          <w:sz w:val="24"/>
          <w:szCs w:val="24"/>
        </w:rPr>
        <w:t>(Ambachtsheer 2017, p. 4)</w:t>
      </w:r>
    </w:p>
    <w:p w14:paraId="1519A85B" w14:textId="1E745423" w:rsidR="00190F47" w:rsidRDefault="00190F47" w:rsidP="00190F47">
      <w:pPr>
        <w:pStyle w:val="BodyText"/>
      </w:pPr>
      <w:r>
        <w:t xml:space="preserve">This section provides a brief recap of the </w:t>
      </w:r>
      <w:r w:rsidR="00E53A23">
        <w:t xml:space="preserve">key elements of the </w:t>
      </w:r>
      <w:r>
        <w:t xml:space="preserve">assessment framework </w:t>
      </w:r>
      <w:r w:rsidR="00F31A77">
        <w:t xml:space="preserve">that </w:t>
      </w:r>
      <w:r>
        <w:t xml:space="preserve">will </w:t>
      </w:r>
      <w:r w:rsidR="00F31A77">
        <w:t xml:space="preserve">be applied </w:t>
      </w:r>
      <w:r w:rsidR="00E53A23">
        <w:t xml:space="preserve">by the Commission </w:t>
      </w:r>
      <w:r w:rsidR="00F31A77">
        <w:t xml:space="preserve">in </w:t>
      </w:r>
      <w:r w:rsidR="00942FD7">
        <w:t>th</w:t>
      </w:r>
      <w:r w:rsidR="00C935CF">
        <w:t>e current</w:t>
      </w:r>
      <w:r w:rsidR="00942FD7">
        <w:t xml:space="preserve"> </w:t>
      </w:r>
      <w:r w:rsidR="00147103">
        <w:t>(</w:t>
      </w:r>
      <w:r w:rsidR="00942FD7">
        <w:t>stage 3</w:t>
      </w:r>
      <w:r w:rsidR="00147103">
        <w:t>)</w:t>
      </w:r>
      <w:r w:rsidR="00E53A23">
        <w:t xml:space="preserve"> </w:t>
      </w:r>
      <w:r w:rsidR="00147103">
        <w:t>Inquiry</w:t>
      </w:r>
      <w:r>
        <w:t xml:space="preserve">. </w:t>
      </w:r>
      <w:r w:rsidR="00E53A23">
        <w:t>For further</w:t>
      </w:r>
      <w:r>
        <w:t xml:space="preserve"> details on how this framework was developed</w:t>
      </w:r>
      <w:r w:rsidR="00E53A23">
        <w:t>, participants should refer to</w:t>
      </w:r>
      <w:r>
        <w:t xml:space="preserve"> the stage 1 report</w:t>
      </w:r>
      <w:r w:rsidR="000D571B">
        <w:t>:</w:t>
      </w:r>
      <w:r w:rsidR="00147103">
        <w:t xml:space="preserve"> </w:t>
      </w:r>
      <w:r w:rsidR="000D571B" w:rsidRPr="000D571B">
        <w:t>http://www.pc.gov.au/inquiries/current/superannuation/competitiveness-efficiency#report</w:t>
      </w:r>
      <w:r>
        <w:t xml:space="preserve">.  </w:t>
      </w:r>
    </w:p>
    <w:p w14:paraId="1871BF5C" w14:textId="75A694A4" w:rsidR="00FE16FE" w:rsidRDefault="00FE16FE" w:rsidP="00DD4355">
      <w:pPr>
        <w:pStyle w:val="Heading3"/>
        <w:spacing w:after="240"/>
      </w:pPr>
      <w:r>
        <w:t>What is the system?</w:t>
      </w:r>
    </w:p>
    <w:p w14:paraId="432E2B1D" w14:textId="578E021E" w:rsidR="00660BE5" w:rsidRDefault="0053156B" w:rsidP="00190F47">
      <w:pPr>
        <w:pStyle w:val="BodyText"/>
      </w:pPr>
      <w:r>
        <w:t>T</w:t>
      </w:r>
      <w:r w:rsidR="00AE59DD">
        <w:t xml:space="preserve">he </w:t>
      </w:r>
      <w:r w:rsidR="00660BE5">
        <w:t xml:space="preserve">superannuation </w:t>
      </w:r>
      <w:r w:rsidR="00AE59DD" w:rsidRPr="00E23476">
        <w:t xml:space="preserve">system is bigger than just the superannuation funds (the industry). It encompasses </w:t>
      </w:r>
      <w:r w:rsidR="00660BE5">
        <w:rPr>
          <w:sz w:val="23"/>
          <w:szCs w:val="23"/>
        </w:rPr>
        <w:t>many horizontal and vertical relationships on the supply side</w:t>
      </w:r>
      <w:r w:rsidR="00185ACF">
        <w:rPr>
          <w:sz w:val="23"/>
          <w:szCs w:val="23"/>
        </w:rPr>
        <w:t xml:space="preserve"> at the wholesale and retail levels</w:t>
      </w:r>
      <w:r w:rsidR="00660BE5">
        <w:rPr>
          <w:sz w:val="23"/>
          <w:szCs w:val="23"/>
        </w:rPr>
        <w:t xml:space="preserve">, </w:t>
      </w:r>
      <w:r w:rsidR="00F31A77">
        <w:rPr>
          <w:sz w:val="23"/>
          <w:szCs w:val="23"/>
        </w:rPr>
        <w:t xml:space="preserve">the </w:t>
      </w:r>
      <w:r w:rsidR="00660BE5">
        <w:rPr>
          <w:sz w:val="23"/>
          <w:szCs w:val="23"/>
        </w:rPr>
        <w:t>decisions of members and their intermediaries on the demand side</w:t>
      </w:r>
      <w:r w:rsidR="002E240C">
        <w:rPr>
          <w:sz w:val="23"/>
          <w:szCs w:val="23"/>
        </w:rPr>
        <w:t xml:space="preserve"> (over the phases of superannuation)</w:t>
      </w:r>
      <w:r w:rsidR="00660BE5">
        <w:rPr>
          <w:sz w:val="23"/>
          <w:szCs w:val="23"/>
        </w:rPr>
        <w:t xml:space="preserve">, and </w:t>
      </w:r>
      <w:r w:rsidR="00F31A77">
        <w:rPr>
          <w:sz w:val="23"/>
          <w:szCs w:val="23"/>
        </w:rPr>
        <w:t xml:space="preserve">the </w:t>
      </w:r>
      <w:r w:rsidR="00660BE5">
        <w:rPr>
          <w:sz w:val="23"/>
          <w:szCs w:val="23"/>
        </w:rPr>
        <w:t xml:space="preserve">actions of regulators on both the supply and demand sides </w:t>
      </w:r>
      <w:r w:rsidR="00AE59DD">
        <w:t xml:space="preserve">(figure </w:t>
      </w:r>
      <w:r w:rsidR="00FC4F2F">
        <w:t>3</w:t>
      </w:r>
      <w:r w:rsidR="00AE59DD">
        <w:t>)</w:t>
      </w:r>
      <w:r w:rsidR="009F3DA6">
        <w:t>.</w:t>
      </w:r>
    </w:p>
    <w:p w14:paraId="75C7CBD1" w14:textId="396A8F75" w:rsidR="009F3DA6" w:rsidRDefault="00046DBF" w:rsidP="009F3DA6">
      <w:pPr>
        <w:pStyle w:val="BodyText"/>
      </w:pPr>
      <w:r>
        <w:t xml:space="preserve">Three </w:t>
      </w:r>
      <w:r w:rsidR="009F3DA6">
        <w:t>matters are important to reiterate. First, the Commission’s focus will not be on comparing and ranking the performance of individual products or funds. The task is a system-wide assessment. The Commission’s analysis will, at times, examine the performance of specific segments of the superannuation system — such as the default, self</w:t>
      </w:r>
      <w:r w:rsidR="007C5B85">
        <w:noBreakHyphen/>
      </w:r>
      <w:r w:rsidR="009F3DA6">
        <w:t xml:space="preserve">managed superannuation fund (SMSF) and retirement segments — but only where this will meaningfully inform the system-wide analysis. </w:t>
      </w:r>
    </w:p>
    <w:p w14:paraId="6523460B" w14:textId="2C518780" w:rsidR="00046DBF" w:rsidRDefault="009F3DA6" w:rsidP="009F3DA6">
      <w:pPr>
        <w:pStyle w:val="BodyText"/>
      </w:pPr>
      <w:r>
        <w:t xml:space="preserve">Second, this review will examine </w:t>
      </w:r>
      <w:r w:rsidR="0053156B">
        <w:t xml:space="preserve">all components </w:t>
      </w:r>
      <w:r>
        <w:t>of the superannuation system, not just the superannuation fund (trustee) level. This includes</w:t>
      </w:r>
      <w:r w:rsidR="00C935CF">
        <w:t xml:space="preserve"> not only</w:t>
      </w:r>
      <w:r>
        <w:t xml:space="preserve"> service providers at the upstream (wholesale level), </w:t>
      </w:r>
      <w:r w:rsidR="00C935CF">
        <w:t>but importantly</w:t>
      </w:r>
      <w:r>
        <w:t xml:space="preserve"> the activities and influences of members, employers and regulators. However, examination of these other parts of the system will be undertaken </w:t>
      </w:r>
      <w:r w:rsidR="00147103">
        <w:t>where this is materially relevant</w:t>
      </w:r>
      <w:r>
        <w:t xml:space="preserve"> — that is, specific issues will be examined if there is evidence of potential problems which have a bearing on the competitiveness and efficiency of the system. Thus, broad participation in this </w:t>
      </w:r>
      <w:r w:rsidR="00191DD2">
        <w:t>I</w:t>
      </w:r>
      <w:r>
        <w:t xml:space="preserve">nquiry </w:t>
      </w:r>
      <w:r w:rsidR="008C2EB2">
        <w:t>by</w:t>
      </w:r>
      <w:r>
        <w:t xml:space="preserve"> a variety of </w:t>
      </w:r>
      <w:r w:rsidR="00147103">
        <w:t xml:space="preserve">participants </w:t>
      </w:r>
      <w:r>
        <w:t>is very important.</w:t>
      </w:r>
    </w:p>
    <w:p w14:paraId="704D186B" w14:textId="4EB0AC60" w:rsidR="00B41300" w:rsidRDefault="00046DBF">
      <w:pPr>
        <w:pStyle w:val="BodyText"/>
      </w:pPr>
      <w:r>
        <w:t xml:space="preserve">Third, and most importantly, notwithstanding the broad and complex nature of the superannuation system and the </w:t>
      </w:r>
      <w:r w:rsidR="00147103">
        <w:t xml:space="preserve">many </w:t>
      </w:r>
      <w:r>
        <w:t xml:space="preserve">participants within it, the Commission’s </w:t>
      </w:r>
      <w:r w:rsidR="00C60902">
        <w:t>overriding</w:t>
      </w:r>
      <w:r>
        <w:t xml:space="preserve"> focus will be on the outcomes for members.</w:t>
      </w:r>
      <w:r w:rsidR="00163C3E">
        <w:t xml:space="preserve"> This will be the guiding principle for the assessment and any policy recommendations that arise out of this </w:t>
      </w:r>
      <w:r w:rsidR="00437EF4">
        <w:t>I</w:t>
      </w:r>
      <w:r w:rsidR="00163C3E">
        <w:t>nquiry.</w:t>
      </w:r>
    </w:p>
    <w:p w14:paraId="17AD8A9F" w14:textId="77777777" w:rsidR="00B41300" w:rsidRDefault="00B41300">
      <w:pPr>
        <w:pStyle w:val="BodyText"/>
      </w:pPr>
    </w:p>
    <w:p w14:paraId="58AEBE73" w14:textId="77777777" w:rsidR="00B41300" w:rsidRDefault="00B41300">
      <w:pPr>
        <w:pStyle w:val="BodyText"/>
        <w:sectPr w:rsidR="00B41300" w:rsidSect="00A46746">
          <w:headerReference w:type="even" r:id="rId25"/>
          <w:headerReference w:type="default" r:id="rId26"/>
          <w:footerReference w:type="even" r:id="rId27"/>
          <w:footerReference w:type="default" r:id="rId28"/>
          <w:pgSz w:w="11907" w:h="16840" w:code="9"/>
          <w:pgMar w:top="1985" w:right="1304" w:bottom="1418" w:left="1814" w:header="1701" w:footer="567" w:gutter="0"/>
          <w:pgNumType w:start="1" w:chapSep="period"/>
          <w:cols w:space="720"/>
        </w:sectPr>
      </w:pPr>
    </w:p>
    <w:p w14:paraId="42CD2C1A" w14:textId="77777777" w:rsidR="00B41300" w:rsidRDefault="00B41300">
      <w:pPr>
        <w:pStyle w:val="BodyText"/>
      </w:pPr>
    </w:p>
    <w:tbl>
      <w:tblPr>
        <w:tblW w:w="5027"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13888"/>
      </w:tblGrid>
      <w:tr w:rsidR="00B41300" w14:paraId="60FCB950" w14:textId="77777777" w:rsidTr="00FD73D5">
        <w:trPr>
          <w:trHeight w:val="511"/>
          <w:tblHeader/>
        </w:trPr>
        <w:tc>
          <w:tcPr>
            <w:tcW w:w="5000" w:type="pct"/>
            <w:tcBorders>
              <w:top w:val="single" w:sz="6" w:space="0" w:color="78A22F"/>
              <w:left w:val="nil"/>
              <w:bottom w:val="nil"/>
              <w:right w:val="nil"/>
            </w:tcBorders>
            <w:shd w:val="clear" w:color="auto" w:fill="auto"/>
          </w:tcPr>
          <w:p w14:paraId="4DB2D75C" w14:textId="77777777" w:rsidR="00B41300" w:rsidRPr="00176D3F" w:rsidRDefault="00B41300" w:rsidP="00FD73D5">
            <w:pPr>
              <w:pStyle w:val="FigureTitle"/>
            </w:pPr>
            <w:r w:rsidRPr="00784A05">
              <w:rPr>
                <w:b w:val="0"/>
              </w:rPr>
              <w:t xml:space="preserve">Figure </w:t>
            </w:r>
            <w:r>
              <w:rPr>
                <w:b w:val="0"/>
              </w:rPr>
              <w:t>3</w:t>
            </w:r>
            <w:r>
              <w:tab/>
              <w:t>The superannuation system</w:t>
            </w:r>
            <w:r w:rsidRPr="00635E4F">
              <w:rPr>
                <w:rStyle w:val="NoteLabel"/>
                <w:b/>
              </w:rPr>
              <w:t>a,b</w:t>
            </w:r>
            <w:r>
              <w:rPr>
                <w:rStyle w:val="NoteLabel"/>
                <w:b/>
              </w:rPr>
              <w:t>,c</w:t>
            </w:r>
            <w:r>
              <w:t xml:space="preserve"> </w:t>
            </w:r>
          </w:p>
        </w:tc>
      </w:tr>
      <w:tr w:rsidR="00B41300" w14:paraId="7BA1120A" w14:textId="77777777" w:rsidTr="00FD73D5">
        <w:trPr>
          <w:trHeight w:val="5527"/>
        </w:trPr>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13604"/>
            </w:tblGrid>
            <w:tr w:rsidR="00B41300" w:rsidRPr="00B1465D" w14:paraId="699319B1" w14:textId="77777777" w:rsidTr="00FD73D5">
              <w:trPr>
                <w:trHeight w:val="5099"/>
                <w:tblHeader/>
                <w:jc w:val="center"/>
              </w:trPr>
              <w:tc>
                <w:tcPr>
                  <w:tcW w:w="5000" w:type="pct"/>
                  <w:tcBorders>
                    <w:top w:val="nil"/>
                    <w:bottom w:val="nil"/>
                  </w:tcBorders>
                </w:tcPr>
                <w:p w14:paraId="5A5E2A8C" w14:textId="77777777" w:rsidR="00B41300" w:rsidRPr="00B1465D" w:rsidRDefault="00B41300" w:rsidP="00FD73D5">
                  <w:pPr>
                    <w:pStyle w:val="Figure"/>
                    <w:spacing w:before="60" w:after="60"/>
                    <w:rPr>
                      <w:rFonts w:ascii="Arial" w:hAnsi="Arial" w:cs="Arial"/>
                      <w:sz w:val="18"/>
                      <w:szCs w:val="18"/>
                    </w:rPr>
                  </w:pPr>
                  <w:r w:rsidRPr="00D8435A">
                    <w:rPr>
                      <w:rFonts w:ascii="Arial" w:hAnsi="Arial" w:cs="Arial"/>
                      <w:noProof/>
                      <w:sz w:val="18"/>
                      <w:szCs w:val="18"/>
                    </w:rPr>
                    <w:drawing>
                      <wp:inline distT="0" distB="0" distL="0" distR="0" wp14:anchorId="53761754" wp14:editId="37E0732F">
                        <wp:extent cx="8638540" cy="3435927"/>
                        <wp:effectExtent l="0" t="0" r="0" b="0"/>
                        <wp:docPr id="3" name="Picture 3" descr="This flow chart provides a general overview of the participants in the superannuation system and how they interact with one another. The system is divided into a retail level on the left and a wholesale level on the right. The retail level involves the trustees at the top, regulated by APRA the ATO or other legislation, and the superannuation funds they manage. These include public sector, industry, corporate, retail, small APRA and self managed superannuation funds. Employers and members contribute to these funds and members receive retirement benefits in return. The wholesale level includes the financial services market and other providers which provide services to trustees. These services can be run internally (by the trustee) or externally. Services can generally be divided into administration and investment services. Sitting above both the retail and wholesale levels are the regulators which regulate the superannuation system in one way or another." title="The superannuation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53449" cy="3441857"/>
                                </a:xfrm>
                                <a:prstGeom prst="rect">
                                  <a:avLst/>
                                </a:prstGeom>
                                <a:noFill/>
                                <a:ln>
                                  <a:noFill/>
                                </a:ln>
                              </pic:spPr>
                            </pic:pic>
                          </a:graphicData>
                        </a:graphic>
                      </wp:inline>
                    </w:drawing>
                  </w:r>
                </w:p>
              </w:tc>
            </w:tr>
          </w:tbl>
          <w:p w14:paraId="4B4D9D87" w14:textId="77777777" w:rsidR="00B41300" w:rsidRDefault="00B41300" w:rsidP="00FD73D5">
            <w:pPr>
              <w:pStyle w:val="Figure"/>
            </w:pPr>
          </w:p>
        </w:tc>
      </w:tr>
      <w:tr w:rsidR="00B41300" w14:paraId="4FD7E10D" w14:textId="77777777" w:rsidTr="00FD73D5">
        <w:trPr>
          <w:trHeight w:val="594"/>
        </w:trPr>
        <w:tc>
          <w:tcPr>
            <w:tcW w:w="5000" w:type="pct"/>
            <w:tcBorders>
              <w:top w:val="nil"/>
              <w:left w:val="nil"/>
              <w:bottom w:val="single" w:sz="6" w:space="0" w:color="78A22F"/>
              <w:right w:val="nil"/>
            </w:tcBorders>
            <w:shd w:val="clear" w:color="auto" w:fill="auto"/>
          </w:tcPr>
          <w:p w14:paraId="6D3E0D34" w14:textId="77777777" w:rsidR="00B41300" w:rsidRDefault="00B41300" w:rsidP="00FD73D5">
            <w:pPr>
              <w:pStyle w:val="Note"/>
            </w:pPr>
            <w:r w:rsidRPr="00635E4F">
              <w:rPr>
                <w:rStyle w:val="NoteLabel"/>
              </w:rPr>
              <w:t>a</w:t>
            </w:r>
            <w:r w:rsidRPr="00635E4F">
              <w:t xml:space="preserve"> Numbers in brackets denote number of trustees or superannuation funds as reported by APRA as at </w:t>
            </w:r>
            <w:r>
              <w:t xml:space="preserve">March </w:t>
            </w:r>
            <w:r w:rsidRPr="00635E4F">
              <w:t>201</w:t>
            </w:r>
            <w:r>
              <w:t>7</w:t>
            </w:r>
            <w:r w:rsidRPr="00635E4F">
              <w:t xml:space="preserve">. </w:t>
            </w:r>
            <w:r w:rsidRPr="00635E4F">
              <w:rPr>
                <w:rStyle w:val="NoteLabel"/>
              </w:rPr>
              <w:t>b</w:t>
            </w:r>
            <w:r w:rsidRPr="00635E4F">
              <w:t xml:space="preserve"> RSEs are Registrable Superannuation Entities; EPSSSs are exempt public sector superannuation schemes; and SMSFs are self</w:t>
            </w:r>
            <w:r>
              <w:t>-</w:t>
            </w:r>
            <w:r w:rsidRPr="00635E4F">
              <w:t xml:space="preserve">managed superannuation funds. </w:t>
            </w:r>
            <w:r w:rsidRPr="00635E4F">
              <w:rPr>
                <w:rStyle w:val="NoteLabel"/>
              </w:rPr>
              <w:t>c</w:t>
            </w:r>
            <w:r w:rsidRPr="00635E4F">
              <w:t xml:space="preserve"> Small APRA funds includes pooled superannuation trusts and single member approved deposit funds for the purposes of this figure</w:t>
            </w:r>
            <w:r>
              <w:t xml:space="preserve"> </w:t>
            </w:r>
          </w:p>
          <w:p w14:paraId="008D8299" w14:textId="0176A22B" w:rsidR="00B41300" w:rsidRDefault="00B41300" w:rsidP="00FD73D5">
            <w:pPr>
              <w:pStyle w:val="Note"/>
            </w:pPr>
            <w:r>
              <w:rPr>
                <w:i/>
              </w:rPr>
              <w:t>Data s</w:t>
            </w:r>
            <w:r w:rsidRPr="00C66C35">
              <w:rPr>
                <w:i/>
              </w:rPr>
              <w:t>ource</w:t>
            </w:r>
            <w:r>
              <w:t xml:space="preserve">: APRA </w:t>
            </w:r>
            <w:r w:rsidRPr="00C66C35">
              <w:rPr>
                <w:rFonts w:cs="Arial"/>
              </w:rPr>
              <w:t>(2017)</w:t>
            </w:r>
            <w:r w:rsidRPr="00635E4F">
              <w:t>.</w:t>
            </w:r>
            <w:r>
              <w:t xml:space="preserve"> </w:t>
            </w:r>
          </w:p>
        </w:tc>
      </w:tr>
      <w:tr w:rsidR="00B41300" w:rsidRPr="000863A5" w14:paraId="143BC15F" w14:textId="77777777" w:rsidTr="00FD73D5">
        <w:trPr>
          <w:trHeight w:val="216"/>
        </w:trPr>
        <w:tc>
          <w:tcPr>
            <w:tcW w:w="5000" w:type="pct"/>
            <w:tcBorders>
              <w:top w:val="single" w:sz="6" w:space="0" w:color="78A22F"/>
              <w:left w:val="nil"/>
              <w:bottom w:val="nil"/>
              <w:right w:val="nil"/>
            </w:tcBorders>
          </w:tcPr>
          <w:p w14:paraId="27E195C7" w14:textId="5AF62732" w:rsidR="00B41300" w:rsidRPr="00626D32" w:rsidRDefault="00B41300" w:rsidP="00FD73D5">
            <w:pPr>
              <w:pStyle w:val="BoxSpaceBelow"/>
            </w:pPr>
          </w:p>
        </w:tc>
      </w:tr>
    </w:tbl>
    <w:p w14:paraId="5421B19E" w14:textId="77777777" w:rsidR="00B41300" w:rsidRDefault="00B41300">
      <w:pPr>
        <w:pStyle w:val="BodyText"/>
        <w:sectPr w:rsidR="00B41300">
          <w:headerReference w:type="even" r:id="rId30"/>
          <w:headerReference w:type="default" r:id="rId31"/>
          <w:footerReference w:type="even" r:id="rId32"/>
          <w:footerReference w:type="default" r:id="rId33"/>
          <w:pgSz w:w="16840" w:h="11907" w:orient="landscape" w:code="9"/>
          <w:pgMar w:top="1814" w:right="1985" w:bottom="1304" w:left="1418" w:header="1701" w:footer="567" w:gutter="0"/>
          <w:pgNumType w:chapSep="period"/>
          <w:cols w:space="720"/>
        </w:sectPr>
      </w:pPr>
    </w:p>
    <w:p w14:paraId="1D991273" w14:textId="319708CE" w:rsidR="002E240C" w:rsidRDefault="007B54A3" w:rsidP="007A6749">
      <w:pPr>
        <w:pStyle w:val="Heading4"/>
        <w:spacing w:before="240"/>
      </w:pPr>
      <w:r>
        <w:lastRenderedPageBreak/>
        <w:t xml:space="preserve">How will this </w:t>
      </w:r>
      <w:r w:rsidR="00FF0DDA">
        <w:t>I</w:t>
      </w:r>
      <w:r>
        <w:t>nquiry interact with</w:t>
      </w:r>
      <w:r w:rsidR="00147103">
        <w:t xml:space="preserve"> the </w:t>
      </w:r>
      <w:r w:rsidR="00FF0DDA">
        <w:t>I</w:t>
      </w:r>
      <w:r w:rsidR="00147103">
        <w:t>nquiry on</w:t>
      </w:r>
      <w:r>
        <w:t xml:space="preserve"> </w:t>
      </w:r>
      <w:r w:rsidR="00FF0DDA">
        <w:t>C</w:t>
      </w:r>
      <w:r>
        <w:t>ompetition in</w:t>
      </w:r>
      <w:r w:rsidR="00FF0DDA">
        <w:t xml:space="preserve"> the</w:t>
      </w:r>
      <w:r>
        <w:t xml:space="preserve"> </w:t>
      </w:r>
      <w:r w:rsidR="00FF0DDA">
        <w:t>Australian</w:t>
      </w:r>
      <w:r w:rsidR="00437EF4">
        <w:t xml:space="preserve"> </w:t>
      </w:r>
      <w:r w:rsidR="00FF0DDA">
        <w:t>Financial S</w:t>
      </w:r>
      <w:r>
        <w:t xml:space="preserve">ystem? </w:t>
      </w:r>
    </w:p>
    <w:p w14:paraId="1B874149" w14:textId="34EE32CF" w:rsidR="00E627B6" w:rsidRDefault="002E240C" w:rsidP="007C1C98">
      <w:pPr>
        <w:pStyle w:val="BodyText"/>
      </w:pPr>
      <w:r>
        <w:t xml:space="preserve">Separate to this </w:t>
      </w:r>
      <w:r w:rsidR="00AE1C7F">
        <w:t>I</w:t>
      </w:r>
      <w:r>
        <w:t xml:space="preserve">nquiry, the Commission has been asked to undertake an </w:t>
      </w:r>
      <w:r w:rsidR="00AE1C7F">
        <w:t>I</w:t>
      </w:r>
      <w:r>
        <w:t xml:space="preserve">nquiry into </w:t>
      </w:r>
      <w:r w:rsidR="00D94037">
        <w:t>C</w:t>
      </w:r>
      <w:r>
        <w:t>ompetition in</w:t>
      </w:r>
      <w:r w:rsidR="00FF0DDA">
        <w:t xml:space="preserve"> the</w:t>
      </w:r>
      <w:r>
        <w:t xml:space="preserve"> Australia</w:t>
      </w:r>
      <w:r w:rsidR="00FF0DDA">
        <w:t>n</w:t>
      </w:r>
      <w:r>
        <w:t xml:space="preserve"> </w:t>
      </w:r>
      <w:r w:rsidR="00D94037">
        <w:t>Financial S</w:t>
      </w:r>
      <w:r>
        <w:t>ystem.</w:t>
      </w:r>
      <w:r w:rsidR="00E627B6">
        <w:t xml:space="preserve"> </w:t>
      </w:r>
      <w:r>
        <w:t>This</w:t>
      </w:r>
      <w:r w:rsidR="00C935CF">
        <w:t xml:space="preserve"> distinct</w:t>
      </w:r>
      <w:r>
        <w:t xml:space="preserve"> 12</w:t>
      </w:r>
      <w:r w:rsidR="00BF4D73">
        <w:t>-</w:t>
      </w:r>
      <w:r>
        <w:t xml:space="preserve">month Inquiry </w:t>
      </w:r>
      <w:r w:rsidR="00C935CF">
        <w:t>also</w:t>
      </w:r>
      <w:r>
        <w:t xml:space="preserve"> commence</w:t>
      </w:r>
      <w:r w:rsidR="00C935CF">
        <w:t>d</w:t>
      </w:r>
      <w:r>
        <w:t xml:space="preserve"> on 1 July 2017 </w:t>
      </w:r>
      <w:r w:rsidR="00E627B6">
        <w:t xml:space="preserve">and </w:t>
      </w:r>
      <w:r>
        <w:t xml:space="preserve">will run </w:t>
      </w:r>
      <w:r w:rsidR="00D4771C">
        <w:t>concurrently</w:t>
      </w:r>
      <w:r>
        <w:t xml:space="preserve"> </w:t>
      </w:r>
      <w:r w:rsidR="00140B2F">
        <w:t xml:space="preserve">with </w:t>
      </w:r>
      <w:r>
        <w:t xml:space="preserve">the Commission’s review of the </w:t>
      </w:r>
      <w:r w:rsidR="00D4771C">
        <w:t xml:space="preserve">superannuation system. </w:t>
      </w:r>
    </w:p>
    <w:p w14:paraId="7B6346B1" w14:textId="646F11FC" w:rsidR="009014AB" w:rsidRDefault="00BC7711" w:rsidP="007C1C98">
      <w:pPr>
        <w:pStyle w:val="BodyText"/>
      </w:pPr>
      <w:r>
        <w:t xml:space="preserve">The Commission recognises </w:t>
      </w:r>
      <w:r w:rsidR="00147103">
        <w:t>the</w:t>
      </w:r>
      <w:r>
        <w:t xml:space="preserve"> various linkages between the superannuation system and the financial system</w:t>
      </w:r>
      <w:r w:rsidR="00A47BB9">
        <w:t xml:space="preserve"> — a</w:t>
      </w:r>
      <w:r w:rsidR="00AA5382">
        <w:t xml:space="preserve">s </w:t>
      </w:r>
      <w:r w:rsidR="00A80CC1">
        <w:t xml:space="preserve">superannuation matures </w:t>
      </w:r>
      <w:r w:rsidR="009014AB">
        <w:t xml:space="preserve">further </w:t>
      </w:r>
      <w:r w:rsidR="00A80CC1">
        <w:t xml:space="preserve">it will continue to increase in relative importance </w:t>
      </w:r>
      <w:r w:rsidR="00147103">
        <w:t>in</w:t>
      </w:r>
      <w:r w:rsidR="00A80CC1">
        <w:t xml:space="preserve"> the broader financial system. </w:t>
      </w:r>
      <w:r w:rsidR="00AA5382">
        <w:t>In developing the assessment framework in stage 1</w:t>
      </w:r>
      <w:r w:rsidR="009014AB">
        <w:t xml:space="preserve">, </w:t>
      </w:r>
      <w:r w:rsidR="00AA5382">
        <w:t xml:space="preserve">the Commission was cognisant </w:t>
      </w:r>
      <w:r w:rsidR="009014AB">
        <w:t>to consider if (and how) the</w:t>
      </w:r>
      <w:r w:rsidR="00A47BB9">
        <w:t>se</w:t>
      </w:r>
      <w:r w:rsidR="009014AB">
        <w:t xml:space="preserve"> linkages </w:t>
      </w:r>
      <w:r w:rsidR="009014AB" w:rsidRPr="009014AB">
        <w:t xml:space="preserve">could impact the competitiveness and efficiency </w:t>
      </w:r>
      <w:r w:rsidR="009014AB" w:rsidRPr="00FF0DDA">
        <w:t>of the superannuation system</w:t>
      </w:r>
      <w:r w:rsidR="009014AB">
        <w:t xml:space="preserve">. </w:t>
      </w:r>
      <w:r w:rsidR="00E36605">
        <w:t xml:space="preserve">This is reflected in aspects of the Commission’s assessment framework. </w:t>
      </w:r>
      <w:r w:rsidR="001A1F74">
        <w:t>For example, the efficiency assessment will include consideration of whether there are systemic risks in the superannuation system (</w:t>
      </w:r>
      <w:r w:rsidR="00437EF4">
        <w:t>which</w:t>
      </w:r>
      <w:r w:rsidR="001A1F74">
        <w:t xml:space="preserve"> could have implications for broader financial </w:t>
      </w:r>
      <w:r w:rsidR="00F508CC">
        <w:t xml:space="preserve">system </w:t>
      </w:r>
      <w:r w:rsidR="001A1F74">
        <w:t xml:space="preserve">stability), while the competition assessment will consider the impact of vertical and horizontal integration in the superannuation system, and the nature and extent of competition in upstream service provider markets used by superannuation funds.  </w:t>
      </w:r>
    </w:p>
    <w:p w14:paraId="47DC346D" w14:textId="21340A99" w:rsidR="000F71EA" w:rsidRDefault="00071CAD" w:rsidP="001A6C01">
      <w:pPr>
        <w:pStyle w:val="BodyText"/>
      </w:pPr>
      <w:r>
        <w:t>The Commission’s review of the superannuation system will be undertaken separately and in parallel to the inquiry into competition in Australia’s financial system. The respective Inquiry teams within the Commission will collaborate to  avoid duplication of analysis or reporting.</w:t>
      </w:r>
      <w:r w:rsidR="000F71EA">
        <w:t xml:space="preserve"> </w:t>
      </w:r>
    </w:p>
    <w:p w14:paraId="408E3E25" w14:textId="2653DBCB" w:rsidR="00C94642" w:rsidRDefault="00C94642" w:rsidP="00C94642">
      <w:pPr>
        <w:pStyle w:val="Heading3"/>
      </w:pPr>
      <w:r>
        <w:t xml:space="preserve">The Commission’s </w:t>
      </w:r>
      <w:r w:rsidR="002C157D">
        <w:t xml:space="preserve">assessment </w:t>
      </w:r>
      <w:r>
        <w:t xml:space="preserve">approach </w:t>
      </w:r>
    </w:p>
    <w:p w14:paraId="6CFDD80E" w14:textId="19E98963" w:rsidR="00F136A6" w:rsidRDefault="008310AD" w:rsidP="00F136A6">
      <w:pPr>
        <w:pStyle w:val="BodyText"/>
      </w:pPr>
      <w:r>
        <w:t>The Commission’s approach to assess</w:t>
      </w:r>
      <w:r w:rsidR="001B1543">
        <w:t>ing the superannuation system</w:t>
      </w:r>
      <w:r>
        <w:t xml:space="preserve"> </w:t>
      </w:r>
      <w:r w:rsidR="00124C0B">
        <w:t>developed</w:t>
      </w:r>
      <w:r>
        <w:t xml:space="preserve"> in </w:t>
      </w:r>
      <w:r w:rsidR="00124C0B">
        <w:t>the</w:t>
      </w:r>
      <w:r>
        <w:t xml:space="preserve"> stage</w:t>
      </w:r>
      <w:r w:rsidR="00124C0B">
        <w:t xml:space="preserve"> </w:t>
      </w:r>
      <w:r>
        <w:t xml:space="preserve">1 </w:t>
      </w:r>
      <w:r w:rsidR="008F5D95">
        <w:t>S</w:t>
      </w:r>
      <w:r>
        <w:t xml:space="preserve">tudy </w:t>
      </w:r>
      <w:r w:rsidDel="001B1543">
        <w:t>involve</w:t>
      </w:r>
      <w:r w:rsidR="002C157D">
        <w:t>s</w:t>
      </w:r>
      <w:r w:rsidDel="001B1543">
        <w:t xml:space="preserve"> </w:t>
      </w:r>
      <w:r>
        <w:t>three steps:</w:t>
      </w:r>
    </w:p>
    <w:p w14:paraId="2090819A" w14:textId="59D56781" w:rsidR="008310AD" w:rsidRDefault="008310AD" w:rsidP="008310AD">
      <w:pPr>
        <w:pStyle w:val="ListNumber"/>
      </w:pPr>
      <w:r>
        <w:t xml:space="preserve">defining </w:t>
      </w:r>
      <w:r w:rsidRPr="008310AD">
        <w:rPr>
          <w:i/>
        </w:rPr>
        <w:t>system</w:t>
      </w:r>
      <w:r w:rsidRPr="008310AD">
        <w:rPr>
          <w:i/>
        </w:rPr>
        <w:noBreakHyphen/>
        <w:t>level objectives</w:t>
      </w:r>
      <w:r>
        <w:t xml:space="preserve"> — what is the superannuation system trying to achieve?</w:t>
      </w:r>
    </w:p>
    <w:p w14:paraId="637D5291" w14:textId="6BCB1C48" w:rsidR="008310AD" w:rsidRDefault="008310AD" w:rsidP="008310AD">
      <w:pPr>
        <w:pStyle w:val="ListNumber"/>
      </w:pPr>
      <w:r>
        <w:t xml:space="preserve">formulating </w:t>
      </w:r>
      <w:r w:rsidRPr="008310AD">
        <w:rPr>
          <w:i/>
        </w:rPr>
        <w:t>assessment criteria</w:t>
      </w:r>
      <w:r>
        <w:t xml:space="preserve"> based on these objectives — that is, the performance standards by which to assess if the system</w:t>
      </w:r>
      <w:r>
        <w:noBreakHyphen/>
        <w:t>level objectives have been achieved</w:t>
      </w:r>
    </w:p>
    <w:p w14:paraId="17B32707" w14:textId="190A24A0" w:rsidR="00C94642" w:rsidRDefault="008310AD" w:rsidP="00C94642">
      <w:pPr>
        <w:pStyle w:val="ListNumber"/>
      </w:pPr>
      <w:r>
        <w:t xml:space="preserve">identifying corresponding </w:t>
      </w:r>
      <w:r w:rsidRPr="008310AD">
        <w:rPr>
          <w:i/>
        </w:rPr>
        <w:t>indicators</w:t>
      </w:r>
      <w:r>
        <w:t xml:space="preserve"> to facilitate the assessment.</w:t>
      </w:r>
    </w:p>
    <w:p w14:paraId="6DE3790A" w14:textId="2068E65D" w:rsidR="00634943" w:rsidRDefault="0018050A" w:rsidP="00634943">
      <w:pPr>
        <w:pStyle w:val="Heading4"/>
      </w:pPr>
      <w:r>
        <w:t>Defining the system-level objectives</w:t>
      </w:r>
    </w:p>
    <w:p w14:paraId="2E59D084" w14:textId="1131A4A4" w:rsidR="00FB5426" w:rsidRDefault="00634943" w:rsidP="00634943">
      <w:pPr>
        <w:pStyle w:val="BodyText"/>
      </w:pPr>
      <w:r w:rsidRPr="003C57AE">
        <w:t xml:space="preserve">What is efficient ultimately depends on what you are </w:t>
      </w:r>
      <w:r w:rsidR="00E75C65">
        <w:t>trying to achieve, that is</w:t>
      </w:r>
      <w:r w:rsidRPr="003C57AE">
        <w:t xml:space="preserve"> the objectives of the superannuation system. The Australian Government has announced that the objective of superannuation is ‘to provide income in retirement to substitute or supplement the Age Pension’</w:t>
      </w:r>
      <w:r w:rsidR="00FB5426">
        <w:t xml:space="preserve"> and has introduced a bill into the Parliament</w:t>
      </w:r>
      <w:r w:rsidR="00912B87">
        <w:t xml:space="preserve"> to </w:t>
      </w:r>
      <w:r w:rsidR="00875362">
        <w:t>enshrine</w:t>
      </w:r>
      <w:r w:rsidR="00912B87">
        <w:t xml:space="preserve"> this in legislation</w:t>
      </w:r>
      <w:r w:rsidR="001E0E29">
        <w:t xml:space="preserve"> </w:t>
      </w:r>
      <w:r w:rsidR="002C157D" w:rsidRPr="002C157D">
        <w:rPr>
          <w:szCs w:val="24"/>
        </w:rPr>
        <w:t>(Australian Government 2016)</w:t>
      </w:r>
      <w:r w:rsidRPr="003C57AE">
        <w:t>.</w:t>
      </w:r>
      <w:r w:rsidR="0018050A">
        <w:t xml:space="preserve"> </w:t>
      </w:r>
    </w:p>
    <w:p w14:paraId="14769049" w14:textId="72B5BABB" w:rsidR="00634943" w:rsidRDefault="00634943" w:rsidP="00634943">
      <w:pPr>
        <w:pStyle w:val="BodyText"/>
      </w:pPr>
      <w:r>
        <w:lastRenderedPageBreak/>
        <w:t>With this overarching objective in mind</w:t>
      </w:r>
      <w:r w:rsidR="00E87FF3">
        <w:t xml:space="preserve">, </w:t>
      </w:r>
      <w:r>
        <w:t>t</w:t>
      </w:r>
      <w:r w:rsidRPr="003C57AE">
        <w:t xml:space="preserve">he Commission developed </w:t>
      </w:r>
      <w:r>
        <w:t xml:space="preserve">five </w:t>
      </w:r>
      <w:r w:rsidRPr="003C57AE">
        <w:t>system-level objectives that are within the scope of influence of the superannuation system and specific to the principles of competitiveness and efficiency</w:t>
      </w:r>
      <w:r>
        <w:t xml:space="preserve"> (table </w:t>
      </w:r>
      <w:r w:rsidR="00FC4F2F">
        <w:t>1</w:t>
      </w:r>
      <w:r>
        <w:t xml:space="preserve">). </w:t>
      </w:r>
      <w:r w:rsidR="00E87FF3">
        <w:t>F</w:t>
      </w:r>
      <w:r>
        <w:t xml:space="preserve">our of the objectives </w:t>
      </w:r>
      <w:r w:rsidR="00E87FF3">
        <w:t xml:space="preserve">link to </w:t>
      </w:r>
      <w:r>
        <w:t>the different dimensions of economic efficiency — operational, allocative and dynamic efficiency</w:t>
      </w:r>
      <w:r w:rsidR="001E78D8">
        <w:t>.</w:t>
      </w:r>
      <w:r w:rsidR="001B28A4">
        <w:t xml:space="preserve"> </w:t>
      </w:r>
      <w:r w:rsidR="001E78D8">
        <w:t>Another</w:t>
      </w:r>
      <w:r>
        <w:t xml:space="preserve"> objective is that competition should drive efficient outcomes </w:t>
      </w:r>
      <w:r w:rsidR="00520A60" w:rsidRPr="00520A60">
        <w:rPr>
          <w:szCs w:val="24"/>
        </w:rPr>
        <w:t>(PC 2016)</w:t>
      </w:r>
      <w:r>
        <w:t>.</w:t>
      </w:r>
      <w:r w:rsidRPr="0082797A">
        <w:t xml:space="preserve"> </w:t>
      </w:r>
      <w:r w:rsidR="00E87FF3">
        <w:t>This last objective makes clear that c</w:t>
      </w:r>
      <w:r w:rsidRPr="003C57AE">
        <w:t>ompetition is not an end in itself, but an intermediate objective insofar as it drives more efficient outcomes for members.</w:t>
      </w:r>
    </w:p>
    <w:p w14:paraId="25788325" w14:textId="2F5A83A9" w:rsidR="00007BE2" w:rsidRDefault="00E87FF3" w:rsidP="00634943">
      <w:pPr>
        <w:pStyle w:val="Heading4"/>
      </w:pPr>
      <w:r>
        <w:t xml:space="preserve">Formulating </w:t>
      </w:r>
      <w:r w:rsidR="00124C0B">
        <w:t xml:space="preserve">the </w:t>
      </w:r>
      <w:r w:rsidR="00007BE2">
        <w:t xml:space="preserve">assessment criteria </w:t>
      </w:r>
    </w:p>
    <w:p w14:paraId="1B4BF337" w14:textId="72428644" w:rsidR="00007BE2" w:rsidRDefault="00007BE2" w:rsidP="00007BE2">
      <w:pPr>
        <w:pStyle w:val="BodyText"/>
      </w:pPr>
      <w:r>
        <w:t>Linked to each objective is a set of assessment criteria</w:t>
      </w:r>
      <w:r w:rsidR="007A294E">
        <w:t>, 22 in total</w:t>
      </w:r>
      <w:r w:rsidR="00791604">
        <w:t xml:space="preserve"> (table </w:t>
      </w:r>
      <w:r w:rsidR="00FC4F2F">
        <w:t>1</w:t>
      </w:r>
      <w:r w:rsidR="00791604">
        <w:t>)</w:t>
      </w:r>
      <w:r>
        <w:t>.</w:t>
      </w:r>
      <w:r w:rsidR="007A294E">
        <w:t xml:space="preserve"> </w:t>
      </w:r>
      <w:r>
        <w:t>These criteria are formulated as questions that aim to identify attributes that a competitive and efficient superannuation system would be expected to possess</w:t>
      </w:r>
      <w:r w:rsidR="007A294E">
        <w:t xml:space="preserve">. </w:t>
      </w:r>
      <w:r w:rsidR="00F508CC">
        <w:t>A</w:t>
      </w:r>
      <w:r w:rsidR="007A294E">
        <w:t xml:space="preserve">ssessment </w:t>
      </w:r>
      <w:r w:rsidR="00F508CC">
        <w:t xml:space="preserve">against </w:t>
      </w:r>
      <w:r w:rsidR="007A294E">
        <w:t xml:space="preserve">the criteria will provide insights into whether each </w:t>
      </w:r>
      <w:r w:rsidR="00E87FF3">
        <w:t>system-level objective is being met</w:t>
      </w:r>
      <w:r>
        <w:t xml:space="preserve">. </w:t>
      </w:r>
    </w:p>
    <w:p w14:paraId="5C777CF4" w14:textId="62215BA7" w:rsidR="00605AAB" w:rsidRDefault="00E87FF3" w:rsidP="00007BE2">
      <w:pPr>
        <w:pStyle w:val="BodyText"/>
      </w:pPr>
      <w:r>
        <w:t>In</w:t>
      </w:r>
      <w:r w:rsidR="00007BE2">
        <w:t xml:space="preserve"> developing these criteria, the Commission </w:t>
      </w:r>
      <w:r w:rsidR="00605AAB">
        <w:t xml:space="preserve">treated the broad </w:t>
      </w:r>
      <w:r w:rsidR="00605AAB" w:rsidRPr="00605AAB">
        <w:t>policy settings that govern the system and other limbs of retirement income</w:t>
      </w:r>
      <w:r w:rsidR="00F508CC">
        <w:t>s</w:t>
      </w:r>
      <w:r w:rsidR="00605AAB" w:rsidRPr="00605AAB">
        <w:t xml:space="preserve"> policy as given. </w:t>
      </w:r>
      <w:r w:rsidR="00605AAB">
        <w:t xml:space="preserve">This is done either by omission </w:t>
      </w:r>
      <w:r w:rsidR="00605AAB" w:rsidRPr="00A01FF5">
        <w:t>(the Commission is not proposing to assess the system on what is outside its influence, such as the overall adequacy of</w:t>
      </w:r>
      <w:r w:rsidR="00605AAB">
        <w:t xml:space="preserve"> </w:t>
      </w:r>
      <w:r w:rsidR="00605AAB" w:rsidRPr="00A01FF5">
        <w:t>retirement incomes) or by recognising the influence of external factors when proposing criteria.</w:t>
      </w:r>
      <w:r w:rsidR="00605AAB">
        <w:t xml:space="preserve"> </w:t>
      </w:r>
      <w:r w:rsidR="00334486">
        <w:t>T</w:t>
      </w:r>
      <w:r w:rsidR="00605AAB" w:rsidRPr="00605AAB">
        <w:t>his does not preclude the Commission from assessing the effect of policy on the</w:t>
      </w:r>
      <w:r w:rsidR="00F508CC">
        <w:t xml:space="preserve"> competitiveness and efficiency of the</w:t>
      </w:r>
      <w:r w:rsidR="00605AAB" w:rsidRPr="00605AAB">
        <w:t xml:space="preserve"> system in th</w:t>
      </w:r>
      <w:r w:rsidR="00605AAB">
        <w:t xml:space="preserve">is </w:t>
      </w:r>
      <w:r w:rsidR="00605AAB" w:rsidRPr="00605AAB">
        <w:t xml:space="preserve">stage 3 </w:t>
      </w:r>
      <w:r w:rsidR="00141A19">
        <w:t>Inquiry</w:t>
      </w:r>
      <w:r w:rsidR="00605AAB" w:rsidRPr="00605AAB">
        <w:t>.</w:t>
      </w:r>
    </w:p>
    <w:p w14:paraId="158C82CA" w14:textId="7D25D8E8" w:rsidR="00E87FF3" w:rsidRDefault="00124C0B" w:rsidP="00605AAB">
      <w:pPr>
        <w:pStyle w:val="Heading4"/>
      </w:pPr>
      <w:r>
        <w:t>Developing</w:t>
      </w:r>
      <w:r w:rsidR="00E87FF3">
        <w:t xml:space="preserve"> indicators</w:t>
      </w:r>
      <w:r w:rsidR="0016309B">
        <w:t xml:space="preserve"> to </w:t>
      </w:r>
      <w:r w:rsidR="00B03ECA">
        <w:t>assess</w:t>
      </w:r>
      <w:r w:rsidR="0016309B">
        <w:t xml:space="preserve"> </w:t>
      </w:r>
      <w:r>
        <w:t>each</w:t>
      </w:r>
      <w:r w:rsidR="0016309B">
        <w:t xml:space="preserve"> </w:t>
      </w:r>
      <w:r w:rsidR="000D5BBC">
        <w:t>criterion</w:t>
      </w:r>
    </w:p>
    <w:p w14:paraId="6A6073F7" w14:textId="2648EC25" w:rsidR="00B03ECA" w:rsidRDefault="00007BE2" w:rsidP="0016309B">
      <w:pPr>
        <w:pStyle w:val="BodyText"/>
      </w:pPr>
      <w:r>
        <w:t xml:space="preserve">The Commission </w:t>
      </w:r>
      <w:r w:rsidR="00E87FF3">
        <w:t xml:space="preserve">identified a </w:t>
      </w:r>
      <w:r>
        <w:t>comprehensive s</w:t>
      </w:r>
      <w:r w:rsidR="00605AAB">
        <w:t xml:space="preserve">uite of </w:t>
      </w:r>
      <w:r>
        <w:t>89 unique indicators</w:t>
      </w:r>
      <w:r w:rsidR="00605AAB">
        <w:t xml:space="preserve">. </w:t>
      </w:r>
      <w:r w:rsidR="00776BBD">
        <w:t xml:space="preserve">They </w:t>
      </w:r>
      <w:r w:rsidR="007A0816">
        <w:t>can be thought of as the</w:t>
      </w:r>
      <w:r w:rsidR="00776BBD">
        <w:t xml:space="preserve"> evidence base the Commission will draw on in evaluating </w:t>
      </w:r>
      <w:r w:rsidR="002456DD">
        <w:t>each</w:t>
      </w:r>
      <w:r w:rsidR="00776BBD">
        <w:t xml:space="preserve"> criteri</w:t>
      </w:r>
      <w:r w:rsidR="004B3843">
        <w:t>on</w:t>
      </w:r>
      <w:r w:rsidR="00776BBD">
        <w:t>.</w:t>
      </w:r>
      <w:r w:rsidR="00DF6E06">
        <w:t xml:space="preserve"> </w:t>
      </w:r>
      <w:r w:rsidR="00605AAB">
        <w:t>The indicators vary in type</w:t>
      </w:r>
      <w:r w:rsidR="0016309B">
        <w:t xml:space="preserve"> and </w:t>
      </w:r>
      <w:r w:rsidR="00605AAB">
        <w:t xml:space="preserve">nature. Some are focused on inputs into and </w:t>
      </w:r>
      <w:r w:rsidR="002456DD">
        <w:t xml:space="preserve">observed </w:t>
      </w:r>
      <w:r w:rsidR="00605AAB">
        <w:t xml:space="preserve">behaviours </w:t>
      </w:r>
      <w:r w:rsidR="002456DD">
        <w:t>in</w:t>
      </w:r>
      <w:r w:rsidR="00605AAB">
        <w:t xml:space="preserve"> the system, while others </w:t>
      </w:r>
      <w:r w:rsidR="002456DD">
        <w:t>identify</w:t>
      </w:r>
      <w:r w:rsidR="00605AAB">
        <w:t xml:space="preserve"> outputs and outcomes from the system.</w:t>
      </w:r>
      <w:r w:rsidR="0016309B">
        <w:t xml:space="preserve"> </w:t>
      </w:r>
      <w:r w:rsidR="007A7A3B">
        <w:t>S</w:t>
      </w:r>
      <w:r w:rsidR="003D6775">
        <w:t xml:space="preserve">ome indicators can be measured </w:t>
      </w:r>
      <w:r w:rsidR="00DF6E06">
        <w:t>quantitatively</w:t>
      </w:r>
      <w:r w:rsidR="003D6775">
        <w:t xml:space="preserve"> while other</w:t>
      </w:r>
      <w:r w:rsidR="00C578BD">
        <w:t>s</w:t>
      </w:r>
      <w:r w:rsidR="003D6775">
        <w:t xml:space="preserve"> will require a qualitative assessment. </w:t>
      </w:r>
    </w:p>
    <w:p w14:paraId="182A2F8D" w14:textId="7067E46E" w:rsidR="00007BE2" w:rsidRDefault="00AE0DCA" w:rsidP="001C5DCF">
      <w:pPr>
        <w:pStyle w:val="BodyText"/>
      </w:pPr>
      <w:r>
        <w:t>T</w:t>
      </w:r>
      <w:r w:rsidR="0016309B">
        <w:t xml:space="preserve">he evaluation of </w:t>
      </w:r>
      <w:r w:rsidR="00774FBF">
        <w:t xml:space="preserve">certain </w:t>
      </w:r>
      <w:r w:rsidR="0016309B">
        <w:t xml:space="preserve">indicators will draw heavily on benchmarking. Performance will be benchmarked against others, against stipulated objectives, or over time. </w:t>
      </w:r>
      <w:r w:rsidR="0016309B" w:rsidRPr="00A01FF5">
        <w:t xml:space="preserve">In some parts of the assessment, the Commission will complement its benchmarking with a ‘negative test’ — an examination of the barriers that may be impeding the competitiveness </w:t>
      </w:r>
      <w:r w:rsidR="00EF2381">
        <w:t xml:space="preserve">and efficiency </w:t>
      </w:r>
      <w:r w:rsidR="0016309B" w:rsidRPr="00A01FF5">
        <w:t>of the system (such as barriers to entry).</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67"/>
      </w:tblGrid>
      <w:tr w:rsidR="00007BE2" w14:paraId="2C0620D4" w14:textId="77777777" w:rsidTr="00B41300">
        <w:tc>
          <w:tcPr>
            <w:tcW w:w="8767" w:type="dxa"/>
            <w:tcBorders>
              <w:top w:val="single" w:sz="6" w:space="0" w:color="78A22F"/>
              <w:left w:val="nil"/>
              <w:bottom w:val="nil"/>
              <w:right w:val="nil"/>
            </w:tcBorders>
            <w:shd w:val="clear" w:color="auto" w:fill="auto"/>
          </w:tcPr>
          <w:p w14:paraId="256EF051" w14:textId="793E0ED3" w:rsidR="00007BE2" w:rsidRPr="00784A05" w:rsidRDefault="00007BE2" w:rsidP="00FC4F2F">
            <w:pPr>
              <w:pStyle w:val="TableTitle"/>
            </w:pPr>
            <w:r>
              <w:rPr>
                <w:b w:val="0"/>
              </w:rPr>
              <w:lastRenderedPageBreak/>
              <w:t xml:space="preserve">Table </w:t>
            </w:r>
            <w:r w:rsidR="00FC4F2F">
              <w:rPr>
                <w:b w:val="0"/>
              </w:rPr>
              <w:t>1</w:t>
            </w:r>
            <w:r>
              <w:tab/>
            </w:r>
            <w:r w:rsidR="00B03ECA">
              <w:t>S</w:t>
            </w:r>
            <w:r>
              <w:t>ystem</w:t>
            </w:r>
            <w:r>
              <w:noBreakHyphen/>
              <w:t xml:space="preserve">level objectives and </w:t>
            </w:r>
            <w:r w:rsidR="00B03ECA">
              <w:t xml:space="preserve">assessment </w:t>
            </w:r>
            <w:r>
              <w:t xml:space="preserve">criteria </w:t>
            </w:r>
          </w:p>
        </w:tc>
      </w:tr>
      <w:tr w:rsidR="00007BE2" w14:paraId="1F60C014" w14:textId="77777777" w:rsidTr="00B41300">
        <w:tc>
          <w:tcPr>
            <w:tcW w:w="8767"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552"/>
              <w:gridCol w:w="5807"/>
              <w:gridCol w:w="1690"/>
              <w:gridCol w:w="434"/>
            </w:tblGrid>
            <w:tr w:rsidR="00007BE2" w14:paraId="61393C45" w14:textId="77777777" w:rsidTr="00FD73D5">
              <w:tc>
                <w:tcPr>
                  <w:tcW w:w="3748" w:type="pct"/>
                  <w:gridSpan w:val="2"/>
                  <w:tcBorders>
                    <w:top w:val="single" w:sz="6" w:space="0" w:color="BFBFBF"/>
                  </w:tcBorders>
                  <w:shd w:val="clear" w:color="auto" w:fill="FFFFFF" w:themeFill="background1"/>
                  <w:vAlign w:val="bottom"/>
                </w:tcPr>
                <w:p w14:paraId="022630D9" w14:textId="3810112D" w:rsidR="00007BE2" w:rsidRPr="00BC0822" w:rsidRDefault="00007BE2" w:rsidP="00FA38E0">
                  <w:pPr>
                    <w:pStyle w:val="TableColumnHeading"/>
                    <w:jc w:val="left"/>
                  </w:pPr>
                  <w:r>
                    <w:t>Assessment criteria</w:t>
                  </w:r>
                </w:p>
              </w:tc>
              <w:tc>
                <w:tcPr>
                  <w:tcW w:w="1252" w:type="pct"/>
                  <w:gridSpan w:val="2"/>
                  <w:tcBorders>
                    <w:top w:val="single" w:sz="6" w:space="0" w:color="BFBFBF"/>
                  </w:tcBorders>
                  <w:shd w:val="clear" w:color="auto" w:fill="FFFFFF" w:themeFill="background1"/>
                  <w:vAlign w:val="bottom"/>
                </w:tcPr>
                <w:p w14:paraId="0E2CA16B" w14:textId="77777777" w:rsidR="00007BE2" w:rsidRPr="007911FC" w:rsidRDefault="00007BE2" w:rsidP="00FA38E0">
                  <w:pPr>
                    <w:pStyle w:val="TableColumnHeading"/>
                    <w:ind w:right="28"/>
                    <w:rPr>
                      <w:rStyle w:val="NoteLabel"/>
                    </w:rPr>
                  </w:pPr>
                  <w:r>
                    <w:t>Number of indicators</w:t>
                  </w:r>
                  <w:r w:rsidRPr="00F164A9">
                    <w:rPr>
                      <w:rStyle w:val="NoteLabel"/>
                      <w:i w:val="0"/>
                    </w:rPr>
                    <w:t>a</w:t>
                  </w:r>
                </w:p>
              </w:tc>
            </w:tr>
            <w:tr w:rsidR="00007BE2" w14:paraId="41ACE2C9" w14:textId="77777777" w:rsidTr="00FD73D5">
              <w:tc>
                <w:tcPr>
                  <w:tcW w:w="5000" w:type="pct"/>
                  <w:gridSpan w:val="4"/>
                  <w:shd w:val="clear" w:color="auto" w:fill="E0EEC6" w:themeFill="accent3" w:themeFillTint="66"/>
                </w:tcPr>
                <w:p w14:paraId="6BCA0EF6" w14:textId="3E464B56" w:rsidR="00007BE2" w:rsidRPr="006263F7" w:rsidRDefault="00B03ECA" w:rsidP="00FA38E0">
                  <w:pPr>
                    <w:pStyle w:val="TableColumnHeading"/>
                    <w:spacing w:before="40" w:after="40"/>
                    <w:jc w:val="left"/>
                    <w:rPr>
                      <w:b/>
                      <w:i w:val="0"/>
                    </w:rPr>
                  </w:pPr>
                  <w:r>
                    <w:rPr>
                      <w:b/>
                      <w:i w:val="0"/>
                    </w:rPr>
                    <w:t xml:space="preserve">System-level objective #1: </w:t>
                  </w:r>
                  <w:r w:rsidR="00007BE2" w:rsidRPr="00B03ECA">
                    <w:rPr>
                      <w:i w:val="0"/>
                    </w:rPr>
                    <w:t>The superannuation system contributes to retirement incomes by maximising long</w:t>
                  </w:r>
                  <w:r w:rsidR="00007BE2" w:rsidRPr="00B03ECA">
                    <w:rPr>
                      <w:i w:val="0"/>
                    </w:rPr>
                    <w:noBreakHyphen/>
                    <w:t>term net returns on member contributions and balances over the member’s lifetime, taking risk into account</w:t>
                  </w:r>
                </w:p>
              </w:tc>
            </w:tr>
            <w:tr w:rsidR="00007BE2" w14:paraId="61AE49EC" w14:textId="77777777" w:rsidTr="00FD73D5">
              <w:tc>
                <w:tcPr>
                  <w:tcW w:w="325" w:type="pct"/>
                </w:tcPr>
                <w:p w14:paraId="208516C2" w14:textId="210617B8" w:rsidR="00007BE2" w:rsidRDefault="008F1ADF" w:rsidP="008F1ADF">
                  <w:pPr>
                    <w:pStyle w:val="TableBodyText"/>
                    <w:jc w:val="left"/>
                  </w:pPr>
                  <w:r>
                    <w:t xml:space="preserve">E1. </w:t>
                  </w:r>
                </w:p>
              </w:tc>
              <w:tc>
                <w:tcPr>
                  <w:tcW w:w="4419" w:type="pct"/>
                  <w:gridSpan w:val="2"/>
                </w:tcPr>
                <w:p w14:paraId="495103F2" w14:textId="35FADCB8" w:rsidR="008F1ADF" w:rsidRPr="00881259" w:rsidRDefault="008F1ADF" w:rsidP="008F1ADF">
                  <w:pPr>
                    <w:pStyle w:val="TableBodyText"/>
                    <w:jc w:val="left"/>
                  </w:pPr>
                  <w:r w:rsidRPr="00881259">
                    <w:t>Are long</w:t>
                  </w:r>
                  <w:r>
                    <w:noBreakHyphen/>
                  </w:r>
                  <w:r w:rsidRPr="00881259">
                    <w:t>term net investment returns being maximised over members’ lifetimes, taking account of risk?</w:t>
                  </w:r>
                </w:p>
              </w:tc>
              <w:tc>
                <w:tcPr>
                  <w:tcW w:w="256" w:type="pct"/>
                </w:tcPr>
                <w:p w14:paraId="2CC6CCDF" w14:textId="77777777" w:rsidR="00007BE2" w:rsidRDefault="00007BE2" w:rsidP="00FA38E0">
                  <w:pPr>
                    <w:pStyle w:val="TableBodyText"/>
                    <w:spacing w:before="40"/>
                  </w:pPr>
                  <w:r>
                    <w:t>4</w:t>
                  </w:r>
                </w:p>
              </w:tc>
            </w:tr>
            <w:tr w:rsidR="00007BE2" w14:paraId="14B591E4" w14:textId="77777777" w:rsidTr="00CB2717">
              <w:tc>
                <w:tcPr>
                  <w:tcW w:w="325" w:type="pct"/>
                  <w:shd w:val="clear" w:color="auto" w:fill="auto"/>
                </w:tcPr>
                <w:p w14:paraId="6D0ABB6F" w14:textId="2B1CCEAD" w:rsidR="008F1ADF" w:rsidRDefault="008F1ADF" w:rsidP="008F1ADF">
                  <w:pPr>
                    <w:pStyle w:val="TableBodyText"/>
                    <w:jc w:val="left"/>
                  </w:pPr>
                  <w:r>
                    <w:t>E2.</w:t>
                  </w:r>
                </w:p>
              </w:tc>
              <w:tc>
                <w:tcPr>
                  <w:tcW w:w="4419" w:type="pct"/>
                  <w:gridSpan w:val="2"/>
                  <w:shd w:val="clear" w:color="auto" w:fill="auto"/>
                </w:tcPr>
                <w:p w14:paraId="7656C470" w14:textId="77777777" w:rsidR="00007BE2" w:rsidRDefault="00007BE2" w:rsidP="008F1ADF">
                  <w:pPr>
                    <w:pStyle w:val="TableBodyText"/>
                    <w:jc w:val="left"/>
                  </w:pPr>
                  <w:r w:rsidRPr="00881259">
                    <w:t>Are costs incurred by funds and fees charged to members being minimised, taking account of service features provided to members?</w:t>
                  </w:r>
                </w:p>
              </w:tc>
              <w:tc>
                <w:tcPr>
                  <w:tcW w:w="256" w:type="pct"/>
                  <w:shd w:val="clear" w:color="auto" w:fill="auto"/>
                </w:tcPr>
                <w:p w14:paraId="79BAF77E" w14:textId="77777777" w:rsidR="00007BE2" w:rsidRDefault="00007BE2" w:rsidP="00FA38E0">
                  <w:pPr>
                    <w:pStyle w:val="TableBodyText"/>
                  </w:pPr>
                  <w:r>
                    <w:t>10</w:t>
                  </w:r>
                </w:p>
              </w:tc>
            </w:tr>
            <w:tr w:rsidR="00007BE2" w14:paraId="4092A85D" w14:textId="77777777" w:rsidTr="00CB2717">
              <w:tc>
                <w:tcPr>
                  <w:tcW w:w="325" w:type="pct"/>
                  <w:shd w:val="clear" w:color="auto" w:fill="auto"/>
                </w:tcPr>
                <w:p w14:paraId="4A36039E" w14:textId="58119242" w:rsidR="00310777" w:rsidRDefault="00310777" w:rsidP="00CB2717">
                  <w:pPr>
                    <w:pStyle w:val="TableBodyText"/>
                    <w:jc w:val="left"/>
                  </w:pPr>
                  <w:r>
                    <w:t>E3.</w:t>
                  </w:r>
                </w:p>
              </w:tc>
              <w:tc>
                <w:tcPr>
                  <w:tcW w:w="4419" w:type="pct"/>
                  <w:gridSpan w:val="2"/>
                  <w:shd w:val="clear" w:color="auto" w:fill="auto"/>
                </w:tcPr>
                <w:p w14:paraId="14AA87B6" w14:textId="77777777" w:rsidR="00007BE2" w:rsidRDefault="00007BE2" w:rsidP="00310777">
                  <w:pPr>
                    <w:pStyle w:val="TableBodyText"/>
                    <w:jc w:val="left"/>
                  </w:pPr>
                  <w:r w:rsidRPr="00881259">
                    <w:t>Do all types of funds have opportunities to invest efficiently in upstream capital markets?</w:t>
                  </w:r>
                </w:p>
              </w:tc>
              <w:tc>
                <w:tcPr>
                  <w:tcW w:w="256" w:type="pct"/>
                  <w:shd w:val="clear" w:color="auto" w:fill="auto"/>
                </w:tcPr>
                <w:p w14:paraId="6D250737" w14:textId="77777777" w:rsidR="00007BE2" w:rsidRDefault="00007BE2" w:rsidP="00FA38E0">
                  <w:pPr>
                    <w:pStyle w:val="TableBodyText"/>
                  </w:pPr>
                  <w:r>
                    <w:t>4</w:t>
                  </w:r>
                </w:p>
              </w:tc>
            </w:tr>
            <w:tr w:rsidR="00007BE2" w14:paraId="15AA129A" w14:textId="77777777" w:rsidTr="00CB2717">
              <w:tc>
                <w:tcPr>
                  <w:tcW w:w="325" w:type="pct"/>
                  <w:shd w:val="clear" w:color="auto" w:fill="auto"/>
                </w:tcPr>
                <w:p w14:paraId="15B9AB67" w14:textId="57F7E3AA" w:rsidR="00310777" w:rsidRDefault="00310777" w:rsidP="00CB2717">
                  <w:pPr>
                    <w:pStyle w:val="TableBodyText"/>
                    <w:jc w:val="left"/>
                  </w:pPr>
                  <w:r>
                    <w:t>E4.</w:t>
                  </w:r>
                </w:p>
              </w:tc>
              <w:tc>
                <w:tcPr>
                  <w:tcW w:w="4419" w:type="pct"/>
                  <w:gridSpan w:val="2"/>
                  <w:shd w:val="clear" w:color="auto" w:fill="auto"/>
                </w:tcPr>
                <w:p w14:paraId="5551DA77" w14:textId="77777777" w:rsidR="00007BE2" w:rsidRDefault="00007BE2" w:rsidP="00310777">
                  <w:pPr>
                    <w:pStyle w:val="TableBodyText"/>
                    <w:jc w:val="left"/>
                  </w:pPr>
                  <w:r w:rsidRPr="00881259">
                    <w:t>Is the system effectively managing tax for members, including in transition?</w:t>
                  </w:r>
                </w:p>
              </w:tc>
              <w:tc>
                <w:tcPr>
                  <w:tcW w:w="256" w:type="pct"/>
                  <w:shd w:val="clear" w:color="auto" w:fill="auto"/>
                </w:tcPr>
                <w:p w14:paraId="4036E989" w14:textId="77777777" w:rsidR="00007BE2" w:rsidRDefault="00007BE2" w:rsidP="00FA38E0">
                  <w:pPr>
                    <w:pStyle w:val="TableBodyText"/>
                  </w:pPr>
                  <w:r>
                    <w:t>3</w:t>
                  </w:r>
                </w:p>
              </w:tc>
            </w:tr>
            <w:tr w:rsidR="00007BE2" w14:paraId="69EF5D16" w14:textId="77777777" w:rsidTr="00FD73D5">
              <w:tc>
                <w:tcPr>
                  <w:tcW w:w="325" w:type="pct"/>
                  <w:shd w:val="clear" w:color="auto" w:fill="auto"/>
                </w:tcPr>
                <w:p w14:paraId="3F07D60F" w14:textId="70896225" w:rsidR="00310777" w:rsidRDefault="00310777" w:rsidP="00CB2717">
                  <w:pPr>
                    <w:pStyle w:val="TableBodyText"/>
                    <w:jc w:val="left"/>
                  </w:pPr>
                  <w:r>
                    <w:t>E5.</w:t>
                  </w:r>
                </w:p>
              </w:tc>
              <w:tc>
                <w:tcPr>
                  <w:tcW w:w="4419" w:type="pct"/>
                  <w:gridSpan w:val="2"/>
                  <w:shd w:val="clear" w:color="auto" w:fill="auto"/>
                </w:tcPr>
                <w:p w14:paraId="38984BA7" w14:textId="77777777" w:rsidR="00007BE2" w:rsidRDefault="00007BE2" w:rsidP="00310777">
                  <w:pPr>
                    <w:pStyle w:val="TableBodyText"/>
                    <w:jc w:val="left"/>
                  </w:pPr>
                  <w:r w:rsidRPr="00881259">
                    <w:t>Are other leakages from members’ accounts being minimised?</w:t>
                  </w:r>
                </w:p>
              </w:tc>
              <w:tc>
                <w:tcPr>
                  <w:tcW w:w="256" w:type="pct"/>
                  <w:shd w:val="clear" w:color="auto" w:fill="auto"/>
                </w:tcPr>
                <w:p w14:paraId="459B17DD" w14:textId="77777777" w:rsidR="00007BE2" w:rsidRDefault="00007BE2" w:rsidP="00FA38E0">
                  <w:pPr>
                    <w:pStyle w:val="TableBodyText"/>
                  </w:pPr>
                  <w:r>
                    <w:t>5</w:t>
                  </w:r>
                </w:p>
              </w:tc>
            </w:tr>
            <w:tr w:rsidR="00007BE2" w14:paraId="22907476" w14:textId="77777777" w:rsidTr="00FD73D5">
              <w:tc>
                <w:tcPr>
                  <w:tcW w:w="5000" w:type="pct"/>
                  <w:gridSpan w:val="4"/>
                  <w:shd w:val="clear" w:color="auto" w:fill="E0EEC6" w:themeFill="accent3" w:themeFillTint="66"/>
                </w:tcPr>
                <w:p w14:paraId="1ED31319" w14:textId="088A663C" w:rsidR="00007BE2" w:rsidRPr="006263F7" w:rsidRDefault="00B03ECA" w:rsidP="00FA38E0">
                  <w:pPr>
                    <w:pStyle w:val="TableColumnHeading"/>
                    <w:spacing w:before="40" w:after="40"/>
                    <w:jc w:val="left"/>
                    <w:rPr>
                      <w:b/>
                      <w:i w:val="0"/>
                    </w:rPr>
                  </w:pPr>
                  <w:r>
                    <w:rPr>
                      <w:b/>
                      <w:i w:val="0"/>
                    </w:rPr>
                    <w:t>System-lev</w:t>
                  </w:r>
                  <w:r w:rsidRPr="00FD73D5">
                    <w:rPr>
                      <w:b/>
                      <w:i w:val="0"/>
                      <w:shd w:val="clear" w:color="auto" w:fill="E0EEC6" w:themeFill="accent3" w:themeFillTint="66"/>
                    </w:rPr>
                    <w:t xml:space="preserve">el objective #2: </w:t>
                  </w:r>
                  <w:r w:rsidR="00007BE2" w:rsidRPr="00FD73D5">
                    <w:rPr>
                      <w:i w:val="0"/>
                      <w:shd w:val="clear" w:color="auto" w:fill="E0EEC6" w:themeFill="accent3" w:themeFillTint="66"/>
                    </w:rPr>
                    <w:t>The superannuation system meets member needs, in relation to information, products and risk management, over the member’s lifetime</w:t>
                  </w:r>
                </w:p>
              </w:tc>
            </w:tr>
            <w:tr w:rsidR="00007BE2" w14:paraId="6DD82C2F" w14:textId="77777777" w:rsidTr="00FD73D5">
              <w:tc>
                <w:tcPr>
                  <w:tcW w:w="325" w:type="pct"/>
                  <w:shd w:val="clear" w:color="auto" w:fill="auto"/>
                </w:tcPr>
                <w:p w14:paraId="1D6F1A37" w14:textId="0DCC6DE8" w:rsidR="00CB2717" w:rsidRDefault="00CB2717" w:rsidP="00CB2717">
                  <w:pPr>
                    <w:pStyle w:val="TableBodyText"/>
                    <w:jc w:val="left"/>
                  </w:pPr>
                  <w:r>
                    <w:t>E6.</w:t>
                  </w:r>
                </w:p>
              </w:tc>
              <w:tc>
                <w:tcPr>
                  <w:tcW w:w="4419" w:type="pct"/>
                  <w:gridSpan w:val="2"/>
                  <w:shd w:val="clear" w:color="auto" w:fill="auto"/>
                </w:tcPr>
                <w:p w14:paraId="1AD08632" w14:textId="77777777" w:rsidR="00007BE2" w:rsidRDefault="00007BE2" w:rsidP="00CB2717">
                  <w:pPr>
                    <w:pStyle w:val="TableBodyText"/>
                    <w:jc w:val="left"/>
                  </w:pPr>
                  <w:r w:rsidRPr="00881259">
                    <w:t>Is the system providing high</w:t>
                  </w:r>
                  <w:r>
                    <w:noBreakHyphen/>
                  </w:r>
                  <w:r w:rsidRPr="00881259">
                    <w:t>quality information and intrafund financial advice to help members make decisions?</w:t>
                  </w:r>
                </w:p>
              </w:tc>
              <w:tc>
                <w:tcPr>
                  <w:tcW w:w="256" w:type="pct"/>
                  <w:shd w:val="clear" w:color="auto" w:fill="auto"/>
                </w:tcPr>
                <w:p w14:paraId="4CB8EFE6" w14:textId="77777777" w:rsidR="00007BE2" w:rsidRDefault="00007BE2" w:rsidP="00FA38E0">
                  <w:pPr>
                    <w:pStyle w:val="TableBodyText"/>
                    <w:spacing w:before="40"/>
                  </w:pPr>
                  <w:r>
                    <w:t>7</w:t>
                  </w:r>
                </w:p>
              </w:tc>
            </w:tr>
            <w:tr w:rsidR="00007BE2" w14:paraId="6A1A2E66" w14:textId="77777777" w:rsidTr="00CB2717">
              <w:tc>
                <w:tcPr>
                  <w:tcW w:w="325" w:type="pct"/>
                  <w:shd w:val="clear" w:color="auto" w:fill="auto"/>
                </w:tcPr>
                <w:p w14:paraId="0495EE05" w14:textId="10ED1392" w:rsidR="00CB2717" w:rsidRDefault="00CB2717" w:rsidP="00CB2717">
                  <w:pPr>
                    <w:pStyle w:val="TableBodyText"/>
                    <w:jc w:val="left"/>
                  </w:pPr>
                  <w:r>
                    <w:t>E7.</w:t>
                  </w:r>
                </w:p>
              </w:tc>
              <w:tc>
                <w:tcPr>
                  <w:tcW w:w="4419" w:type="pct"/>
                  <w:gridSpan w:val="2"/>
                  <w:shd w:val="clear" w:color="auto" w:fill="auto"/>
                </w:tcPr>
                <w:p w14:paraId="1923FAEB" w14:textId="77777777" w:rsidR="00007BE2" w:rsidRDefault="00007BE2" w:rsidP="00CB2717">
                  <w:pPr>
                    <w:pStyle w:val="TableBodyText"/>
                    <w:jc w:val="left"/>
                  </w:pPr>
                  <w:r w:rsidRPr="00881259">
                    <w:t>Is the system providing products to help members manage risks over their life cycles and optimally consume their retirement incomes?</w:t>
                  </w:r>
                </w:p>
              </w:tc>
              <w:tc>
                <w:tcPr>
                  <w:tcW w:w="256" w:type="pct"/>
                  <w:shd w:val="clear" w:color="auto" w:fill="auto"/>
                </w:tcPr>
                <w:p w14:paraId="145DB5F5" w14:textId="77777777" w:rsidR="00007BE2" w:rsidRDefault="00007BE2" w:rsidP="00FA38E0">
                  <w:pPr>
                    <w:pStyle w:val="TableBodyText"/>
                  </w:pPr>
                  <w:r>
                    <w:t>7</w:t>
                  </w:r>
                </w:p>
              </w:tc>
            </w:tr>
            <w:tr w:rsidR="00007BE2" w14:paraId="75A964E8" w14:textId="77777777" w:rsidTr="00FD73D5">
              <w:tc>
                <w:tcPr>
                  <w:tcW w:w="325" w:type="pct"/>
                  <w:shd w:val="clear" w:color="auto" w:fill="auto"/>
                </w:tcPr>
                <w:p w14:paraId="0FA74707" w14:textId="45798769" w:rsidR="00CB2717" w:rsidRDefault="00CB2717" w:rsidP="00CB2717">
                  <w:pPr>
                    <w:pStyle w:val="TableBodyText"/>
                    <w:jc w:val="left"/>
                  </w:pPr>
                  <w:r>
                    <w:t>E8.</w:t>
                  </w:r>
                </w:p>
              </w:tc>
              <w:tc>
                <w:tcPr>
                  <w:tcW w:w="4419" w:type="pct"/>
                  <w:gridSpan w:val="2"/>
                  <w:shd w:val="clear" w:color="auto" w:fill="auto"/>
                </w:tcPr>
                <w:p w14:paraId="0972FA51" w14:textId="77777777" w:rsidR="00007BE2" w:rsidRDefault="00007BE2" w:rsidP="00CB2717">
                  <w:pPr>
                    <w:pStyle w:val="TableBodyText"/>
                    <w:jc w:val="left"/>
                  </w:pPr>
                  <w:r w:rsidRPr="00881259">
                    <w:t>Are principal−agent problems being minimised?</w:t>
                  </w:r>
                </w:p>
              </w:tc>
              <w:tc>
                <w:tcPr>
                  <w:tcW w:w="256" w:type="pct"/>
                  <w:shd w:val="clear" w:color="auto" w:fill="auto"/>
                </w:tcPr>
                <w:p w14:paraId="1AF9A130" w14:textId="77777777" w:rsidR="00007BE2" w:rsidRDefault="00007BE2" w:rsidP="00FA38E0">
                  <w:pPr>
                    <w:pStyle w:val="TableBodyText"/>
                  </w:pPr>
                  <w:r>
                    <w:t>7</w:t>
                  </w:r>
                </w:p>
              </w:tc>
            </w:tr>
            <w:tr w:rsidR="00007BE2" w14:paraId="1FB2BB61" w14:textId="77777777" w:rsidTr="00FD73D5">
              <w:tc>
                <w:tcPr>
                  <w:tcW w:w="5000" w:type="pct"/>
                  <w:gridSpan w:val="4"/>
                  <w:shd w:val="clear" w:color="auto" w:fill="E0EEC6" w:themeFill="accent3" w:themeFillTint="66"/>
                </w:tcPr>
                <w:p w14:paraId="7E911A81" w14:textId="0EDCC81F" w:rsidR="00007BE2" w:rsidRPr="00FD73D5" w:rsidRDefault="00B03ECA" w:rsidP="00FA38E0">
                  <w:pPr>
                    <w:pStyle w:val="TableColumnHeading"/>
                    <w:spacing w:before="40" w:after="40"/>
                    <w:jc w:val="left"/>
                    <w:rPr>
                      <w:b/>
                      <w:i w:val="0"/>
                    </w:rPr>
                  </w:pPr>
                  <w:r w:rsidRPr="00FD73D5">
                    <w:rPr>
                      <w:b/>
                      <w:i w:val="0"/>
                    </w:rPr>
                    <w:t xml:space="preserve">System-level objective #3: </w:t>
                  </w:r>
                  <w:r w:rsidR="00007BE2" w:rsidRPr="00FD73D5">
                    <w:rPr>
                      <w:i w:val="0"/>
                    </w:rPr>
                    <w:t>The efficiency of the superannuation system improves over time</w:t>
                  </w:r>
                </w:p>
              </w:tc>
            </w:tr>
            <w:tr w:rsidR="00007BE2" w14:paraId="6AF8F130" w14:textId="77777777" w:rsidTr="00FD73D5">
              <w:tc>
                <w:tcPr>
                  <w:tcW w:w="325" w:type="pct"/>
                  <w:shd w:val="clear" w:color="auto" w:fill="auto"/>
                </w:tcPr>
                <w:p w14:paraId="7F8AE5F5" w14:textId="70FFA12E" w:rsidR="00CB2717" w:rsidRDefault="00CB2717" w:rsidP="00CB2717">
                  <w:pPr>
                    <w:pStyle w:val="TableBodyText"/>
                    <w:jc w:val="left"/>
                  </w:pPr>
                  <w:r>
                    <w:t>E9.</w:t>
                  </w:r>
                </w:p>
              </w:tc>
              <w:tc>
                <w:tcPr>
                  <w:tcW w:w="4419" w:type="pct"/>
                  <w:gridSpan w:val="2"/>
                  <w:shd w:val="clear" w:color="auto" w:fill="auto"/>
                </w:tcPr>
                <w:p w14:paraId="26CB3D19" w14:textId="77777777" w:rsidR="00007BE2" w:rsidRDefault="00007BE2" w:rsidP="00CB2717">
                  <w:pPr>
                    <w:pStyle w:val="TableBodyText"/>
                    <w:jc w:val="left"/>
                  </w:pPr>
                  <w:r w:rsidRPr="00881259">
                    <w:t>Does the system overcome impediments to improving long</w:t>
                  </w:r>
                  <w:r>
                    <w:noBreakHyphen/>
                  </w:r>
                  <w:r w:rsidRPr="00881259">
                    <w:t>term outcomes for members?</w:t>
                  </w:r>
                </w:p>
              </w:tc>
              <w:tc>
                <w:tcPr>
                  <w:tcW w:w="256" w:type="pct"/>
                  <w:shd w:val="clear" w:color="auto" w:fill="auto"/>
                </w:tcPr>
                <w:p w14:paraId="5DF3BF26" w14:textId="77777777" w:rsidR="00007BE2" w:rsidRDefault="00007BE2" w:rsidP="00FA38E0">
                  <w:pPr>
                    <w:pStyle w:val="TableBodyText"/>
                    <w:spacing w:before="40"/>
                  </w:pPr>
                  <w:r>
                    <w:t>6</w:t>
                  </w:r>
                </w:p>
              </w:tc>
            </w:tr>
            <w:tr w:rsidR="00007BE2" w14:paraId="459C73CB" w14:textId="77777777" w:rsidTr="00FD73D5">
              <w:tc>
                <w:tcPr>
                  <w:tcW w:w="325" w:type="pct"/>
                  <w:shd w:val="clear" w:color="auto" w:fill="auto"/>
                </w:tcPr>
                <w:p w14:paraId="2D655737" w14:textId="48E47950" w:rsidR="00CB2717" w:rsidRDefault="00CB2717" w:rsidP="00CB2717">
                  <w:pPr>
                    <w:pStyle w:val="TableBodyText"/>
                    <w:jc w:val="left"/>
                  </w:pPr>
                  <w:r>
                    <w:t>E10.</w:t>
                  </w:r>
                </w:p>
              </w:tc>
              <w:tc>
                <w:tcPr>
                  <w:tcW w:w="4419" w:type="pct"/>
                  <w:gridSpan w:val="2"/>
                  <w:shd w:val="clear" w:color="auto" w:fill="auto"/>
                </w:tcPr>
                <w:p w14:paraId="6B49BD37" w14:textId="77777777" w:rsidR="00007BE2" w:rsidRDefault="00007BE2" w:rsidP="00CB2717">
                  <w:pPr>
                    <w:pStyle w:val="TableBodyText"/>
                    <w:jc w:val="left"/>
                  </w:pPr>
                  <w:r w:rsidRPr="00881259">
                    <w:t>Are there material systemic risks in the superannuation system?</w:t>
                  </w:r>
                </w:p>
              </w:tc>
              <w:tc>
                <w:tcPr>
                  <w:tcW w:w="256" w:type="pct"/>
                  <w:shd w:val="clear" w:color="auto" w:fill="auto"/>
                </w:tcPr>
                <w:p w14:paraId="06ECCDB6" w14:textId="77777777" w:rsidR="00007BE2" w:rsidRDefault="00007BE2" w:rsidP="00FA38E0">
                  <w:pPr>
                    <w:pStyle w:val="TableBodyText"/>
                  </w:pPr>
                  <w:r>
                    <w:t>3</w:t>
                  </w:r>
                </w:p>
              </w:tc>
            </w:tr>
            <w:tr w:rsidR="00007BE2" w14:paraId="5A135C78" w14:textId="77777777" w:rsidTr="00FD73D5">
              <w:tc>
                <w:tcPr>
                  <w:tcW w:w="5000" w:type="pct"/>
                  <w:gridSpan w:val="4"/>
                  <w:shd w:val="clear" w:color="auto" w:fill="E0EEC6" w:themeFill="accent3" w:themeFillTint="66"/>
                </w:tcPr>
                <w:p w14:paraId="1E1300D3" w14:textId="7D2B6340" w:rsidR="00007BE2" w:rsidRPr="006263F7" w:rsidRDefault="00B03ECA" w:rsidP="00FA38E0">
                  <w:pPr>
                    <w:pStyle w:val="TableColumnHeading"/>
                    <w:spacing w:before="40" w:after="40"/>
                    <w:jc w:val="left"/>
                    <w:rPr>
                      <w:b/>
                      <w:i w:val="0"/>
                    </w:rPr>
                  </w:pPr>
                  <w:r>
                    <w:rPr>
                      <w:b/>
                      <w:i w:val="0"/>
                    </w:rPr>
                    <w:t xml:space="preserve">System-level objective #4: </w:t>
                  </w:r>
                  <w:r w:rsidR="00007BE2" w:rsidRPr="00B03ECA">
                    <w:rPr>
                      <w:i w:val="0"/>
                    </w:rPr>
                    <w:t>The superannuation system provides value for money insurance cover without unduly eroding member balances</w:t>
                  </w:r>
                </w:p>
              </w:tc>
            </w:tr>
            <w:tr w:rsidR="00007BE2" w14:paraId="350DDA3A" w14:textId="77777777" w:rsidTr="00FD73D5">
              <w:tc>
                <w:tcPr>
                  <w:tcW w:w="325" w:type="pct"/>
                  <w:shd w:val="clear" w:color="auto" w:fill="auto"/>
                </w:tcPr>
                <w:p w14:paraId="39B271E0" w14:textId="0CF7D5A2" w:rsidR="00CB2717" w:rsidRDefault="00CB2717" w:rsidP="00CB2717">
                  <w:pPr>
                    <w:pStyle w:val="TableBodyText"/>
                    <w:jc w:val="left"/>
                  </w:pPr>
                  <w:r>
                    <w:t>E11.</w:t>
                  </w:r>
                </w:p>
              </w:tc>
              <w:tc>
                <w:tcPr>
                  <w:tcW w:w="4419" w:type="pct"/>
                  <w:gridSpan w:val="2"/>
                  <w:shd w:val="clear" w:color="auto" w:fill="auto"/>
                </w:tcPr>
                <w:p w14:paraId="33CF3BD0" w14:textId="77777777" w:rsidR="00007BE2" w:rsidRDefault="00007BE2" w:rsidP="00CB2717">
                  <w:pPr>
                    <w:pStyle w:val="TableBodyText"/>
                    <w:jc w:val="left"/>
                  </w:pPr>
                  <w:r w:rsidRPr="00881259">
                    <w:t>Do funds offer value for money insurance products to members?</w:t>
                  </w:r>
                </w:p>
              </w:tc>
              <w:tc>
                <w:tcPr>
                  <w:tcW w:w="256" w:type="pct"/>
                  <w:shd w:val="clear" w:color="auto" w:fill="auto"/>
                </w:tcPr>
                <w:p w14:paraId="30367AB2" w14:textId="77777777" w:rsidR="00007BE2" w:rsidRDefault="00007BE2" w:rsidP="00FA38E0">
                  <w:pPr>
                    <w:pStyle w:val="TableBodyText"/>
                    <w:spacing w:before="40"/>
                  </w:pPr>
                  <w:r>
                    <w:t>10</w:t>
                  </w:r>
                </w:p>
              </w:tc>
            </w:tr>
            <w:tr w:rsidR="00007BE2" w14:paraId="7AC572C8" w14:textId="77777777" w:rsidTr="00FD73D5">
              <w:tc>
                <w:tcPr>
                  <w:tcW w:w="325" w:type="pct"/>
                  <w:shd w:val="clear" w:color="auto" w:fill="auto"/>
                </w:tcPr>
                <w:p w14:paraId="34A7303D" w14:textId="4427852C" w:rsidR="00CB2717" w:rsidRDefault="00CB2717" w:rsidP="00CB2717">
                  <w:pPr>
                    <w:pStyle w:val="TableBodyText"/>
                    <w:jc w:val="left"/>
                  </w:pPr>
                  <w:r>
                    <w:t>E12.</w:t>
                  </w:r>
                </w:p>
              </w:tc>
              <w:tc>
                <w:tcPr>
                  <w:tcW w:w="4419" w:type="pct"/>
                  <w:gridSpan w:val="2"/>
                  <w:shd w:val="clear" w:color="auto" w:fill="auto"/>
                </w:tcPr>
                <w:p w14:paraId="6F79BB8F" w14:textId="77777777" w:rsidR="00007BE2" w:rsidRDefault="00007BE2" w:rsidP="00CB2717">
                  <w:pPr>
                    <w:pStyle w:val="TableBodyText"/>
                    <w:jc w:val="left"/>
                  </w:pPr>
                  <w:r w:rsidRPr="00881259">
                    <w:t xml:space="preserve">Are the costs of insurance being minimised </w:t>
                  </w:r>
                  <w:r>
                    <w:t xml:space="preserve">for the level and quality </w:t>
                  </w:r>
                  <w:r w:rsidRPr="00881259">
                    <w:t>of cover?</w:t>
                  </w:r>
                </w:p>
              </w:tc>
              <w:tc>
                <w:tcPr>
                  <w:tcW w:w="256" w:type="pct"/>
                  <w:shd w:val="clear" w:color="auto" w:fill="auto"/>
                </w:tcPr>
                <w:p w14:paraId="2C1D4AA5" w14:textId="77777777" w:rsidR="00007BE2" w:rsidRDefault="00007BE2" w:rsidP="00FA38E0">
                  <w:pPr>
                    <w:pStyle w:val="TableBodyText"/>
                  </w:pPr>
                  <w:r>
                    <w:t>7</w:t>
                  </w:r>
                </w:p>
              </w:tc>
            </w:tr>
            <w:tr w:rsidR="00007BE2" w14:paraId="100A236F" w14:textId="77777777" w:rsidTr="00FD73D5">
              <w:tc>
                <w:tcPr>
                  <w:tcW w:w="5000" w:type="pct"/>
                  <w:gridSpan w:val="4"/>
                  <w:shd w:val="clear" w:color="auto" w:fill="E0EEC6" w:themeFill="accent3" w:themeFillTint="66"/>
                </w:tcPr>
                <w:p w14:paraId="03D15081" w14:textId="31FC001A" w:rsidR="00007BE2" w:rsidRPr="00B41300" w:rsidRDefault="00B03ECA" w:rsidP="00FA38E0">
                  <w:pPr>
                    <w:pStyle w:val="TableColumnHeading"/>
                    <w:spacing w:before="40" w:after="40"/>
                    <w:jc w:val="left"/>
                    <w:rPr>
                      <w:b/>
                      <w:i w:val="0"/>
                    </w:rPr>
                  </w:pPr>
                  <w:r w:rsidRPr="00B41300">
                    <w:rPr>
                      <w:b/>
                      <w:i w:val="0"/>
                    </w:rPr>
                    <w:t xml:space="preserve">System-level objective #5: </w:t>
                  </w:r>
                  <w:r w:rsidR="00007BE2" w:rsidRPr="00B41300">
                    <w:rPr>
                      <w:i w:val="0"/>
                    </w:rPr>
                    <w:t>Competition in the superannuation system should drive efficient outcomes for members</w:t>
                  </w:r>
                </w:p>
              </w:tc>
            </w:tr>
            <w:tr w:rsidR="00007BE2" w14:paraId="15370B63" w14:textId="77777777" w:rsidTr="006422DA">
              <w:tc>
                <w:tcPr>
                  <w:tcW w:w="4744" w:type="pct"/>
                  <w:gridSpan w:val="3"/>
                  <w:shd w:val="clear" w:color="auto" w:fill="F2F2F2" w:themeFill="background1" w:themeFillShade="F2"/>
                </w:tcPr>
                <w:p w14:paraId="6FFE0022" w14:textId="77777777" w:rsidR="00007BE2" w:rsidRPr="007911FC" w:rsidRDefault="00007BE2" w:rsidP="00FA38E0">
                  <w:pPr>
                    <w:pStyle w:val="TableBodyText"/>
                    <w:spacing w:before="40"/>
                    <w:jc w:val="left"/>
                    <w:rPr>
                      <w:i/>
                    </w:rPr>
                  </w:pPr>
                  <w:r w:rsidRPr="007911FC">
                    <w:rPr>
                      <w:i/>
                    </w:rPr>
                    <w:t>Market structure</w:t>
                  </w:r>
                </w:p>
              </w:tc>
              <w:tc>
                <w:tcPr>
                  <w:tcW w:w="256" w:type="pct"/>
                  <w:shd w:val="clear" w:color="auto" w:fill="F2F2F2" w:themeFill="background1" w:themeFillShade="F2"/>
                </w:tcPr>
                <w:p w14:paraId="7E581BFF" w14:textId="77777777" w:rsidR="00007BE2" w:rsidRDefault="00007BE2" w:rsidP="00FA38E0">
                  <w:pPr>
                    <w:pStyle w:val="TableBodyText"/>
                    <w:spacing w:before="40"/>
                  </w:pPr>
                </w:p>
              </w:tc>
            </w:tr>
            <w:tr w:rsidR="00007BE2" w14:paraId="035AE9B3" w14:textId="77777777" w:rsidTr="00CB2717">
              <w:tc>
                <w:tcPr>
                  <w:tcW w:w="325" w:type="pct"/>
                  <w:shd w:val="clear" w:color="auto" w:fill="auto"/>
                </w:tcPr>
                <w:p w14:paraId="2D6C1B67" w14:textId="097C55BD" w:rsidR="00CB2717" w:rsidRDefault="00CB2717" w:rsidP="00CB2717">
                  <w:pPr>
                    <w:pStyle w:val="TableBodyText"/>
                    <w:jc w:val="left"/>
                  </w:pPr>
                  <w:r>
                    <w:t>C1.</w:t>
                  </w:r>
                </w:p>
              </w:tc>
              <w:tc>
                <w:tcPr>
                  <w:tcW w:w="4419" w:type="pct"/>
                  <w:gridSpan w:val="2"/>
                  <w:shd w:val="clear" w:color="auto" w:fill="auto"/>
                </w:tcPr>
                <w:p w14:paraId="7BBC9147" w14:textId="77777777" w:rsidR="00007BE2" w:rsidRDefault="00007BE2" w:rsidP="00CB2717">
                  <w:pPr>
                    <w:pStyle w:val="TableBodyText"/>
                    <w:jc w:val="left"/>
                  </w:pPr>
                  <w:r>
                    <w:t>Is there informed member engagement?</w:t>
                  </w:r>
                </w:p>
              </w:tc>
              <w:tc>
                <w:tcPr>
                  <w:tcW w:w="256" w:type="pct"/>
                  <w:shd w:val="clear" w:color="auto" w:fill="auto"/>
                </w:tcPr>
                <w:p w14:paraId="0C1E5977" w14:textId="77777777" w:rsidR="00007BE2" w:rsidRDefault="00007BE2" w:rsidP="00FA38E0">
                  <w:pPr>
                    <w:pStyle w:val="TableBodyText"/>
                  </w:pPr>
                  <w:r>
                    <w:t>8</w:t>
                  </w:r>
                </w:p>
              </w:tc>
            </w:tr>
            <w:tr w:rsidR="00007BE2" w14:paraId="2C0A1894" w14:textId="77777777" w:rsidTr="00CB2717">
              <w:tc>
                <w:tcPr>
                  <w:tcW w:w="325" w:type="pct"/>
                  <w:shd w:val="clear" w:color="auto" w:fill="auto"/>
                </w:tcPr>
                <w:p w14:paraId="607528BE" w14:textId="0199E6F0" w:rsidR="00CB2717" w:rsidRDefault="00CB2717" w:rsidP="00CB2717">
                  <w:pPr>
                    <w:pStyle w:val="TableBodyText"/>
                    <w:jc w:val="left"/>
                  </w:pPr>
                  <w:r>
                    <w:t>C2.</w:t>
                  </w:r>
                </w:p>
              </w:tc>
              <w:tc>
                <w:tcPr>
                  <w:tcW w:w="4419" w:type="pct"/>
                  <w:gridSpan w:val="2"/>
                  <w:shd w:val="clear" w:color="auto" w:fill="auto"/>
                </w:tcPr>
                <w:p w14:paraId="51C425BC" w14:textId="77777777" w:rsidR="00007BE2" w:rsidRDefault="00007BE2" w:rsidP="00CB2717">
                  <w:pPr>
                    <w:pStyle w:val="TableBodyText"/>
                    <w:jc w:val="left"/>
                  </w:pPr>
                  <w:r>
                    <w:t>Are active members and member intermediaries able to exert material competitive pressure?</w:t>
                  </w:r>
                </w:p>
              </w:tc>
              <w:tc>
                <w:tcPr>
                  <w:tcW w:w="256" w:type="pct"/>
                  <w:shd w:val="clear" w:color="auto" w:fill="auto"/>
                </w:tcPr>
                <w:p w14:paraId="6CE86F7E" w14:textId="77777777" w:rsidR="00007BE2" w:rsidRDefault="00007BE2" w:rsidP="00FA38E0">
                  <w:pPr>
                    <w:pStyle w:val="TableBodyText"/>
                  </w:pPr>
                  <w:r>
                    <w:t>7</w:t>
                  </w:r>
                </w:p>
              </w:tc>
            </w:tr>
            <w:tr w:rsidR="00007BE2" w14:paraId="2BD6D7A3" w14:textId="77777777" w:rsidTr="00CB2717">
              <w:tc>
                <w:tcPr>
                  <w:tcW w:w="325" w:type="pct"/>
                  <w:shd w:val="clear" w:color="auto" w:fill="auto"/>
                </w:tcPr>
                <w:p w14:paraId="131D9BD5" w14:textId="590BC883" w:rsidR="00CB2717" w:rsidRDefault="00CB2717" w:rsidP="00CB2717">
                  <w:pPr>
                    <w:pStyle w:val="TableBodyText"/>
                    <w:jc w:val="left"/>
                  </w:pPr>
                  <w:r>
                    <w:t>C3.</w:t>
                  </w:r>
                </w:p>
              </w:tc>
              <w:tc>
                <w:tcPr>
                  <w:tcW w:w="4419" w:type="pct"/>
                  <w:gridSpan w:val="2"/>
                  <w:shd w:val="clear" w:color="auto" w:fill="auto"/>
                </w:tcPr>
                <w:p w14:paraId="1A5DBD82" w14:textId="77777777" w:rsidR="00007BE2" w:rsidRDefault="00007BE2" w:rsidP="00CB2717">
                  <w:pPr>
                    <w:pStyle w:val="TableBodyText"/>
                    <w:jc w:val="left"/>
                  </w:pPr>
                  <w:r>
                    <w:t>Is the market structure conducive to rivalry?</w:t>
                  </w:r>
                </w:p>
              </w:tc>
              <w:tc>
                <w:tcPr>
                  <w:tcW w:w="256" w:type="pct"/>
                  <w:shd w:val="clear" w:color="auto" w:fill="auto"/>
                </w:tcPr>
                <w:p w14:paraId="193BF29B" w14:textId="77777777" w:rsidR="00007BE2" w:rsidRDefault="00007BE2" w:rsidP="00FA38E0">
                  <w:pPr>
                    <w:pStyle w:val="TableBodyText"/>
                  </w:pPr>
                  <w:r>
                    <w:t>2</w:t>
                  </w:r>
                </w:p>
              </w:tc>
            </w:tr>
            <w:tr w:rsidR="00007BE2" w14:paraId="4A06DA32" w14:textId="77777777" w:rsidTr="00CB2717">
              <w:tc>
                <w:tcPr>
                  <w:tcW w:w="325" w:type="pct"/>
                  <w:shd w:val="clear" w:color="auto" w:fill="auto"/>
                </w:tcPr>
                <w:p w14:paraId="43528DAD" w14:textId="1396B616" w:rsidR="00CB2717" w:rsidRDefault="00CB2717" w:rsidP="00CB2717">
                  <w:pPr>
                    <w:pStyle w:val="TableBodyText"/>
                    <w:jc w:val="left"/>
                  </w:pPr>
                  <w:r>
                    <w:t>C4.</w:t>
                  </w:r>
                </w:p>
              </w:tc>
              <w:tc>
                <w:tcPr>
                  <w:tcW w:w="4419" w:type="pct"/>
                  <w:gridSpan w:val="2"/>
                  <w:shd w:val="clear" w:color="auto" w:fill="auto"/>
                </w:tcPr>
                <w:p w14:paraId="6C1B4BF3" w14:textId="77777777" w:rsidR="00007BE2" w:rsidRDefault="00007BE2" w:rsidP="00CB2717">
                  <w:pPr>
                    <w:pStyle w:val="TableBodyText"/>
                    <w:jc w:val="left"/>
                  </w:pPr>
                  <w:r>
                    <w:t>Is the market contestable at the retail level?</w:t>
                  </w:r>
                </w:p>
              </w:tc>
              <w:tc>
                <w:tcPr>
                  <w:tcW w:w="256" w:type="pct"/>
                  <w:shd w:val="clear" w:color="auto" w:fill="auto"/>
                </w:tcPr>
                <w:p w14:paraId="6E3D8AE8" w14:textId="77777777" w:rsidR="00007BE2" w:rsidRDefault="00007BE2" w:rsidP="00FA38E0">
                  <w:pPr>
                    <w:pStyle w:val="TableBodyText"/>
                  </w:pPr>
                  <w:r>
                    <w:t>3</w:t>
                  </w:r>
                </w:p>
              </w:tc>
            </w:tr>
            <w:tr w:rsidR="00007BE2" w14:paraId="45F7A4A9" w14:textId="77777777" w:rsidTr="00CB2717">
              <w:tc>
                <w:tcPr>
                  <w:tcW w:w="325" w:type="pct"/>
                  <w:shd w:val="clear" w:color="auto" w:fill="auto"/>
                </w:tcPr>
                <w:p w14:paraId="7082040E" w14:textId="6544C8F9" w:rsidR="00CB2717" w:rsidRDefault="00CB2717" w:rsidP="00CB2717">
                  <w:pPr>
                    <w:pStyle w:val="TableBodyText"/>
                    <w:jc w:val="left"/>
                  </w:pPr>
                  <w:r>
                    <w:t>C5.</w:t>
                  </w:r>
                </w:p>
              </w:tc>
              <w:tc>
                <w:tcPr>
                  <w:tcW w:w="4419" w:type="pct"/>
                  <w:gridSpan w:val="2"/>
                  <w:shd w:val="clear" w:color="auto" w:fill="auto"/>
                </w:tcPr>
                <w:p w14:paraId="03ED8A02" w14:textId="77777777" w:rsidR="00007BE2" w:rsidRDefault="00007BE2" w:rsidP="00CB2717">
                  <w:pPr>
                    <w:pStyle w:val="TableBodyText"/>
                    <w:jc w:val="left"/>
                  </w:pPr>
                  <w:r>
                    <w:t>Are there material anticompetitive effects of vertical and horizontal integration?</w:t>
                  </w:r>
                </w:p>
              </w:tc>
              <w:tc>
                <w:tcPr>
                  <w:tcW w:w="256" w:type="pct"/>
                  <w:shd w:val="clear" w:color="auto" w:fill="auto"/>
                </w:tcPr>
                <w:p w14:paraId="4AD41A09" w14:textId="77777777" w:rsidR="00007BE2" w:rsidRDefault="00007BE2" w:rsidP="00FA38E0">
                  <w:pPr>
                    <w:pStyle w:val="TableBodyText"/>
                  </w:pPr>
                  <w:r>
                    <w:t>6</w:t>
                  </w:r>
                </w:p>
              </w:tc>
            </w:tr>
            <w:tr w:rsidR="00007BE2" w14:paraId="7F4B73ED" w14:textId="77777777" w:rsidTr="006422DA">
              <w:tc>
                <w:tcPr>
                  <w:tcW w:w="4744" w:type="pct"/>
                  <w:gridSpan w:val="3"/>
                  <w:shd w:val="clear" w:color="auto" w:fill="F2F2F2" w:themeFill="background1" w:themeFillShade="F2"/>
                </w:tcPr>
                <w:p w14:paraId="4874B59F" w14:textId="77777777" w:rsidR="00007BE2" w:rsidRPr="007911FC" w:rsidRDefault="00007BE2" w:rsidP="00FA38E0">
                  <w:pPr>
                    <w:pStyle w:val="TableBodyText"/>
                    <w:spacing w:before="40"/>
                    <w:jc w:val="left"/>
                    <w:rPr>
                      <w:i/>
                    </w:rPr>
                  </w:pPr>
                  <w:r w:rsidRPr="007911FC">
                    <w:rPr>
                      <w:i/>
                    </w:rPr>
                    <w:t>Conduct and outcomes</w:t>
                  </w:r>
                </w:p>
              </w:tc>
              <w:tc>
                <w:tcPr>
                  <w:tcW w:w="256" w:type="pct"/>
                  <w:shd w:val="clear" w:color="auto" w:fill="F2F2F2" w:themeFill="background1" w:themeFillShade="F2"/>
                </w:tcPr>
                <w:p w14:paraId="40686084" w14:textId="77777777" w:rsidR="00007BE2" w:rsidRDefault="00007BE2" w:rsidP="00FA38E0">
                  <w:pPr>
                    <w:pStyle w:val="TableBodyText"/>
                    <w:spacing w:before="40"/>
                  </w:pPr>
                </w:p>
              </w:tc>
            </w:tr>
            <w:tr w:rsidR="00007BE2" w14:paraId="6C3B46EC" w14:textId="77777777" w:rsidTr="00CB2717">
              <w:tc>
                <w:tcPr>
                  <w:tcW w:w="325" w:type="pct"/>
                  <w:shd w:val="clear" w:color="auto" w:fill="auto"/>
                </w:tcPr>
                <w:p w14:paraId="1F1B425C" w14:textId="26AF03A5" w:rsidR="00CB2717" w:rsidRDefault="00CB2717" w:rsidP="00CB2717">
                  <w:pPr>
                    <w:pStyle w:val="TableBodyText"/>
                    <w:jc w:val="left"/>
                  </w:pPr>
                  <w:r>
                    <w:t>C6.</w:t>
                  </w:r>
                </w:p>
              </w:tc>
              <w:tc>
                <w:tcPr>
                  <w:tcW w:w="4419" w:type="pct"/>
                  <w:gridSpan w:val="2"/>
                  <w:shd w:val="clear" w:color="auto" w:fill="auto"/>
                </w:tcPr>
                <w:p w14:paraId="0CAB5259" w14:textId="77777777" w:rsidR="00007BE2" w:rsidRDefault="00007BE2" w:rsidP="00CB2717">
                  <w:pPr>
                    <w:pStyle w:val="TableBodyText"/>
                    <w:jc w:val="left"/>
                  </w:pPr>
                  <w:r>
                    <w:t>Do funds compete on costs/price?</w:t>
                  </w:r>
                </w:p>
              </w:tc>
              <w:tc>
                <w:tcPr>
                  <w:tcW w:w="256" w:type="pct"/>
                  <w:shd w:val="clear" w:color="auto" w:fill="auto"/>
                </w:tcPr>
                <w:p w14:paraId="2382CE91" w14:textId="77777777" w:rsidR="00007BE2" w:rsidRDefault="00007BE2" w:rsidP="00FA38E0">
                  <w:pPr>
                    <w:pStyle w:val="TableBodyText"/>
                  </w:pPr>
                  <w:r>
                    <w:t>6</w:t>
                  </w:r>
                </w:p>
              </w:tc>
            </w:tr>
            <w:tr w:rsidR="00007BE2" w14:paraId="3AC37FBC" w14:textId="77777777" w:rsidTr="00CB2717">
              <w:tc>
                <w:tcPr>
                  <w:tcW w:w="325" w:type="pct"/>
                  <w:shd w:val="clear" w:color="auto" w:fill="auto"/>
                </w:tcPr>
                <w:p w14:paraId="0C82F8D1" w14:textId="7B55F144" w:rsidR="00CB2717" w:rsidRDefault="00CB2717" w:rsidP="00CB2717">
                  <w:pPr>
                    <w:pStyle w:val="TableBodyText"/>
                    <w:jc w:val="left"/>
                  </w:pPr>
                  <w:r>
                    <w:t>C7.</w:t>
                  </w:r>
                </w:p>
              </w:tc>
              <w:tc>
                <w:tcPr>
                  <w:tcW w:w="4419" w:type="pct"/>
                  <w:gridSpan w:val="2"/>
                  <w:shd w:val="clear" w:color="auto" w:fill="auto"/>
                </w:tcPr>
                <w:p w14:paraId="391CB90E" w14:textId="77777777" w:rsidR="00007BE2" w:rsidRDefault="00007BE2" w:rsidP="00CB2717">
                  <w:pPr>
                    <w:pStyle w:val="TableBodyText"/>
                    <w:jc w:val="left"/>
                  </w:pPr>
                  <w:r>
                    <w:t>Are economies of scale realised and the benefits passed through to members?</w:t>
                  </w:r>
                </w:p>
              </w:tc>
              <w:tc>
                <w:tcPr>
                  <w:tcW w:w="256" w:type="pct"/>
                  <w:shd w:val="clear" w:color="auto" w:fill="auto"/>
                </w:tcPr>
                <w:p w14:paraId="1DF42887" w14:textId="77777777" w:rsidR="00007BE2" w:rsidRDefault="00007BE2" w:rsidP="00FA38E0">
                  <w:pPr>
                    <w:pStyle w:val="TableBodyText"/>
                  </w:pPr>
                  <w:r>
                    <w:t>5</w:t>
                  </w:r>
                </w:p>
              </w:tc>
            </w:tr>
            <w:tr w:rsidR="00007BE2" w14:paraId="31DFFD24" w14:textId="77777777" w:rsidTr="00CB2717">
              <w:tc>
                <w:tcPr>
                  <w:tcW w:w="325" w:type="pct"/>
                  <w:shd w:val="clear" w:color="auto" w:fill="auto"/>
                </w:tcPr>
                <w:p w14:paraId="71246826" w14:textId="3555182B" w:rsidR="00CB2717" w:rsidRDefault="00CB2717" w:rsidP="00CB2717">
                  <w:pPr>
                    <w:pStyle w:val="TableBodyText"/>
                    <w:jc w:val="left"/>
                  </w:pPr>
                  <w:r>
                    <w:t>C8.</w:t>
                  </w:r>
                </w:p>
              </w:tc>
              <w:tc>
                <w:tcPr>
                  <w:tcW w:w="4419" w:type="pct"/>
                  <w:gridSpan w:val="2"/>
                  <w:shd w:val="clear" w:color="auto" w:fill="auto"/>
                </w:tcPr>
                <w:p w14:paraId="79082E14" w14:textId="77777777" w:rsidR="00007BE2" w:rsidRDefault="00007BE2" w:rsidP="00CB2717">
                  <w:pPr>
                    <w:pStyle w:val="TableBodyText"/>
                    <w:jc w:val="left"/>
                  </w:pPr>
                  <w:r>
                    <w:t>Do funds compete on member</w:t>
                  </w:r>
                  <w:r>
                    <w:noBreakHyphen/>
                    <w:t>relevant non</w:t>
                  </w:r>
                  <w:r>
                    <w:noBreakHyphen/>
                    <w:t>price dimensions?</w:t>
                  </w:r>
                </w:p>
              </w:tc>
              <w:tc>
                <w:tcPr>
                  <w:tcW w:w="256" w:type="pct"/>
                  <w:shd w:val="clear" w:color="auto" w:fill="auto"/>
                </w:tcPr>
                <w:p w14:paraId="49DCACDA" w14:textId="77777777" w:rsidR="00007BE2" w:rsidRDefault="00007BE2" w:rsidP="00FA38E0">
                  <w:pPr>
                    <w:pStyle w:val="TableBodyText"/>
                  </w:pPr>
                  <w:r>
                    <w:t>5</w:t>
                  </w:r>
                </w:p>
              </w:tc>
            </w:tr>
            <w:tr w:rsidR="00007BE2" w14:paraId="6B46FE4E" w14:textId="77777777" w:rsidTr="00CB2717">
              <w:tc>
                <w:tcPr>
                  <w:tcW w:w="325" w:type="pct"/>
                  <w:shd w:val="clear" w:color="auto" w:fill="auto"/>
                </w:tcPr>
                <w:p w14:paraId="5145AEAF" w14:textId="19CC16DB" w:rsidR="00CB2717" w:rsidRDefault="00CB2717" w:rsidP="00CB2717">
                  <w:pPr>
                    <w:pStyle w:val="TableBodyText"/>
                    <w:jc w:val="left"/>
                  </w:pPr>
                  <w:r>
                    <w:t>C9.</w:t>
                  </w:r>
                </w:p>
              </w:tc>
              <w:tc>
                <w:tcPr>
                  <w:tcW w:w="4419" w:type="pct"/>
                  <w:gridSpan w:val="2"/>
                  <w:shd w:val="clear" w:color="auto" w:fill="auto"/>
                </w:tcPr>
                <w:p w14:paraId="78FF0EAA" w14:textId="77777777" w:rsidR="00007BE2" w:rsidRDefault="00007BE2" w:rsidP="00CB2717">
                  <w:pPr>
                    <w:pStyle w:val="TableBodyText"/>
                    <w:jc w:val="left"/>
                  </w:pPr>
                  <w:r>
                    <w:t>Is there innovation and quality improvement in the system?</w:t>
                  </w:r>
                </w:p>
              </w:tc>
              <w:tc>
                <w:tcPr>
                  <w:tcW w:w="256" w:type="pct"/>
                  <w:shd w:val="clear" w:color="auto" w:fill="auto"/>
                </w:tcPr>
                <w:p w14:paraId="6BE27FA0" w14:textId="77777777" w:rsidR="00007BE2" w:rsidRDefault="00007BE2" w:rsidP="00FA38E0">
                  <w:pPr>
                    <w:pStyle w:val="TableBodyText"/>
                  </w:pPr>
                  <w:r>
                    <w:t>3</w:t>
                  </w:r>
                </w:p>
              </w:tc>
            </w:tr>
            <w:tr w:rsidR="00007BE2" w14:paraId="3296040F" w14:textId="77777777" w:rsidTr="00CB2717">
              <w:tc>
                <w:tcPr>
                  <w:tcW w:w="325" w:type="pct"/>
                  <w:tcBorders>
                    <w:bottom w:val="single" w:sz="6" w:space="0" w:color="BFBFBF"/>
                  </w:tcBorders>
                  <w:shd w:val="clear" w:color="auto" w:fill="auto"/>
                </w:tcPr>
                <w:p w14:paraId="243BBB16" w14:textId="4ACEC63D" w:rsidR="00CB2717" w:rsidRDefault="00CB2717" w:rsidP="00CB2717">
                  <w:pPr>
                    <w:pStyle w:val="TableBodyText"/>
                    <w:jc w:val="left"/>
                  </w:pPr>
                  <w:r>
                    <w:t>C10.</w:t>
                  </w:r>
                </w:p>
              </w:tc>
              <w:tc>
                <w:tcPr>
                  <w:tcW w:w="4419" w:type="pct"/>
                  <w:gridSpan w:val="2"/>
                  <w:tcBorders>
                    <w:bottom w:val="single" w:sz="6" w:space="0" w:color="BFBFBF"/>
                  </w:tcBorders>
                  <w:shd w:val="clear" w:color="auto" w:fill="auto"/>
                </w:tcPr>
                <w:p w14:paraId="1D96E6CE" w14:textId="77777777" w:rsidR="00007BE2" w:rsidRDefault="00007BE2" w:rsidP="00CB2717">
                  <w:pPr>
                    <w:pStyle w:val="TableBodyText"/>
                    <w:jc w:val="left"/>
                  </w:pPr>
                  <w:r>
                    <w:t>Are outcomes improving at the system level?</w:t>
                  </w:r>
                </w:p>
              </w:tc>
              <w:tc>
                <w:tcPr>
                  <w:tcW w:w="256" w:type="pct"/>
                  <w:tcBorders>
                    <w:bottom w:val="single" w:sz="6" w:space="0" w:color="BFBFBF"/>
                  </w:tcBorders>
                  <w:shd w:val="clear" w:color="auto" w:fill="auto"/>
                </w:tcPr>
                <w:p w14:paraId="4121390A" w14:textId="77777777" w:rsidR="00007BE2" w:rsidRDefault="00007BE2" w:rsidP="00FA38E0">
                  <w:pPr>
                    <w:pStyle w:val="TableBodyText"/>
                  </w:pPr>
                  <w:r>
                    <w:t>2</w:t>
                  </w:r>
                </w:p>
              </w:tc>
            </w:tr>
          </w:tbl>
          <w:p w14:paraId="40267B9B" w14:textId="77777777" w:rsidR="00007BE2" w:rsidRDefault="00007BE2" w:rsidP="00FA38E0">
            <w:pPr>
              <w:pStyle w:val="Box"/>
            </w:pPr>
          </w:p>
        </w:tc>
      </w:tr>
      <w:tr w:rsidR="00007BE2" w14:paraId="16F3DE32" w14:textId="77777777" w:rsidTr="00B41300">
        <w:tc>
          <w:tcPr>
            <w:tcW w:w="8767" w:type="dxa"/>
            <w:tcBorders>
              <w:top w:val="nil"/>
              <w:left w:val="nil"/>
              <w:bottom w:val="nil"/>
              <w:right w:val="nil"/>
            </w:tcBorders>
            <w:shd w:val="clear" w:color="auto" w:fill="auto"/>
          </w:tcPr>
          <w:p w14:paraId="5DB57FC7" w14:textId="77777777" w:rsidR="00007BE2" w:rsidRDefault="00007BE2" w:rsidP="00FA38E0">
            <w:pPr>
              <w:pStyle w:val="Note"/>
              <w:rPr>
                <w:i/>
              </w:rPr>
            </w:pPr>
            <w:r w:rsidRPr="008E77FE">
              <w:rPr>
                <w:rStyle w:val="NoteLabel"/>
              </w:rPr>
              <w:t>a</w:t>
            </w:r>
            <w:r>
              <w:t xml:space="preserve"> Many indicators are used multiple times. In total there are 89 unique indicators.</w:t>
            </w:r>
          </w:p>
        </w:tc>
      </w:tr>
      <w:tr w:rsidR="00007BE2" w14:paraId="24D56C98" w14:textId="77777777" w:rsidTr="00B41300">
        <w:tc>
          <w:tcPr>
            <w:tcW w:w="8767" w:type="dxa"/>
            <w:tcBorders>
              <w:top w:val="nil"/>
              <w:left w:val="nil"/>
              <w:bottom w:val="single" w:sz="6" w:space="0" w:color="78A22F"/>
              <w:right w:val="nil"/>
            </w:tcBorders>
            <w:shd w:val="clear" w:color="auto" w:fill="auto"/>
          </w:tcPr>
          <w:p w14:paraId="249FE308" w14:textId="77777777" w:rsidR="00007BE2" w:rsidRDefault="00007BE2" w:rsidP="00FA38E0">
            <w:pPr>
              <w:pStyle w:val="Box"/>
              <w:spacing w:before="0" w:line="120" w:lineRule="exact"/>
            </w:pPr>
          </w:p>
        </w:tc>
      </w:tr>
      <w:tr w:rsidR="00007BE2" w:rsidRPr="000863A5" w14:paraId="4F4030A0" w14:textId="77777777" w:rsidTr="00B41300">
        <w:tc>
          <w:tcPr>
            <w:tcW w:w="8767" w:type="dxa"/>
            <w:tcBorders>
              <w:top w:val="single" w:sz="6" w:space="0" w:color="78A22F"/>
              <w:left w:val="nil"/>
              <w:bottom w:val="nil"/>
              <w:right w:val="nil"/>
            </w:tcBorders>
          </w:tcPr>
          <w:p w14:paraId="2AB3D006" w14:textId="77777777" w:rsidR="00007BE2" w:rsidRPr="00626D32" w:rsidRDefault="00007BE2" w:rsidP="00FA38E0">
            <w:pPr>
              <w:pStyle w:val="BoxSpaceBelow"/>
            </w:pPr>
          </w:p>
        </w:tc>
      </w:tr>
    </w:tbl>
    <w:p w14:paraId="116E62BF" w14:textId="77777777" w:rsidR="004B3843" w:rsidRDefault="004B3843" w:rsidP="004B3843">
      <w:pPr>
        <w:pStyle w:val="BodyText"/>
      </w:pPr>
      <w:bookmarkStart w:id="8" w:name="_Toc487031377"/>
      <w:bookmarkStart w:id="9" w:name="_Toc487035877"/>
      <w:r>
        <w:t xml:space="preserve">The Commission’s stage 1 report is careful to acknowledge that some indicators are </w:t>
      </w:r>
      <w:r w:rsidRPr="007F27AE">
        <w:t xml:space="preserve">ambiguous and cannot </w:t>
      </w:r>
      <w:r>
        <w:t xml:space="preserve">(and will not) </w:t>
      </w:r>
      <w:r w:rsidRPr="007F27AE">
        <w:t xml:space="preserve">be interpreted in isolation. Robust evidence and judgment will be required to interpret the meaning of each indicator. In some cases, this meaning may only surface in the presence of other indicators. The indicators </w:t>
      </w:r>
      <w:r>
        <w:t xml:space="preserve">will </w:t>
      </w:r>
      <w:r w:rsidRPr="007F27AE">
        <w:t xml:space="preserve">be </w:t>
      </w:r>
      <w:r w:rsidRPr="007F27AE">
        <w:lastRenderedPageBreak/>
        <w:t xml:space="preserve">considered and interpreted collectively to inform the assessment. </w:t>
      </w:r>
      <w:r w:rsidRPr="00370457">
        <w:t xml:space="preserve">The </w:t>
      </w:r>
      <w:r>
        <w:t xml:space="preserve">Commission’s set of system-level objectives and </w:t>
      </w:r>
      <w:r w:rsidRPr="00370457">
        <w:t>c</w:t>
      </w:r>
      <w:r>
        <w:t>riteria are summarised in table 1</w:t>
      </w:r>
      <w:r w:rsidRPr="00370457">
        <w:t xml:space="preserve"> below, while the full set of </w:t>
      </w:r>
      <w:r>
        <w:t xml:space="preserve">objectives, </w:t>
      </w:r>
      <w:r w:rsidRPr="00370457">
        <w:t xml:space="preserve">criteria and indicators can be found </w:t>
      </w:r>
      <w:r>
        <w:t>in attachment B</w:t>
      </w:r>
      <w:r w:rsidRPr="00370457">
        <w:t>.</w:t>
      </w:r>
    </w:p>
    <w:p w14:paraId="1931B6E6" w14:textId="77777777" w:rsidR="000A0951" w:rsidRPr="002F543F" w:rsidRDefault="000A0951" w:rsidP="000A0951">
      <w:pPr>
        <w:pStyle w:val="Heading2"/>
      </w:pPr>
      <w:r>
        <w:t>3</w:t>
      </w:r>
      <w:r>
        <w:tab/>
        <w:t>How can you contribute to this Inquiry?</w:t>
      </w:r>
      <w:bookmarkEnd w:id="8"/>
      <w:bookmarkEnd w:id="9"/>
    </w:p>
    <w:p w14:paraId="43FDBE52" w14:textId="074AD32B" w:rsidR="00273F13" w:rsidRDefault="000A0951" w:rsidP="000A0951">
      <w:pPr>
        <w:pStyle w:val="BodyText"/>
      </w:pPr>
      <w:r>
        <w:t xml:space="preserve">The Commission appreciates the contributions made by participants of the stage 1 </w:t>
      </w:r>
      <w:r w:rsidR="00520A60">
        <w:t>S</w:t>
      </w:r>
      <w:r>
        <w:t xml:space="preserve">tudy in the development of its assessment framework. </w:t>
      </w:r>
      <w:r w:rsidR="00040F44">
        <w:t>The Commission is keen to also secure the participation of superannuation members for this Inquiry.</w:t>
      </w:r>
    </w:p>
    <w:p w14:paraId="23424BE1" w14:textId="45C916F5" w:rsidR="00273F13" w:rsidRDefault="00F508CC" w:rsidP="000A0951">
      <w:pPr>
        <w:pStyle w:val="BodyText"/>
      </w:pPr>
      <w:r>
        <w:t xml:space="preserve">Notably, the Commission’s consultation with participants in stage 1 is effectively the initial </w:t>
      </w:r>
      <w:r w:rsidR="00273F13">
        <w:t xml:space="preserve">consultation </w:t>
      </w:r>
      <w:r>
        <w:t>for this stage 3 Inquiry.</w:t>
      </w:r>
      <w:r w:rsidR="00273F13">
        <w:t xml:space="preserve"> With the benefit of that early groundwork</w:t>
      </w:r>
      <w:r w:rsidR="00040F44">
        <w:t xml:space="preserve"> and consultation</w:t>
      </w:r>
      <w:r w:rsidR="00273F13">
        <w:t xml:space="preserve">, this issues paper </w:t>
      </w:r>
      <w:r w:rsidR="00040F44">
        <w:t>poses</w:t>
      </w:r>
      <w:r w:rsidR="00273F13">
        <w:t xml:space="preserve"> two types of questions for participant comment — </w:t>
      </w:r>
      <w:r w:rsidR="00273F13" w:rsidRPr="00441FF8">
        <w:rPr>
          <w:i/>
        </w:rPr>
        <w:t>general questions</w:t>
      </w:r>
      <w:r w:rsidR="00040F44">
        <w:rPr>
          <w:i/>
        </w:rPr>
        <w:t xml:space="preserve"> </w:t>
      </w:r>
      <w:r w:rsidR="00040F44">
        <w:t>for all interested participants</w:t>
      </w:r>
      <w:r w:rsidR="00273F13">
        <w:t xml:space="preserve"> and </w:t>
      </w:r>
      <w:r w:rsidR="00273F13" w:rsidRPr="00441FF8">
        <w:rPr>
          <w:i/>
        </w:rPr>
        <w:t>technical questions</w:t>
      </w:r>
      <w:r w:rsidR="00273F13">
        <w:t xml:space="preserve"> for th</w:t>
      </w:r>
      <w:r w:rsidR="00040F44">
        <w:t>ose with the technical expertise</w:t>
      </w:r>
      <w:r w:rsidR="00273F13">
        <w:t xml:space="preserve"> on the more methodologically c</w:t>
      </w:r>
      <w:r w:rsidR="004B35D5">
        <w:t>omplex</w:t>
      </w:r>
      <w:r w:rsidR="00273F13">
        <w:t xml:space="preserve"> parts of the assessment</w:t>
      </w:r>
      <w:r w:rsidR="00CF5726">
        <w:t>.</w:t>
      </w:r>
      <w:r w:rsidR="00273F13">
        <w:t xml:space="preserve"> </w:t>
      </w:r>
    </w:p>
    <w:p w14:paraId="78F35290" w14:textId="5A5B9EC8" w:rsidR="00191B74" w:rsidRDefault="00040F44" w:rsidP="000A0951">
      <w:pPr>
        <w:pStyle w:val="BodyText"/>
      </w:pPr>
      <w:r>
        <w:t xml:space="preserve">As discussed earlier, the Commission considers its assessment framework to be comprehensive and robust. The framework itself covers the ‘lion’s share’ of the Commission’s assessment task as articulated in the Inquiry’s </w:t>
      </w:r>
      <w:r w:rsidR="007B2233">
        <w:t>T</w:t>
      </w:r>
      <w:r>
        <w:t xml:space="preserve">erms of </w:t>
      </w:r>
      <w:r w:rsidR="007B2233">
        <w:t>R</w:t>
      </w:r>
      <w:r>
        <w:t>eference. The Commission has identified some areas that may require evidence supplementary to the framework and they are outlined below.</w:t>
      </w:r>
      <w:r w:rsidR="00CC224E">
        <w:t xml:space="preserve"> </w:t>
      </w:r>
    </w:p>
    <w:p w14:paraId="4165C4AA" w14:textId="22951B5E" w:rsidR="000A0951" w:rsidRDefault="00F508CC" w:rsidP="000A0951">
      <w:pPr>
        <w:pStyle w:val="BodyText"/>
      </w:pPr>
      <w:r>
        <w:t>T</w:t>
      </w:r>
      <w:r w:rsidR="000A0951">
        <w:t xml:space="preserve">here are two </w:t>
      </w:r>
      <w:r w:rsidR="00040F44">
        <w:t>primary</w:t>
      </w:r>
      <w:r w:rsidR="000A0951">
        <w:t xml:space="preserve"> ways participants can contribute to this </w:t>
      </w:r>
      <w:r w:rsidR="001E0E29">
        <w:t xml:space="preserve">Inquiry </w:t>
      </w:r>
      <w:r w:rsidR="00040F44">
        <w:t>given</w:t>
      </w:r>
      <w:r w:rsidR="003E044B">
        <w:t xml:space="preserve"> the</w:t>
      </w:r>
      <w:r w:rsidR="00040F44">
        <w:t xml:space="preserve"> </w:t>
      </w:r>
      <w:r w:rsidR="003E044B">
        <w:t>context of the framework developed in stage 1</w:t>
      </w:r>
      <w:r w:rsidR="00040F44">
        <w:t>. Participants can contribute to the:</w:t>
      </w:r>
      <w:r w:rsidR="000A0951">
        <w:t xml:space="preserve"> </w:t>
      </w:r>
    </w:p>
    <w:p w14:paraId="00D3F5F7" w14:textId="0D14A539" w:rsidR="00F666AC" w:rsidRDefault="00040F44" w:rsidP="000A0951">
      <w:pPr>
        <w:pStyle w:val="ListBullet"/>
      </w:pPr>
      <w:r>
        <w:t>identified</w:t>
      </w:r>
      <w:r w:rsidR="000A0951">
        <w:t xml:space="preserve"> evidence base to underpin the assessment</w:t>
      </w:r>
    </w:p>
    <w:p w14:paraId="5E72D076" w14:textId="6C13389F" w:rsidR="000A0951" w:rsidRDefault="00F666AC" w:rsidP="000A0951">
      <w:pPr>
        <w:pStyle w:val="ListBullet"/>
      </w:pPr>
      <w:r>
        <w:t xml:space="preserve">methodology </w:t>
      </w:r>
      <w:r w:rsidR="00A3047A">
        <w:t>for</w:t>
      </w:r>
      <w:r>
        <w:t xml:space="preserve"> deriving</w:t>
      </w:r>
      <w:r w:rsidR="00570F77">
        <w:t xml:space="preserve"> or interpreting</w:t>
      </w:r>
      <w:r>
        <w:t xml:space="preserve"> particular indicators</w:t>
      </w:r>
      <w:r w:rsidR="000A0951">
        <w:t>.</w:t>
      </w:r>
    </w:p>
    <w:p w14:paraId="55098E28" w14:textId="2BFB3383" w:rsidR="003E044B" w:rsidRDefault="003E044B" w:rsidP="003E044B">
      <w:pPr>
        <w:pStyle w:val="BodyText"/>
      </w:pPr>
      <w:r>
        <w:t xml:space="preserve">The Commission </w:t>
      </w:r>
      <w:r w:rsidR="00D84F7E">
        <w:t xml:space="preserve">is also seeking participant feedback </w:t>
      </w:r>
      <w:r w:rsidR="00040F44">
        <w:t>on</w:t>
      </w:r>
      <w:r w:rsidR="0033515B">
        <w:t xml:space="preserve"> the performance of the current system for allocating default members to products</w:t>
      </w:r>
      <w:r w:rsidR="00040F44">
        <w:t xml:space="preserve"> using the assessment approach developed in stage 2</w:t>
      </w:r>
      <w:r w:rsidR="0033515B">
        <w:t xml:space="preserve"> (discussed later in this section).</w:t>
      </w:r>
      <w:r w:rsidR="00D84F7E">
        <w:t xml:space="preserve"> </w:t>
      </w:r>
    </w:p>
    <w:p w14:paraId="232B5058" w14:textId="635CB807" w:rsidR="00B7584A" w:rsidRDefault="00B7584A" w:rsidP="003E044B">
      <w:pPr>
        <w:pStyle w:val="BodyText"/>
      </w:pPr>
      <w:r>
        <w:t>As</w:t>
      </w:r>
      <w:r w:rsidR="00214CDB">
        <w:t xml:space="preserve"> is standard</w:t>
      </w:r>
      <w:r>
        <w:t xml:space="preserve"> with the Commission’s Inquiry processes, participants can contribute through </w:t>
      </w:r>
      <w:r w:rsidR="00040F44">
        <w:t>a number of avenues</w:t>
      </w:r>
      <w:r>
        <w:t xml:space="preserve"> </w:t>
      </w:r>
      <w:r w:rsidR="00A82135">
        <w:t>including</w:t>
      </w:r>
      <w:r>
        <w:t xml:space="preserve"> submissions,</w:t>
      </w:r>
      <w:r w:rsidR="00A82135">
        <w:t xml:space="preserve"> brief comments on the inquiry website,</w:t>
      </w:r>
      <w:r>
        <w:t xml:space="preserve"> roundtables and/or public hearings.</w:t>
      </w:r>
      <w:r w:rsidRPr="00916C94">
        <w:t xml:space="preserve"> </w:t>
      </w:r>
    </w:p>
    <w:p w14:paraId="33B2E777" w14:textId="573B4129" w:rsidR="007F1B7D" w:rsidRDefault="007F1B7D" w:rsidP="003E044B">
      <w:pPr>
        <w:pStyle w:val="BodyText"/>
      </w:pPr>
      <w:r>
        <w:rPr>
          <w:b/>
        </w:rPr>
        <w:t xml:space="preserve">Initial submissions are due by </w:t>
      </w:r>
      <w:r w:rsidR="00F739B2">
        <w:rPr>
          <w:b/>
        </w:rPr>
        <w:t xml:space="preserve">21 </w:t>
      </w:r>
      <w:r>
        <w:rPr>
          <w:b/>
        </w:rPr>
        <w:t>August.</w:t>
      </w:r>
    </w:p>
    <w:p w14:paraId="3697DDD9" w14:textId="5D458E7A" w:rsidR="000A0951" w:rsidRDefault="00F508CC" w:rsidP="000A0951">
      <w:pPr>
        <w:pStyle w:val="Heading3"/>
      </w:pPr>
      <w:r>
        <w:t xml:space="preserve">Contributions </w:t>
      </w:r>
      <w:r w:rsidR="000A0951">
        <w:t>to the evidence base</w:t>
      </w:r>
    </w:p>
    <w:p w14:paraId="7B269456" w14:textId="1698E6BE" w:rsidR="000A0951" w:rsidRDefault="000A0951" w:rsidP="000A0951">
      <w:pPr>
        <w:pStyle w:val="BodyText"/>
      </w:pPr>
      <w:r>
        <w:t xml:space="preserve">In its stage 1 </w:t>
      </w:r>
      <w:r w:rsidR="00393AFC">
        <w:t>S</w:t>
      </w:r>
      <w:r>
        <w:t xml:space="preserve">tudy, the Commission set out the evidence base required for this review. The </w:t>
      </w:r>
      <w:r w:rsidR="005362DD">
        <w:t>S</w:t>
      </w:r>
      <w:r>
        <w:t xml:space="preserve">tudy noted that </w:t>
      </w:r>
      <w:r w:rsidR="00DB4151">
        <w:t>the vast majority</w:t>
      </w:r>
      <w:r>
        <w:t xml:space="preserve"> of the evidence is in the public domain (for example, regulator data or fund disclosures) or is available for purchase (for example, data collected by research firms). </w:t>
      </w:r>
      <w:r w:rsidR="00DB4151" w:rsidRPr="00C9133B">
        <w:t>The Commission</w:t>
      </w:r>
      <w:r w:rsidR="00DB4151" w:rsidRPr="004B35D5">
        <w:t xml:space="preserve"> </w:t>
      </w:r>
      <w:r w:rsidR="004B35D5">
        <w:t>has identified</w:t>
      </w:r>
      <w:r w:rsidR="00DB4151" w:rsidRPr="00C9133B">
        <w:t xml:space="preserve"> that nearly half of stage 3 data needs </w:t>
      </w:r>
      <w:r w:rsidR="00DB4151" w:rsidRPr="00C9133B">
        <w:lastRenderedPageBreak/>
        <w:t xml:space="preserve">are already in the public domain, that more than </w:t>
      </w:r>
      <w:r w:rsidR="00393AFC">
        <w:t>one</w:t>
      </w:r>
      <w:r w:rsidR="00DB4151" w:rsidRPr="00C9133B">
        <w:t xml:space="preserve"> third are available for purchase </w:t>
      </w:r>
      <w:r w:rsidR="00DB4151" w:rsidRPr="007B2233">
        <w:t xml:space="preserve">by the Commission, </w:t>
      </w:r>
      <w:r w:rsidR="002C755F" w:rsidRPr="007B2233">
        <w:t>with less than 20</w:t>
      </w:r>
      <w:r w:rsidR="00DB4151" w:rsidRPr="007B2233">
        <w:t xml:space="preserve"> per cent need</w:t>
      </w:r>
      <w:r w:rsidR="002C755F" w:rsidRPr="007B2233">
        <w:t>ing</w:t>
      </w:r>
      <w:r w:rsidR="00DB4151" w:rsidRPr="007B2233">
        <w:t xml:space="preserve"> to be collected from funds or members.</w:t>
      </w:r>
    </w:p>
    <w:p w14:paraId="1175386F" w14:textId="677B5F63" w:rsidR="001F7966" w:rsidRDefault="009E3531" w:rsidP="000A0951">
      <w:pPr>
        <w:pStyle w:val="BodyText"/>
      </w:pPr>
      <w:r>
        <w:t>T</w:t>
      </w:r>
      <w:r w:rsidR="000A0951">
        <w:t xml:space="preserve">he stage 1 report also identified several constraints pertaining to the availability, quality and comparability of data, which the Commission would need to </w:t>
      </w:r>
      <w:r w:rsidR="008B736A">
        <w:t>take into account</w:t>
      </w:r>
      <w:r w:rsidR="000A0951">
        <w:t xml:space="preserve">. The Commission </w:t>
      </w:r>
      <w:r w:rsidR="00725221">
        <w:t>would greatly appreciate the assistance of participants in filling some of the data gaps that cannot be filled by other means</w:t>
      </w:r>
      <w:r w:rsidR="000A0951">
        <w:t>.</w:t>
      </w:r>
      <w:r w:rsidR="000A0951" w:rsidRPr="00345AB5">
        <w:t xml:space="preserve"> </w:t>
      </w:r>
      <w:r w:rsidR="00784C06" w:rsidRPr="00784C06">
        <w:t>Nonetheless, the Commission reiterates that it will initiate and do most of the heavy lifting on the evidence collection and collation.</w:t>
      </w:r>
    </w:p>
    <w:p w14:paraId="642B25E9" w14:textId="09019F29" w:rsidR="001F7966" w:rsidRDefault="001F7966" w:rsidP="00F92A2C">
      <w:pPr>
        <w:pStyle w:val="Heading4"/>
      </w:pPr>
      <w:r>
        <w:t>What additional sources of evidence will the Commission draw on?</w:t>
      </w:r>
    </w:p>
    <w:p w14:paraId="59D73B91" w14:textId="5811CBFE" w:rsidR="009E3531" w:rsidRDefault="009E3531" w:rsidP="004B17B0">
      <w:pPr>
        <w:pStyle w:val="BodyText"/>
      </w:pPr>
      <w:r>
        <w:t>The Commission’s evidence sources (additional to those that were in the public domain</w:t>
      </w:r>
      <w:r w:rsidR="00B87305">
        <w:t xml:space="preserve"> at the time of stage 1</w:t>
      </w:r>
      <w:r>
        <w:t xml:space="preserve">) and </w:t>
      </w:r>
      <w:r w:rsidR="007E1F8F">
        <w:t xml:space="preserve">indicative </w:t>
      </w:r>
      <w:r>
        <w:t xml:space="preserve">timelines for </w:t>
      </w:r>
      <w:r w:rsidR="004B35D5">
        <w:t xml:space="preserve">their </w:t>
      </w:r>
      <w:r>
        <w:t xml:space="preserve">collection are detailed in figure </w:t>
      </w:r>
      <w:r w:rsidR="0044253B">
        <w:t>4</w:t>
      </w:r>
      <w:r w:rsidR="006E5FEB">
        <w:t>.</w:t>
      </w:r>
    </w:p>
    <w:p w14:paraId="63063A01" w14:textId="77777777" w:rsidR="004B3843" w:rsidRDefault="004B3843" w:rsidP="004B3843">
      <w:pPr>
        <w:pStyle w:val="BodyText"/>
      </w:pPr>
      <w:r>
        <w:t xml:space="preserve">Case studies can provide valuable evidence of the experiences of participants — both from a member and the industry perspective. Several of the Commission’s indicators rely on case studies to provide insights into how the superannuation system is functioning, especially where indicators are qualitative in nature. </w:t>
      </w:r>
    </w:p>
    <w:p w14:paraId="00EC1175" w14:textId="77777777" w:rsidR="004B3843" w:rsidRDefault="004B3843" w:rsidP="004B3843">
      <w:pPr>
        <w:pStyle w:val="BodyText"/>
      </w:pPr>
      <w:r>
        <w:t>As identified in the stage 1 report and the Terms of Reference for this Inquiry, the Commission also intends to draw on specially designed surveys for some of its evidence base. It intends to conduct three surveys — a survey of members, a survey of superannuation funds and a survey of fund CEOs (box 1). The surveys will focus on relevant evidence gaps and will be designed to minimise the compliance burden on participants. The results will be de-identified to protect the confidentiality of respondents.</w:t>
      </w:r>
    </w:p>
    <w:p w14:paraId="7B6667DA" w14:textId="1280B2DF" w:rsidR="004B3843" w:rsidRDefault="004B3843" w:rsidP="0025238E">
      <w:pPr>
        <w:pStyle w:val="BodyText"/>
        <w:spacing w:before="230"/>
      </w:pPr>
      <w:r>
        <w:t xml:space="preserve">The Commission will ensure that draft surveys are pilot tested before they are rolled out, and will draw on the survey results in its draft report. The Commission anticipates universal participation in the fund and fund CEO surveys. Ultimately, the information gathered will be of assistance to all, especially in addressing existing evidence gaps. The Commission will publish the twin list of fund and fund CEO survey recipients and survey respondents. The Commission also notes its information gathering powers for inquiries of this nature under the </w:t>
      </w:r>
      <w:r>
        <w:rPr>
          <w:i/>
        </w:rPr>
        <w:t xml:space="preserve">Productivity Commission Act 1998 </w:t>
      </w:r>
      <w:r>
        <w:t>(Cwlth).</w:t>
      </w:r>
    </w:p>
    <w:p w14:paraId="4EA2919E" w14:textId="77777777" w:rsidR="004B3843" w:rsidRDefault="004B3843" w:rsidP="0025238E">
      <w:pPr>
        <w:pStyle w:val="BodyText"/>
        <w:spacing w:before="230"/>
      </w:pPr>
      <w:r>
        <w:t xml:space="preserve">The Commission also expects to rely on unpublished data, evidence and analysis of all of the key agencies responsible for regulating and/or monitoring the superannuation system, including APRA, ASIC, ATO, ACCC and the RBA. The Commission welcomes  submissions from all of those agencies. </w:t>
      </w:r>
    </w:p>
    <w:p w14:paraId="4DB938BC" w14:textId="77777777" w:rsidR="004B3843" w:rsidRDefault="004B3843" w:rsidP="0025238E">
      <w:pPr>
        <w:pStyle w:val="BodyText"/>
        <w:spacing w:before="230"/>
      </w:pPr>
      <w:r>
        <w:t>Subsequent sections of this issues paper identify some evidence gaps that could be best addressed by specific agencies. The Commission will consult directly with those agencies on how they could best contribute to this Inquiry.</w:t>
      </w:r>
    </w:p>
    <w:p w14:paraId="55C25212" w14:textId="472A4918" w:rsidR="004B3843" w:rsidRDefault="004B3843" w:rsidP="004B3843">
      <w:pPr>
        <w:pStyle w:val="BodyText"/>
      </w:pPr>
      <w:r>
        <w:t>Finally, the Commission intends to conduct several technical roundtables to test and refine its approach to measurement and interpretation of particular indicators (discussed further below in the section on methodology and interpretation).</w:t>
      </w:r>
    </w:p>
    <w:p w14:paraId="09B0C682" w14:textId="77777777" w:rsidR="004B3843" w:rsidRDefault="004B3843" w:rsidP="004B3843">
      <w:pPr>
        <w:pStyle w:val="BodyText"/>
      </w:pPr>
      <w:r>
        <w:lastRenderedPageBreak/>
        <w:t>In using those evidence sources, the Commission will be mindful of preserving confidentiality of any commercially sensitive material.</w:t>
      </w:r>
    </w:p>
    <w:p w14:paraId="5DBC30C8" w14:textId="77777777" w:rsidR="004B3843" w:rsidRDefault="004B3843" w:rsidP="004B3843">
      <w:pPr>
        <w:pStyle w:val="BodyText"/>
      </w:pPr>
      <w:r>
        <w:t>In the context of responding to this issues paper, the Commission is also keen for participants to provide their experiences through case studies, and suggest any existing research or reviews that are particularly important evidence sources.</w:t>
      </w:r>
    </w:p>
    <w:p w14:paraId="63525D4D" w14:textId="36C70112" w:rsidR="004B3843" w:rsidRDefault="004B3843" w:rsidP="004B3843">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8"/>
      </w:tblGrid>
      <w:tr w:rsidR="004B3843" w14:paraId="4094E7A5" w14:textId="77777777" w:rsidTr="006422DA">
        <w:trPr>
          <w:tblHeader/>
        </w:trPr>
        <w:tc>
          <w:tcPr>
            <w:tcW w:w="5000" w:type="pct"/>
            <w:tcBorders>
              <w:top w:val="single" w:sz="6" w:space="0" w:color="78A22F"/>
              <w:left w:val="nil"/>
              <w:bottom w:val="nil"/>
              <w:right w:val="nil"/>
            </w:tcBorders>
            <w:shd w:val="clear" w:color="auto" w:fill="auto"/>
          </w:tcPr>
          <w:p w14:paraId="69D23700" w14:textId="105FAD68" w:rsidR="004B3843" w:rsidRPr="00F92A2C" w:rsidRDefault="004B3843" w:rsidP="0025238E">
            <w:pPr>
              <w:pStyle w:val="ListNumber"/>
              <w:keepNext/>
              <w:keepLines/>
              <w:numPr>
                <w:ilvl w:val="0"/>
                <w:numId w:val="0"/>
              </w:numPr>
              <w:spacing w:line="280" w:lineRule="exact"/>
              <w:ind w:left="1474" w:hanging="1474"/>
              <w:jc w:val="left"/>
              <w:rPr>
                <w:rFonts w:asciiTheme="minorHAnsi" w:hAnsiTheme="minorHAnsi" w:cstheme="minorHAnsi"/>
                <w:b/>
              </w:rPr>
            </w:pPr>
            <w:r w:rsidRPr="00F92A2C">
              <w:rPr>
                <w:rFonts w:asciiTheme="minorHAnsi" w:hAnsiTheme="minorHAnsi" w:cstheme="minorHAnsi"/>
              </w:rPr>
              <w:t xml:space="preserve">Figure </w:t>
            </w:r>
            <w:r>
              <w:rPr>
                <w:rFonts w:asciiTheme="minorHAnsi" w:hAnsiTheme="minorHAnsi" w:cstheme="minorHAnsi"/>
              </w:rPr>
              <w:t>4</w:t>
            </w:r>
            <w:r w:rsidRPr="00F92A2C">
              <w:rPr>
                <w:rFonts w:asciiTheme="minorHAnsi" w:hAnsiTheme="minorHAnsi" w:cstheme="minorHAnsi"/>
              </w:rPr>
              <w:tab/>
            </w:r>
            <w:r>
              <w:rPr>
                <w:rFonts w:asciiTheme="minorHAnsi" w:hAnsiTheme="minorHAnsi" w:cstheme="minorHAnsi"/>
                <w:b/>
              </w:rPr>
              <w:t>Additional</w:t>
            </w:r>
            <w:r w:rsidRPr="00F92A2C">
              <w:rPr>
                <w:rFonts w:asciiTheme="minorHAnsi" w:hAnsiTheme="minorHAnsi" w:cstheme="minorHAnsi"/>
                <w:b/>
              </w:rPr>
              <w:t xml:space="preserve"> evidence sources and </w:t>
            </w:r>
            <w:r>
              <w:rPr>
                <w:rFonts w:asciiTheme="minorHAnsi" w:hAnsiTheme="minorHAnsi" w:cstheme="minorHAnsi"/>
                <w:b/>
              </w:rPr>
              <w:t xml:space="preserve">indicative </w:t>
            </w:r>
            <w:r w:rsidRPr="00F92A2C">
              <w:rPr>
                <w:rFonts w:asciiTheme="minorHAnsi" w:hAnsiTheme="minorHAnsi" w:cstheme="minorHAnsi"/>
                <w:b/>
              </w:rPr>
              <w:t>collection timelines</w:t>
            </w:r>
            <w:r>
              <w:rPr>
                <w:rFonts w:asciiTheme="minorHAnsi" w:hAnsiTheme="minorHAnsi" w:cstheme="minorHAnsi"/>
                <w:b/>
              </w:rPr>
              <w:t xml:space="preserve"> </w:t>
            </w:r>
          </w:p>
        </w:tc>
      </w:tr>
      <w:tr w:rsidR="004B3843" w14:paraId="698BBCD7" w14:textId="77777777" w:rsidTr="006422DA">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4B3843" w:rsidRPr="00B1465D" w14:paraId="0A45373E" w14:textId="77777777" w:rsidTr="00FD73D5">
              <w:trPr>
                <w:tblHeader/>
                <w:jc w:val="center"/>
              </w:trPr>
              <w:tc>
                <w:tcPr>
                  <w:tcW w:w="5000" w:type="pct"/>
                  <w:tcBorders>
                    <w:top w:val="nil"/>
                    <w:bottom w:val="nil"/>
                  </w:tcBorders>
                </w:tcPr>
                <w:p w14:paraId="2B878D51" w14:textId="77777777" w:rsidR="004B3843" w:rsidRPr="00B1465D" w:rsidRDefault="004B3843" w:rsidP="0025238E">
                  <w:pPr>
                    <w:pStyle w:val="Figure"/>
                    <w:spacing w:before="60" w:after="40"/>
                    <w:rPr>
                      <w:rFonts w:ascii="Arial" w:hAnsi="Arial" w:cs="Arial"/>
                      <w:sz w:val="18"/>
                      <w:szCs w:val="18"/>
                    </w:rPr>
                  </w:pPr>
                  <w:r>
                    <w:rPr>
                      <w:rFonts w:ascii="Arial" w:hAnsi="Arial" w:cs="Arial"/>
                      <w:noProof/>
                      <w:sz w:val="18"/>
                      <w:szCs w:val="18"/>
                    </w:rPr>
                    <w:drawing>
                      <wp:inline distT="0" distB="0" distL="0" distR="0" wp14:anchorId="632B44DA" wp14:editId="2D7CAC0F">
                        <wp:extent cx="5400040" cy="6184900"/>
                        <wp:effectExtent l="0" t="0" r="0" b="0"/>
                        <wp:docPr id="1" name="Picture 1" descr="This figure displays indicative timelines for when the Commission will collect additional evidence sources to undertake its assessment of the competitiveness and efficiency of the superannuation system. The Commission expects that this will include:&#10;- a review of existing research (til November)&#10;- purchasing of data from research firms (finalised in August)&#10;- gathering of data from government regulators by the end of August&#10;- evidence provided in submissions due by 21 August&#10;- data collected through several commissioned surveys undertaken in August and September, and&#10;- a number of roundtables held between September and November.&#10;&#10;A draft report will be published in January 2018. &#10;" title="Additional evidence sources and indicative collection tim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00040" cy="6184900"/>
                                </a:xfrm>
                                <a:prstGeom prst="rect">
                                  <a:avLst/>
                                </a:prstGeom>
                                <a:noFill/>
                                <a:ln>
                                  <a:noFill/>
                                </a:ln>
                              </pic:spPr>
                            </pic:pic>
                          </a:graphicData>
                        </a:graphic>
                      </wp:inline>
                    </w:drawing>
                  </w:r>
                </w:p>
              </w:tc>
            </w:tr>
          </w:tbl>
          <w:p w14:paraId="1C64FEB2" w14:textId="77777777" w:rsidR="004B3843" w:rsidRDefault="004B3843" w:rsidP="00FD73D5">
            <w:pPr>
              <w:pStyle w:val="Figure"/>
            </w:pPr>
          </w:p>
        </w:tc>
      </w:tr>
      <w:tr w:rsidR="004B3843" w14:paraId="7C55E802" w14:textId="77777777" w:rsidTr="006422DA">
        <w:tc>
          <w:tcPr>
            <w:tcW w:w="5000" w:type="pct"/>
            <w:tcBorders>
              <w:top w:val="nil"/>
              <w:left w:val="nil"/>
              <w:bottom w:val="single" w:sz="6" w:space="0" w:color="78A22F"/>
              <w:right w:val="nil"/>
            </w:tcBorders>
            <w:shd w:val="clear" w:color="auto" w:fill="auto"/>
          </w:tcPr>
          <w:p w14:paraId="30D87D91" w14:textId="77777777" w:rsidR="004B3843" w:rsidRDefault="004B3843" w:rsidP="00FD73D5">
            <w:pPr>
              <w:pStyle w:val="Figurespace"/>
            </w:pPr>
          </w:p>
        </w:tc>
      </w:tr>
      <w:tr w:rsidR="004B3843" w:rsidRPr="000863A5" w14:paraId="0A0E56F9" w14:textId="77777777" w:rsidTr="006422DA">
        <w:tc>
          <w:tcPr>
            <w:tcW w:w="5000" w:type="pct"/>
            <w:tcBorders>
              <w:top w:val="single" w:sz="6" w:space="0" w:color="78A22F"/>
              <w:left w:val="nil"/>
              <w:bottom w:val="nil"/>
              <w:right w:val="nil"/>
            </w:tcBorders>
          </w:tcPr>
          <w:p w14:paraId="06B287BF" w14:textId="0B80D1DB" w:rsidR="004B3843" w:rsidRPr="00626D32" w:rsidRDefault="004B3843" w:rsidP="00FD73D5">
            <w:pPr>
              <w:pStyle w:val="BoxSpaceBelow"/>
            </w:pPr>
            <w:bookmarkStart w:id="10" w:name="_GoBack"/>
            <w:bookmarkEnd w:id="10"/>
          </w:p>
        </w:tc>
      </w:tr>
    </w:tbl>
    <w:p w14:paraId="664C410B" w14:textId="77777777" w:rsidR="00FE69E2" w:rsidRDefault="00FE69E2" w:rsidP="00FE69E2">
      <w:pPr>
        <w:pStyle w:val="Heading4"/>
      </w:pPr>
      <w:r>
        <w:lastRenderedPageBreak/>
        <w:t>The Commission wants to hear from members</w:t>
      </w:r>
    </w:p>
    <w:p w14:paraId="52547D94" w14:textId="19A787B7" w:rsidR="00FE69E2" w:rsidRDefault="00FE69E2" w:rsidP="00427EBB">
      <w:pPr>
        <w:pStyle w:val="BodyText"/>
      </w:pPr>
      <w:r>
        <w:t>Throughout this Inquiry, the Commission wants to hear from members (including owners of SMSFs) about their experiences with the system. Participants can make a formal submission or simply leave a brief comment on the Inquiry web page — there is no prescribed length or format for such contributions, as long as they are relevant to the Inquiry. To assist this process, the Commission has prepared a list of topics</w:t>
      </w:r>
      <w:r w:rsidR="00A344D6">
        <w:t xml:space="preserve"> and questions in the next section </w:t>
      </w:r>
      <w:r>
        <w:t>on which contributions</w:t>
      </w:r>
      <w:r w:rsidR="003208DA">
        <w:t xml:space="preserve"> and member feedback</w:t>
      </w:r>
      <w:r>
        <w:t xml:space="preserve"> would be particularly valuable.</w:t>
      </w:r>
    </w:p>
    <w:p w14:paraId="59D6C9FA" w14:textId="4C59855E" w:rsidR="004B3843" w:rsidRDefault="004B3843">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8"/>
      </w:tblGrid>
      <w:tr w:rsidR="004B3843" w14:paraId="0B275A19" w14:textId="77777777" w:rsidTr="006422DA">
        <w:tc>
          <w:tcPr>
            <w:tcW w:w="5000" w:type="pct"/>
            <w:tcBorders>
              <w:top w:val="single" w:sz="6" w:space="0" w:color="78A22F"/>
              <w:left w:val="nil"/>
              <w:bottom w:val="nil"/>
              <w:right w:val="nil"/>
            </w:tcBorders>
            <w:shd w:val="clear" w:color="auto" w:fill="F2F2F2"/>
          </w:tcPr>
          <w:p w14:paraId="200F6F23" w14:textId="5BE1B1E3" w:rsidR="004B3843" w:rsidRDefault="004B3843" w:rsidP="004B3843">
            <w:pPr>
              <w:pStyle w:val="BoxTitle"/>
            </w:pPr>
            <w:r>
              <w:rPr>
                <w:b w:val="0"/>
              </w:rPr>
              <w:t>Box 1</w:t>
            </w:r>
            <w:r>
              <w:tab/>
              <w:t>Surveys to be conducted for this Inquiry</w:t>
            </w:r>
          </w:p>
        </w:tc>
      </w:tr>
      <w:tr w:rsidR="004B3843" w14:paraId="590B74D7" w14:textId="77777777" w:rsidTr="006422DA">
        <w:tc>
          <w:tcPr>
            <w:tcW w:w="5000" w:type="pct"/>
            <w:tcBorders>
              <w:top w:val="nil"/>
              <w:left w:val="nil"/>
              <w:bottom w:val="nil"/>
              <w:right w:val="nil"/>
            </w:tcBorders>
            <w:shd w:val="clear" w:color="auto" w:fill="F2F2F2"/>
          </w:tcPr>
          <w:p w14:paraId="5446736F" w14:textId="5F952E3A" w:rsidR="004B3843" w:rsidRDefault="004B3843" w:rsidP="004B3843">
            <w:pPr>
              <w:pStyle w:val="Box"/>
            </w:pPr>
            <w:r w:rsidRPr="00A64161">
              <w:t xml:space="preserve">In its stage 1 </w:t>
            </w:r>
            <w:r>
              <w:t>S</w:t>
            </w:r>
            <w:r w:rsidRPr="00A64161">
              <w:t xml:space="preserve">tudy, the Commission </w:t>
            </w:r>
            <w:r>
              <w:t xml:space="preserve">identified a number of relevant recent surveys of system participants that it expects to use in the stage 3 Inquiry. In particular, it noted several surveys that tested the experiences of SMSF owners </w:t>
            </w:r>
            <w:r w:rsidRPr="00EF200D">
              <w:rPr>
                <w:rFonts w:cs="Arial"/>
                <w:szCs w:val="24"/>
              </w:rPr>
              <w:t xml:space="preserve">(PC 2016, </w:t>
            </w:r>
            <w:r>
              <w:rPr>
                <w:rFonts w:cs="Arial"/>
                <w:szCs w:val="24"/>
              </w:rPr>
              <w:t>a</w:t>
            </w:r>
            <w:r w:rsidRPr="00EF200D">
              <w:rPr>
                <w:rFonts w:cs="Arial"/>
                <w:szCs w:val="24"/>
              </w:rPr>
              <w:t>ppendix G)</w:t>
            </w:r>
            <w:r>
              <w:t>. The Commission also anticipated</w:t>
            </w:r>
            <w:r w:rsidRPr="00A64161">
              <w:t xml:space="preserve"> the need to conduct its own surveys of funds and members, with the final decision to be made at the time of this review.</w:t>
            </w:r>
            <w:r>
              <w:t xml:space="preserve"> </w:t>
            </w:r>
            <w:r w:rsidRPr="00A64161">
              <w:t xml:space="preserve">After considering the available evidence, the Commission </w:t>
            </w:r>
            <w:r>
              <w:t>will</w:t>
            </w:r>
            <w:r w:rsidRPr="00A64161">
              <w:t xml:space="preserve"> </w:t>
            </w:r>
            <w:r>
              <w:t>proceed with</w:t>
            </w:r>
            <w:r w:rsidRPr="00A64161">
              <w:t xml:space="preserve"> t</w:t>
            </w:r>
            <w:r>
              <w:t>hree</w:t>
            </w:r>
            <w:r w:rsidRPr="00A64161">
              <w:t xml:space="preserve"> surveys targeted at different participants within the superannuation system: a survey of members</w:t>
            </w:r>
            <w:r>
              <w:t xml:space="preserve"> (including SMSF owners)</w:t>
            </w:r>
            <w:r w:rsidRPr="00A64161">
              <w:t>, a survey of superannuation fund</w:t>
            </w:r>
            <w:r>
              <w:t xml:space="preserve">s (ultimately the fund trustees) and a survey of fund CEOs in their </w:t>
            </w:r>
            <w:r w:rsidR="00446638">
              <w:t>individual</w:t>
            </w:r>
            <w:r>
              <w:t xml:space="preserve"> capacity</w:t>
            </w:r>
            <w:r w:rsidRPr="00A64161">
              <w:t>.</w:t>
            </w:r>
            <w:r>
              <w:t xml:space="preserve"> The member survey and the fund survey will have areas of overlap to assess member experience of the system relative to trustee perceptions.</w:t>
            </w:r>
          </w:p>
          <w:p w14:paraId="2DC75DD7" w14:textId="77777777" w:rsidR="004B3843" w:rsidRDefault="004B3843" w:rsidP="004B3843">
            <w:pPr>
              <w:pStyle w:val="BoxHeading1"/>
              <w:rPr>
                <w:szCs w:val="24"/>
              </w:rPr>
            </w:pPr>
            <w:r>
              <w:t>Survey of members</w:t>
            </w:r>
          </w:p>
          <w:p w14:paraId="5467C5E4" w14:textId="77777777" w:rsidR="004B3843" w:rsidRDefault="004B3843" w:rsidP="004B3843">
            <w:pPr>
              <w:pStyle w:val="Box"/>
            </w:pPr>
            <w:r>
              <w:t>The member survey will collect data on about 20 indicators (identified in attachment B), which cover various aspects of member experience with the superannuation system. Specifically, it will focus on the following assessment criteria:</w:t>
            </w:r>
          </w:p>
          <w:p w14:paraId="2C1F8BEE" w14:textId="77777777" w:rsidR="004B3843" w:rsidRDefault="004B3843" w:rsidP="004B3843">
            <w:pPr>
              <w:pStyle w:val="BoxListBullet"/>
            </w:pPr>
            <w:r>
              <w:t>informed member engagement (C1)</w:t>
            </w:r>
          </w:p>
          <w:p w14:paraId="5147E39B" w14:textId="77777777" w:rsidR="004B3843" w:rsidRDefault="004B3843" w:rsidP="004B3843">
            <w:pPr>
              <w:pStyle w:val="BoxListBullet"/>
            </w:pPr>
            <w:r>
              <w:t>the degree to which active members are exerting competitive pressure (C2)</w:t>
            </w:r>
          </w:p>
          <w:p w14:paraId="4DF38959" w14:textId="77777777" w:rsidR="004B3843" w:rsidRDefault="004B3843" w:rsidP="004B3843">
            <w:pPr>
              <w:pStyle w:val="BoxListBullet"/>
            </w:pPr>
            <w:r>
              <w:t>whether funds are competing on member-relevant non price dimensions (C8)</w:t>
            </w:r>
          </w:p>
          <w:p w14:paraId="12E90595" w14:textId="77777777" w:rsidR="004B3843" w:rsidRDefault="004B3843" w:rsidP="004B3843">
            <w:pPr>
              <w:pStyle w:val="BoxListBullet"/>
            </w:pPr>
            <w:r>
              <w:t>improving outcomes at the system level (C10)</w:t>
            </w:r>
          </w:p>
          <w:p w14:paraId="1087EE56" w14:textId="77777777" w:rsidR="004B3843" w:rsidRDefault="004B3843" w:rsidP="004B3843">
            <w:pPr>
              <w:pStyle w:val="BoxListBullet"/>
            </w:pPr>
            <w:r>
              <w:t>availability of information and intrafund advice to enable sound decisions (E6)</w:t>
            </w:r>
          </w:p>
          <w:p w14:paraId="49CF1E7A" w14:textId="77777777" w:rsidR="004B3843" w:rsidRDefault="004B3843" w:rsidP="004B3843">
            <w:pPr>
              <w:pStyle w:val="BoxListBullet"/>
            </w:pPr>
            <w:r>
              <w:t>resolution of principal–agent problems (E8)</w:t>
            </w:r>
          </w:p>
          <w:p w14:paraId="7FB83663" w14:textId="5E424CD4" w:rsidR="004B3843" w:rsidRDefault="004B3843" w:rsidP="00FD73D5">
            <w:pPr>
              <w:pStyle w:val="BoxListBullet"/>
            </w:pPr>
            <w:r>
              <w:t>provision of value for money insurance (E11).</w:t>
            </w:r>
          </w:p>
        </w:tc>
      </w:tr>
      <w:tr w:rsidR="004B3843" w14:paraId="18253AA7" w14:textId="77777777" w:rsidTr="006422DA">
        <w:tc>
          <w:tcPr>
            <w:tcW w:w="5000" w:type="pct"/>
            <w:tcBorders>
              <w:top w:val="nil"/>
              <w:left w:val="nil"/>
              <w:bottom w:val="nil"/>
              <w:right w:val="nil"/>
            </w:tcBorders>
            <w:shd w:val="clear" w:color="auto" w:fill="F2F2F2"/>
          </w:tcPr>
          <w:p w14:paraId="278E4621" w14:textId="1CE53F65" w:rsidR="004B3843" w:rsidRDefault="004B3843" w:rsidP="004B3843">
            <w:pPr>
              <w:pStyle w:val="Continued"/>
            </w:pPr>
            <w:r>
              <w:t>(continued next page)</w:t>
            </w:r>
          </w:p>
        </w:tc>
      </w:tr>
      <w:tr w:rsidR="004B3843" w14:paraId="4CF30520" w14:textId="77777777" w:rsidTr="006422DA">
        <w:tc>
          <w:tcPr>
            <w:tcW w:w="5000" w:type="pct"/>
            <w:tcBorders>
              <w:top w:val="nil"/>
              <w:left w:val="nil"/>
              <w:bottom w:val="single" w:sz="6" w:space="0" w:color="78A22F"/>
              <w:right w:val="nil"/>
            </w:tcBorders>
            <w:shd w:val="clear" w:color="auto" w:fill="F2F2F2"/>
          </w:tcPr>
          <w:p w14:paraId="6747EA43" w14:textId="77777777" w:rsidR="004B3843" w:rsidRDefault="004B3843">
            <w:pPr>
              <w:pStyle w:val="Box"/>
              <w:spacing w:before="0" w:line="120" w:lineRule="exact"/>
            </w:pPr>
          </w:p>
        </w:tc>
      </w:tr>
      <w:tr w:rsidR="004B3843" w:rsidRPr="000863A5" w14:paraId="1E6611D6" w14:textId="77777777" w:rsidTr="006422DA">
        <w:tc>
          <w:tcPr>
            <w:tcW w:w="5000" w:type="pct"/>
            <w:tcBorders>
              <w:top w:val="single" w:sz="6" w:space="0" w:color="78A22F"/>
              <w:left w:val="nil"/>
              <w:bottom w:val="nil"/>
              <w:right w:val="nil"/>
            </w:tcBorders>
          </w:tcPr>
          <w:p w14:paraId="22186EF9" w14:textId="215E32D4" w:rsidR="004B3843" w:rsidRPr="00626D32" w:rsidRDefault="004B3843" w:rsidP="00FD73D5">
            <w:pPr>
              <w:pStyle w:val="BoxSpaceBelow"/>
            </w:pPr>
          </w:p>
        </w:tc>
      </w:tr>
    </w:tbl>
    <w:p w14:paraId="01F317FC" w14:textId="35D0B407" w:rsidR="009035E1" w:rsidRDefault="009035E1" w:rsidP="009035E1">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8"/>
      </w:tblGrid>
      <w:tr w:rsidR="009035E1" w14:paraId="228905FF" w14:textId="77777777" w:rsidTr="006422DA">
        <w:tc>
          <w:tcPr>
            <w:tcW w:w="5000" w:type="pct"/>
            <w:tcBorders>
              <w:top w:val="single" w:sz="6" w:space="0" w:color="78A22F"/>
              <w:left w:val="nil"/>
              <w:bottom w:val="nil"/>
              <w:right w:val="nil"/>
            </w:tcBorders>
            <w:shd w:val="clear" w:color="auto" w:fill="F2F2F2"/>
          </w:tcPr>
          <w:p w14:paraId="65EBCF9F" w14:textId="0A56EF86" w:rsidR="009035E1" w:rsidRDefault="009035E1" w:rsidP="004B3843">
            <w:pPr>
              <w:pStyle w:val="BoxTitle"/>
            </w:pPr>
            <w:r>
              <w:rPr>
                <w:b w:val="0"/>
              </w:rPr>
              <w:t xml:space="preserve">Box </w:t>
            </w:r>
            <w:r w:rsidR="00FC4F2F">
              <w:rPr>
                <w:b w:val="0"/>
              </w:rPr>
              <w:t>1</w:t>
            </w:r>
            <w:r>
              <w:tab/>
            </w:r>
            <w:r w:rsidR="00616F92">
              <w:rPr>
                <w:rStyle w:val="Continuedintitle"/>
              </w:rPr>
              <w:t>(c</w:t>
            </w:r>
            <w:r w:rsidR="004B3843">
              <w:rPr>
                <w:rStyle w:val="Continuedintitle"/>
              </w:rPr>
              <w:t>ontinued)</w:t>
            </w:r>
          </w:p>
        </w:tc>
      </w:tr>
      <w:tr w:rsidR="009035E1" w14:paraId="4B359386" w14:textId="77777777" w:rsidTr="006422DA">
        <w:tc>
          <w:tcPr>
            <w:tcW w:w="5000" w:type="pct"/>
            <w:tcBorders>
              <w:top w:val="nil"/>
              <w:left w:val="nil"/>
              <w:bottom w:val="nil"/>
              <w:right w:val="nil"/>
            </w:tcBorders>
            <w:shd w:val="clear" w:color="auto" w:fill="F2F2F2"/>
          </w:tcPr>
          <w:p w14:paraId="33F57BEB" w14:textId="22F2A1A6" w:rsidR="009035E1" w:rsidRDefault="00331EEF" w:rsidP="006E31F8">
            <w:pPr>
              <w:pStyle w:val="BoxHeading1"/>
              <w:rPr>
                <w:szCs w:val="24"/>
              </w:rPr>
            </w:pPr>
            <w:r>
              <w:t>Survey of funds</w:t>
            </w:r>
          </w:p>
          <w:p w14:paraId="6B9FBCFC" w14:textId="4B9DA0F1" w:rsidR="009035E1" w:rsidRDefault="009035E1" w:rsidP="006E31F8">
            <w:pPr>
              <w:pStyle w:val="Box"/>
            </w:pPr>
            <w:r>
              <w:t xml:space="preserve">The survey will be directed at trustees of all </w:t>
            </w:r>
            <w:r w:rsidR="00DD57B9">
              <w:t>large APRA-regulate</w:t>
            </w:r>
            <w:r w:rsidR="00724C74">
              <w:t>d funds (funds with more than 4 </w:t>
            </w:r>
            <w:r w:rsidR="00DD57B9">
              <w:t>members)</w:t>
            </w:r>
            <w:r>
              <w:t xml:space="preserve"> and will collect data on </w:t>
            </w:r>
            <w:r w:rsidR="001969F7">
              <w:t>about 20</w:t>
            </w:r>
            <w:r>
              <w:t xml:space="preserve"> indicators, identified in </w:t>
            </w:r>
            <w:r w:rsidR="00CD56E1">
              <w:t>attachment</w:t>
            </w:r>
            <w:r w:rsidR="002460C3">
              <w:t xml:space="preserve"> </w:t>
            </w:r>
            <w:r w:rsidR="00F21F3E">
              <w:t>B</w:t>
            </w:r>
            <w:r>
              <w:t>. It will have areas of overlap with the member survey on member-related indicators under criteria C1, C8, E6, E8 and E11. In addition, it will focus on several fund-specific indicators, under the following criteria:</w:t>
            </w:r>
          </w:p>
          <w:p w14:paraId="6A220ED9" w14:textId="77777777" w:rsidR="009035E1" w:rsidRDefault="009035E1" w:rsidP="006E31F8">
            <w:pPr>
              <w:pStyle w:val="BoxListBullet"/>
            </w:pPr>
            <w:r>
              <w:t>market contestability and barriers to entry (C4)</w:t>
            </w:r>
          </w:p>
          <w:p w14:paraId="37A08C0D" w14:textId="77777777" w:rsidR="009035E1" w:rsidRDefault="009035E1" w:rsidP="006E31F8">
            <w:pPr>
              <w:pStyle w:val="BoxListBullet"/>
            </w:pPr>
            <w:r>
              <w:t>materiality of anticompetitive effects from vertical and horizontal integration (C5)</w:t>
            </w:r>
          </w:p>
          <w:p w14:paraId="252993CF" w14:textId="77777777" w:rsidR="009035E1" w:rsidRDefault="009035E1" w:rsidP="006E31F8">
            <w:pPr>
              <w:pStyle w:val="BoxListBullet"/>
            </w:pPr>
            <w:r>
              <w:t>innovation and quality improvement in the system (C9)</w:t>
            </w:r>
          </w:p>
          <w:p w14:paraId="471831CF" w14:textId="77777777" w:rsidR="009035E1" w:rsidRDefault="009035E1" w:rsidP="006E31F8">
            <w:pPr>
              <w:pStyle w:val="BoxListBullet"/>
            </w:pPr>
            <w:r>
              <w:t>provision of products to manage life-cycle risks (E7)</w:t>
            </w:r>
          </w:p>
          <w:p w14:paraId="063BA23A" w14:textId="77777777" w:rsidR="009035E1" w:rsidRDefault="009035E1" w:rsidP="006E31F8">
            <w:pPr>
              <w:pStyle w:val="BoxListBullet"/>
            </w:pPr>
            <w:r>
              <w:t>overcoming impediments to improving long-term member outcomes (E9)</w:t>
            </w:r>
          </w:p>
          <w:p w14:paraId="38CB3E3F" w14:textId="5D1CEF74" w:rsidR="009035E1" w:rsidRDefault="009035E1" w:rsidP="006E31F8">
            <w:pPr>
              <w:pStyle w:val="BoxListBullet"/>
            </w:pPr>
            <w:r>
              <w:t xml:space="preserve">minimisation of insurance costs for </w:t>
            </w:r>
            <w:r w:rsidR="00797879">
              <w:t xml:space="preserve">the </w:t>
            </w:r>
            <w:r>
              <w:t xml:space="preserve">level </w:t>
            </w:r>
            <w:r w:rsidR="00307700">
              <w:t xml:space="preserve">and quality </w:t>
            </w:r>
            <w:r>
              <w:t xml:space="preserve">of cover (E12). </w:t>
            </w:r>
          </w:p>
          <w:p w14:paraId="681FD30C" w14:textId="4D2EF49D" w:rsidR="009035E1" w:rsidRDefault="00331EEF" w:rsidP="006E31F8">
            <w:pPr>
              <w:pStyle w:val="BoxHeading1"/>
            </w:pPr>
            <w:r>
              <w:t>Survey of fund CEOs</w:t>
            </w:r>
          </w:p>
          <w:p w14:paraId="27F05D3C" w14:textId="3A1B107B" w:rsidR="009035E1" w:rsidRDefault="00A90D38" w:rsidP="00C11D30">
            <w:pPr>
              <w:pStyle w:val="Box"/>
              <w:rPr>
                <w:szCs w:val="24"/>
              </w:rPr>
            </w:pPr>
            <w:r>
              <w:t>The Commission will also undertake a survey of all CEOs of large APRA-regulated funds focusing on fund governance. The Commission’s approach will be informed by relevant international methodology used in comparable governance surveys.</w:t>
            </w:r>
          </w:p>
        </w:tc>
      </w:tr>
      <w:tr w:rsidR="009035E1" w14:paraId="2102A0FE" w14:textId="77777777" w:rsidTr="006422DA">
        <w:tc>
          <w:tcPr>
            <w:tcW w:w="5000" w:type="pct"/>
            <w:tcBorders>
              <w:top w:val="nil"/>
              <w:left w:val="nil"/>
              <w:bottom w:val="single" w:sz="6" w:space="0" w:color="78A22F"/>
              <w:right w:val="nil"/>
            </w:tcBorders>
            <w:shd w:val="clear" w:color="auto" w:fill="F2F2F2"/>
          </w:tcPr>
          <w:p w14:paraId="61695584" w14:textId="77777777" w:rsidR="009035E1" w:rsidRDefault="009035E1" w:rsidP="006E31F8">
            <w:pPr>
              <w:pStyle w:val="Box"/>
              <w:spacing w:before="0" w:line="120" w:lineRule="exact"/>
            </w:pPr>
          </w:p>
        </w:tc>
      </w:tr>
      <w:tr w:rsidR="009035E1" w:rsidRPr="000863A5" w14:paraId="40AACF33" w14:textId="77777777" w:rsidTr="006422DA">
        <w:tc>
          <w:tcPr>
            <w:tcW w:w="5000" w:type="pct"/>
            <w:tcBorders>
              <w:top w:val="single" w:sz="6" w:space="0" w:color="78A22F"/>
              <w:left w:val="nil"/>
              <w:bottom w:val="nil"/>
              <w:right w:val="nil"/>
            </w:tcBorders>
          </w:tcPr>
          <w:p w14:paraId="7CE6E34C" w14:textId="22972F2F" w:rsidR="009035E1" w:rsidRPr="00626D32" w:rsidRDefault="009035E1" w:rsidP="006E31F8">
            <w:pPr>
              <w:pStyle w:val="BoxSpaceBelow"/>
            </w:pPr>
          </w:p>
        </w:tc>
      </w:tr>
    </w:tbl>
    <w:p w14:paraId="5F4E3365" w14:textId="0D012462" w:rsidR="000A0951" w:rsidRDefault="00440BDD" w:rsidP="000A0951">
      <w:pPr>
        <w:pStyle w:val="Heading4"/>
      </w:pPr>
      <w:r>
        <w:t>Key evidence needs and p</w:t>
      </w:r>
      <w:r w:rsidR="00194440">
        <w:t xml:space="preserve">riority </w:t>
      </w:r>
      <w:r w:rsidR="005073F3">
        <w:t>areas for submission</w:t>
      </w:r>
      <w:r w:rsidR="00110CAF">
        <w:t>s</w:t>
      </w:r>
    </w:p>
    <w:p w14:paraId="466EA39D" w14:textId="3B540245" w:rsidR="007A19FF" w:rsidRDefault="005F59C0" w:rsidP="000A0951">
      <w:pPr>
        <w:pStyle w:val="BodyText"/>
      </w:pPr>
      <w:r>
        <w:t>A threshold evidence issue for the Commission relates to the effect of policy</w:t>
      </w:r>
      <w:r w:rsidR="00C8549E">
        <w:t xml:space="preserve"> settings</w:t>
      </w:r>
      <w:r>
        <w:t xml:space="preserve"> on </w:t>
      </w:r>
      <w:r w:rsidR="00A33DAE">
        <w:t xml:space="preserve">system performance. </w:t>
      </w:r>
      <w:r w:rsidR="001704A3">
        <w:t xml:space="preserve">As noted above, the stage 1 </w:t>
      </w:r>
      <w:r w:rsidR="007A19FF">
        <w:t xml:space="preserve">report </w:t>
      </w:r>
      <w:r w:rsidR="00A90D38">
        <w:t>deemed</w:t>
      </w:r>
      <w:r w:rsidR="007A19FF">
        <w:t xml:space="preserve"> the existing policy settings governing the system as given, but flagged that stage 3 w</w:t>
      </w:r>
      <w:r w:rsidR="004B3387">
        <w:t>ould</w:t>
      </w:r>
      <w:r w:rsidR="007A19FF">
        <w:t xml:space="preserve"> assess the extent to which those policy settings inhibit the competitiveness and efficiency of the system. The Commission now invites participant comment on this issue.</w:t>
      </w:r>
    </w:p>
    <w:p w14:paraId="20CDA5F2" w14:textId="1CF9F239" w:rsidR="008E7F5A" w:rsidRPr="004E3B94" w:rsidRDefault="008E7F5A" w:rsidP="008E7F5A">
      <w:pPr>
        <w:pStyle w:val="BoxSpaceAboveElement"/>
        <w:keepLines/>
        <w:rPr>
          <w:vanish w:val="0"/>
          <w:color w:val="auto"/>
        </w:rPr>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8E7F5A" w14:paraId="67E07DF5" w14:textId="77777777" w:rsidTr="0025238E">
        <w:trPr>
          <w:cantSplit/>
          <w:tblHeader/>
        </w:trPr>
        <w:tc>
          <w:tcPr>
            <w:tcW w:w="5000" w:type="pct"/>
            <w:tcBorders>
              <w:top w:val="single" w:sz="6" w:space="0" w:color="78A22F"/>
              <w:left w:val="nil"/>
              <w:bottom w:val="nil"/>
              <w:right w:val="nil"/>
            </w:tcBorders>
            <w:shd w:val="clear" w:color="auto" w:fill="auto"/>
          </w:tcPr>
          <w:p w14:paraId="0C63F162" w14:textId="20E7E4C3" w:rsidR="008E7F5A" w:rsidRDefault="00A90D38" w:rsidP="007B06AA">
            <w:pPr>
              <w:pStyle w:val="InformationRequestTitle"/>
              <w:spacing w:before="120"/>
            </w:pPr>
            <w:r>
              <w:t xml:space="preserve">Policy impediments: </w:t>
            </w:r>
            <w:r w:rsidR="008E7F5A">
              <w:t>GENERAL QUESTION FOR PARTICIPANTS</w:t>
            </w:r>
          </w:p>
          <w:p w14:paraId="5A757A45" w14:textId="4414777E" w:rsidR="008E7F5A" w:rsidRPr="00CE4C64" w:rsidRDefault="008E7F5A" w:rsidP="0035282F">
            <w:pPr>
              <w:pStyle w:val="InformationRequest"/>
            </w:pPr>
            <w:r>
              <w:t>What are the material policy</w:t>
            </w:r>
            <w:r w:rsidR="00A90D38">
              <w:t xml:space="preserve"> or regulatory</w:t>
            </w:r>
            <w:r>
              <w:t xml:space="preserve"> impediments to the </w:t>
            </w:r>
            <w:r w:rsidR="004B35D5">
              <w:t xml:space="preserve">competitiveness and efficiency of the superannuation </w:t>
            </w:r>
            <w:r>
              <w:t>system</w:t>
            </w:r>
            <w:r w:rsidR="004B35D5">
              <w:t>?</w:t>
            </w:r>
            <w:r>
              <w:t xml:space="preserve"> Please </w:t>
            </w:r>
            <w:r w:rsidR="007B06AA">
              <w:t xml:space="preserve">relate your comments to </w:t>
            </w:r>
            <w:r w:rsidR="004B35D5">
              <w:t>the relevant assessment</w:t>
            </w:r>
            <w:r w:rsidR="007B06AA">
              <w:t xml:space="preserve"> criteria </w:t>
            </w:r>
            <w:r w:rsidR="004B35D5">
              <w:t>(in the Commission’s assessment framework)</w:t>
            </w:r>
            <w:r w:rsidR="007B06AA">
              <w:t xml:space="preserve"> and </w:t>
            </w:r>
            <w:r>
              <w:t xml:space="preserve">provide evidence of how and to what extent those policy impediments </w:t>
            </w:r>
            <w:r w:rsidR="007B06AA">
              <w:t>affect performance</w:t>
            </w:r>
            <w:r w:rsidR="00A923A7">
              <w:t xml:space="preserve"> as</w:t>
            </w:r>
            <w:r w:rsidR="007B06AA">
              <w:t xml:space="preserve"> measured by </w:t>
            </w:r>
            <w:r w:rsidR="00A923A7">
              <w:t>the related</w:t>
            </w:r>
            <w:r w:rsidR="007B06AA">
              <w:t xml:space="preserve"> indicators.</w:t>
            </w:r>
            <w:r>
              <w:t xml:space="preserve"> </w:t>
            </w:r>
          </w:p>
        </w:tc>
      </w:tr>
      <w:tr w:rsidR="008E7F5A" w14:paraId="6AB1503E" w14:textId="77777777" w:rsidTr="0025238E">
        <w:tc>
          <w:tcPr>
            <w:tcW w:w="5000" w:type="pct"/>
            <w:tcBorders>
              <w:top w:val="nil"/>
              <w:left w:val="nil"/>
              <w:bottom w:val="single" w:sz="6" w:space="0" w:color="78A22F"/>
              <w:right w:val="nil"/>
            </w:tcBorders>
            <w:shd w:val="clear" w:color="auto" w:fill="auto"/>
          </w:tcPr>
          <w:p w14:paraId="2A4D187E" w14:textId="77777777" w:rsidR="008E7F5A" w:rsidRDefault="008E7F5A" w:rsidP="007B06AA">
            <w:pPr>
              <w:pStyle w:val="Space"/>
              <w:keepLines/>
            </w:pPr>
          </w:p>
        </w:tc>
      </w:tr>
      <w:tr w:rsidR="008E7F5A" w:rsidRPr="000863A5" w14:paraId="1ED2FFC1" w14:textId="77777777" w:rsidTr="0025238E">
        <w:tc>
          <w:tcPr>
            <w:tcW w:w="5000" w:type="pct"/>
            <w:tcBorders>
              <w:top w:val="single" w:sz="6" w:space="0" w:color="78A22F"/>
              <w:left w:val="nil"/>
              <w:bottom w:val="nil"/>
              <w:right w:val="nil"/>
            </w:tcBorders>
          </w:tcPr>
          <w:p w14:paraId="2F605CC0" w14:textId="3BCE2782" w:rsidR="008E7F5A" w:rsidRPr="00626D32" w:rsidRDefault="008E7F5A" w:rsidP="007B06AA">
            <w:pPr>
              <w:pStyle w:val="BoxSpaceBelow"/>
              <w:keepLines/>
            </w:pPr>
          </w:p>
        </w:tc>
      </w:tr>
    </w:tbl>
    <w:p w14:paraId="47CF486C" w14:textId="360F7E1D" w:rsidR="00C11340" w:rsidRDefault="00A923A7" w:rsidP="000A0951">
      <w:pPr>
        <w:pStyle w:val="BodyText"/>
      </w:pPr>
      <w:r>
        <w:t xml:space="preserve">In developing the assessment framework, the Commission reviewed publicly available evidence and selected a list of areas where it expected a need for additional evidence. </w:t>
      </w:r>
      <w:r w:rsidR="003D58A3">
        <w:t>This analysis</w:t>
      </w:r>
      <w:r>
        <w:t xml:space="preserve"> has been updated to </w:t>
      </w:r>
      <w:r w:rsidR="00263605">
        <w:t xml:space="preserve">reflect ongoing research by others and regulatory </w:t>
      </w:r>
      <w:r w:rsidR="00263605">
        <w:lastRenderedPageBreak/>
        <w:t>developments.</w:t>
      </w:r>
      <w:r w:rsidR="00BB11E5" w:rsidRPr="00FC3FE9">
        <w:rPr>
          <w:rStyle w:val="FootnoteReference"/>
        </w:rPr>
        <w:footnoteReference w:id="3"/>
      </w:r>
      <w:r w:rsidR="00263605">
        <w:t xml:space="preserve"> It also </w:t>
      </w:r>
      <w:r>
        <w:t>capture</w:t>
      </w:r>
      <w:r w:rsidR="00263605">
        <w:t>s</w:t>
      </w:r>
      <w:r>
        <w:t xml:space="preserve"> the few </w:t>
      </w:r>
      <w:r w:rsidR="0094075F">
        <w:t>additional</w:t>
      </w:r>
      <w:r>
        <w:t xml:space="preserve"> areas</w:t>
      </w:r>
      <w:r w:rsidR="00263605">
        <w:t xml:space="preserve"> needed</w:t>
      </w:r>
      <w:r>
        <w:t xml:space="preserve"> to fully address the Inquiry’s terms of reference. </w:t>
      </w:r>
      <w:r w:rsidR="003D58A3">
        <w:t xml:space="preserve">For convenience, </w:t>
      </w:r>
      <w:r w:rsidR="00DC1326">
        <w:t xml:space="preserve">additional </w:t>
      </w:r>
      <w:r w:rsidR="003D58A3">
        <w:t>evidence needs</w:t>
      </w:r>
      <w:r w:rsidR="00DC1326">
        <w:t xml:space="preserve"> are presented</w:t>
      </w:r>
      <w:r w:rsidR="003D58A3">
        <w:t xml:space="preserve"> in two tables. </w:t>
      </w:r>
    </w:p>
    <w:p w14:paraId="07D44E09" w14:textId="43C330DC" w:rsidR="00342F68" w:rsidRDefault="003D58A3" w:rsidP="00C9133B">
      <w:pPr>
        <w:pStyle w:val="ListBullet"/>
      </w:pPr>
      <w:r>
        <w:t xml:space="preserve">Table 2 reflects the priority areas for </w:t>
      </w:r>
      <w:r w:rsidRPr="00C9133B">
        <w:rPr>
          <w:b/>
        </w:rPr>
        <w:t>submission</w:t>
      </w:r>
      <w:r>
        <w:t xml:space="preserve"> evidence</w:t>
      </w:r>
      <w:r w:rsidR="006D7675">
        <w:t xml:space="preserve"> and who </w:t>
      </w:r>
      <w:r w:rsidR="004B35D5">
        <w:t xml:space="preserve">the Commission </w:t>
      </w:r>
      <w:r w:rsidR="006D7675">
        <w:t>would expect to address them</w:t>
      </w:r>
      <w:r>
        <w:t xml:space="preserve">. </w:t>
      </w:r>
      <w:r w:rsidR="001F240D">
        <w:t>T</w:t>
      </w:r>
      <w:r w:rsidR="006D7675">
        <w:t xml:space="preserve">he Commission has </w:t>
      </w:r>
      <w:r w:rsidR="001F240D">
        <w:t xml:space="preserve">also </w:t>
      </w:r>
      <w:r w:rsidR="006D7675">
        <w:t xml:space="preserve">provided a list of </w:t>
      </w:r>
      <w:r w:rsidR="001F240D">
        <w:t xml:space="preserve">guidance </w:t>
      </w:r>
      <w:r w:rsidR="006D7675">
        <w:t>questions for members</w:t>
      </w:r>
      <w:r w:rsidR="001F240D">
        <w:t xml:space="preserve"> below</w:t>
      </w:r>
      <w:r w:rsidR="006D7675">
        <w:t>.</w:t>
      </w:r>
    </w:p>
    <w:p w14:paraId="41818D50" w14:textId="57E1F472" w:rsidR="00C11340" w:rsidRDefault="003D58A3">
      <w:pPr>
        <w:pStyle w:val="ListBullet"/>
      </w:pPr>
      <w:r>
        <w:t>Table 3 (</w:t>
      </w:r>
      <w:r w:rsidR="00247C4D">
        <w:t>a</w:t>
      </w:r>
      <w:r w:rsidR="00CD56E1">
        <w:t>ttachment</w:t>
      </w:r>
      <w:r>
        <w:t xml:space="preserve"> A) reflects </w:t>
      </w:r>
      <w:r w:rsidR="001F240D">
        <w:t xml:space="preserve">all other </w:t>
      </w:r>
      <w:r>
        <w:t xml:space="preserve">additional evidence </w:t>
      </w:r>
      <w:r w:rsidR="001F240D">
        <w:t xml:space="preserve">and how </w:t>
      </w:r>
      <w:r w:rsidR="00D732EA">
        <w:t>it</w:t>
      </w:r>
      <w:r w:rsidR="001F240D">
        <w:t xml:space="preserve"> will be collated</w:t>
      </w:r>
      <w:r>
        <w:t xml:space="preserve">. </w:t>
      </w:r>
    </w:p>
    <w:p w14:paraId="2825E57A" w14:textId="55FFEC02" w:rsidR="005F59C0" w:rsidRDefault="00A923A7" w:rsidP="00C11340">
      <w:pPr>
        <w:pStyle w:val="BodyText"/>
      </w:pPr>
      <w:r>
        <w:t>The full list of indicators and corresponding evidence sources</w:t>
      </w:r>
      <w:r w:rsidR="003D58A3">
        <w:t xml:space="preserve"> developed in stage 1</w:t>
      </w:r>
      <w:r>
        <w:t xml:space="preserve"> is in</w:t>
      </w:r>
      <w:r w:rsidR="003D58A3">
        <w:t xml:space="preserve"> </w:t>
      </w:r>
      <w:r w:rsidR="00F87BDF">
        <w:t>a</w:t>
      </w:r>
      <w:r w:rsidR="00CD56E1">
        <w:t>ttachment</w:t>
      </w:r>
      <w:r>
        <w:t xml:space="preserve"> </w:t>
      </w:r>
      <w:r w:rsidR="00F21F3E">
        <w:t>B</w:t>
      </w:r>
      <w:r>
        <w:t>.</w:t>
      </w:r>
    </w:p>
    <w:p w14:paraId="74746F12" w14:textId="6ECE85E8" w:rsidR="00676DA7" w:rsidRPr="004E3B94" w:rsidRDefault="00676DA7" w:rsidP="00676DA7">
      <w:pPr>
        <w:pStyle w:val="BoxSpaceAboveElement"/>
        <w:keepLines/>
        <w:rPr>
          <w:vanish w:val="0"/>
          <w:color w:val="auto"/>
        </w:rPr>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676DA7" w14:paraId="27D2DF9F" w14:textId="77777777" w:rsidTr="0025238E">
        <w:trPr>
          <w:cantSplit/>
          <w:tblHeader/>
        </w:trPr>
        <w:tc>
          <w:tcPr>
            <w:tcW w:w="5000" w:type="pct"/>
            <w:tcBorders>
              <w:top w:val="single" w:sz="6" w:space="0" w:color="78A22F"/>
              <w:left w:val="nil"/>
              <w:bottom w:val="nil"/>
              <w:right w:val="nil"/>
            </w:tcBorders>
            <w:shd w:val="clear" w:color="auto" w:fill="auto"/>
          </w:tcPr>
          <w:p w14:paraId="31D5E9F2" w14:textId="0A27820F" w:rsidR="00676DA7" w:rsidRPr="0025238E" w:rsidRDefault="00676DA7" w:rsidP="00A14BD4">
            <w:pPr>
              <w:pStyle w:val="InformationRequestTitle"/>
              <w:spacing w:before="120"/>
              <w:rPr>
                <w:spacing w:val="-2"/>
              </w:rPr>
            </w:pPr>
            <w:r w:rsidRPr="0025238E">
              <w:rPr>
                <w:spacing w:val="-2"/>
              </w:rPr>
              <w:t>Submission evidence: GENERAL QUESTION FOR Industry PARTICIPANTS and regulators</w:t>
            </w:r>
          </w:p>
          <w:p w14:paraId="767CABAC" w14:textId="4C6D155C" w:rsidR="00676DA7" w:rsidRPr="00CE4C64" w:rsidRDefault="00676DA7" w:rsidP="00D9685C">
            <w:pPr>
              <w:pStyle w:val="InformationRequest"/>
            </w:pPr>
            <w:r>
              <w:t xml:space="preserve">Please provide case study and other evidence to address the evidence needs identified in </w:t>
            </w:r>
            <w:r w:rsidR="00D9685C">
              <w:t>t</w:t>
            </w:r>
            <w:r>
              <w:t>able 2 as being relevant to you.</w:t>
            </w:r>
          </w:p>
        </w:tc>
      </w:tr>
      <w:tr w:rsidR="00676DA7" w14:paraId="380C12A9" w14:textId="77777777" w:rsidTr="0025238E">
        <w:tc>
          <w:tcPr>
            <w:tcW w:w="5000" w:type="pct"/>
            <w:tcBorders>
              <w:top w:val="nil"/>
              <w:left w:val="nil"/>
              <w:bottom w:val="single" w:sz="6" w:space="0" w:color="78A22F"/>
              <w:right w:val="nil"/>
            </w:tcBorders>
            <w:shd w:val="clear" w:color="auto" w:fill="auto"/>
          </w:tcPr>
          <w:p w14:paraId="5FD98D3C" w14:textId="77777777" w:rsidR="00676DA7" w:rsidRDefault="00676DA7" w:rsidP="00A14BD4">
            <w:pPr>
              <w:pStyle w:val="Space"/>
              <w:keepLines/>
            </w:pPr>
          </w:p>
        </w:tc>
      </w:tr>
      <w:tr w:rsidR="00676DA7" w:rsidRPr="000863A5" w14:paraId="79A01EE6" w14:textId="77777777" w:rsidTr="0025238E">
        <w:tc>
          <w:tcPr>
            <w:tcW w:w="5000" w:type="pct"/>
            <w:tcBorders>
              <w:top w:val="single" w:sz="6" w:space="0" w:color="78A22F"/>
              <w:left w:val="nil"/>
              <w:bottom w:val="nil"/>
              <w:right w:val="nil"/>
            </w:tcBorders>
          </w:tcPr>
          <w:p w14:paraId="4234AB65" w14:textId="03F413C4" w:rsidR="00676DA7" w:rsidRPr="00626D32" w:rsidRDefault="00676DA7" w:rsidP="00A14BD4">
            <w:pPr>
              <w:pStyle w:val="BoxSpaceBelow"/>
              <w:keepLines/>
            </w:pPr>
          </w:p>
        </w:tc>
      </w:tr>
    </w:tbl>
    <w:p w14:paraId="5AA592EA" w14:textId="2F8673C0" w:rsidR="003D58A3" w:rsidRDefault="003D58A3" w:rsidP="003D58A3">
      <w:pPr>
        <w:pStyle w:val="BoxSpaceAbove"/>
      </w:pPr>
    </w:p>
    <w:tbl>
      <w:tblPr>
        <w:tblW w:w="4843" w:type="pct"/>
        <w:tblInd w:w="142"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3D58A3" w14:paraId="7228D753" w14:textId="77777777" w:rsidTr="006422DA">
        <w:tc>
          <w:tcPr>
            <w:tcW w:w="5000" w:type="pct"/>
            <w:tcBorders>
              <w:top w:val="single" w:sz="6" w:space="0" w:color="78A22F"/>
              <w:left w:val="nil"/>
              <w:bottom w:val="nil"/>
              <w:right w:val="nil"/>
            </w:tcBorders>
            <w:shd w:val="clear" w:color="auto" w:fill="auto"/>
          </w:tcPr>
          <w:p w14:paraId="1D02093B" w14:textId="15CD8B2E" w:rsidR="003D58A3" w:rsidRPr="00F92A2C" w:rsidRDefault="003D58A3" w:rsidP="00D02E44">
            <w:pPr>
              <w:pStyle w:val="TableTitle"/>
              <w:rPr>
                <w:rStyle w:val="NoteLabel"/>
              </w:rPr>
            </w:pPr>
            <w:r>
              <w:rPr>
                <w:b w:val="0"/>
              </w:rPr>
              <w:t>Table 2</w:t>
            </w:r>
            <w:r>
              <w:tab/>
              <w:t xml:space="preserve">Priority </w:t>
            </w:r>
            <w:r w:rsidR="00C7624C">
              <w:t>areas</w:t>
            </w:r>
            <w:r>
              <w:t xml:space="preserve"> for submission </w:t>
            </w:r>
            <w:r w:rsidR="001F240D">
              <w:t xml:space="preserve">‘case study’ </w:t>
            </w:r>
            <w:r w:rsidR="00D02E44">
              <w:t>and other</w:t>
            </w:r>
            <w:r w:rsidR="001F240D">
              <w:t xml:space="preserve"> </w:t>
            </w:r>
            <w:r>
              <w:t>evidence</w:t>
            </w:r>
          </w:p>
        </w:tc>
      </w:tr>
      <w:tr w:rsidR="003D58A3" w14:paraId="46E848CA" w14:textId="77777777" w:rsidTr="006422DA">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5244"/>
              <w:gridCol w:w="3261"/>
            </w:tblGrid>
            <w:tr w:rsidR="003D58A3" w14:paraId="02F83719" w14:textId="77777777" w:rsidTr="0025238E">
              <w:trPr>
                <w:tblHeader/>
              </w:trPr>
              <w:tc>
                <w:tcPr>
                  <w:tcW w:w="3083" w:type="pct"/>
                  <w:tcBorders>
                    <w:top w:val="single" w:sz="6" w:space="0" w:color="BFBFBF"/>
                  </w:tcBorders>
                  <w:shd w:val="clear" w:color="auto" w:fill="auto"/>
                  <w:tcMar>
                    <w:top w:w="28" w:type="dxa"/>
                  </w:tcMar>
                </w:tcPr>
                <w:p w14:paraId="23D98284" w14:textId="77777777" w:rsidR="003D58A3" w:rsidRDefault="003D58A3" w:rsidP="003D58A3">
                  <w:pPr>
                    <w:pStyle w:val="TableColumnHeading"/>
                    <w:jc w:val="left"/>
                  </w:pPr>
                  <w:r>
                    <w:t>Evidence required</w:t>
                  </w:r>
                </w:p>
              </w:tc>
              <w:tc>
                <w:tcPr>
                  <w:tcW w:w="1917" w:type="pct"/>
                  <w:tcBorders>
                    <w:top w:val="single" w:sz="6" w:space="0" w:color="BFBFBF"/>
                  </w:tcBorders>
                  <w:shd w:val="clear" w:color="auto" w:fill="auto"/>
                  <w:tcMar>
                    <w:top w:w="28" w:type="dxa"/>
                  </w:tcMar>
                </w:tcPr>
                <w:p w14:paraId="6A70C310" w14:textId="11CFFC59" w:rsidR="003D58A3" w:rsidRDefault="003D58A3" w:rsidP="003D58A3">
                  <w:pPr>
                    <w:pStyle w:val="TableColumnHeading"/>
                    <w:ind w:right="28"/>
                    <w:jc w:val="left"/>
                  </w:pPr>
                  <w:r>
                    <w:t>Expected evidence source</w:t>
                  </w:r>
                  <w:r w:rsidR="00146EE4">
                    <w:t>s</w:t>
                  </w:r>
                </w:p>
              </w:tc>
            </w:tr>
            <w:tr w:rsidR="0094075F" w14:paraId="6E2763DE" w14:textId="77777777" w:rsidTr="0025238E">
              <w:trPr>
                <w:trHeight w:val="283"/>
              </w:trPr>
              <w:tc>
                <w:tcPr>
                  <w:tcW w:w="3083" w:type="pct"/>
                  <w:shd w:val="solid" w:color="E0EEC6" w:themeColor="accent3" w:themeTint="66" w:fill="6599D9" w:themeFill="accent2" w:themeFillTint="99"/>
                  <w:vAlign w:val="center"/>
                </w:tcPr>
                <w:p w14:paraId="64333572" w14:textId="3D910668" w:rsidR="0094075F" w:rsidRDefault="0094075F" w:rsidP="0025238E">
                  <w:pPr>
                    <w:pStyle w:val="TableBodyText"/>
                    <w:jc w:val="left"/>
                    <w:rPr>
                      <w:b/>
                    </w:rPr>
                  </w:pPr>
                  <w:r w:rsidRPr="00F92A2C">
                    <w:rPr>
                      <w:b/>
                    </w:rPr>
                    <w:t>Member behaviour and knowledge</w:t>
                  </w:r>
                </w:p>
              </w:tc>
              <w:tc>
                <w:tcPr>
                  <w:tcW w:w="1917" w:type="pct"/>
                  <w:shd w:val="solid" w:color="E0EEC6" w:themeColor="accent3" w:themeTint="66" w:fill="6599D9" w:themeFill="accent2" w:themeFillTint="99"/>
                  <w:vAlign w:val="center"/>
                </w:tcPr>
                <w:p w14:paraId="1B964024" w14:textId="10DE5C8B" w:rsidR="0094075F" w:rsidRDefault="0094075F" w:rsidP="0025238E">
                  <w:pPr>
                    <w:pStyle w:val="TableBodyText"/>
                    <w:ind w:right="28"/>
                    <w:jc w:val="left"/>
                  </w:pPr>
                </w:p>
              </w:tc>
            </w:tr>
            <w:tr w:rsidR="0094075F" w14:paraId="513114F0" w14:textId="77777777" w:rsidTr="0025238E">
              <w:tc>
                <w:tcPr>
                  <w:tcW w:w="3083" w:type="pct"/>
                  <w:shd w:val="clear" w:color="98BBE5" w:themeColor="accent2" w:themeTint="66" w:fill="FFFFFF" w:themeFill="background1"/>
                </w:tcPr>
                <w:p w14:paraId="782F1DBA" w14:textId="4AD2B7B4" w:rsidR="0094075F" w:rsidRDefault="0094075F" w:rsidP="0094075F">
                  <w:pPr>
                    <w:pStyle w:val="TableBodyText"/>
                    <w:jc w:val="left"/>
                    <w:rPr>
                      <w:b/>
                    </w:rPr>
                  </w:pPr>
                  <w:r>
                    <w:t>Member account activity and account monitoring</w:t>
                  </w:r>
                </w:p>
              </w:tc>
              <w:tc>
                <w:tcPr>
                  <w:tcW w:w="1917" w:type="pct"/>
                  <w:shd w:val="clear" w:color="98BBE5" w:themeColor="accent2" w:themeTint="66" w:fill="FFFFFF" w:themeFill="background1"/>
                </w:tcPr>
                <w:p w14:paraId="42945FEE" w14:textId="52C9F90F" w:rsidR="0094075F" w:rsidRDefault="00BA5CE5" w:rsidP="0094075F">
                  <w:pPr>
                    <w:pStyle w:val="TableBodyText"/>
                    <w:ind w:right="28"/>
                    <w:jc w:val="left"/>
                  </w:pPr>
                  <w:r>
                    <w:t>C</w:t>
                  </w:r>
                  <w:r w:rsidR="0094075F">
                    <w:t>ase study evidence from funds and members</w:t>
                  </w:r>
                </w:p>
              </w:tc>
            </w:tr>
            <w:tr w:rsidR="0094075F" w14:paraId="57C2E54C" w14:textId="77777777" w:rsidTr="0025238E">
              <w:trPr>
                <w:trHeight w:val="283"/>
              </w:trPr>
              <w:tc>
                <w:tcPr>
                  <w:tcW w:w="3083" w:type="pct"/>
                  <w:shd w:val="solid" w:color="E0EEC6" w:themeColor="accent3" w:themeTint="66" w:fill="6599D9" w:themeFill="accent2" w:themeFillTint="99"/>
                  <w:vAlign w:val="center"/>
                </w:tcPr>
                <w:p w14:paraId="2523169E" w14:textId="118D401B" w:rsidR="0094075F" w:rsidRDefault="0094075F" w:rsidP="0025238E">
                  <w:pPr>
                    <w:pStyle w:val="TableBodyText"/>
                    <w:jc w:val="left"/>
                    <w:rPr>
                      <w:b/>
                    </w:rPr>
                  </w:pPr>
                  <w:r>
                    <w:rPr>
                      <w:b/>
                    </w:rPr>
                    <w:t>Insurance</w:t>
                  </w:r>
                </w:p>
              </w:tc>
              <w:tc>
                <w:tcPr>
                  <w:tcW w:w="1917" w:type="pct"/>
                  <w:shd w:val="solid" w:color="E0EEC6" w:themeColor="accent3" w:themeTint="66" w:fill="6599D9" w:themeFill="accent2" w:themeFillTint="99"/>
                  <w:vAlign w:val="center"/>
                </w:tcPr>
                <w:p w14:paraId="4E27610C" w14:textId="77777777" w:rsidR="0094075F" w:rsidRDefault="0094075F" w:rsidP="0025238E">
                  <w:pPr>
                    <w:pStyle w:val="TableBodyText"/>
                    <w:ind w:right="28"/>
                    <w:jc w:val="left"/>
                  </w:pPr>
                </w:p>
              </w:tc>
            </w:tr>
            <w:tr w:rsidR="0094075F" w14:paraId="51DD4959" w14:textId="77777777" w:rsidTr="00AA39D5">
              <w:trPr>
                <w:trHeight w:val="724"/>
              </w:trPr>
              <w:tc>
                <w:tcPr>
                  <w:tcW w:w="3083" w:type="pct"/>
                  <w:tcBorders>
                    <w:bottom w:val="single" w:sz="6" w:space="0" w:color="B2D673" w:themeColor="accent3"/>
                  </w:tcBorders>
                  <w:shd w:val="clear" w:color="98BBE5" w:themeColor="accent2" w:themeTint="66" w:fill="FFFFFF" w:themeFill="background1"/>
                </w:tcPr>
                <w:p w14:paraId="6AE36993" w14:textId="72E10427" w:rsidR="0094075F" w:rsidRDefault="0094075F" w:rsidP="0094075F">
                  <w:pPr>
                    <w:pStyle w:val="TableBodyText"/>
                    <w:jc w:val="left"/>
                    <w:rPr>
                      <w:b/>
                    </w:rPr>
                  </w:pPr>
                  <w:r>
                    <w:t>Ease and extent of members opting out of insurance, amending cover or making claims</w:t>
                  </w:r>
                </w:p>
              </w:tc>
              <w:tc>
                <w:tcPr>
                  <w:tcW w:w="1917" w:type="pct"/>
                  <w:tcBorders>
                    <w:bottom w:val="single" w:sz="6" w:space="0" w:color="B2D673" w:themeColor="accent3"/>
                  </w:tcBorders>
                  <w:shd w:val="clear" w:color="98BBE5" w:themeColor="accent2" w:themeTint="66" w:fill="FFFFFF" w:themeFill="background1"/>
                </w:tcPr>
                <w:p w14:paraId="31562BDB" w14:textId="31265846" w:rsidR="0094075F" w:rsidRDefault="00BA5CE5" w:rsidP="00B719B2">
                  <w:pPr>
                    <w:pStyle w:val="TableBodyText"/>
                    <w:ind w:right="28"/>
                    <w:jc w:val="left"/>
                  </w:pPr>
                  <w:r>
                    <w:t>C</w:t>
                  </w:r>
                  <w:r w:rsidR="0094075F">
                    <w:t xml:space="preserve">ase study evidence from </w:t>
                  </w:r>
                  <w:r w:rsidR="00B719B2">
                    <w:t xml:space="preserve">funds and </w:t>
                  </w:r>
                  <w:r w:rsidR="0094075F">
                    <w:t>members</w:t>
                  </w:r>
                  <w:r w:rsidR="009D28E9">
                    <w:t>; evidence from Insurance in Superannuation Working Group</w:t>
                  </w:r>
                </w:p>
              </w:tc>
            </w:tr>
            <w:tr w:rsidR="0094075F" w14:paraId="3D84FCC1" w14:textId="77777777" w:rsidTr="00AA39D5">
              <w:trPr>
                <w:trHeight w:val="805"/>
              </w:trPr>
              <w:tc>
                <w:tcPr>
                  <w:tcW w:w="3083" w:type="pct"/>
                  <w:tcBorders>
                    <w:top w:val="single" w:sz="6" w:space="0" w:color="B2D673" w:themeColor="accent3"/>
                  </w:tcBorders>
                  <w:shd w:val="clear" w:color="98BBE5" w:themeColor="accent2" w:themeTint="66" w:fill="FFFFFF" w:themeFill="background1"/>
                </w:tcPr>
                <w:p w14:paraId="3153BE8A" w14:textId="094DC529" w:rsidR="0094075F" w:rsidRDefault="0094075F" w:rsidP="0025238E">
                  <w:pPr>
                    <w:pStyle w:val="TableBodyText"/>
                    <w:spacing w:before="40"/>
                    <w:jc w:val="left"/>
                    <w:rPr>
                      <w:b/>
                    </w:rPr>
                  </w:pPr>
                  <w:r>
                    <w:t>Funds’ use of member information to provide default insurance cover</w:t>
                  </w:r>
                </w:p>
              </w:tc>
              <w:tc>
                <w:tcPr>
                  <w:tcW w:w="1917" w:type="pct"/>
                  <w:tcBorders>
                    <w:top w:val="single" w:sz="6" w:space="0" w:color="B2D673" w:themeColor="accent3"/>
                  </w:tcBorders>
                  <w:shd w:val="clear" w:color="98BBE5" w:themeColor="accent2" w:themeTint="66" w:fill="FFFFFF" w:themeFill="background1"/>
                </w:tcPr>
                <w:p w14:paraId="74C17A7D" w14:textId="7E31519F" w:rsidR="0094075F" w:rsidRDefault="00BA5CE5" w:rsidP="0025238E">
                  <w:pPr>
                    <w:pStyle w:val="TableBodyText"/>
                    <w:spacing w:before="40"/>
                    <w:ind w:right="28"/>
                    <w:jc w:val="left"/>
                  </w:pPr>
                  <w:r>
                    <w:t>C</w:t>
                  </w:r>
                  <w:r w:rsidR="0094075F">
                    <w:t>ase study evidence from funds and members</w:t>
                  </w:r>
                  <w:r w:rsidR="009D28E9">
                    <w:t>; evidence from Insurance in Superannuation Working Group</w:t>
                  </w:r>
                </w:p>
              </w:tc>
            </w:tr>
            <w:tr w:rsidR="0094075F" w14:paraId="180A2810" w14:textId="77777777" w:rsidTr="0025238E">
              <w:trPr>
                <w:trHeight w:val="283"/>
              </w:trPr>
              <w:tc>
                <w:tcPr>
                  <w:tcW w:w="3083" w:type="pct"/>
                  <w:shd w:val="solid" w:color="E0EEC6" w:themeColor="accent3" w:themeTint="66" w:fill="6599D9" w:themeFill="accent2" w:themeFillTint="99"/>
                  <w:vAlign w:val="center"/>
                </w:tcPr>
                <w:p w14:paraId="109C9C63" w14:textId="77777777" w:rsidR="0094075F" w:rsidRDefault="0094075F" w:rsidP="0025238E">
                  <w:pPr>
                    <w:pStyle w:val="TableBodyText"/>
                    <w:jc w:val="left"/>
                  </w:pPr>
                  <w:r>
                    <w:rPr>
                      <w:b/>
                    </w:rPr>
                    <w:t>Contestability</w:t>
                  </w:r>
                </w:p>
              </w:tc>
              <w:tc>
                <w:tcPr>
                  <w:tcW w:w="1917" w:type="pct"/>
                  <w:shd w:val="solid" w:color="E0EEC6" w:themeColor="accent3" w:themeTint="66" w:fill="6599D9" w:themeFill="accent2" w:themeFillTint="99"/>
                  <w:vAlign w:val="center"/>
                </w:tcPr>
                <w:p w14:paraId="632831C4" w14:textId="77777777" w:rsidR="0094075F" w:rsidRDefault="0094075F" w:rsidP="0025238E">
                  <w:pPr>
                    <w:pStyle w:val="TableBodyText"/>
                    <w:ind w:right="28"/>
                    <w:jc w:val="left"/>
                  </w:pPr>
                </w:p>
              </w:tc>
            </w:tr>
            <w:tr w:rsidR="0094075F" w14:paraId="7B7F2DDE" w14:textId="77777777" w:rsidTr="0025238E">
              <w:tc>
                <w:tcPr>
                  <w:tcW w:w="3083" w:type="pct"/>
                  <w:shd w:val="clear" w:color="auto" w:fill="FFFFFF" w:themeFill="background1"/>
                </w:tcPr>
                <w:p w14:paraId="58AFAAF4" w14:textId="77777777" w:rsidR="0094075F" w:rsidRDefault="0094075F" w:rsidP="0094075F">
                  <w:pPr>
                    <w:pStyle w:val="TableBodyText"/>
                    <w:jc w:val="left"/>
                    <w:rPr>
                      <w:b/>
                    </w:rPr>
                  </w:pPr>
                  <w:r>
                    <w:t>Height of barriers to entry arising from default rules and m</w:t>
                  </w:r>
                  <w:r w:rsidRPr="008421A5">
                    <w:t>arket impediments to funds accessing distribution channels</w:t>
                  </w:r>
                </w:p>
              </w:tc>
              <w:tc>
                <w:tcPr>
                  <w:tcW w:w="1917" w:type="pct"/>
                  <w:shd w:val="clear" w:color="auto" w:fill="FFFFFF" w:themeFill="background1"/>
                </w:tcPr>
                <w:p w14:paraId="663E34DF" w14:textId="154D7122" w:rsidR="0094075F" w:rsidRDefault="00BA5CE5" w:rsidP="003D58A3">
                  <w:pPr>
                    <w:pStyle w:val="TableBodyText"/>
                    <w:ind w:right="28"/>
                    <w:jc w:val="left"/>
                  </w:pPr>
                  <w:r>
                    <w:t>C</w:t>
                  </w:r>
                  <w:r w:rsidR="0094075F">
                    <w:t>ase study evidence from funds</w:t>
                  </w:r>
                </w:p>
              </w:tc>
            </w:tr>
            <w:tr w:rsidR="0094075F" w14:paraId="4100933B" w14:textId="77777777" w:rsidTr="0025238E">
              <w:trPr>
                <w:trHeight w:val="283"/>
              </w:trPr>
              <w:tc>
                <w:tcPr>
                  <w:tcW w:w="3083" w:type="pct"/>
                  <w:shd w:val="solid" w:color="E0EEC6" w:themeColor="accent3" w:themeTint="66" w:fill="6599D9" w:themeFill="accent2" w:themeFillTint="99"/>
                  <w:vAlign w:val="center"/>
                </w:tcPr>
                <w:p w14:paraId="2BB028FF" w14:textId="2C99A3B9" w:rsidR="0094075F" w:rsidRDefault="0094075F" w:rsidP="0025238E">
                  <w:pPr>
                    <w:pStyle w:val="TableBodyText"/>
                    <w:jc w:val="left"/>
                  </w:pPr>
                  <w:r>
                    <w:rPr>
                      <w:b/>
                    </w:rPr>
                    <w:t>Fund behaviour</w:t>
                  </w:r>
                </w:p>
              </w:tc>
              <w:tc>
                <w:tcPr>
                  <w:tcW w:w="1917" w:type="pct"/>
                  <w:shd w:val="solid" w:color="E0EEC6" w:themeColor="accent3" w:themeTint="66" w:fill="6599D9" w:themeFill="accent2" w:themeFillTint="99"/>
                  <w:vAlign w:val="center"/>
                </w:tcPr>
                <w:p w14:paraId="20218539" w14:textId="5088D67F" w:rsidR="0094075F" w:rsidRDefault="0094075F" w:rsidP="0025238E">
                  <w:pPr>
                    <w:pStyle w:val="TableBodyText"/>
                    <w:ind w:right="28"/>
                    <w:jc w:val="left"/>
                  </w:pPr>
                </w:p>
              </w:tc>
            </w:tr>
            <w:tr w:rsidR="0094075F" w14:paraId="74E2AA77" w14:textId="77777777" w:rsidTr="0025238E">
              <w:tc>
                <w:tcPr>
                  <w:tcW w:w="3083" w:type="pct"/>
                  <w:shd w:val="clear" w:color="auto" w:fill="FFFFFF" w:themeFill="background1"/>
                </w:tcPr>
                <w:p w14:paraId="4E1D08C3" w14:textId="662D0618" w:rsidR="0094075F" w:rsidRDefault="0094075F" w:rsidP="0094075F">
                  <w:pPr>
                    <w:pStyle w:val="TableBodyText"/>
                    <w:jc w:val="left"/>
                    <w:rPr>
                      <w:b/>
                    </w:rPr>
                  </w:pPr>
                  <w:r>
                    <w:t>Funds’ use of member information and behavioural finance lessons in product design</w:t>
                  </w:r>
                  <w:r w:rsidR="00FF2335">
                    <w:t>,</w:t>
                  </w:r>
                  <w:r>
                    <w:t xml:space="preserve"> development </w:t>
                  </w:r>
                  <w:r w:rsidRPr="007C178D">
                    <w:t>and take</w:t>
                  </w:r>
                  <w:r w:rsidRPr="007C178D">
                    <w:noBreakHyphen/>
                    <w:t xml:space="preserve">up of </w:t>
                  </w:r>
                  <w:r>
                    <w:t>tailored products, member services and retirement income products</w:t>
                  </w:r>
                </w:p>
              </w:tc>
              <w:tc>
                <w:tcPr>
                  <w:tcW w:w="1917" w:type="pct"/>
                  <w:shd w:val="clear" w:color="auto" w:fill="FFFFFF" w:themeFill="background1"/>
                </w:tcPr>
                <w:p w14:paraId="4AE601DF" w14:textId="53184801" w:rsidR="0094075F" w:rsidRDefault="00BA5CE5" w:rsidP="0094075F">
                  <w:pPr>
                    <w:pStyle w:val="TableBodyText"/>
                    <w:ind w:right="28"/>
                    <w:jc w:val="left"/>
                  </w:pPr>
                  <w:r>
                    <w:t>C</w:t>
                  </w:r>
                  <w:r w:rsidR="0094075F">
                    <w:t>ase study evidence from funds</w:t>
                  </w:r>
                </w:p>
              </w:tc>
            </w:tr>
            <w:tr w:rsidR="0094075F" w14:paraId="0055F598" w14:textId="77777777" w:rsidTr="0025238E">
              <w:trPr>
                <w:trHeight w:val="283"/>
              </w:trPr>
              <w:tc>
                <w:tcPr>
                  <w:tcW w:w="3083" w:type="pct"/>
                  <w:shd w:val="solid" w:color="E0EEC6" w:themeColor="accent3" w:themeTint="66" w:fill="6599D9" w:themeFill="accent2" w:themeFillTint="99"/>
                  <w:vAlign w:val="center"/>
                </w:tcPr>
                <w:p w14:paraId="73D6B66A" w14:textId="6396F2CD" w:rsidR="0094075F" w:rsidRDefault="0094075F" w:rsidP="0025238E">
                  <w:pPr>
                    <w:pStyle w:val="TableBodyText"/>
                    <w:jc w:val="left"/>
                  </w:pPr>
                  <w:r w:rsidRPr="00F92A2C">
                    <w:rPr>
                      <w:b/>
                    </w:rPr>
                    <w:t xml:space="preserve">Effect of regulation </w:t>
                  </w:r>
                </w:p>
              </w:tc>
              <w:tc>
                <w:tcPr>
                  <w:tcW w:w="1917" w:type="pct"/>
                  <w:shd w:val="solid" w:color="E0EEC6" w:themeColor="accent3" w:themeTint="66" w:fill="6599D9" w:themeFill="accent2" w:themeFillTint="99"/>
                  <w:vAlign w:val="center"/>
                </w:tcPr>
                <w:p w14:paraId="0F2101FD" w14:textId="659A17FB" w:rsidR="0094075F" w:rsidRDefault="0094075F" w:rsidP="0025238E">
                  <w:pPr>
                    <w:pStyle w:val="TableBodyText"/>
                    <w:ind w:right="28"/>
                    <w:jc w:val="left"/>
                  </w:pPr>
                </w:p>
              </w:tc>
            </w:tr>
            <w:tr w:rsidR="0094075F" w14:paraId="1540FD11" w14:textId="77777777" w:rsidTr="00AA39D5">
              <w:tc>
                <w:tcPr>
                  <w:tcW w:w="3083" w:type="pct"/>
                  <w:tcBorders>
                    <w:bottom w:val="single" w:sz="6" w:space="0" w:color="B2D673" w:themeColor="accent3"/>
                  </w:tcBorders>
                  <w:shd w:val="clear" w:color="auto" w:fill="FFFFFF" w:themeFill="background1"/>
                </w:tcPr>
                <w:p w14:paraId="79393C21" w14:textId="77777777" w:rsidR="0094075F" w:rsidRDefault="0094075F" w:rsidP="0094075F">
                  <w:pPr>
                    <w:pStyle w:val="TableBodyText"/>
                    <w:jc w:val="left"/>
                  </w:pPr>
                  <w:r>
                    <w:t xml:space="preserve">For ASIC: </w:t>
                  </w:r>
                </w:p>
                <w:p w14:paraId="773F8136" w14:textId="0CD86B53" w:rsidR="0094075F" w:rsidRDefault="0094075F" w:rsidP="00AE6FDD">
                  <w:pPr>
                    <w:pStyle w:val="TableBullet"/>
                  </w:pPr>
                  <w:r>
                    <w:t>overall member experience</w:t>
                  </w:r>
                </w:p>
                <w:p w14:paraId="77E6BFAB" w14:textId="5A4CF99D" w:rsidR="0094075F" w:rsidRDefault="0094075F" w:rsidP="009C7C43">
                  <w:pPr>
                    <w:pStyle w:val="TableBullet"/>
                  </w:pPr>
                  <w:r>
                    <w:t xml:space="preserve">regulator </w:t>
                  </w:r>
                  <w:r w:rsidRPr="00AD6120">
                    <w:t>monitoring and enforcement activity on inducements</w:t>
                  </w:r>
                </w:p>
                <w:p w14:paraId="2FEF995C" w14:textId="32945F1A" w:rsidR="0094075F" w:rsidRPr="00AE6FDD" w:rsidRDefault="0094075F" w:rsidP="009C7C43">
                  <w:pPr>
                    <w:pStyle w:val="TableBullet"/>
                  </w:pPr>
                  <w:r>
                    <w:t>ongoing and predicted effect of RG97 on transparency of fee disclosure</w:t>
                  </w:r>
                </w:p>
              </w:tc>
              <w:tc>
                <w:tcPr>
                  <w:tcW w:w="1917" w:type="pct"/>
                  <w:tcBorders>
                    <w:bottom w:val="single" w:sz="6" w:space="0" w:color="B2D673" w:themeColor="accent3"/>
                  </w:tcBorders>
                  <w:shd w:val="clear" w:color="auto" w:fill="FFFFFF" w:themeFill="background1"/>
                </w:tcPr>
                <w:p w14:paraId="15DB3305" w14:textId="1BAE23D7" w:rsidR="0094075F" w:rsidRDefault="00BA5CE5">
                  <w:pPr>
                    <w:pStyle w:val="TableBodyText"/>
                    <w:ind w:right="28"/>
                    <w:jc w:val="left"/>
                  </w:pPr>
                  <w:r>
                    <w:t>Relevant u</w:t>
                  </w:r>
                  <w:r w:rsidR="0094075F">
                    <w:t>npublished evidence from regulator; case study evidence from funds and members</w:t>
                  </w:r>
                </w:p>
              </w:tc>
            </w:tr>
            <w:tr w:rsidR="0094075F" w14:paraId="74DC2131" w14:textId="77777777" w:rsidTr="00AA39D5">
              <w:tc>
                <w:tcPr>
                  <w:tcW w:w="3083" w:type="pct"/>
                  <w:tcBorders>
                    <w:top w:val="single" w:sz="6" w:space="0" w:color="B2D673" w:themeColor="accent3"/>
                    <w:bottom w:val="single" w:sz="6" w:space="0" w:color="BFBFBF"/>
                  </w:tcBorders>
                  <w:shd w:val="clear" w:color="auto" w:fill="FFFFFF" w:themeFill="background1"/>
                </w:tcPr>
                <w:p w14:paraId="3BF25BAC" w14:textId="77777777" w:rsidR="0094075F" w:rsidRPr="00AD6120" w:rsidRDefault="0094075F" w:rsidP="0025238E">
                  <w:pPr>
                    <w:pStyle w:val="TableBodyText"/>
                    <w:spacing w:before="40"/>
                    <w:jc w:val="left"/>
                  </w:pPr>
                  <w:r>
                    <w:t>For APRA:</w:t>
                  </w:r>
                </w:p>
                <w:p w14:paraId="5BB3AD86" w14:textId="77777777" w:rsidR="0094075F" w:rsidRPr="00A17C51" w:rsidRDefault="0094075F" w:rsidP="0094075F">
                  <w:pPr>
                    <w:pStyle w:val="TableBullet"/>
                  </w:pPr>
                  <w:r>
                    <w:t>effect of current successor fund transfer rules and likely effect of proposed guidelines on fund mergers</w:t>
                  </w:r>
                </w:p>
                <w:p w14:paraId="171B9A9D" w14:textId="31EEE9BB" w:rsidR="0094075F" w:rsidRDefault="0094075F" w:rsidP="00AE6FDD">
                  <w:pPr>
                    <w:pStyle w:val="TableBullet"/>
                  </w:pPr>
                  <w:r>
                    <w:t>regulator activity in ensuring that trustees discharge their obligations under the scale test</w:t>
                  </w:r>
                </w:p>
                <w:p w14:paraId="34878774" w14:textId="18DC4F7B" w:rsidR="0094075F" w:rsidRDefault="0094075F" w:rsidP="009C7C43">
                  <w:pPr>
                    <w:pStyle w:val="TableBullet"/>
                  </w:pPr>
                  <w:r>
                    <w:t>regulator activity in ensuring that trustees discharge their obligations on bundled insurance</w:t>
                  </w:r>
                </w:p>
              </w:tc>
              <w:tc>
                <w:tcPr>
                  <w:tcW w:w="1917" w:type="pct"/>
                  <w:tcBorders>
                    <w:top w:val="single" w:sz="6" w:space="0" w:color="B2D673" w:themeColor="accent3"/>
                    <w:bottom w:val="single" w:sz="6" w:space="0" w:color="BFBFBF"/>
                  </w:tcBorders>
                  <w:shd w:val="clear" w:color="auto" w:fill="FFFFFF" w:themeFill="background1"/>
                </w:tcPr>
                <w:p w14:paraId="4E6431ED" w14:textId="7F08D5D7" w:rsidR="0094075F" w:rsidRDefault="00BA5CE5" w:rsidP="0025238E">
                  <w:pPr>
                    <w:pStyle w:val="TableBodyText"/>
                    <w:spacing w:before="40"/>
                    <w:ind w:right="28"/>
                    <w:jc w:val="left"/>
                  </w:pPr>
                  <w:r>
                    <w:t>Relevant u</w:t>
                  </w:r>
                  <w:r w:rsidR="0094075F">
                    <w:t>npublished evidence from regulator; case study evidence from funds and members</w:t>
                  </w:r>
                </w:p>
              </w:tc>
            </w:tr>
          </w:tbl>
          <w:p w14:paraId="590F9C33" w14:textId="77777777" w:rsidR="003D58A3" w:rsidRDefault="003D58A3" w:rsidP="003D58A3">
            <w:pPr>
              <w:pStyle w:val="Box"/>
            </w:pPr>
          </w:p>
        </w:tc>
      </w:tr>
      <w:tr w:rsidR="003D58A3" w14:paraId="3AC04741" w14:textId="77777777" w:rsidTr="006422DA">
        <w:tc>
          <w:tcPr>
            <w:tcW w:w="5000" w:type="pct"/>
            <w:tcBorders>
              <w:top w:val="nil"/>
              <w:left w:val="nil"/>
              <w:bottom w:val="single" w:sz="6" w:space="0" w:color="78A22F"/>
              <w:right w:val="nil"/>
            </w:tcBorders>
            <w:shd w:val="clear" w:color="auto" w:fill="auto"/>
          </w:tcPr>
          <w:p w14:paraId="2850B1C3" w14:textId="77777777" w:rsidR="003D58A3" w:rsidRDefault="003D58A3" w:rsidP="003D58A3">
            <w:pPr>
              <w:pStyle w:val="Box"/>
              <w:spacing w:before="0" w:line="120" w:lineRule="exact"/>
            </w:pPr>
          </w:p>
        </w:tc>
      </w:tr>
      <w:tr w:rsidR="003D58A3" w:rsidRPr="000863A5" w14:paraId="58AA4A22" w14:textId="77777777" w:rsidTr="006422DA">
        <w:tc>
          <w:tcPr>
            <w:tcW w:w="5000" w:type="pct"/>
            <w:tcBorders>
              <w:top w:val="single" w:sz="6" w:space="0" w:color="78A22F"/>
              <w:left w:val="nil"/>
              <w:bottom w:val="nil"/>
              <w:right w:val="nil"/>
            </w:tcBorders>
          </w:tcPr>
          <w:p w14:paraId="7D7A520A" w14:textId="5413525C" w:rsidR="003D58A3" w:rsidRPr="00626D32" w:rsidRDefault="003D58A3" w:rsidP="003D58A3">
            <w:pPr>
              <w:pStyle w:val="BoxSpaceBelow"/>
            </w:pPr>
          </w:p>
        </w:tc>
      </w:tr>
    </w:tbl>
    <w:p w14:paraId="69A5861E" w14:textId="58A89D2C" w:rsidR="009D28E9" w:rsidRDefault="009D28E9" w:rsidP="009D28E9">
      <w:pPr>
        <w:pStyle w:val="BodyText"/>
      </w:pPr>
    </w:p>
    <w:p w14:paraId="0E170D42" w14:textId="044B6373" w:rsidR="009D28E9" w:rsidRPr="004E3B94" w:rsidRDefault="009D28E9" w:rsidP="009D28E9">
      <w:pPr>
        <w:pStyle w:val="BoxSpaceAboveElement"/>
        <w:keepLines/>
        <w:rPr>
          <w:vanish w:val="0"/>
          <w:color w:val="auto"/>
        </w:rPr>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9D28E9" w14:paraId="1F051D20" w14:textId="77777777" w:rsidTr="00990744">
        <w:trPr>
          <w:cantSplit/>
          <w:tblHeader/>
        </w:trPr>
        <w:tc>
          <w:tcPr>
            <w:tcW w:w="5000" w:type="pct"/>
            <w:tcBorders>
              <w:top w:val="single" w:sz="6" w:space="0" w:color="78A22F"/>
              <w:left w:val="nil"/>
              <w:bottom w:val="nil"/>
              <w:right w:val="nil"/>
            </w:tcBorders>
            <w:shd w:val="clear" w:color="auto" w:fill="auto"/>
          </w:tcPr>
          <w:p w14:paraId="25646715" w14:textId="54CC2F34" w:rsidR="009D28E9" w:rsidRDefault="00342F68" w:rsidP="00A14BD4">
            <w:pPr>
              <w:pStyle w:val="InformationRequestTitle"/>
              <w:spacing w:before="120"/>
            </w:pPr>
            <w:r>
              <w:t xml:space="preserve">Superannuation for Members: </w:t>
            </w:r>
            <w:r w:rsidR="009D28E9">
              <w:t>GENERAL QUESTIONS FOR MEMBERS</w:t>
            </w:r>
          </w:p>
          <w:p w14:paraId="17D35CC2" w14:textId="77777777" w:rsidR="009D28E9" w:rsidRPr="00C21582" w:rsidRDefault="009D28E9" w:rsidP="00A14BD4">
            <w:pPr>
              <w:pStyle w:val="InformationRequest"/>
            </w:pPr>
            <w:r w:rsidRPr="00C21582">
              <w:rPr>
                <w:b/>
              </w:rPr>
              <w:t>Overall impressions</w:t>
            </w:r>
          </w:p>
          <w:p w14:paraId="229A46EF" w14:textId="77777777" w:rsidR="009D28E9" w:rsidRPr="00D84521" w:rsidRDefault="009D28E9" w:rsidP="00A14BD4">
            <w:pPr>
              <w:pStyle w:val="InformationRequest"/>
            </w:pPr>
            <w:r>
              <w:t>Are you satisfied with how the system has performed for you and do you trust it to deliver you the best outcomes in retirement?</w:t>
            </w:r>
          </w:p>
          <w:p w14:paraId="13A00B1B" w14:textId="77777777" w:rsidR="009D28E9" w:rsidRPr="00C21582" w:rsidRDefault="009D28E9" w:rsidP="00A14BD4">
            <w:pPr>
              <w:pStyle w:val="InformationRequest"/>
            </w:pPr>
            <w:r w:rsidRPr="00C21582">
              <w:rPr>
                <w:b/>
              </w:rPr>
              <w:t>How you engage with your superannuation</w:t>
            </w:r>
          </w:p>
          <w:p w14:paraId="7DD6BAD6" w14:textId="77777777" w:rsidR="009D28E9" w:rsidRDefault="009D28E9" w:rsidP="00A14BD4">
            <w:pPr>
              <w:pStyle w:val="InformationRequest"/>
            </w:pPr>
            <w:r>
              <w:t>How closely do you follow the performance of your superannuation account? What is the main way you interact with your fund? What member services do you find most useful and why?</w:t>
            </w:r>
          </w:p>
          <w:p w14:paraId="31CA8E24" w14:textId="77777777" w:rsidR="009D28E9" w:rsidRDefault="009D28E9" w:rsidP="00A14BD4">
            <w:pPr>
              <w:pStyle w:val="InformationRequest"/>
            </w:pPr>
            <w:r>
              <w:t>What other information sources do you use to make decisions about your super?</w:t>
            </w:r>
          </w:p>
          <w:p w14:paraId="42BBD238" w14:textId="2CBE3C4F" w:rsidR="009D28E9" w:rsidRDefault="009D28E9" w:rsidP="00A14BD4">
            <w:pPr>
              <w:pStyle w:val="InformationRequest"/>
            </w:pPr>
            <w:r>
              <w:t>How easy is it to research and switch to a new product</w:t>
            </w:r>
            <w:r w:rsidR="00FF2335">
              <w:t xml:space="preserve"> and/or provider</w:t>
            </w:r>
            <w:r>
              <w:t>? What are the main hurdles that could be removed to make the task easier?</w:t>
            </w:r>
          </w:p>
          <w:p w14:paraId="3A7C91B3" w14:textId="77777777" w:rsidR="009D28E9" w:rsidRDefault="009D28E9" w:rsidP="00A14BD4">
            <w:pPr>
              <w:pStyle w:val="InformationRequest"/>
            </w:pPr>
            <w:r>
              <w:t>If you are a retiree, how well is the system addressing your needs to manage the super savings you have accumulated and assist you in making decisions about a retirement income product?</w:t>
            </w:r>
          </w:p>
          <w:p w14:paraId="57EE5452" w14:textId="77777777" w:rsidR="009D28E9" w:rsidRPr="00D213C8" w:rsidRDefault="009D28E9" w:rsidP="00A14BD4">
            <w:pPr>
              <w:pStyle w:val="InformationRequest"/>
            </w:pPr>
            <w:r>
              <w:t>For SMSF members, what was your main motivation for establishing an SMSF? Do you still retain an account with an institutional fund as well, and if so, why?</w:t>
            </w:r>
          </w:p>
          <w:p w14:paraId="6D25B4E3" w14:textId="77777777" w:rsidR="009D28E9" w:rsidRPr="00C21582" w:rsidRDefault="009D28E9" w:rsidP="00A14BD4">
            <w:pPr>
              <w:pStyle w:val="InformationRequest"/>
            </w:pPr>
            <w:r w:rsidRPr="00C21582">
              <w:rPr>
                <w:b/>
              </w:rPr>
              <w:t>How funds engage with you</w:t>
            </w:r>
          </w:p>
          <w:p w14:paraId="5A996645" w14:textId="62AED349" w:rsidR="009D28E9" w:rsidRDefault="009D28E9" w:rsidP="00A14BD4">
            <w:pPr>
              <w:pStyle w:val="InformationRequest"/>
            </w:pPr>
            <w:r>
              <w:t>Do you trust your current fund</w:t>
            </w:r>
            <w:r w:rsidR="006A7914">
              <w:t>(s)</w:t>
            </w:r>
            <w:r>
              <w:t xml:space="preserve"> to keep you informed about the performance of your product and other options within the fund?</w:t>
            </w:r>
          </w:p>
          <w:p w14:paraId="49F53E02" w14:textId="684FAF17" w:rsidR="009D28E9" w:rsidRPr="00D84521" w:rsidRDefault="009D28E9" w:rsidP="00A14BD4">
            <w:pPr>
              <w:pStyle w:val="InformationRequest"/>
            </w:pPr>
            <w:r>
              <w:t>How accessible, comparable and easy to understand is the information on fees and features for your product and across the system more broadly? Has this changed over the time you have been with a fund?</w:t>
            </w:r>
          </w:p>
          <w:p w14:paraId="60589D81" w14:textId="6E47EE8A" w:rsidR="009D28E9" w:rsidRDefault="009D28E9" w:rsidP="00A14BD4">
            <w:pPr>
              <w:pStyle w:val="InformationRequest"/>
            </w:pPr>
            <w:r>
              <w:t>How comfortable are you that the current level and nature of advertising and other marketing activity by super</w:t>
            </w:r>
            <w:r w:rsidR="00FF2335">
              <w:t>annuation</w:t>
            </w:r>
            <w:r>
              <w:t xml:space="preserve"> funds is promoting your interests as a member? Have you encountered any marketing activity that is problematic?</w:t>
            </w:r>
          </w:p>
          <w:p w14:paraId="429F4258" w14:textId="77777777" w:rsidR="009D28E9" w:rsidRPr="00C21582" w:rsidRDefault="009D28E9" w:rsidP="00A14BD4">
            <w:pPr>
              <w:pStyle w:val="InformationRequest"/>
            </w:pPr>
            <w:r w:rsidRPr="00C21582">
              <w:rPr>
                <w:b/>
              </w:rPr>
              <w:t>Insurance in superannuation</w:t>
            </w:r>
          </w:p>
          <w:p w14:paraId="72C0F3B2" w14:textId="2D8B5BF4" w:rsidR="009D28E9" w:rsidRDefault="009D28E9" w:rsidP="00A14BD4">
            <w:pPr>
              <w:pStyle w:val="InformationRequest"/>
            </w:pPr>
            <w:r w:rsidRPr="00D84521">
              <w:t xml:space="preserve">How </w:t>
            </w:r>
            <w:r>
              <w:t>comfortable are you to allocate a portion of your super</w:t>
            </w:r>
            <w:r w:rsidR="00FF2335">
              <w:t>annuation</w:t>
            </w:r>
            <w:r>
              <w:t xml:space="preserve"> savings to life and total and permanent disability insurance? How would you determine how much to allocate to insurance?</w:t>
            </w:r>
          </w:p>
          <w:p w14:paraId="6F51E9AC" w14:textId="77777777" w:rsidR="009D28E9" w:rsidRDefault="009D28E9" w:rsidP="00A14BD4">
            <w:pPr>
              <w:pStyle w:val="InformationRequest"/>
            </w:pPr>
            <w:r>
              <w:t>If you have used your superannuation insurance policy, how would you rate your experience?</w:t>
            </w:r>
          </w:p>
          <w:p w14:paraId="347E6EFC" w14:textId="77777777" w:rsidR="009D28E9" w:rsidRDefault="009D28E9" w:rsidP="00A14BD4">
            <w:pPr>
              <w:pStyle w:val="InformationRequest"/>
            </w:pPr>
            <w:r>
              <w:t>How easy is it to amend or opt out of the insurance policy offered as a default by your fund?</w:t>
            </w:r>
          </w:p>
          <w:p w14:paraId="71748AFE" w14:textId="77777777" w:rsidR="009D28E9" w:rsidRPr="00CE4C64" w:rsidRDefault="009D28E9" w:rsidP="00A14BD4">
            <w:pPr>
              <w:pStyle w:val="InformationRequest"/>
            </w:pPr>
            <w:r>
              <w:t xml:space="preserve">Have you retained duplicate superannuation accounts for the purpose of retaining an insurance policy attached to a previous superannuation product? </w:t>
            </w:r>
          </w:p>
        </w:tc>
      </w:tr>
      <w:tr w:rsidR="009D28E9" w14:paraId="4DD51D91" w14:textId="77777777" w:rsidTr="00990744">
        <w:tc>
          <w:tcPr>
            <w:tcW w:w="5000" w:type="pct"/>
            <w:tcBorders>
              <w:top w:val="nil"/>
              <w:left w:val="nil"/>
              <w:bottom w:val="single" w:sz="6" w:space="0" w:color="78A22F"/>
              <w:right w:val="nil"/>
            </w:tcBorders>
            <w:shd w:val="clear" w:color="auto" w:fill="auto"/>
          </w:tcPr>
          <w:p w14:paraId="223B0901" w14:textId="77777777" w:rsidR="009D28E9" w:rsidRDefault="009D28E9" w:rsidP="00A14BD4">
            <w:pPr>
              <w:pStyle w:val="Space"/>
              <w:keepLines/>
            </w:pPr>
          </w:p>
        </w:tc>
      </w:tr>
      <w:tr w:rsidR="009D28E9" w:rsidRPr="000863A5" w14:paraId="2CAA768B" w14:textId="77777777" w:rsidTr="00990744">
        <w:tc>
          <w:tcPr>
            <w:tcW w:w="5000" w:type="pct"/>
            <w:tcBorders>
              <w:top w:val="single" w:sz="6" w:space="0" w:color="78A22F"/>
              <w:left w:val="nil"/>
              <w:bottom w:val="nil"/>
              <w:right w:val="nil"/>
            </w:tcBorders>
          </w:tcPr>
          <w:p w14:paraId="03DC11FB" w14:textId="5B32E5F4" w:rsidR="009D28E9" w:rsidRPr="00626D32" w:rsidRDefault="009D28E9" w:rsidP="00A14BD4">
            <w:pPr>
              <w:pStyle w:val="BoxSpaceBelow"/>
              <w:keepLines/>
            </w:pPr>
          </w:p>
        </w:tc>
      </w:tr>
    </w:tbl>
    <w:p w14:paraId="193E3C3A" w14:textId="77777777" w:rsidR="009D28E9" w:rsidRDefault="009D28E9" w:rsidP="000A0951">
      <w:pPr>
        <w:pStyle w:val="BodyText"/>
      </w:pPr>
    </w:p>
    <w:p w14:paraId="71108C3E" w14:textId="77777777" w:rsidR="00B66633" w:rsidRDefault="00B66633" w:rsidP="00B66633">
      <w:pPr>
        <w:pStyle w:val="Heading3"/>
      </w:pPr>
      <w:r>
        <w:lastRenderedPageBreak/>
        <w:t>Contribute to methodology and interpretation</w:t>
      </w:r>
    </w:p>
    <w:p w14:paraId="172B108F" w14:textId="5287CE2D" w:rsidR="00CA111E" w:rsidRDefault="00B66633" w:rsidP="00B66633">
      <w:pPr>
        <w:pStyle w:val="BodyText"/>
      </w:pPr>
      <w:r>
        <w:t>Collectively, the assessment</w:t>
      </w:r>
      <w:r w:rsidR="00F21F3E">
        <w:t xml:space="preserve"> framework’s</w:t>
      </w:r>
      <w:r>
        <w:t xml:space="preserve"> criteria and indicators developed in </w:t>
      </w:r>
      <w:r w:rsidR="002614C8">
        <w:t>stage 1</w:t>
      </w:r>
      <w:r>
        <w:t xml:space="preserve"> are intended to </w:t>
      </w:r>
      <w:r w:rsidR="00F21F3E">
        <w:t xml:space="preserve">inform </w:t>
      </w:r>
      <w:r>
        <w:t xml:space="preserve">a detailed </w:t>
      </w:r>
      <w:r w:rsidR="00F21F3E">
        <w:t xml:space="preserve">and working understanding </w:t>
      </w:r>
      <w:r>
        <w:t xml:space="preserve">of the competitiveness and efficiency of the superannuation system. But applying the indicators to draw conclusions about the system overall will be challenging. </w:t>
      </w:r>
      <w:r w:rsidR="00CA111E">
        <w:t xml:space="preserve"> </w:t>
      </w:r>
    </w:p>
    <w:p w14:paraId="68C632BD" w14:textId="2A9C516F" w:rsidR="00B66633" w:rsidRDefault="00B66633" w:rsidP="00B66633">
      <w:pPr>
        <w:pStyle w:val="BodyText"/>
      </w:pPr>
      <w:r>
        <w:t>T</w:t>
      </w:r>
      <w:r w:rsidRPr="0050753A">
        <w:t xml:space="preserve">he Commission </w:t>
      </w:r>
      <w:r w:rsidR="00A62A38">
        <w:t xml:space="preserve">has identified two areas in particular where </w:t>
      </w:r>
      <w:r w:rsidRPr="0050753A">
        <w:t xml:space="preserve">feedback from participants on the methodology </w:t>
      </w:r>
      <w:r w:rsidR="006D0290">
        <w:t>to</w:t>
      </w:r>
      <w:r w:rsidR="00A62A38">
        <w:t xml:space="preserve"> be applied </w:t>
      </w:r>
      <w:r w:rsidR="00957A47">
        <w:t>would add the most value at this stage</w:t>
      </w:r>
      <w:r w:rsidRPr="0050753A">
        <w:t>.</w:t>
      </w:r>
    </w:p>
    <w:p w14:paraId="169564AA" w14:textId="77777777" w:rsidR="00B66633" w:rsidRDefault="00B66633" w:rsidP="00F92A2C">
      <w:pPr>
        <w:pStyle w:val="Heading4"/>
      </w:pPr>
      <w:r>
        <w:t>Estimating the utilisation and pass through of economies of scale</w:t>
      </w:r>
    </w:p>
    <w:p w14:paraId="76334BEB" w14:textId="523229E4" w:rsidR="009A1D0D" w:rsidRDefault="002F2512" w:rsidP="009A1D0D">
      <w:pPr>
        <w:pStyle w:val="BodyText"/>
      </w:pPr>
      <w:r>
        <w:t>As discussed in the stage 1 report, the utilisation</w:t>
      </w:r>
      <w:r w:rsidR="00F92EC8">
        <w:t xml:space="preserve"> of economies of scale</w:t>
      </w:r>
      <w:r>
        <w:t xml:space="preserve"> and</w:t>
      </w:r>
      <w:r w:rsidR="00F92EC8">
        <w:t xml:space="preserve"> the</w:t>
      </w:r>
      <w:r>
        <w:t xml:space="preserve"> pass through of </w:t>
      </w:r>
      <w:r w:rsidR="00F92EC8">
        <w:t>the benefits to members</w:t>
      </w:r>
      <w:r>
        <w:t xml:space="preserve"> </w:t>
      </w:r>
      <w:r w:rsidR="00F92EC8">
        <w:t>is an important criterion for effective competition and a key determinant of member outcomes.</w:t>
      </w:r>
      <w:r w:rsidR="009A1D0D">
        <w:t xml:space="preserve"> </w:t>
      </w:r>
      <w:r w:rsidR="00632AE0">
        <w:t>The s</w:t>
      </w:r>
      <w:r w:rsidR="009A1D0D">
        <w:t>tage 1 report</w:t>
      </w:r>
      <w:r w:rsidR="00F92EC8">
        <w:t xml:space="preserve"> flagged that </w:t>
      </w:r>
      <w:r w:rsidR="00101A97">
        <w:t>econometric</w:t>
      </w:r>
      <w:r w:rsidR="009A1D0D">
        <w:t xml:space="preserve"> approaches will be used to estimate two indicators related to scale economies:</w:t>
      </w:r>
    </w:p>
    <w:p w14:paraId="28F47095" w14:textId="77777777" w:rsidR="009A1D0D" w:rsidRDefault="009A1D0D" w:rsidP="009A1D0D">
      <w:pPr>
        <w:pStyle w:val="ListBullet"/>
      </w:pPr>
      <w:r>
        <w:t xml:space="preserve">unused scale economies at the fund level </w:t>
      </w:r>
    </w:p>
    <w:p w14:paraId="448FC17F" w14:textId="228CA161" w:rsidR="009A1D0D" w:rsidRDefault="009A1D0D" w:rsidP="009A1D0D">
      <w:pPr>
        <w:pStyle w:val="ListBullet"/>
      </w:pPr>
      <w:r>
        <w:t>pass through of benefits from scale economies (wholesale and retail) to members.</w:t>
      </w:r>
      <w:r w:rsidR="00607130" w:rsidRPr="00FC3FE9">
        <w:rPr>
          <w:rStyle w:val="FootnoteReference"/>
        </w:rPr>
        <w:footnoteReference w:id="4"/>
      </w:r>
    </w:p>
    <w:p w14:paraId="59FEF5E8" w14:textId="53FD0688" w:rsidR="009A1D0D" w:rsidRDefault="009A1D0D" w:rsidP="009A1D0D">
      <w:pPr>
        <w:pStyle w:val="BodyText"/>
      </w:pPr>
      <w:r>
        <w:t xml:space="preserve">The first indicator involves estimating the relationship between fund-level costs and size (in terms of funds under </w:t>
      </w:r>
      <w:r w:rsidR="00FF2335">
        <w:t xml:space="preserve">management </w:t>
      </w:r>
      <w:r>
        <w:t>and number of members). Broadly speaking, this involves several steps:</w:t>
      </w:r>
    </w:p>
    <w:p w14:paraId="252CBE24" w14:textId="0FC98ED4" w:rsidR="009A1D0D" w:rsidRDefault="009A1D0D" w:rsidP="009A1D0D">
      <w:pPr>
        <w:pStyle w:val="ListBullet"/>
      </w:pPr>
      <w:r>
        <w:t>specification of a cost function for regression, controlling for a range of factors and accounting for the possibility of selection</w:t>
      </w:r>
      <w:r w:rsidR="00A6019F">
        <w:t xml:space="preserve"> (survivorship)</w:t>
      </w:r>
      <w:r>
        <w:t xml:space="preserve"> bias in the data</w:t>
      </w:r>
    </w:p>
    <w:p w14:paraId="40874465" w14:textId="77777777" w:rsidR="009A1D0D" w:rsidRDefault="009A1D0D" w:rsidP="009A1D0D">
      <w:pPr>
        <w:pStyle w:val="ListBullet"/>
      </w:pPr>
      <w:r>
        <w:t xml:space="preserve">evaluation of whether estimated costs (from the above step) would be lower if there was greater consolidation of funds. </w:t>
      </w:r>
    </w:p>
    <w:p w14:paraId="20579DF3" w14:textId="0E0BE8D0" w:rsidR="009A1D0D" w:rsidRDefault="009A1D0D" w:rsidP="009A1D0D">
      <w:pPr>
        <w:pStyle w:val="BodyText"/>
      </w:pPr>
      <w:r>
        <w:t xml:space="preserve">The second indicator is then estimated by: </w:t>
      </w:r>
    </w:p>
    <w:p w14:paraId="5C534326" w14:textId="77777777" w:rsidR="009A1D0D" w:rsidRDefault="009A1D0D" w:rsidP="009A1D0D">
      <w:pPr>
        <w:pStyle w:val="ListBullet"/>
      </w:pPr>
      <w:r>
        <w:t>using the estimated cost functions (from above) to estimate ‘realised scale economies’ — that is, the benefits (lower costs) attributable to changes in scale</w:t>
      </w:r>
    </w:p>
    <w:p w14:paraId="0143FAC6" w14:textId="77777777" w:rsidR="009A1D0D" w:rsidRDefault="009A1D0D" w:rsidP="009A1D0D">
      <w:pPr>
        <w:pStyle w:val="ListBullet"/>
      </w:pPr>
      <w:r>
        <w:t xml:space="preserve">evaluating whether they have been passed through to members in the form of lower fees (controlling for fund-level fixed effects and other factors that affect fees, where possible). </w:t>
      </w:r>
    </w:p>
    <w:p w14:paraId="1FF9A67B" w14:textId="5B2EAB58" w:rsidR="00980D5B" w:rsidRPr="004E3B94" w:rsidRDefault="00980D5B" w:rsidP="00DD57B9">
      <w:pPr>
        <w:pStyle w:val="BoxSpaceAboveElement"/>
        <w:keepLines/>
        <w:rPr>
          <w:vanish w:val="0"/>
          <w:color w:val="auto"/>
        </w:rPr>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980D5B" w14:paraId="6FB7E44C" w14:textId="77777777" w:rsidTr="00990744">
        <w:trPr>
          <w:cantSplit/>
          <w:tblHeader/>
        </w:trPr>
        <w:tc>
          <w:tcPr>
            <w:tcW w:w="5000" w:type="pct"/>
            <w:tcBorders>
              <w:top w:val="single" w:sz="6" w:space="0" w:color="78A22F"/>
              <w:left w:val="nil"/>
              <w:bottom w:val="nil"/>
              <w:right w:val="nil"/>
            </w:tcBorders>
            <w:shd w:val="clear" w:color="auto" w:fill="auto"/>
          </w:tcPr>
          <w:p w14:paraId="47748CC8" w14:textId="49FEF272" w:rsidR="00980D5B" w:rsidRDefault="009C7C43" w:rsidP="00DD57B9">
            <w:pPr>
              <w:pStyle w:val="InformationRequestTitle"/>
              <w:spacing w:before="120"/>
            </w:pPr>
            <w:r>
              <w:t xml:space="preserve">Scale economies: </w:t>
            </w:r>
            <w:r w:rsidR="00980D5B">
              <w:t>TECHNICAL QUESTIONS FOR PARTICIPANTS</w:t>
            </w:r>
          </w:p>
          <w:p w14:paraId="5D49B52A" w14:textId="53F9A863" w:rsidR="00980D5B" w:rsidRPr="00CE4C64" w:rsidRDefault="00980D5B" w:rsidP="009C7C43">
            <w:pPr>
              <w:pStyle w:val="InformationRequest"/>
            </w:pPr>
            <w:r w:rsidRPr="00980D5B">
              <w:t>What methodology would you use to estimate unused scale economies and pass through of realised scale economies, and why? What challenges would need to be overcome with that approach? How material are issues around selection</w:t>
            </w:r>
            <w:r w:rsidR="00A6019F">
              <w:t xml:space="preserve"> (survivorship)</w:t>
            </w:r>
            <w:r w:rsidRPr="00980D5B">
              <w:t xml:space="preserve"> bias and how could this be controlled for? How </w:t>
            </w:r>
            <w:r w:rsidR="00CE57EC">
              <w:t>sh</w:t>
            </w:r>
            <w:r w:rsidRPr="00980D5B">
              <w:t>ould the level of merge</w:t>
            </w:r>
            <w:r w:rsidR="00AE571A">
              <w:t>r</w:t>
            </w:r>
            <w:r w:rsidRPr="00980D5B">
              <w:t xml:space="preserve"> activity in recent years be factored into the analysis and </w:t>
            </w:r>
            <w:r w:rsidR="00AE571A">
              <w:t xml:space="preserve">the </w:t>
            </w:r>
            <w:r w:rsidRPr="00980D5B">
              <w:t xml:space="preserve">interpretation of results?  </w:t>
            </w:r>
          </w:p>
        </w:tc>
      </w:tr>
      <w:tr w:rsidR="00980D5B" w14:paraId="2525BE47" w14:textId="77777777" w:rsidTr="00990744">
        <w:tc>
          <w:tcPr>
            <w:tcW w:w="5000" w:type="pct"/>
            <w:tcBorders>
              <w:top w:val="nil"/>
              <w:left w:val="nil"/>
              <w:bottom w:val="single" w:sz="6" w:space="0" w:color="78A22F"/>
              <w:right w:val="nil"/>
            </w:tcBorders>
            <w:shd w:val="clear" w:color="auto" w:fill="auto"/>
          </w:tcPr>
          <w:p w14:paraId="7CBE21DB" w14:textId="77777777" w:rsidR="00980D5B" w:rsidRDefault="00980D5B" w:rsidP="00DD57B9">
            <w:pPr>
              <w:pStyle w:val="Space"/>
              <w:keepLines/>
            </w:pPr>
          </w:p>
        </w:tc>
      </w:tr>
      <w:tr w:rsidR="00980D5B" w:rsidRPr="000863A5" w14:paraId="3826BAE8" w14:textId="77777777" w:rsidTr="00990744">
        <w:tc>
          <w:tcPr>
            <w:tcW w:w="5000" w:type="pct"/>
            <w:tcBorders>
              <w:top w:val="single" w:sz="6" w:space="0" w:color="78A22F"/>
              <w:left w:val="nil"/>
              <w:bottom w:val="nil"/>
              <w:right w:val="nil"/>
            </w:tcBorders>
          </w:tcPr>
          <w:p w14:paraId="34017D0A" w14:textId="2870420F" w:rsidR="00980D5B" w:rsidRPr="00626D32" w:rsidRDefault="00980D5B" w:rsidP="00DD57B9">
            <w:pPr>
              <w:pStyle w:val="BoxSpaceBelow"/>
              <w:keepLines/>
            </w:pPr>
          </w:p>
        </w:tc>
      </w:tr>
    </w:tbl>
    <w:p w14:paraId="2D832293" w14:textId="67F2CE35" w:rsidR="00B66633" w:rsidRDefault="00A04578" w:rsidP="00F92A2C">
      <w:pPr>
        <w:pStyle w:val="Heading4"/>
      </w:pPr>
      <w:r>
        <w:t>Investment performance benchmarking</w:t>
      </w:r>
    </w:p>
    <w:p w14:paraId="59791CAA" w14:textId="185BE9A9" w:rsidR="00956B30" w:rsidRDefault="006F58F9" w:rsidP="00956B30">
      <w:pPr>
        <w:pStyle w:val="BodyText"/>
      </w:pPr>
      <w:r>
        <w:t xml:space="preserve">A key element of the Commission’s assessment framework </w:t>
      </w:r>
      <w:r w:rsidR="00533B8A">
        <w:t xml:space="preserve">will </w:t>
      </w:r>
      <w:r>
        <w:t xml:space="preserve">focus on the historical investment performance of the system. Assessing investment performance (or net returns) requires a point of comparison. </w:t>
      </w:r>
      <w:r w:rsidR="00D712D3">
        <w:t xml:space="preserve">As </w:t>
      </w:r>
      <w:r w:rsidR="00F72E50">
        <w:t>outlined</w:t>
      </w:r>
      <w:r w:rsidR="00D712D3">
        <w:t xml:space="preserve"> in the stage 1 study</w:t>
      </w:r>
      <w:r w:rsidR="00F72E50">
        <w:t xml:space="preserve"> </w:t>
      </w:r>
      <w:r w:rsidR="00B13E7B" w:rsidRPr="00B13E7B">
        <w:rPr>
          <w:szCs w:val="24"/>
        </w:rPr>
        <w:t>(PC 2016, pp. 117–123)</w:t>
      </w:r>
      <w:r w:rsidR="00D712D3">
        <w:t>, t</w:t>
      </w:r>
      <w:r w:rsidR="00C34D0D">
        <w:t xml:space="preserve">he Commission </w:t>
      </w:r>
      <w:r w:rsidR="00244578">
        <w:t>will</w:t>
      </w:r>
      <w:r w:rsidR="00C34D0D">
        <w:t xml:space="preserve"> benchmark </w:t>
      </w:r>
      <w:r>
        <w:t>long</w:t>
      </w:r>
      <w:r w:rsidR="00134A3C">
        <w:t>-</w:t>
      </w:r>
      <w:r>
        <w:t xml:space="preserve">term </w:t>
      </w:r>
      <w:r w:rsidR="00C34D0D">
        <w:t xml:space="preserve">net </w:t>
      </w:r>
      <w:r w:rsidR="00D712D3">
        <w:t xml:space="preserve">investment </w:t>
      </w:r>
      <w:r w:rsidR="00C34D0D">
        <w:t xml:space="preserve">returns </w:t>
      </w:r>
      <w:r w:rsidR="004556EC">
        <w:t>at the system, segment and asset-class level</w:t>
      </w:r>
      <w:r w:rsidR="004562FD">
        <w:t>s</w:t>
      </w:r>
      <w:r w:rsidR="004556EC">
        <w:t xml:space="preserve"> </w:t>
      </w:r>
      <w:r>
        <w:t xml:space="preserve">(along with a range of other indicators) </w:t>
      </w:r>
      <w:r w:rsidR="00C34D0D">
        <w:t xml:space="preserve">to inform its overall view of whether long-term net returns are being maximised in the system. </w:t>
      </w:r>
    </w:p>
    <w:p w14:paraId="26A2609F" w14:textId="71609564" w:rsidR="00956B30" w:rsidRDefault="00956B30" w:rsidP="00F92A2C">
      <w:pPr>
        <w:pStyle w:val="BodyText"/>
      </w:pPr>
      <w:r>
        <w:t xml:space="preserve">At the </w:t>
      </w:r>
      <w:r w:rsidRPr="00F92A2C">
        <w:rPr>
          <w:b/>
          <w:i/>
        </w:rPr>
        <w:t>system</w:t>
      </w:r>
      <w:r w:rsidR="00262911">
        <w:rPr>
          <w:b/>
          <w:i/>
        </w:rPr>
        <w:t xml:space="preserve"> </w:t>
      </w:r>
      <w:r w:rsidRPr="00F92A2C">
        <w:rPr>
          <w:b/>
          <w:i/>
        </w:rPr>
        <w:t>level</w:t>
      </w:r>
      <w:r w:rsidR="00E67033">
        <w:rPr>
          <w:b/>
          <w:i/>
        </w:rPr>
        <w:t xml:space="preserve"> (and where relevant, at the segment</w:t>
      </w:r>
      <w:r w:rsidR="00262911">
        <w:rPr>
          <w:b/>
          <w:i/>
        </w:rPr>
        <w:t xml:space="preserve"> </w:t>
      </w:r>
      <w:r w:rsidR="00E67033">
        <w:rPr>
          <w:b/>
          <w:i/>
        </w:rPr>
        <w:t>level)</w:t>
      </w:r>
      <w:r w:rsidR="00E67033" w:rsidRPr="003A6820">
        <w:rPr>
          <w:i/>
        </w:rPr>
        <w:t>,</w:t>
      </w:r>
      <w:r>
        <w:t xml:space="preserve"> the Commission will compare long-term net returns</w:t>
      </w:r>
      <w:r w:rsidR="00A352E9">
        <w:t xml:space="preserve"> </w:t>
      </w:r>
      <w:r>
        <w:t>to net returns from a set of passive, liquid reference portfolios</w:t>
      </w:r>
      <w:r w:rsidR="00D712D3">
        <w:t xml:space="preserve"> </w:t>
      </w:r>
      <w:r w:rsidR="00B13E7B" w:rsidRPr="00B13E7B">
        <w:rPr>
          <w:szCs w:val="24"/>
        </w:rPr>
        <w:t>(PC 2016, p. 120)</w:t>
      </w:r>
      <w:r>
        <w:t xml:space="preserve">. This will include a reference portfolio based on average asset allocations across the system for the </w:t>
      </w:r>
      <w:r w:rsidR="008C155F">
        <w:t>relevant period</w:t>
      </w:r>
      <w:r w:rsidR="004F1FD7">
        <w:t>. C</w:t>
      </w:r>
      <w:r w:rsidR="004C12BD" w:rsidRPr="002152A9">
        <w:t>omparison</w:t>
      </w:r>
      <w:r w:rsidR="004F1FD7" w:rsidRPr="006F58F9">
        <w:t>s</w:t>
      </w:r>
      <w:r w:rsidR="004F1FD7" w:rsidRPr="00EC1057">
        <w:t xml:space="preserve"> will also be made between</w:t>
      </w:r>
      <w:r w:rsidR="004C12BD" w:rsidRPr="002152A9">
        <w:t xml:space="preserve"> </w:t>
      </w:r>
      <w:r w:rsidRPr="002152A9">
        <w:t xml:space="preserve">reference portfolios representative of typical multi-asset </w:t>
      </w:r>
      <w:r w:rsidR="000B45F0">
        <w:t>products</w:t>
      </w:r>
      <w:r w:rsidRPr="002152A9">
        <w:t xml:space="preserve"> in the system</w:t>
      </w:r>
      <w:r w:rsidR="0044556C">
        <w:t xml:space="preserve"> (or segment)</w:t>
      </w:r>
      <w:r w:rsidR="004C12BD" w:rsidRPr="002152A9">
        <w:t xml:space="preserve"> associated with different levels of </w:t>
      </w:r>
      <w:r w:rsidR="004C12BD" w:rsidRPr="00EC1057">
        <w:t>asset allocation</w:t>
      </w:r>
      <w:r w:rsidR="00BB4559">
        <w:t>,</w:t>
      </w:r>
      <w:r w:rsidR="004F1FD7">
        <w:t xml:space="preserve"> and their respective passive benchmarks</w:t>
      </w:r>
      <w:r w:rsidR="00D13D1B">
        <w:t xml:space="preserve">. </w:t>
      </w:r>
      <w:r w:rsidR="00D13D1B" w:rsidRPr="002152A9">
        <w:t>The analysis will take into account equivalent taxes and</w:t>
      </w:r>
      <w:r w:rsidR="00D13D1B" w:rsidRPr="00EC1057">
        <w:t xml:space="preserve"> </w:t>
      </w:r>
      <w:r w:rsidR="00BB4559" w:rsidRPr="000B45F0">
        <w:t>various fee levels (for robustness testing)</w:t>
      </w:r>
      <w:r w:rsidR="00D13D1B" w:rsidRPr="002152A9">
        <w:t xml:space="preserve"> associated with a </w:t>
      </w:r>
      <w:r w:rsidR="00434BD3" w:rsidRPr="002152A9">
        <w:t>reference portfolio</w:t>
      </w:r>
      <w:r w:rsidR="0081684A">
        <w:t>,</w:t>
      </w:r>
      <w:r w:rsidR="00D13D1B">
        <w:t xml:space="preserve"> and</w:t>
      </w:r>
      <w:r>
        <w:t xml:space="preserve"> will be supplemented by comparison of system-wide net returns t</w:t>
      </w:r>
      <w:r w:rsidR="00D75A7D">
        <w:t>o other benchmarks, such as CPI + </w:t>
      </w:r>
      <w:r>
        <w:t xml:space="preserve">X targets. </w:t>
      </w:r>
    </w:p>
    <w:p w14:paraId="20D44716" w14:textId="7DD45305" w:rsidR="00040969" w:rsidRPr="00A31C1C" w:rsidRDefault="00956B30" w:rsidP="00F92A2C">
      <w:pPr>
        <w:pStyle w:val="BodyText"/>
        <w:rPr>
          <w:rStyle w:val="DraftingNote"/>
        </w:rPr>
      </w:pPr>
      <w:r>
        <w:t xml:space="preserve">At the </w:t>
      </w:r>
      <w:r w:rsidRPr="00F92A2C">
        <w:rPr>
          <w:b/>
          <w:i/>
        </w:rPr>
        <w:t>asset-class level</w:t>
      </w:r>
      <w:r>
        <w:t xml:space="preserve">, </w:t>
      </w:r>
      <w:r w:rsidR="001D0FD2">
        <w:t>t</w:t>
      </w:r>
      <w:r>
        <w:t xml:space="preserve">he Commission will compare </w:t>
      </w:r>
      <w:r w:rsidR="002B7FC4">
        <w:t xml:space="preserve">long-term returns to specific asset classes </w:t>
      </w:r>
      <w:r w:rsidR="002118F4">
        <w:t xml:space="preserve">to a listed benchmark for each asset class (a sample </w:t>
      </w:r>
      <w:r w:rsidR="004043D9">
        <w:t>was</w:t>
      </w:r>
      <w:r w:rsidR="00CA111E">
        <w:t xml:space="preserve"> </w:t>
      </w:r>
      <w:r w:rsidR="002118F4">
        <w:t>set out in table 6.1 of the stage 1 report)</w:t>
      </w:r>
      <w:r w:rsidR="00D712D3">
        <w:t xml:space="preserve"> </w:t>
      </w:r>
      <w:r w:rsidR="00B13E7B" w:rsidRPr="00B13E7B">
        <w:rPr>
          <w:szCs w:val="24"/>
        </w:rPr>
        <w:t>(PC 2016, p. 121)</w:t>
      </w:r>
      <w:r w:rsidR="002118F4">
        <w:t>.</w:t>
      </w:r>
      <w:r w:rsidR="001D0FD2">
        <w:t xml:space="preserve"> T</w:t>
      </w:r>
      <w:r w:rsidR="001D0FD2" w:rsidRPr="00BF5B8C">
        <w:t>he Commission acknowledge</w:t>
      </w:r>
      <w:r w:rsidR="00DA14C1">
        <w:t xml:space="preserve">d in its stage 1 report that there are practical difficulties </w:t>
      </w:r>
      <w:r w:rsidR="001D0FD2" w:rsidRPr="00BF5B8C">
        <w:t xml:space="preserve">estimating long-term net returns to specific asset classes </w:t>
      </w:r>
      <w:r w:rsidR="00DA14C1">
        <w:t xml:space="preserve">across </w:t>
      </w:r>
      <w:r w:rsidR="001D0FD2" w:rsidRPr="00BF5B8C">
        <w:t>the system</w:t>
      </w:r>
      <w:r w:rsidR="00156459">
        <w:t xml:space="preserve">. To </w:t>
      </w:r>
      <w:r w:rsidR="001D0FD2" w:rsidRPr="00BF5B8C">
        <w:t>a large extent</w:t>
      </w:r>
      <w:r w:rsidR="00CF3CB4">
        <w:t>,</w:t>
      </w:r>
      <w:r w:rsidR="001D0FD2" w:rsidRPr="00BF5B8C">
        <w:t xml:space="preserve"> the nature of the analysis will be guided by data availability</w:t>
      </w:r>
      <w:r w:rsidR="00032DE7">
        <w:t xml:space="preserve"> (</w:t>
      </w:r>
      <w:r w:rsidR="00384CC9">
        <w:t>a</w:t>
      </w:r>
      <w:r w:rsidR="00CD56E1">
        <w:t>ttachment</w:t>
      </w:r>
      <w:r w:rsidR="00032DE7">
        <w:t xml:space="preserve"> A, table 4)</w:t>
      </w:r>
      <w:r w:rsidR="001D0FD2" w:rsidRPr="00BF5B8C">
        <w:t>.</w:t>
      </w:r>
      <w:r w:rsidR="002118F4">
        <w:t xml:space="preserve"> </w:t>
      </w:r>
      <w:r w:rsidR="00601355" w:rsidRPr="00906C53">
        <w:t>The Commission</w:t>
      </w:r>
      <w:r w:rsidR="00DA14C1">
        <w:t>’s pr</w:t>
      </w:r>
      <w:r w:rsidR="00C530A1">
        <w:t xml:space="preserve">eferred </w:t>
      </w:r>
      <w:r w:rsidR="00DA14C1">
        <w:t xml:space="preserve">approach will </w:t>
      </w:r>
      <w:r w:rsidR="00C530A1">
        <w:t xml:space="preserve">be to </w:t>
      </w:r>
      <w:r w:rsidR="00DA14C1">
        <w:t xml:space="preserve">draw on </w:t>
      </w:r>
      <w:r w:rsidR="00446689">
        <w:t xml:space="preserve">(and aggregate) </w:t>
      </w:r>
      <w:r w:rsidR="00DA14C1">
        <w:t xml:space="preserve">fund and product-level data </w:t>
      </w:r>
      <w:r w:rsidR="00C530A1">
        <w:t xml:space="preserve">in order </w:t>
      </w:r>
      <w:r w:rsidR="00DA14C1">
        <w:t xml:space="preserve">to </w:t>
      </w:r>
      <w:r w:rsidR="00156459">
        <w:t>generate estimates of</w:t>
      </w:r>
      <w:r w:rsidR="00DA14C1">
        <w:t xml:space="preserve"> long-term </w:t>
      </w:r>
      <w:r w:rsidR="00601355" w:rsidRPr="00906C53">
        <w:t xml:space="preserve">net returns to individual asset classes within </w:t>
      </w:r>
      <w:r w:rsidR="00DF6320">
        <w:t>the system.</w:t>
      </w:r>
    </w:p>
    <w:p w14:paraId="1D2090F2" w14:textId="75A31349" w:rsidR="00AE571A" w:rsidRPr="004E3B94" w:rsidRDefault="00AE571A" w:rsidP="00F15A1C">
      <w:pPr>
        <w:pStyle w:val="BoxSpaceAboveElement"/>
        <w:keepLines/>
        <w:rPr>
          <w:vanish w:val="0"/>
          <w:color w:val="auto"/>
        </w:rPr>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AE571A" w14:paraId="63E10346" w14:textId="77777777" w:rsidTr="00990744">
        <w:trPr>
          <w:cantSplit/>
          <w:tblHeader/>
        </w:trPr>
        <w:tc>
          <w:tcPr>
            <w:tcW w:w="5000" w:type="pct"/>
            <w:tcBorders>
              <w:top w:val="single" w:sz="6" w:space="0" w:color="78A22F"/>
              <w:left w:val="nil"/>
              <w:bottom w:val="nil"/>
              <w:right w:val="nil"/>
            </w:tcBorders>
            <w:shd w:val="clear" w:color="auto" w:fill="auto"/>
          </w:tcPr>
          <w:p w14:paraId="056559FA" w14:textId="73C80E36" w:rsidR="00AE571A" w:rsidRDefault="001F240D" w:rsidP="00F15A1C">
            <w:pPr>
              <w:pStyle w:val="InformationRequestTitle"/>
              <w:spacing w:before="120"/>
            </w:pPr>
            <w:r>
              <w:t xml:space="preserve">BENCHMARKING: </w:t>
            </w:r>
            <w:r w:rsidR="00AE571A">
              <w:t>TECHNICAL QUESTIONS FOR PARTICIPANTS</w:t>
            </w:r>
          </w:p>
          <w:p w14:paraId="0A7E1C26" w14:textId="53A44214" w:rsidR="00AE571A" w:rsidRPr="008D4822" w:rsidRDefault="00AE571A" w:rsidP="00AE571A">
            <w:pPr>
              <w:pStyle w:val="InformationRequest"/>
            </w:pPr>
            <w:r w:rsidRPr="008D4822">
              <w:t xml:space="preserve">On </w:t>
            </w:r>
            <w:r w:rsidRPr="00AE571A">
              <w:t xml:space="preserve">the </w:t>
            </w:r>
            <w:r w:rsidRPr="00A24D70">
              <w:rPr>
                <w:rFonts w:asciiTheme="majorHAnsi" w:hAnsiTheme="majorHAnsi" w:cstheme="majorHAnsi"/>
                <w:sz w:val="24"/>
              </w:rPr>
              <w:t>system</w:t>
            </w:r>
            <w:r w:rsidR="004043D9">
              <w:rPr>
                <w:rFonts w:ascii="Times New Roman" w:hAnsi="Times New Roman"/>
                <w:sz w:val="24"/>
              </w:rPr>
              <w:t>-</w:t>
            </w:r>
            <w:r w:rsidRPr="00AE571A">
              <w:t>level benchmarking</w:t>
            </w:r>
            <w:r w:rsidRPr="008D4822">
              <w:t>:</w:t>
            </w:r>
          </w:p>
          <w:p w14:paraId="230A94BB" w14:textId="345F5E38" w:rsidR="00AE571A" w:rsidRPr="008D4822" w:rsidRDefault="003D3B76" w:rsidP="00AE571A">
            <w:pPr>
              <w:pStyle w:val="InformationRequestBullet"/>
            </w:pPr>
            <w:r>
              <w:t xml:space="preserve">In the context of the approach set out in the stage 1 </w:t>
            </w:r>
            <w:r w:rsidR="00384CC9">
              <w:t>S</w:t>
            </w:r>
            <w:r>
              <w:t xml:space="preserve">tudy to compare long-term net investment returns to a set of passive, liquid reference portfolios, which </w:t>
            </w:r>
            <w:r w:rsidR="00AE571A" w:rsidRPr="008D4822">
              <w:t xml:space="preserve">reference portfolios would most meaningfully inform the analysis? What is the best way to ensure that equivalent taxes are netted out of returns to a reference portfolio? What fee levels should be applied to the reference portfolio? What are the most appropriate listed asset class benchmarks to use to calculate the returns to these reference portfolios?  </w:t>
            </w:r>
          </w:p>
          <w:p w14:paraId="67F882E1" w14:textId="7BFC1EF9" w:rsidR="00AE571A" w:rsidRPr="008D4822" w:rsidRDefault="00AE571A" w:rsidP="00AE571A">
            <w:pPr>
              <w:pStyle w:val="InformationRequest"/>
            </w:pPr>
            <w:r w:rsidRPr="008D4822">
              <w:t>On asset</w:t>
            </w:r>
            <w:r w:rsidR="004043D9">
              <w:t>-</w:t>
            </w:r>
            <w:r w:rsidRPr="008D4822">
              <w:t>class</w:t>
            </w:r>
            <w:r w:rsidR="004043D9">
              <w:t xml:space="preserve"> </w:t>
            </w:r>
            <w:r w:rsidRPr="008D4822">
              <w:t>level benchmarking:</w:t>
            </w:r>
          </w:p>
          <w:p w14:paraId="1C3978EE" w14:textId="6346D431" w:rsidR="00AE571A" w:rsidRPr="00CE4C64" w:rsidRDefault="001471F4" w:rsidP="00384CC9">
            <w:pPr>
              <w:pStyle w:val="InformationRequestBullet"/>
            </w:pPr>
            <w:r>
              <w:t xml:space="preserve">In the context of the approach set out in the stage 1 </w:t>
            </w:r>
            <w:r w:rsidR="00384CC9">
              <w:t>S</w:t>
            </w:r>
            <w:r>
              <w:t xml:space="preserve">tudy to benchmark long-term net investment returns at the asset class level, </w:t>
            </w:r>
            <w:r w:rsidR="00262911">
              <w:t>and given the available data, what is the best way to estimate long-term net returns at the asset-class level for the system</w:t>
            </w:r>
            <w:r w:rsidR="004043D9">
              <w:t>, and why</w:t>
            </w:r>
            <w:r w:rsidR="0099651D">
              <w:t>? W</w:t>
            </w:r>
            <w:r w:rsidR="00AE571A" w:rsidRPr="008D4822">
              <w:t xml:space="preserve">hich listed benchmarks should be used for each asset class? How can the Commission best assess the investment performance of unlisted </w:t>
            </w:r>
            <w:r w:rsidR="008A44F1">
              <w:t>investments</w:t>
            </w:r>
            <w:r w:rsidR="00AE571A" w:rsidRPr="008D4822">
              <w:t>?</w:t>
            </w:r>
            <w:r w:rsidR="00385892">
              <w:t xml:space="preserve"> </w:t>
            </w:r>
          </w:p>
        </w:tc>
      </w:tr>
      <w:tr w:rsidR="00AE571A" w14:paraId="320D76DA" w14:textId="77777777" w:rsidTr="00990744">
        <w:tc>
          <w:tcPr>
            <w:tcW w:w="5000" w:type="pct"/>
            <w:tcBorders>
              <w:top w:val="nil"/>
              <w:left w:val="nil"/>
              <w:bottom w:val="single" w:sz="6" w:space="0" w:color="78A22F"/>
              <w:right w:val="nil"/>
            </w:tcBorders>
            <w:shd w:val="clear" w:color="auto" w:fill="auto"/>
          </w:tcPr>
          <w:p w14:paraId="4A4772D7" w14:textId="77777777" w:rsidR="00AE571A" w:rsidRDefault="00AE571A" w:rsidP="00F15A1C">
            <w:pPr>
              <w:pStyle w:val="Space"/>
              <w:keepLines/>
            </w:pPr>
          </w:p>
        </w:tc>
      </w:tr>
      <w:tr w:rsidR="00AE571A" w:rsidRPr="000863A5" w14:paraId="7FC66750" w14:textId="77777777" w:rsidTr="00990744">
        <w:tc>
          <w:tcPr>
            <w:tcW w:w="5000" w:type="pct"/>
            <w:tcBorders>
              <w:top w:val="single" w:sz="6" w:space="0" w:color="78A22F"/>
              <w:left w:val="nil"/>
              <w:bottom w:val="nil"/>
              <w:right w:val="nil"/>
            </w:tcBorders>
          </w:tcPr>
          <w:p w14:paraId="49954D61" w14:textId="0C27CF8F" w:rsidR="00AE571A" w:rsidRPr="00626D32" w:rsidRDefault="00AE571A" w:rsidP="00F15A1C">
            <w:pPr>
              <w:pStyle w:val="BoxSpaceBelow"/>
              <w:keepLines/>
            </w:pPr>
          </w:p>
        </w:tc>
      </w:tr>
    </w:tbl>
    <w:p w14:paraId="740A6E01" w14:textId="0BB67EE0" w:rsidR="001013C7" w:rsidRDefault="001013C7" w:rsidP="00F92A2C">
      <w:pPr>
        <w:pStyle w:val="Heading4"/>
      </w:pPr>
      <w:r>
        <w:t>Technical roundtable</w:t>
      </w:r>
    </w:p>
    <w:p w14:paraId="6E8AEC76" w14:textId="123D305E" w:rsidR="00CA111E" w:rsidRDefault="00CA111E" w:rsidP="00CA111E">
      <w:pPr>
        <w:pStyle w:val="BodyText"/>
      </w:pPr>
      <w:r>
        <w:t xml:space="preserve">To </w:t>
      </w:r>
      <w:r w:rsidR="005D229A">
        <w:t xml:space="preserve">assist its analysis </w:t>
      </w:r>
      <w:r w:rsidR="001013C7">
        <w:t xml:space="preserve">of the two </w:t>
      </w:r>
      <w:r w:rsidR="00413120">
        <w:t xml:space="preserve">technical </w:t>
      </w:r>
      <w:r w:rsidR="001013C7">
        <w:t xml:space="preserve">issues discussed above (and any other </w:t>
      </w:r>
      <w:r w:rsidR="00413120">
        <w:t xml:space="preserve">technical </w:t>
      </w:r>
      <w:r w:rsidR="001013C7">
        <w:t xml:space="preserve">issues the Commission considers necessary as the </w:t>
      </w:r>
      <w:r w:rsidR="00261169">
        <w:t>I</w:t>
      </w:r>
      <w:r w:rsidR="001013C7">
        <w:t>nquiry progresse</w:t>
      </w:r>
      <w:r w:rsidR="00601400">
        <w:t>s</w:t>
      </w:r>
      <w:r w:rsidR="001013C7">
        <w:t>),</w:t>
      </w:r>
      <w:r w:rsidR="005D229A">
        <w:t xml:space="preserve"> the </w:t>
      </w:r>
      <w:r>
        <w:t xml:space="preserve">Commission will convene a technical roundtable with participants with expertise on these matters to discuss </w:t>
      </w:r>
      <w:r w:rsidR="001013C7">
        <w:t xml:space="preserve">the methodology being applied and </w:t>
      </w:r>
      <w:r w:rsidR="005D229A">
        <w:t>data availability</w:t>
      </w:r>
      <w:r>
        <w:t>.</w:t>
      </w:r>
    </w:p>
    <w:p w14:paraId="3A2DD56D" w14:textId="5F660EF3" w:rsidR="002C0890" w:rsidRDefault="0033515B" w:rsidP="0033515B">
      <w:pPr>
        <w:pStyle w:val="Heading3"/>
      </w:pPr>
      <w:r>
        <w:t xml:space="preserve">Questions that are specific to default allocation </w:t>
      </w:r>
    </w:p>
    <w:p w14:paraId="27E5B20E" w14:textId="21015574" w:rsidR="000C2630" w:rsidRDefault="000C2630" w:rsidP="00C9133B">
      <w:pPr>
        <w:pStyle w:val="Heading4"/>
        <w:spacing w:before="280"/>
      </w:pPr>
      <w:r>
        <w:t>Assessing the current arrangements</w:t>
      </w:r>
    </w:p>
    <w:p w14:paraId="2BABD63F" w14:textId="38443027" w:rsidR="0033515B" w:rsidRDefault="00413120" w:rsidP="0033515B">
      <w:pPr>
        <w:pStyle w:val="BodyText"/>
      </w:pPr>
      <w:r>
        <w:t>T</w:t>
      </w:r>
      <w:r w:rsidR="0033515B">
        <w:t xml:space="preserve">he Commission </w:t>
      </w:r>
      <w:r>
        <w:t>will</w:t>
      </w:r>
      <w:r w:rsidR="0033515B">
        <w:t xml:space="preserve"> assess the current arrangements for allocating default members to products against the framework that was applied in developing its alternative models</w:t>
      </w:r>
      <w:r w:rsidR="00703974">
        <w:t xml:space="preserve"> in stage 2</w:t>
      </w:r>
      <w:r w:rsidR="0033515B">
        <w:t xml:space="preserve">. </w:t>
      </w:r>
      <w:r w:rsidR="000C2630">
        <w:t xml:space="preserve">The questions below draw on the </w:t>
      </w:r>
      <w:r>
        <w:t xml:space="preserve">approach </w:t>
      </w:r>
      <w:r w:rsidR="000C2630">
        <w:t>developed in stage 2.</w:t>
      </w:r>
    </w:p>
    <w:p w14:paraId="61895920" w14:textId="4B527E5D" w:rsidR="00115BAE" w:rsidRDefault="001A3A3D" w:rsidP="0033515B">
      <w:pPr>
        <w:pStyle w:val="BodyText"/>
      </w:pPr>
      <w:r>
        <w:t>The</w:t>
      </w:r>
      <w:r w:rsidR="00115BAE">
        <w:t xml:space="preserve"> Commission </w:t>
      </w:r>
      <w:r>
        <w:t>recognises</w:t>
      </w:r>
      <w:r w:rsidR="00115BAE">
        <w:t xml:space="preserve"> that existing arrangements</w:t>
      </w:r>
      <w:r w:rsidR="00AB487A">
        <w:t>,</w:t>
      </w:r>
      <w:r w:rsidR="00115BAE">
        <w:t xml:space="preserve"> as legislated</w:t>
      </w:r>
      <w:r w:rsidR="00AB487A">
        <w:t>,</w:t>
      </w:r>
      <w:r w:rsidR="00115BAE">
        <w:t xml:space="preserve"> differ from existing arrangements as they currently operate. Thus </w:t>
      </w:r>
      <w:r>
        <w:t xml:space="preserve">it will assess the current arrangements both ‘in practice’ (today’s implemented arrangements) and </w:t>
      </w:r>
      <w:r w:rsidR="005D4CAA">
        <w:t>‘</w:t>
      </w:r>
      <w:r>
        <w:t>in prospect</w:t>
      </w:r>
      <w:r w:rsidR="005D4CAA">
        <w:t>’</w:t>
      </w:r>
      <w:r>
        <w:t xml:space="preserve"> (with the legislation fully implemented). F</w:t>
      </w:r>
      <w:r w:rsidR="00115BAE">
        <w:t>or every question below</w:t>
      </w:r>
      <w:r w:rsidR="00703974">
        <w:t xml:space="preserve"> that refers to existing arrangements</w:t>
      </w:r>
      <w:r w:rsidR="00115BAE">
        <w:t xml:space="preserve">, participants </w:t>
      </w:r>
      <w:r>
        <w:t xml:space="preserve">are requested to </w:t>
      </w:r>
      <w:r w:rsidR="00115BAE">
        <w:t>comment</w:t>
      </w:r>
      <w:r w:rsidR="005D4CAA">
        <w:t xml:space="preserve"> on </w:t>
      </w:r>
      <w:r w:rsidR="005D4CAA" w:rsidRPr="00F92A2C">
        <w:rPr>
          <w:b/>
        </w:rPr>
        <w:t>both</w:t>
      </w:r>
      <w:r w:rsidR="005D4CAA">
        <w:t xml:space="preserve"> in practice and in prospect arrangements</w:t>
      </w:r>
      <w:r w:rsidR="00115BAE">
        <w:t>.</w:t>
      </w:r>
    </w:p>
    <w:p w14:paraId="04A0AE53" w14:textId="676C6C0B" w:rsidR="00A31C1C" w:rsidRPr="004E3B94" w:rsidRDefault="00A31C1C" w:rsidP="00DD57B9">
      <w:pPr>
        <w:pStyle w:val="BoxSpaceAboveElement"/>
        <w:keepLines/>
        <w:rPr>
          <w:vanish w:val="0"/>
          <w:color w:val="auto"/>
        </w:rPr>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A31C1C" w14:paraId="245DA8B9" w14:textId="77777777" w:rsidTr="00990744">
        <w:trPr>
          <w:cantSplit/>
          <w:tblHeader/>
        </w:trPr>
        <w:tc>
          <w:tcPr>
            <w:tcW w:w="5000" w:type="pct"/>
            <w:tcBorders>
              <w:top w:val="single" w:sz="6" w:space="0" w:color="78A22F"/>
              <w:left w:val="nil"/>
              <w:bottom w:val="nil"/>
              <w:right w:val="nil"/>
            </w:tcBorders>
            <w:shd w:val="clear" w:color="auto" w:fill="auto"/>
          </w:tcPr>
          <w:p w14:paraId="234C5489" w14:textId="368CBC82" w:rsidR="00A31C1C" w:rsidRDefault="00BE3FCD" w:rsidP="00DD57B9">
            <w:pPr>
              <w:pStyle w:val="InformationRequestTitle"/>
              <w:spacing w:before="120"/>
            </w:pPr>
            <w:r>
              <w:t xml:space="preserve">Current default arrangements: </w:t>
            </w:r>
            <w:r w:rsidR="00A31C1C">
              <w:t>GENERAL QUESTIONS FOR PARTICIPANTS</w:t>
            </w:r>
          </w:p>
          <w:p w14:paraId="4727E3C6" w14:textId="50754E01" w:rsidR="00A31C1C" w:rsidRPr="008D4822" w:rsidRDefault="00A31C1C" w:rsidP="00A31C1C">
            <w:pPr>
              <w:pStyle w:val="InformationRequest"/>
            </w:pPr>
            <w:r w:rsidRPr="008D4822">
              <w:t>How do the existing default arrangements mitigate the paramount risk of any default system — a member defaulting to a (long</w:t>
            </w:r>
            <w:r w:rsidR="00E60EDC">
              <w:t>-</w:t>
            </w:r>
            <w:r w:rsidRPr="008D4822">
              <w:t>term) underperforming default product? What is the evidence of long-term underperforming default product providers exiting the default market?</w:t>
            </w:r>
          </w:p>
          <w:p w14:paraId="6059FD84" w14:textId="77777777" w:rsidR="00A31C1C" w:rsidRPr="008D4822" w:rsidRDefault="00A31C1C" w:rsidP="00A31C1C">
            <w:pPr>
              <w:pStyle w:val="InformationRequest"/>
            </w:pPr>
            <w:r w:rsidRPr="008D4822">
              <w:t>How do the existing default arrangements create incentives for funds to maximise long</w:t>
            </w:r>
            <w:r w:rsidRPr="008D4822">
              <w:noBreakHyphen/>
              <w:t>term net returns and allocate members to products that meet their needs? How could the existing arrangements be improved to achieve this goal?</w:t>
            </w:r>
          </w:p>
          <w:p w14:paraId="775FA1F1" w14:textId="77777777" w:rsidR="00A31C1C" w:rsidRPr="008D4822" w:rsidRDefault="00A31C1C" w:rsidP="00A31C1C">
            <w:pPr>
              <w:pStyle w:val="InformationRequest"/>
            </w:pPr>
            <w:r w:rsidRPr="008D4822">
              <w:t>What is the evidence that existing default arrangements encourage open participation (contestability) and rivalry between funds</w:t>
            </w:r>
            <w:r>
              <w:t xml:space="preserve"> for the default market</w:t>
            </w:r>
            <w:r w:rsidRPr="008D4822">
              <w:t xml:space="preserve"> (competition</w:t>
            </w:r>
            <w:r>
              <w:t xml:space="preserve"> for the market</w:t>
            </w:r>
            <w:r w:rsidRPr="008D4822">
              <w:t>)? What is the evidence that there is competitive pressure that drives innovation, cost reductions and more efficient long</w:t>
            </w:r>
            <w:r w:rsidRPr="008D4822">
              <w:noBreakHyphen/>
              <w:t>term outcomes for members? How could the existing arrangements be improved to achieve this goal?</w:t>
            </w:r>
          </w:p>
          <w:p w14:paraId="2AD49775" w14:textId="1453CA9E" w:rsidR="00A31C1C" w:rsidRPr="008D4822" w:rsidRDefault="00A31C1C" w:rsidP="00A31C1C">
            <w:pPr>
              <w:pStyle w:val="InformationRequest"/>
            </w:pPr>
            <w:r w:rsidRPr="008D4822">
              <w:t xml:space="preserve">How do the existing default arrangements promote </w:t>
            </w:r>
            <w:r>
              <w:t xml:space="preserve">accountability and </w:t>
            </w:r>
            <w:r w:rsidRPr="008D4822">
              <w:t>integrity in the selection and delivery of default superannuation products? How could the existing arrangements be improved to achieve this goal?</w:t>
            </w:r>
          </w:p>
          <w:p w14:paraId="38C3358D" w14:textId="5B5B6236" w:rsidR="00A31C1C" w:rsidRPr="008D4822" w:rsidRDefault="00A31C1C" w:rsidP="00A31C1C">
            <w:pPr>
              <w:pStyle w:val="InformationRequest"/>
            </w:pPr>
            <w:r w:rsidRPr="008D4822">
              <w:t xml:space="preserve">Do the existing default arrangements create </w:t>
            </w:r>
            <w:r w:rsidR="00DF505D">
              <w:t xml:space="preserve">any concerns about </w:t>
            </w:r>
            <w:r w:rsidRPr="008D4822">
              <w:t xml:space="preserve">stability in the superannuation system that </w:t>
            </w:r>
            <w:r w:rsidR="00DF505D">
              <w:t>could lead</w:t>
            </w:r>
            <w:r w:rsidRPr="008D4822">
              <w:t xml:space="preserve"> to significant systemic risks?</w:t>
            </w:r>
          </w:p>
          <w:p w14:paraId="4253CFF4" w14:textId="570575ED" w:rsidR="00A31C1C" w:rsidRPr="00CE4C64" w:rsidRDefault="00A31C1C" w:rsidP="00A31C1C">
            <w:pPr>
              <w:pStyle w:val="InformationRequest"/>
            </w:pPr>
            <w:r w:rsidRPr="008D4822">
              <w:t>Do the existing default arrangements minimise overall system</w:t>
            </w:r>
            <w:r w:rsidRPr="008D4822">
              <w:noBreakHyphen/>
              <w:t>wide costs, taking into account costs on members, employers, funds and governments? How could the existing arrangements be improved to achieve this goal?</w:t>
            </w:r>
          </w:p>
        </w:tc>
      </w:tr>
      <w:tr w:rsidR="00A31C1C" w14:paraId="03A00D0D" w14:textId="77777777" w:rsidTr="00990744">
        <w:tc>
          <w:tcPr>
            <w:tcW w:w="5000" w:type="pct"/>
            <w:tcBorders>
              <w:top w:val="nil"/>
              <w:left w:val="nil"/>
              <w:bottom w:val="single" w:sz="6" w:space="0" w:color="78A22F"/>
              <w:right w:val="nil"/>
            </w:tcBorders>
            <w:shd w:val="clear" w:color="auto" w:fill="auto"/>
          </w:tcPr>
          <w:p w14:paraId="381E75F5" w14:textId="77777777" w:rsidR="00A31C1C" w:rsidRDefault="00A31C1C" w:rsidP="00DD57B9">
            <w:pPr>
              <w:pStyle w:val="Space"/>
              <w:keepLines/>
            </w:pPr>
          </w:p>
        </w:tc>
      </w:tr>
      <w:tr w:rsidR="00A31C1C" w:rsidRPr="000863A5" w14:paraId="523C8E77" w14:textId="77777777" w:rsidTr="00990744">
        <w:tc>
          <w:tcPr>
            <w:tcW w:w="5000" w:type="pct"/>
            <w:tcBorders>
              <w:top w:val="single" w:sz="6" w:space="0" w:color="78A22F"/>
              <w:left w:val="nil"/>
              <w:bottom w:val="nil"/>
              <w:right w:val="nil"/>
            </w:tcBorders>
          </w:tcPr>
          <w:p w14:paraId="2E21656B" w14:textId="4579D41D" w:rsidR="00A31C1C" w:rsidRPr="00626D32" w:rsidRDefault="00A31C1C" w:rsidP="00DD57B9">
            <w:pPr>
              <w:pStyle w:val="BoxSpaceBelow"/>
              <w:keepLines/>
            </w:pPr>
          </w:p>
        </w:tc>
      </w:tr>
    </w:tbl>
    <w:p w14:paraId="3D45C3FC" w14:textId="3F3E5D9F" w:rsidR="006054CB" w:rsidRDefault="006054CB" w:rsidP="006054CB">
      <w:pPr>
        <w:pStyle w:val="Heading5"/>
      </w:pPr>
      <w:r>
        <w:t xml:space="preserve">Transition issues in moving to a new </w:t>
      </w:r>
      <w:r w:rsidR="00797879">
        <w:t xml:space="preserve">default </w:t>
      </w:r>
      <w:r>
        <w:t>allocation model</w:t>
      </w:r>
    </w:p>
    <w:p w14:paraId="577C52AD" w14:textId="119F6DEE" w:rsidR="00A11CC8" w:rsidRDefault="008A0A44" w:rsidP="006054CB">
      <w:pPr>
        <w:pStyle w:val="BodyText"/>
      </w:pPr>
      <w:r>
        <w:t xml:space="preserve">In considering whether </w:t>
      </w:r>
      <w:r w:rsidR="006054CB">
        <w:t xml:space="preserve">an alternative default allocation model </w:t>
      </w:r>
      <w:r>
        <w:t>is needed</w:t>
      </w:r>
      <w:r w:rsidR="006054CB">
        <w:t xml:space="preserve"> </w:t>
      </w:r>
      <w:r w:rsidRPr="00441FF8">
        <w:t>and</w:t>
      </w:r>
      <w:r w:rsidR="006054CB">
        <w:t xml:space="preserve"> will generate a net benefit for the community</w:t>
      </w:r>
      <w:r w:rsidR="00011E85">
        <w:t>,</w:t>
      </w:r>
      <w:r>
        <w:t xml:space="preserve"> the Commission will consider transition </w:t>
      </w:r>
      <w:r w:rsidR="00746B32">
        <w:t xml:space="preserve">issues and any transition </w:t>
      </w:r>
      <w:r>
        <w:t>costs</w:t>
      </w:r>
      <w:r w:rsidR="006054CB">
        <w:t xml:space="preserve">. </w:t>
      </w:r>
      <w:r w:rsidR="005B6EE1">
        <w:t>These would</w:t>
      </w:r>
      <w:r w:rsidR="00FA6131">
        <w:t xml:space="preserve"> likely</w:t>
      </w:r>
      <w:r w:rsidR="005B6EE1">
        <w:t xml:space="preserve"> </w:t>
      </w:r>
      <w:r w:rsidR="00FD41A4">
        <w:t xml:space="preserve">differ across alternative models </w:t>
      </w:r>
      <w:r w:rsidR="00FE46AB">
        <w:t xml:space="preserve">and would also </w:t>
      </w:r>
      <w:r w:rsidR="008C2B02">
        <w:t xml:space="preserve">depend </w:t>
      </w:r>
      <w:r w:rsidR="00C93214">
        <w:t xml:space="preserve">on the scope of the application of the model (for example, whether it would cover new entrants into the system only or existing members of the system). </w:t>
      </w:r>
    </w:p>
    <w:p w14:paraId="09D9C9D1" w14:textId="091C8EB1" w:rsidR="003E0C10" w:rsidRDefault="00340D6E" w:rsidP="006054CB">
      <w:pPr>
        <w:pStyle w:val="BodyText"/>
      </w:pPr>
      <w:r>
        <w:t xml:space="preserve">Following </w:t>
      </w:r>
      <w:r w:rsidR="008A0A44">
        <w:t>consultations on</w:t>
      </w:r>
      <w:r>
        <w:t xml:space="preserve"> the stage 2 draft report,</w:t>
      </w:r>
      <w:r w:rsidR="00746B32">
        <w:t xml:space="preserve"> and in particular </w:t>
      </w:r>
      <w:r w:rsidR="009E014C">
        <w:t xml:space="preserve">following </w:t>
      </w:r>
      <w:r w:rsidR="00746B32">
        <w:t>claims made in public hearings,</w:t>
      </w:r>
      <w:r>
        <w:t xml:space="preserve"> the Commission requested </w:t>
      </w:r>
      <w:r w:rsidR="00746B32">
        <w:t xml:space="preserve">advice </w:t>
      </w:r>
      <w:r>
        <w:t>from APRA on anticipated impacts on the sustainability of funds from adopting any of its alternative</w:t>
      </w:r>
      <w:r w:rsidR="00BE3FCD">
        <w:t xml:space="preserve"> default allocation</w:t>
      </w:r>
      <w:r>
        <w:t xml:space="preserve"> models, as well as from moving to a first-timer defaulting approach.</w:t>
      </w:r>
      <w:r w:rsidR="00746B32" w:rsidRPr="00FC3FE9">
        <w:rPr>
          <w:rStyle w:val="FootnoteReference"/>
        </w:rPr>
        <w:footnoteReference w:id="5"/>
      </w:r>
      <w:r w:rsidR="003E0C10">
        <w:t xml:space="preserve"> APRA’s</w:t>
      </w:r>
      <w:r w:rsidR="009E014C">
        <w:t xml:space="preserve"> post-draft submission</w:t>
      </w:r>
      <w:r w:rsidR="003E0C10">
        <w:t xml:space="preserve"> </w:t>
      </w:r>
      <w:r w:rsidR="009E014C">
        <w:t xml:space="preserve">(sub. DR101) presented </w:t>
      </w:r>
      <w:r w:rsidR="003E0C10">
        <w:t>analysis</w:t>
      </w:r>
      <w:r w:rsidR="00C31575">
        <w:t xml:space="preserve"> for a five-</w:t>
      </w:r>
      <w:r w:rsidR="003E0C10">
        <w:t>year period</w:t>
      </w:r>
      <w:r w:rsidR="009E014C">
        <w:t>, which</w:t>
      </w:r>
      <w:r w:rsidR="003E0C10">
        <w:t xml:space="preserve"> indicated that: </w:t>
      </w:r>
    </w:p>
    <w:p w14:paraId="3F0559B0" w14:textId="53376C07" w:rsidR="003E0C10" w:rsidRPr="003D41F5" w:rsidRDefault="003E0C10" w:rsidP="003D41F5">
      <w:pPr>
        <w:pStyle w:val="Quote"/>
      </w:pPr>
      <w:r w:rsidRPr="003E0C10">
        <w:t xml:space="preserve">… the estimated immediate impact of the loss of the first timer pool and turnover pool of default contributions on its own would be limited. </w:t>
      </w:r>
      <w:r w:rsidRPr="003D41F5">
        <w:t xml:space="preserve">More pronounced impacts are estimated to </w:t>
      </w:r>
      <w:r w:rsidRPr="003D41F5">
        <w:lastRenderedPageBreak/>
        <w:t xml:space="preserve">occur </w:t>
      </w:r>
      <w:r>
        <w:t>…</w:t>
      </w:r>
      <w:r w:rsidRPr="003D41F5">
        <w:t xml:space="preserve"> in the third year</w:t>
      </w:r>
      <w:r w:rsidR="00EC7371">
        <w:t xml:space="preserve"> ..</w:t>
      </w:r>
      <w:r w:rsidRPr="003D41F5">
        <w:t>. This suggests that RSE licensees would have some opportunity to develop and implement strategies to mitigate potential impacts and ensure appropriate outcomes for members of the RSE.</w:t>
      </w:r>
      <w:r w:rsidR="0062349F">
        <w:t xml:space="preserve"> </w:t>
      </w:r>
    </w:p>
    <w:p w14:paraId="59E51841" w14:textId="0A9E4DE8" w:rsidR="0060198D" w:rsidRDefault="008A0A44" w:rsidP="006054CB">
      <w:pPr>
        <w:pStyle w:val="BodyText"/>
      </w:pPr>
      <w:r>
        <w:t xml:space="preserve">The Commission </w:t>
      </w:r>
      <w:r w:rsidR="009E014C">
        <w:t xml:space="preserve">further </w:t>
      </w:r>
      <w:r>
        <w:t xml:space="preserve">proposed in </w:t>
      </w:r>
      <w:r w:rsidR="00B068B4">
        <w:t xml:space="preserve">its stage 2 </w:t>
      </w:r>
      <w:r>
        <w:t xml:space="preserve">draft </w:t>
      </w:r>
      <w:r w:rsidR="00B068B4">
        <w:t>report</w:t>
      </w:r>
      <w:r>
        <w:t xml:space="preserve"> that </w:t>
      </w:r>
      <w:r w:rsidR="00FA6131">
        <w:t xml:space="preserve">if a new model is adopted it would apply only to new entrants to the </w:t>
      </w:r>
      <w:r>
        <w:t xml:space="preserve">default </w:t>
      </w:r>
      <w:r w:rsidR="00A26F21">
        <w:t>market</w:t>
      </w:r>
      <w:r w:rsidR="00B068B4">
        <w:t>.</w:t>
      </w:r>
      <w:r w:rsidR="00FA6131">
        <w:t xml:space="preserve"> </w:t>
      </w:r>
      <w:r w:rsidR="00340D6E">
        <w:t>The Commission requests feedback on transition issues on th</w:t>
      </w:r>
      <w:r>
        <w:t xml:space="preserve">is </w:t>
      </w:r>
      <w:r w:rsidR="00340D6E">
        <w:t>basis.</w:t>
      </w:r>
    </w:p>
    <w:p w14:paraId="7AD4D335" w14:textId="6DCB2883" w:rsidR="00CF0A6F" w:rsidRPr="004E3B94" w:rsidRDefault="00CF0A6F" w:rsidP="00DD57B9">
      <w:pPr>
        <w:pStyle w:val="BoxSpaceAboveElement"/>
        <w:keepLines/>
        <w:rPr>
          <w:vanish w:val="0"/>
          <w:color w:val="auto"/>
        </w:rPr>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CF0A6F" w14:paraId="59DFD705" w14:textId="77777777" w:rsidTr="00990744">
        <w:trPr>
          <w:cantSplit/>
          <w:tblHeader/>
        </w:trPr>
        <w:tc>
          <w:tcPr>
            <w:tcW w:w="5000" w:type="pct"/>
            <w:tcBorders>
              <w:top w:val="single" w:sz="6" w:space="0" w:color="78A22F"/>
              <w:left w:val="nil"/>
              <w:bottom w:val="nil"/>
              <w:right w:val="nil"/>
            </w:tcBorders>
            <w:shd w:val="clear" w:color="auto" w:fill="auto"/>
          </w:tcPr>
          <w:p w14:paraId="51B79349" w14:textId="7AFAFF7C" w:rsidR="00CF0A6F" w:rsidRDefault="00BE3FCD" w:rsidP="00DD57B9">
            <w:pPr>
              <w:pStyle w:val="InformationRequestTitle"/>
              <w:spacing w:before="120"/>
            </w:pPr>
            <w:r>
              <w:t>Alternative</w:t>
            </w:r>
            <w:r w:rsidR="00ED6B8D">
              <w:t xml:space="preserve"> default arrangements</w:t>
            </w:r>
            <w:r>
              <w:t xml:space="preserve"> and transition issues</w:t>
            </w:r>
            <w:r w:rsidR="00ED6B8D">
              <w:t xml:space="preserve">: </w:t>
            </w:r>
            <w:r w:rsidR="00CF0A6F">
              <w:t>GENERAL QUESTIONS FOR PARTICIPANTS</w:t>
            </w:r>
          </w:p>
          <w:p w14:paraId="343B23E7" w14:textId="3F446C82" w:rsidR="00CF0A6F" w:rsidRPr="007520A7" w:rsidRDefault="00CF0A6F" w:rsidP="00CF0A6F">
            <w:pPr>
              <w:pStyle w:val="InformationRequest"/>
            </w:pPr>
            <w:r w:rsidRPr="007520A7">
              <w:t xml:space="preserve">Which </w:t>
            </w:r>
            <w:r w:rsidR="009E4B3B">
              <w:t xml:space="preserve">of the four </w:t>
            </w:r>
            <w:r w:rsidRPr="007520A7">
              <w:t>model</w:t>
            </w:r>
            <w:r w:rsidR="009E4B3B">
              <w:t xml:space="preserve">s identified in the stage 2 </w:t>
            </w:r>
            <w:r w:rsidR="00CF5F07">
              <w:t>I</w:t>
            </w:r>
            <w:r w:rsidR="009E4B3B">
              <w:t>nquiry</w:t>
            </w:r>
            <w:r w:rsidRPr="007520A7">
              <w:t xml:space="preserve"> is likely to generate the greatest transition issues and costs, and why?</w:t>
            </w:r>
          </w:p>
          <w:p w14:paraId="5BDD15CE" w14:textId="2098042D" w:rsidR="00CF0A6F" w:rsidRPr="007520A7" w:rsidRDefault="00CF0A6F" w:rsidP="00CF0A6F">
            <w:pPr>
              <w:pStyle w:val="InformationRequest"/>
            </w:pPr>
            <w:r w:rsidRPr="007520A7">
              <w:t>For the alternative</w:t>
            </w:r>
            <w:r>
              <w:t xml:space="preserve"> models </w:t>
            </w:r>
            <w:r w:rsidRPr="007520A7">
              <w:t>presented by the Commission, what would be the key transition issues and risks for:</w:t>
            </w:r>
          </w:p>
          <w:p w14:paraId="4B9A6537" w14:textId="77777777" w:rsidR="00CF0A6F" w:rsidRPr="007520A7" w:rsidRDefault="00CF0A6F" w:rsidP="00CF0A6F">
            <w:pPr>
              <w:pStyle w:val="InformationRequestBullet"/>
            </w:pPr>
            <w:r w:rsidRPr="007520A7">
              <w:t>members</w:t>
            </w:r>
          </w:p>
          <w:p w14:paraId="7D29BF9A" w14:textId="77777777" w:rsidR="00CF0A6F" w:rsidRPr="007520A7" w:rsidRDefault="00CF0A6F" w:rsidP="00CF0A6F">
            <w:pPr>
              <w:pStyle w:val="InformationRequestBullet"/>
            </w:pPr>
            <w:r w:rsidRPr="007520A7">
              <w:t>funds</w:t>
            </w:r>
          </w:p>
          <w:p w14:paraId="45A861DE" w14:textId="77777777" w:rsidR="00CF0A6F" w:rsidRPr="007520A7" w:rsidRDefault="00CF0A6F" w:rsidP="00CF0A6F">
            <w:pPr>
              <w:pStyle w:val="InformationRequestBullet"/>
            </w:pPr>
            <w:r w:rsidRPr="007520A7">
              <w:t>employers</w:t>
            </w:r>
          </w:p>
          <w:p w14:paraId="67BF6347" w14:textId="28E638B2" w:rsidR="00CF0A6F" w:rsidRPr="007520A7" w:rsidRDefault="00CF0A6F" w:rsidP="00CF0A6F">
            <w:pPr>
              <w:pStyle w:val="InformationRequestBullet"/>
            </w:pPr>
            <w:r w:rsidRPr="007520A7">
              <w:t>Government</w:t>
            </w:r>
            <w:r w:rsidR="00CF5F07">
              <w:t>?</w:t>
            </w:r>
          </w:p>
          <w:p w14:paraId="34508EA2" w14:textId="77777777" w:rsidR="00CF0A6F" w:rsidRPr="007520A7" w:rsidRDefault="00CF0A6F" w:rsidP="00CF0A6F">
            <w:pPr>
              <w:pStyle w:val="InformationRequest"/>
            </w:pPr>
            <w:r w:rsidRPr="007520A7">
              <w:t>What is your estimate of the costs from those transition issues and how did you arrive at this estimate?</w:t>
            </w:r>
          </w:p>
          <w:p w14:paraId="0A9A3B41" w14:textId="02E4F051" w:rsidR="00CF0A6F" w:rsidRPr="00CE4C64" w:rsidRDefault="00CF0A6F" w:rsidP="00CF0A6F">
            <w:pPr>
              <w:pStyle w:val="InformationRequest"/>
            </w:pPr>
            <w:r w:rsidRPr="007520A7">
              <w:t xml:space="preserve">What is the optimal timing and pace of implementation of </w:t>
            </w:r>
            <w:r w:rsidR="00C16310">
              <w:t xml:space="preserve">the </w:t>
            </w:r>
            <w:r w:rsidRPr="007520A7">
              <w:t>alternative model</w:t>
            </w:r>
            <w:r w:rsidR="00C16310">
              <w:t>(s)</w:t>
            </w:r>
            <w:r w:rsidRPr="007520A7">
              <w:t xml:space="preserve"> to mitigate transition issues? </w:t>
            </w:r>
          </w:p>
        </w:tc>
      </w:tr>
      <w:tr w:rsidR="00CF0A6F" w14:paraId="33ED6D2A" w14:textId="77777777" w:rsidTr="00990744">
        <w:tc>
          <w:tcPr>
            <w:tcW w:w="5000" w:type="pct"/>
            <w:tcBorders>
              <w:top w:val="nil"/>
              <w:left w:val="nil"/>
              <w:bottom w:val="single" w:sz="6" w:space="0" w:color="78A22F"/>
              <w:right w:val="nil"/>
            </w:tcBorders>
            <w:shd w:val="clear" w:color="auto" w:fill="auto"/>
          </w:tcPr>
          <w:p w14:paraId="7B48D3AC" w14:textId="77777777" w:rsidR="00CF0A6F" w:rsidRDefault="00CF0A6F" w:rsidP="00DD57B9">
            <w:pPr>
              <w:pStyle w:val="Space"/>
              <w:keepLines/>
            </w:pPr>
          </w:p>
        </w:tc>
      </w:tr>
      <w:tr w:rsidR="00CF0A6F" w:rsidRPr="000863A5" w14:paraId="279DB6D4" w14:textId="77777777" w:rsidTr="00990744">
        <w:tc>
          <w:tcPr>
            <w:tcW w:w="5000" w:type="pct"/>
            <w:tcBorders>
              <w:top w:val="single" w:sz="6" w:space="0" w:color="78A22F"/>
              <w:left w:val="nil"/>
              <w:bottom w:val="nil"/>
              <w:right w:val="nil"/>
            </w:tcBorders>
          </w:tcPr>
          <w:p w14:paraId="3681AB84" w14:textId="25DE0A79" w:rsidR="00CF0A6F" w:rsidRPr="00626D32" w:rsidRDefault="00CF0A6F" w:rsidP="00DD57B9">
            <w:pPr>
              <w:pStyle w:val="BoxSpaceBelow"/>
              <w:keepLines/>
            </w:pPr>
          </w:p>
        </w:tc>
      </w:tr>
    </w:tbl>
    <w:p w14:paraId="7328456A" w14:textId="0B7CCE10" w:rsidR="008908FB" w:rsidRDefault="00C16310" w:rsidP="007E6231">
      <w:pPr>
        <w:pStyle w:val="Heading4"/>
      </w:pPr>
      <w:r>
        <w:t>C</w:t>
      </w:r>
      <w:r w:rsidR="007E6231">
        <w:t xml:space="preserve">ommon supporting </w:t>
      </w:r>
      <w:r>
        <w:t>model features</w:t>
      </w:r>
      <w:r w:rsidR="007E6231">
        <w:t xml:space="preserve"> from</w:t>
      </w:r>
      <w:r w:rsidR="00AB487A">
        <w:t xml:space="preserve"> the</w:t>
      </w:r>
      <w:r w:rsidR="007E6231">
        <w:t xml:space="preserve"> stage 2</w:t>
      </w:r>
      <w:r w:rsidR="00BE3FCD">
        <w:t xml:space="preserve"> Inquiry</w:t>
      </w:r>
    </w:p>
    <w:p w14:paraId="31FD4FD9" w14:textId="479A08E1" w:rsidR="00943B0D" w:rsidRDefault="008908FB" w:rsidP="00F92A2C">
      <w:pPr>
        <w:pStyle w:val="BodyText"/>
      </w:pPr>
      <w:r>
        <w:t xml:space="preserve">The Commission’s alternative default models </w:t>
      </w:r>
      <w:r w:rsidR="00611E24">
        <w:t xml:space="preserve">set out in the stage 2 draft report </w:t>
      </w:r>
      <w:r>
        <w:t xml:space="preserve">were </w:t>
      </w:r>
      <w:r w:rsidR="00C16310">
        <w:t>accompanied</w:t>
      </w:r>
      <w:r>
        <w:t xml:space="preserve"> by a set of proposed </w:t>
      </w:r>
      <w:r w:rsidR="00C16310">
        <w:t xml:space="preserve">features </w:t>
      </w:r>
      <w:r>
        <w:t>common to all</w:t>
      </w:r>
      <w:r w:rsidR="0095618E">
        <w:t xml:space="preserve"> (or at least multiple) </w:t>
      </w:r>
      <w:r>
        <w:t xml:space="preserve">models. </w:t>
      </w:r>
      <w:r w:rsidR="00943B0D">
        <w:t xml:space="preserve">The Commission has </w:t>
      </w:r>
      <w:r w:rsidR="001E3666">
        <w:t xml:space="preserve">reviewed </w:t>
      </w:r>
      <w:r w:rsidR="0085728F">
        <w:t>subsequent participant</w:t>
      </w:r>
      <w:r w:rsidR="00943B0D">
        <w:t xml:space="preserve"> feedback on these </w:t>
      </w:r>
      <w:r w:rsidR="00C16310">
        <w:t>features</w:t>
      </w:r>
      <w:r w:rsidR="00943B0D">
        <w:t xml:space="preserve">. </w:t>
      </w:r>
    </w:p>
    <w:p w14:paraId="1E70CE85" w14:textId="12DABD67" w:rsidR="00071CAD" w:rsidRDefault="00071CAD" w:rsidP="00071CAD">
      <w:pPr>
        <w:pStyle w:val="BodyText"/>
      </w:pPr>
      <w:r>
        <w:t xml:space="preserve">The Commission’s approach to settling several model features will benefit from early and targeted consultation as part of this Inquiry to enable their settled form to be incorporated in the stage 3 draft report. </w:t>
      </w:r>
      <w:r w:rsidRPr="003C1560">
        <w:t xml:space="preserve">The Commission </w:t>
      </w:r>
      <w:r w:rsidR="00187A84">
        <w:t>expects to make early calls on the following matters</w:t>
      </w:r>
      <w:r w:rsidRPr="003C1560">
        <w:t>:</w:t>
      </w:r>
    </w:p>
    <w:p w14:paraId="68AF78D7" w14:textId="77777777" w:rsidR="00071CAD" w:rsidRDefault="00071CAD" w:rsidP="00071CAD">
      <w:pPr>
        <w:pStyle w:val="ListBullet"/>
      </w:pPr>
      <w:r>
        <w:t>its proposed focus on a simple, low-cost accumulation product for default members</w:t>
      </w:r>
    </w:p>
    <w:p w14:paraId="2EBBB69C" w14:textId="77777777" w:rsidR="00071CAD" w:rsidRDefault="00071CAD" w:rsidP="00071CAD">
      <w:pPr>
        <w:pStyle w:val="ListBullet"/>
      </w:pPr>
      <w:r>
        <w:t>the proposal for one model (assisted employee choice) to use a ‘last resort fund’ for employees who fail to make a decision. Participant consultation indicated that this may not be the best way of ensuring good outcomes for employees who failed to exercise choice under the model. The consultation will extend to the suggestion that members who fail to make a decision would be allocated to the default products on the shortlist on a sequential basis, broadly consistent with the approach applied in model 3 (multi-criteria tender) and model 4 (fee</w:t>
      </w:r>
      <w:r>
        <w:noBreakHyphen/>
        <w:t>based auction)</w:t>
      </w:r>
    </w:p>
    <w:p w14:paraId="20583BB5" w14:textId="68DD3E52" w:rsidR="00875699" w:rsidRDefault="00071CAD" w:rsidP="00830FA6">
      <w:pPr>
        <w:pStyle w:val="ListBullet"/>
      </w:pPr>
      <w:r>
        <w:lastRenderedPageBreak/>
        <w:t>the constitution of a new non</w:t>
      </w:r>
      <w:r>
        <w:noBreakHyphen/>
        <w:t>ongoing selection body, where the principles were broadly supported by participants, but there was concern that the body might become politicised.</w:t>
      </w:r>
    </w:p>
    <w:p w14:paraId="0018179F" w14:textId="5244988D" w:rsidR="00875699" w:rsidRPr="004E3B94" w:rsidRDefault="00875699" w:rsidP="00875699">
      <w:pPr>
        <w:pStyle w:val="BoxSpaceAboveElement"/>
        <w:keepLines/>
        <w:rPr>
          <w:vanish w:val="0"/>
          <w:color w:val="auto"/>
        </w:rPr>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875699" w14:paraId="70209F99" w14:textId="77777777" w:rsidTr="00990744">
        <w:trPr>
          <w:cantSplit/>
          <w:tblHeader/>
        </w:trPr>
        <w:tc>
          <w:tcPr>
            <w:tcW w:w="5000" w:type="pct"/>
            <w:tcBorders>
              <w:top w:val="single" w:sz="6" w:space="0" w:color="78A22F"/>
              <w:left w:val="nil"/>
              <w:bottom w:val="nil"/>
              <w:right w:val="nil"/>
            </w:tcBorders>
            <w:shd w:val="clear" w:color="auto" w:fill="auto"/>
          </w:tcPr>
          <w:p w14:paraId="374ED6C6" w14:textId="7A5E8CFD" w:rsidR="00875699" w:rsidRDefault="00875699" w:rsidP="00C97CB4">
            <w:pPr>
              <w:pStyle w:val="InformationRequestTitle"/>
              <w:spacing w:before="120"/>
            </w:pPr>
            <w:r>
              <w:t>Alternative Default Allocation Models: GENERAL QUESTION FOR PARTICIPANTS</w:t>
            </w:r>
          </w:p>
          <w:p w14:paraId="40FAC9E8" w14:textId="2C6FA519" w:rsidR="00875699" w:rsidRPr="00AB487A" w:rsidRDefault="00875699" w:rsidP="00C9133B">
            <w:pPr>
              <w:pStyle w:val="BodyText"/>
              <w:rPr>
                <w:rFonts w:asciiTheme="majorHAnsi" w:hAnsiTheme="majorHAnsi"/>
                <w:i/>
                <w:sz w:val="22"/>
              </w:rPr>
            </w:pPr>
            <w:r w:rsidRPr="00AB487A">
              <w:rPr>
                <w:rFonts w:asciiTheme="majorHAnsi" w:hAnsiTheme="majorHAnsi"/>
                <w:i/>
                <w:sz w:val="22"/>
              </w:rPr>
              <w:t>How could the process for constituting the body for selecting default products be designed to</w:t>
            </w:r>
            <w:r w:rsidR="001200EE" w:rsidRPr="00AB487A">
              <w:rPr>
                <w:rFonts w:asciiTheme="majorHAnsi" w:hAnsiTheme="majorHAnsi"/>
                <w:i/>
                <w:sz w:val="22"/>
              </w:rPr>
              <w:t xml:space="preserve"> deliver accountability (and thus not be judicial in nature) while mitigating</w:t>
            </w:r>
            <w:r w:rsidR="00211937">
              <w:rPr>
                <w:rFonts w:asciiTheme="majorHAnsi" w:hAnsiTheme="majorHAnsi"/>
                <w:i/>
                <w:sz w:val="22"/>
              </w:rPr>
              <w:t xml:space="preserve"> </w:t>
            </w:r>
            <w:r w:rsidR="00211937">
              <w:rPr>
                <w:rFonts w:asciiTheme="majorHAnsi" w:hAnsiTheme="majorHAnsi" w:cstheme="majorHAnsi"/>
                <w:i/>
                <w:sz w:val="22"/>
                <w:szCs w:val="22"/>
              </w:rPr>
              <w:t>the</w:t>
            </w:r>
            <w:r w:rsidRPr="00AB487A">
              <w:rPr>
                <w:rFonts w:asciiTheme="majorHAnsi" w:hAnsiTheme="majorHAnsi" w:cstheme="majorHAnsi"/>
                <w:i/>
                <w:sz w:val="22"/>
                <w:szCs w:val="22"/>
              </w:rPr>
              <w:t xml:space="preserve"> </w:t>
            </w:r>
            <w:r w:rsidRPr="00AB487A">
              <w:rPr>
                <w:rFonts w:asciiTheme="majorHAnsi" w:hAnsiTheme="majorHAnsi"/>
                <w:i/>
                <w:sz w:val="22"/>
              </w:rPr>
              <w:t>risks of politicisation and bias?</w:t>
            </w:r>
          </w:p>
        </w:tc>
      </w:tr>
      <w:tr w:rsidR="00875699" w14:paraId="0816126E" w14:textId="77777777" w:rsidTr="00990744">
        <w:tc>
          <w:tcPr>
            <w:tcW w:w="5000" w:type="pct"/>
            <w:tcBorders>
              <w:top w:val="nil"/>
              <w:left w:val="nil"/>
              <w:bottom w:val="single" w:sz="6" w:space="0" w:color="78A22F"/>
              <w:right w:val="nil"/>
            </w:tcBorders>
            <w:shd w:val="clear" w:color="auto" w:fill="auto"/>
          </w:tcPr>
          <w:p w14:paraId="2E979403" w14:textId="77777777" w:rsidR="00875699" w:rsidRDefault="00875699" w:rsidP="00C97CB4">
            <w:pPr>
              <w:pStyle w:val="Space"/>
              <w:keepLines/>
            </w:pPr>
          </w:p>
        </w:tc>
      </w:tr>
      <w:tr w:rsidR="00875699" w:rsidRPr="000863A5" w14:paraId="5EB9D38D" w14:textId="77777777" w:rsidTr="00990744">
        <w:tc>
          <w:tcPr>
            <w:tcW w:w="5000" w:type="pct"/>
            <w:tcBorders>
              <w:top w:val="single" w:sz="6" w:space="0" w:color="78A22F"/>
              <w:left w:val="nil"/>
              <w:bottom w:val="nil"/>
              <w:right w:val="nil"/>
            </w:tcBorders>
          </w:tcPr>
          <w:p w14:paraId="51CDC98C" w14:textId="2C9D35D6" w:rsidR="00875699" w:rsidRPr="00626D32" w:rsidRDefault="00875699" w:rsidP="00C97CB4">
            <w:pPr>
              <w:pStyle w:val="BoxSpaceBelow"/>
              <w:keepLines/>
            </w:pPr>
          </w:p>
        </w:tc>
      </w:tr>
    </w:tbl>
    <w:p w14:paraId="7AB6300D" w14:textId="2C162176" w:rsidR="00DD436A" w:rsidRDefault="00071CAD" w:rsidP="00C326C8">
      <w:pPr>
        <w:pStyle w:val="BodyText"/>
      </w:pPr>
      <w:r>
        <w:t>The Commission also identified several potential ‘foundation’ reforms in the stage 2 Inquiry that could proceed regardless of the ultimate default allocation arrangements recommended. These included:</w:t>
      </w:r>
    </w:p>
    <w:p w14:paraId="431D4EAD" w14:textId="61A75BB1" w:rsidR="00DD436A" w:rsidRDefault="00DD436A" w:rsidP="00C9133B">
      <w:pPr>
        <w:pStyle w:val="ListBullet"/>
      </w:pPr>
      <w:r>
        <w:t>the establishment of a centralised online service for members, employers and Government</w:t>
      </w:r>
      <w:r w:rsidR="005E6B37">
        <w:t>,</w:t>
      </w:r>
      <w:r>
        <w:t xml:space="preserve"> building on the existing functionality of myGov and Single Touch Payroll </w:t>
      </w:r>
    </w:p>
    <w:p w14:paraId="64FDA10B" w14:textId="1F1ED25D" w:rsidR="00DD436A" w:rsidRDefault="00DD436A">
      <w:pPr>
        <w:pStyle w:val="ListBullet"/>
      </w:pPr>
      <w:r>
        <w:t xml:space="preserve">a centralised clearing house administered by the ATO </w:t>
      </w:r>
    </w:p>
    <w:p w14:paraId="4DBA4B2C" w14:textId="77777777" w:rsidR="00DD436A" w:rsidRDefault="00DD436A">
      <w:pPr>
        <w:pStyle w:val="ListBullet"/>
      </w:pPr>
      <w:r>
        <w:t>a proposed merger transparency framework</w:t>
      </w:r>
      <w:r w:rsidRPr="00DD436A">
        <w:t xml:space="preserve"> </w:t>
      </w:r>
    </w:p>
    <w:p w14:paraId="708DD6B7" w14:textId="50491B3E" w:rsidR="00DD436A" w:rsidRDefault="00DD436A">
      <w:pPr>
        <w:pStyle w:val="ListBullet"/>
      </w:pPr>
      <w:r>
        <w:t>the introduction of a first timer default mechanism</w:t>
      </w:r>
      <w:r w:rsidR="008C16EE">
        <w:t>.</w:t>
      </w:r>
    </w:p>
    <w:p w14:paraId="6A85B1E4" w14:textId="46F9AABC" w:rsidR="0085728F" w:rsidRDefault="00071CAD" w:rsidP="00C326C8">
      <w:pPr>
        <w:pStyle w:val="BodyText"/>
      </w:pPr>
      <w:r>
        <w:t>The first of those proposals garnered broad support from participants. The remaining three proposals will benefit from further consideration and consultation with participants as part of the current stage 3 Inquiry. Attachment C (table 4) details selected participant comment on the model</w:t>
      </w:r>
      <w:r>
        <w:noBreakHyphen/>
        <w:t>specific features and the standalone reforms that the Commission will further consider in the stage 3 Inquiry.</w:t>
      </w:r>
    </w:p>
    <w:p w14:paraId="4C93CAB8" w14:textId="262719B4" w:rsidR="00A86019" w:rsidRPr="004E3B94" w:rsidRDefault="00A86019" w:rsidP="007F1B7D">
      <w:pPr>
        <w:pStyle w:val="BoxSpaceAboveElement"/>
        <w:keepLines/>
        <w:rPr>
          <w:vanish w:val="0"/>
          <w:color w:val="auto"/>
        </w:rPr>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8"/>
      </w:tblGrid>
      <w:tr w:rsidR="00A86019" w14:paraId="47439AFD" w14:textId="77777777" w:rsidTr="00990744">
        <w:trPr>
          <w:cantSplit/>
          <w:tblHeader/>
        </w:trPr>
        <w:tc>
          <w:tcPr>
            <w:tcW w:w="5000" w:type="pct"/>
            <w:tcBorders>
              <w:top w:val="single" w:sz="6" w:space="0" w:color="78A22F"/>
              <w:left w:val="nil"/>
              <w:bottom w:val="nil"/>
              <w:right w:val="nil"/>
            </w:tcBorders>
            <w:shd w:val="clear" w:color="auto" w:fill="auto"/>
          </w:tcPr>
          <w:p w14:paraId="5CD4E370" w14:textId="635F8972" w:rsidR="00A86019" w:rsidRDefault="00936B8B" w:rsidP="007F1B7D">
            <w:pPr>
              <w:pStyle w:val="InformationRequestTitle"/>
              <w:spacing w:before="120"/>
            </w:pPr>
            <w:r>
              <w:t xml:space="preserve">Other </w:t>
            </w:r>
            <w:r w:rsidR="00875699">
              <w:t xml:space="preserve">reforms: </w:t>
            </w:r>
            <w:r w:rsidR="00A86019">
              <w:t>GENERAL QUESTIONS FOR PARTICIPANTS</w:t>
            </w:r>
          </w:p>
          <w:p w14:paraId="2E53EF12" w14:textId="77777777" w:rsidR="00A86019" w:rsidRDefault="00A86019" w:rsidP="00A86019">
            <w:pPr>
              <w:pStyle w:val="InformationRequest"/>
            </w:pPr>
            <w:r>
              <w:t>On the first timer default mechanism:</w:t>
            </w:r>
          </w:p>
          <w:p w14:paraId="650741B4" w14:textId="0914222D" w:rsidR="00A86019" w:rsidRPr="00F92A2C" w:rsidRDefault="00A86019" w:rsidP="00A86019">
            <w:pPr>
              <w:pStyle w:val="InformationRequestBullet"/>
            </w:pPr>
            <w:r>
              <w:t>How could the mechanism be designed to mitigate against the risks of entrenching member disengagement and the risk of members remaining in inferior products?</w:t>
            </w:r>
          </w:p>
          <w:p w14:paraId="6270911F" w14:textId="77777777" w:rsidR="00A86019" w:rsidRDefault="00A86019" w:rsidP="00A86019">
            <w:pPr>
              <w:pStyle w:val="InformationRequest"/>
            </w:pPr>
            <w:r>
              <w:t>On the proposed centralised clearing house:</w:t>
            </w:r>
          </w:p>
          <w:p w14:paraId="137C4056" w14:textId="77777777" w:rsidR="00A86019" w:rsidRPr="00F92A2C" w:rsidRDefault="00A86019" w:rsidP="00A86019">
            <w:pPr>
              <w:pStyle w:val="InformationRequestBullet"/>
            </w:pPr>
            <w:r w:rsidRPr="00F92A2C">
              <w:t xml:space="preserve">What would be the cost to set up this platform within the ATO? What is the scope to utilise existing infrastructure within the ATO in establishing this platform? </w:t>
            </w:r>
            <w:r w:rsidRPr="003A47A0">
              <w:t xml:space="preserve">What is the evidence that a single government provider would not have the capability to operate </w:t>
            </w:r>
            <w:r>
              <w:t>the service</w:t>
            </w:r>
            <w:r w:rsidRPr="003A47A0">
              <w:t>, or that such a provider would fail to keep pace with technological change?</w:t>
            </w:r>
          </w:p>
          <w:p w14:paraId="20BCD034" w14:textId="77777777" w:rsidR="00A86019" w:rsidRDefault="00A86019" w:rsidP="00A86019">
            <w:pPr>
              <w:pStyle w:val="InformationRequestBullet"/>
            </w:pPr>
            <w:r w:rsidRPr="00F92A2C">
              <w:t>What would be the expected ongoing costs of service provision? Specifically, what is the scope to reduce costs over current arrangements due to economies of scale?</w:t>
            </w:r>
          </w:p>
          <w:p w14:paraId="068C0DC5" w14:textId="4B8FF3DE" w:rsidR="00A86019" w:rsidRDefault="00A86019" w:rsidP="00A86019">
            <w:pPr>
              <w:pStyle w:val="InformationRequestBullet"/>
            </w:pPr>
            <w:r w:rsidRPr="00F92A2C">
              <w:t>How many operators are currently in the</w:t>
            </w:r>
            <w:r>
              <w:t xml:space="preserve"> market for the provision of clearing</w:t>
            </w:r>
            <w:r w:rsidR="007E2D05">
              <w:noBreakHyphen/>
            </w:r>
            <w:r>
              <w:t>house services</w:t>
            </w:r>
            <w:r w:rsidRPr="00F92A2C">
              <w:t>?</w:t>
            </w:r>
            <w:r>
              <w:t xml:space="preserve"> </w:t>
            </w:r>
            <w:r w:rsidRPr="00F92A2C">
              <w:t>To what extent do existing arrangements facilitate new entry and promote the exit of inefficient providers, and what is the evidence on recent entry and exit?</w:t>
            </w:r>
          </w:p>
          <w:p w14:paraId="0902C0B0" w14:textId="5A51AA18" w:rsidR="00A534EA" w:rsidRPr="00A534EA" w:rsidRDefault="00A534EA" w:rsidP="00A534EA">
            <w:pPr>
              <w:pStyle w:val="InformationRequestBullet"/>
            </w:pPr>
            <w:r>
              <w:t xml:space="preserve">What international experiences can be drawn on to provide insights into the merits of a centralised clearing house in the Australian system? </w:t>
            </w:r>
          </w:p>
          <w:p w14:paraId="45F8FEDB" w14:textId="77777777" w:rsidR="00A86019" w:rsidRPr="00446DC2" w:rsidRDefault="00A86019" w:rsidP="00A86019">
            <w:pPr>
              <w:pStyle w:val="InformationRequest"/>
            </w:pPr>
            <w:r>
              <w:t>On merger transparency:</w:t>
            </w:r>
          </w:p>
          <w:p w14:paraId="0222AD63" w14:textId="61BAC50D" w:rsidR="00D30B13" w:rsidRDefault="00D30B13" w:rsidP="00A86019">
            <w:pPr>
              <w:pStyle w:val="InformationRequestBullet"/>
            </w:pPr>
            <w:r>
              <w:t>Would elevating the level of disclosure that prospective merger parties are required to provide</w:t>
            </w:r>
            <w:r w:rsidR="00445A8E">
              <w:t xml:space="preserve"> to</w:t>
            </w:r>
            <w:r>
              <w:t xml:space="preserve"> APRA </w:t>
            </w:r>
            <w:r w:rsidR="00385892">
              <w:t xml:space="preserve">(such as </w:t>
            </w:r>
            <w:r>
              <w:t>following a</w:t>
            </w:r>
            <w:r w:rsidR="00122F16">
              <w:t xml:space="preserve"> memorandum of understanding</w:t>
            </w:r>
            <w:r>
              <w:t xml:space="preserve"> between the parties</w:t>
            </w:r>
            <w:r w:rsidR="00385892">
              <w:t>)</w:t>
            </w:r>
            <w:r>
              <w:t xml:space="preserve"> </w:t>
            </w:r>
            <w:r w:rsidR="00445A8E">
              <w:t>create material risks of discouraging merger activity</w:t>
            </w:r>
            <w:r>
              <w:t xml:space="preserve">? </w:t>
            </w:r>
          </w:p>
          <w:p w14:paraId="6E261D6C" w14:textId="6AF26A6C" w:rsidR="00A86019" w:rsidRPr="00CE4C64" w:rsidRDefault="00A86019" w:rsidP="00875699">
            <w:pPr>
              <w:pStyle w:val="InformationRequestBullet"/>
            </w:pPr>
            <w:r w:rsidRPr="00C24525">
              <w:t xml:space="preserve">Would </w:t>
            </w:r>
            <w:r>
              <w:t xml:space="preserve">a requirement for trustees’ to disclose merger </w:t>
            </w:r>
            <w:r w:rsidR="00CE5943">
              <w:t xml:space="preserve">discussions that </w:t>
            </w:r>
            <w:r w:rsidR="007F0DF9">
              <w:t xml:space="preserve">had </w:t>
            </w:r>
            <w:r w:rsidR="00CE5943">
              <w:t xml:space="preserve">proceeded past a </w:t>
            </w:r>
            <w:r w:rsidR="002762AA">
              <w:t>specific</w:t>
            </w:r>
            <w:r w:rsidR="00CE5943">
              <w:t xml:space="preserve"> point </w:t>
            </w:r>
            <w:r w:rsidR="00D30B13">
              <w:t>to its members retrospectively</w:t>
            </w:r>
            <w:r>
              <w:t xml:space="preserve"> </w:t>
            </w:r>
            <w:r w:rsidR="009078C2">
              <w:t xml:space="preserve">(such as in annual reports) </w:t>
            </w:r>
            <w:r>
              <w:t xml:space="preserve">strike the balance between transparency and incentives for trustees to enter into preliminary discussions prior to (and during) the due diligence phase? </w:t>
            </w:r>
            <w:r w:rsidR="00CE5943">
              <w:t xml:space="preserve">What should this </w:t>
            </w:r>
            <w:r w:rsidR="002762AA">
              <w:t>specific</w:t>
            </w:r>
            <w:r w:rsidR="00CE5943">
              <w:t xml:space="preserve"> point be? </w:t>
            </w:r>
            <w:r>
              <w:t>How else could the mechanism be modified</w:t>
            </w:r>
            <w:r w:rsidR="001200EE">
              <w:t xml:space="preserve"> to strike such a balance</w:t>
            </w:r>
            <w:r>
              <w:t>?</w:t>
            </w:r>
          </w:p>
        </w:tc>
      </w:tr>
      <w:tr w:rsidR="00A86019" w14:paraId="4AA83D86" w14:textId="77777777" w:rsidTr="00990744">
        <w:tc>
          <w:tcPr>
            <w:tcW w:w="5000" w:type="pct"/>
            <w:tcBorders>
              <w:top w:val="nil"/>
              <w:left w:val="nil"/>
              <w:bottom w:val="single" w:sz="6" w:space="0" w:color="78A22F"/>
              <w:right w:val="nil"/>
            </w:tcBorders>
            <w:shd w:val="clear" w:color="auto" w:fill="auto"/>
          </w:tcPr>
          <w:p w14:paraId="079DC557" w14:textId="77777777" w:rsidR="00A86019" w:rsidRDefault="00A86019" w:rsidP="007F1B7D">
            <w:pPr>
              <w:pStyle w:val="Space"/>
              <w:keepLines/>
            </w:pPr>
          </w:p>
        </w:tc>
      </w:tr>
      <w:tr w:rsidR="00A86019" w:rsidRPr="000863A5" w14:paraId="2D80F287" w14:textId="77777777" w:rsidTr="00990744">
        <w:tc>
          <w:tcPr>
            <w:tcW w:w="5000" w:type="pct"/>
            <w:tcBorders>
              <w:top w:val="single" w:sz="6" w:space="0" w:color="78A22F"/>
              <w:left w:val="nil"/>
              <w:bottom w:val="nil"/>
              <w:right w:val="nil"/>
            </w:tcBorders>
          </w:tcPr>
          <w:p w14:paraId="334D09E2" w14:textId="4511C264" w:rsidR="00A86019" w:rsidRPr="00626D32" w:rsidRDefault="00A86019" w:rsidP="007F1B7D">
            <w:pPr>
              <w:pStyle w:val="BoxSpaceBelow"/>
              <w:keepLines/>
            </w:pPr>
          </w:p>
        </w:tc>
      </w:tr>
    </w:tbl>
    <w:p w14:paraId="65E70756" w14:textId="77777777" w:rsidR="00A14BD4" w:rsidRDefault="00A14BD4">
      <w:pPr>
        <w:rPr>
          <w:szCs w:val="20"/>
        </w:rPr>
      </w:pPr>
      <w:r>
        <w:br w:type="page"/>
      </w:r>
    </w:p>
    <w:p w14:paraId="1506F454" w14:textId="77777777" w:rsidR="00453080" w:rsidRDefault="00394B06">
      <w:pPr>
        <w:pStyle w:val="Heading2"/>
      </w:pPr>
      <w:bookmarkStart w:id="11" w:name="_Toc487031378"/>
      <w:bookmarkStart w:id="12" w:name="_Toc487035878"/>
      <w:r>
        <w:lastRenderedPageBreak/>
        <w:t>References</w:t>
      </w:r>
      <w:bookmarkEnd w:id="11"/>
      <w:bookmarkEnd w:id="12"/>
    </w:p>
    <w:p w14:paraId="1991DAB0" w14:textId="77777777" w:rsidR="001C5DCF" w:rsidRPr="001C5DCF" w:rsidRDefault="001C5DCF" w:rsidP="001C5DCF">
      <w:pPr>
        <w:pStyle w:val="Reference"/>
      </w:pPr>
      <w:r w:rsidRPr="001C5DCF">
        <w:t>Ambachtsheer, K. 2017, The Ambachtsheer Letter.</w:t>
      </w:r>
    </w:p>
    <w:p w14:paraId="0B7F512E" w14:textId="77777777" w:rsidR="001C5DCF" w:rsidRPr="001C5DCF" w:rsidRDefault="001C5DCF" w:rsidP="001C5DCF">
      <w:pPr>
        <w:pStyle w:val="Reference"/>
      </w:pPr>
      <w:r w:rsidRPr="001C5DCF">
        <w:t>APRA (Australian Prudential Regulation Authority) 2007, Insight: Celebrating 10 Years of Superannuation Data Collection 1996 - 2006, Sydney.</w:t>
      </w:r>
    </w:p>
    <w:p w14:paraId="2E5A10E0" w14:textId="77777777" w:rsidR="001C5DCF" w:rsidRPr="001C5DCF" w:rsidRDefault="001C5DCF" w:rsidP="001C5DCF">
      <w:pPr>
        <w:pStyle w:val="Reference"/>
      </w:pPr>
      <w:r w:rsidRPr="001C5DCF">
        <w:t>APRA (Australian Prudential Regulation Authority) 2014, Annual Superannuation Bulletin 2013.</w:t>
      </w:r>
    </w:p>
    <w:p w14:paraId="50463FEF" w14:textId="77777777" w:rsidR="001C5DCF" w:rsidRPr="001C5DCF" w:rsidRDefault="001C5DCF" w:rsidP="001C5DCF">
      <w:pPr>
        <w:pStyle w:val="Reference"/>
      </w:pPr>
      <w:r w:rsidRPr="001C5DCF">
        <w:t>APRA (Australian Prudential Regulation Authority) 2016a, Annual Superannuation Bulletin 2015.</w:t>
      </w:r>
    </w:p>
    <w:p w14:paraId="320F9682" w14:textId="77777777" w:rsidR="001C5DCF" w:rsidRPr="001C5DCF" w:rsidRDefault="001C5DCF" w:rsidP="001C5DCF">
      <w:pPr>
        <w:pStyle w:val="Reference"/>
      </w:pPr>
      <w:r w:rsidRPr="001C5DCF">
        <w:t>APRA (Australian Prudential Regulation Authority) 2016b, Quarterly Superannuation Performance June 2016.</w:t>
      </w:r>
    </w:p>
    <w:p w14:paraId="1B0DB52C" w14:textId="1492D86A" w:rsidR="001C5DCF" w:rsidRPr="001C5DCF" w:rsidRDefault="001C5DCF" w:rsidP="001C5DCF">
      <w:pPr>
        <w:pStyle w:val="Reference"/>
      </w:pPr>
      <w:r w:rsidRPr="001C5DCF">
        <w:t>APRA (Australian Prudential Regulation Authority) 2017, Quarterly Supera</w:t>
      </w:r>
      <w:r w:rsidR="0035282F">
        <w:t>nnuation Performance March 2017</w:t>
      </w:r>
      <w:r w:rsidRPr="001C5DCF">
        <w:t>.</w:t>
      </w:r>
    </w:p>
    <w:p w14:paraId="77EC1872" w14:textId="484A2DC3" w:rsidR="001C5DCF" w:rsidRPr="001C5DCF" w:rsidRDefault="001C5DCF" w:rsidP="001C5DCF">
      <w:pPr>
        <w:pStyle w:val="Reference"/>
      </w:pPr>
      <w:r w:rsidRPr="001C5DCF">
        <w:t>Australian Government 2016, Superannuation (Objective</w:t>
      </w:r>
      <w:r w:rsidR="0035282F">
        <w:t>) Bill 2016</w:t>
      </w:r>
      <w:r w:rsidRPr="001C5DCF">
        <w:t>.</w:t>
      </w:r>
    </w:p>
    <w:p w14:paraId="3772C7D9" w14:textId="77777777" w:rsidR="001C5DCF" w:rsidRPr="001C5DCF" w:rsidRDefault="001C5DCF" w:rsidP="001C5DCF">
      <w:pPr>
        <w:pStyle w:val="Reference"/>
      </w:pPr>
      <w:r w:rsidRPr="001C5DCF">
        <w:t>ASIC (Australian Securities and Investments Commission) 2017, Member experience of superannuation, 529, Sydney.</w:t>
      </w:r>
    </w:p>
    <w:p w14:paraId="5713E47C" w14:textId="7F549012" w:rsidR="00394B06" w:rsidRDefault="001C5DCF" w:rsidP="001C5DCF">
      <w:pPr>
        <w:pStyle w:val="Reference"/>
      </w:pPr>
      <w:r w:rsidRPr="001C5DCF">
        <w:t>PC (Productivity Commission) 2016, How to Assess the Competitiveness and Efficiency of the Superannuation System, Research Report, Canberra.</w:t>
      </w:r>
      <w:r w:rsidR="00394B06">
        <w:br w:type="page"/>
      </w:r>
    </w:p>
    <w:p w14:paraId="0A823282" w14:textId="63A9F534" w:rsidR="00A14BD4" w:rsidRPr="00A14BD4" w:rsidRDefault="004C7E4B">
      <w:pPr>
        <w:pStyle w:val="Heading2"/>
      </w:pPr>
      <w:bookmarkStart w:id="13" w:name="_Toc487031379"/>
      <w:bookmarkStart w:id="14" w:name="_Toc487035879"/>
      <w:r>
        <w:lastRenderedPageBreak/>
        <w:t>A</w:t>
      </w:r>
      <w:r w:rsidR="00384CC9">
        <w:t>ttachment</w:t>
      </w:r>
      <w:r w:rsidR="00A14BD4">
        <w:t xml:space="preserve"> A: Additional evidence needs</w:t>
      </w:r>
      <w:bookmarkEnd w:id="13"/>
      <w:bookmarkEnd w:id="14"/>
      <w:r w:rsidR="001F240D">
        <w:t xml:space="preserve"> </w:t>
      </w:r>
    </w:p>
    <w:p w14:paraId="446025F4" w14:textId="2B758F6A" w:rsidR="00A14BD4" w:rsidRDefault="00A14BD4" w:rsidP="00A14BD4">
      <w:pPr>
        <w:pStyle w:val="BoxSpaceAbove"/>
      </w:pPr>
    </w:p>
    <w:tbl>
      <w:tblPr>
        <w:tblW w:w="4843" w:type="pct"/>
        <w:tblInd w:w="142"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A14BD4" w14:paraId="16DF17E5" w14:textId="77777777" w:rsidTr="00990744">
        <w:tc>
          <w:tcPr>
            <w:tcW w:w="5000" w:type="pct"/>
            <w:tcBorders>
              <w:top w:val="single" w:sz="6" w:space="0" w:color="78A22F"/>
              <w:left w:val="nil"/>
              <w:bottom w:val="nil"/>
              <w:right w:val="nil"/>
            </w:tcBorders>
            <w:shd w:val="clear" w:color="auto" w:fill="auto"/>
          </w:tcPr>
          <w:p w14:paraId="379CD689" w14:textId="12E6469E" w:rsidR="00A14BD4" w:rsidRPr="00F92A2C" w:rsidRDefault="00A14BD4" w:rsidP="00E33F2B">
            <w:pPr>
              <w:pStyle w:val="TableTitle"/>
              <w:rPr>
                <w:rStyle w:val="NoteLabel"/>
              </w:rPr>
            </w:pPr>
            <w:r>
              <w:rPr>
                <w:b w:val="0"/>
              </w:rPr>
              <w:t xml:space="preserve">Table </w:t>
            </w:r>
            <w:r w:rsidR="00E33F2B">
              <w:rPr>
                <w:b w:val="0"/>
              </w:rPr>
              <w:t>3</w:t>
            </w:r>
            <w:r>
              <w:tab/>
              <w:t>Main additional evidence needs</w:t>
            </w:r>
            <w:r w:rsidR="001F240D">
              <w:t xml:space="preserve"> and sources</w:t>
            </w:r>
          </w:p>
        </w:tc>
      </w:tr>
      <w:tr w:rsidR="00A14BD4" w14:paraId="4523C1FD" w14:textId="77777777" w:rsidTr="00990744">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4419"/>
              <w:gridCol w:w="4086"/>
            </w:tblGrid>
            <w:tr w:rsidR="00A14BD4" w14:paraId="231A74C4" w14:textId="77777777" w:rsidTr="00990744">
              <w:trPr>
                <w:tblHeader/>
              </w:trPr>
              <w:tc>
                <w:tcPr>
                  <w:tcW w:w="2598" w:type="pct"/>
                  <w:tcBorders>
                    <w:top w:val="single" w:sz="6" w:space="0" w:color="BFBFBF"/>
                  </w:tcBorders>
                  <w:shd w:val="clear" w:color="auto" w:fill="auto"/>
                  <w:tcMar>
                    <w:top w:w="28" w:type="dxa"/>
                  </w:tcMar>
                </w:tcPr>
                <w:p w14:paraId="07A462AB" w14:textId="77777777" w:rsidR="00A14BD4" w:rsidRDefault="00A14BD4" w:rsidP="00A14BD4">
                  <w:pPr>
                    <w:pStyle w:val="TableColumnHeading"/>
                    <w:jc w:val="left"/>
                  </w:pPr>
                  <w:r>
                    <w:t>Evidence required</w:t>
                  </w:r>
                </w:p>
              </w:tc>
              <w:tc>
                <w:tcPr>
                  <w:tcW w:w="2402" w:type="pct"/>
                  <w:tcBorders>
                    <w:top w:val="single" w:sz="6" w:space="0" w:color="BFBFBF"/>
                  </w:tcBorders>
                  <w:shd w:val="clear" w:color="auto" w:fill="auto"/>
                  <w:tcMar>
                    <w:top w:w="28" w:type="dxa"/>
                  </w:tcMar>
                </w:tcPr>
                <w:p w14:paraId="4869EF9F" w14:textId="23F4003F" w:rsidR="00A14BD4" w:rsidRDefault="00A14BD4" w:rsidP="00A14BD4">
                  <w:pPr>
                    <w:pStyle w:val="TableColumnHeading"/>
                    <w:ind w:right="28"/>
                    <w:jc w:val="left"/>
                  </w:pPr>
                  <w:r>
                    <w:t>Expected evidence source</w:t>
                  </w:r>
                  <w:r w:rsidR="004273AB">
                    <w:t>s</w:t>
                  </w:r>
                </w:p>
              </w:tc>
            </w:tr>
            <w:tr w:rsidR="00A14BD4" w14:paraId="67FE8E92" w14:textId="77777777" w:rsidTr="00990744">
              <w:trPr>
                <w:trHeight w:val="283"/>
              </w:trPr>
              <w:tc>
                <w:tcPr>
                  <w:tcW w:w="2598" w:type="pct"/>
                  <w:shd w:val="solid" w:color="E0EEC6" w:themeColor="accent3" w:themeTint="66" w:fill="6599D9" w:themeFill="accent2" w:themeFillTint="99"/>
                  <w:vAlign w:val="center"/>
                </w:tcPr>
                <w:p w14:paraId="48FE3A0D" w14:textId="77777777" w:rsidR="00A14BD4" w:rsidRDefault="00A14BD4" w:rsidP="00990744">
                  <w:pPr>
                    <w:pStyle w:val="TableBodyText"/>
                    <w:jc w:val="left"/>
                  </w:pPr>
                  <w:r w:rsidRPr="00240D6D">
                    <w:rPr>
                      <w:b/>
                    </w:rPr>
                    <w:t>Investment returns</w:t>
                  </w:r>
                </w:p>
              </w:tc>
              <w:tc>
                <w:tcPr>
                  <w:tcW w:w="2402" w:type="pct"/>
                  <w:shd w:val="solid" w:color="E0EEC6" w:themeColor="accent3" w:themeTint="66" w:fill="6599D9" w:themeFill="accent2" w:themeFillTint="99"/>
                  <w:vAlign w:val="center"/>
                </w:tcPr>
                <w:p w14:paraId="5C05DD10" w14:textId="77777777" w:rsidR="00A14BD4" w:rsidRDefault="00A14BD4" w:rsidP="00990744">
                  <w:pPr>
                    <w:pStyle w:val="TableBodyText"/>
                    <w:ind w:right="28"/>
                    <w:jc w:val="left"/>
                  </w:pPr>
                </w:p>
              </w:tc>
            </w:tr>
            <w:tr w:rsidR="00A14BD4" w14:paraId="331A1EE2" w14:textId="77777777" w:rsidTr="00990744">
              <w:tc>
                <w:tcPr>
                  <w:tcW w:w="2598" w:type="pct"/>
                </w:tcPr>
                <w:p w14:paraId="2BB05620" w14:textId="77777777" w:rsidR="00A14BD4" w:rsidRDefault="00A14BD4" w:rsidP="00A14BD4">
                  <w:pPr>
                    <w:pStyle w:val="TableBodyText"/>
                    <w:jc w:val="left"/>
                  </w:pPr>
                  <w:r>
                    <w:t>Long</w:t>
                  </w:r>
                  <w:r>
                    <w:noBreakHyphen/>
                    <w:t>term net returns by asset class and by market segment</w:t>
                  </w:r>
                </w:p>
              </w:tc>
              <w:tc>
                <w:tcPr>
                  <w:tcW w:w="2402" w:type="pct"/>
                </w:tcPr>
                <w:p w14:paraId="26E4D05C" w14:textId="77777777" w:rsidR="00A14BD4" w:rsidRDefault="00A14BD4" w:rsidP="00A14BD4">
                  <w:pPr>
                    <w:pStyle w:val="TableBodyText"/>
                    <w:ind w:right="28"/>
                    <w:jc w:val="left"/>
                  </w:pPr>
                  <w:r>
                    <w:t>Purchase data from private research firms; seek data from regulators</w:t>
                  </w:r>
                </w:p>
              </w:tc>
            </w:tr>
            <w:tr w:rsidR="00A14BD4" w14:paraId="30E05CC2" w14:textId="77777777" w:rsidTr="00990744">
              <w:trPr>
                <w:trHeight w:val="283"/>
              </w:trPr>
              <w:tc>
                <w:tcPr>
                  <w:tcW w:w="2598" w:type="pct"/>
                  <w:shd w:val="solid" w:color="E0EEC6" w:themeColor="accent3" w:themeTint="66" w:fill="6599D9" w:themeFill="accent2" w:themeFillTint="99"/>
                  <w:vAlign w:val="center"/>
                </w:tcPr>
                <w:p w14:paraId="0C1F8631" w14:textId="77777777" w:rsidR="00A14BD4" w:rsidRDefault="00A14BD4" w:rsidP="00990744">
                  <w:pPr>
                    <w:pStyle w:val="TableBodyText"/>
                    <w:jc w:val="left"/>
                  </w:pPr>
                  <w:r>
                    <w:rPr>
                      <w:b/>
                    </w:rPr>
                    <w:t>Asset allocation</w:t>
                  </w:r>
                </w:p>
              </w:tc>
              <w:tc>
                <w:tcPr>
                  <w:tcW w:w="2402" w:type="pct"/>
                  <w:shd w:val="solid" w:color="E0EEC6" w:themeColor="accent3" w:themeTint="66" w:fill="6599D9" w:themeFill="accent2" w:themeFillTint="99"/>
                </w:tcPr>
                <w:p w14:paraId="306BC138" w14:textId="77777777" w:rsidR="00A14BD4" w:rsidRDefault="00A14BD4" w:rsidP="00A14BD4">
                  <w:pPr>
                    <w:pStyle w:val="TableBodyText"/>
                    <w:ind w:right="28"/>
                    <w:jc w:val="left"/>
                  </w:pPr>
                </w:p>
              </w:tc>
            </w:tr>
            <w:tr w:rsidR="00A14BD4" w14:paraId="32CB4FC7" w14:textId="77777777" w:rsidTr="00A14BD4">
              <w:tc>
                <w:tcPr>
                  <w:tcW w:w="2598" w:type="pct"/>
                </w:tcPr>
                <w:p w14:paraId="2A534908" w14:textId="5875FFCF" w:rsidR="00A14BD4" w:rsidRDefault="00A14BD4" w:rsidP="00A14BD4">
                  <w:pPr>
                    <w:pStyle w:val="TableBodyText"/>
                    <w:spacing w:before="40"/>
                    <w:jc w:val="left"/>
                  </w:pPr>
                  <w:r>
                    <w:t xml:space="preserve">Actual asset allocation </w:t>
                  </w:r>
                  <w:r w:rsidR="00146EE4">
                    <w:t>in choice and default segments</w:t>
                  </w:r>
                </w:p>
              </w:tc>
              <w:tc>
                <w:tcPr>
                  <w:tcW w:w="2402" w:type="pct"/>
                </w:tcPr>
                <w:p w14:paraId="5825877B" w14:textId="77777777" w:rsidR="00A14BD4" w:rsidRDefault="00A14BD4" w:rsidP="00A14BD4">
                  <w:pPr>
                    <w:pStyle w:val="TableBodyText"/>
                    <w:spacing w:before="40"/>
                    <w:ind w:right="28"/>
                    <w:jc w:val="left"/>
                  </w:pPr>
                  <w:r>
                    <w:t>Purchase data from private research firms</w:t>
                  </w:r>
                </w:p>
              </w:tc>
            </w:tr>
            <w:tr w:rsidR="00A14BD4" w14:paraId="27F0E315" w14:textId="77777777" w:rsidTr="00990744">
              <w:tc>
                <w:tcPr>
                  <w:tcW w:w="2598" w:type="pct"/>
                </w:tcPr>
                <w:p w14:paraId="3CC053D1" w14:textId="77777777" w:rsidR="00A14BD4" w:rsidRPr="00E5312A" w:rsidRDefault="00A14BD4" w:rsidP="00A14BD4">
                  <w:pPr>
                    <w:pStyle w:val="TableBodyText"/>
                    <w:jc w:val="left"/>
                  </w:pPr>
                  <w:r w:rsidRPr="00E5312A">
                    <w:t>Ability of small funds to access investments through intermediaries</w:t>
                  </w:r>
                </w:p>
              </w:tc>
              <w:tc>
                <w:tcPr>
                  <w:tcW w:w="2402" w:type="pct"/>
                </w:tcPr>
                <w:p w14:paraId="395C608D" w14:textId="77777777" w:rsidR="00A14BD4" w:rsidRDefault="00A14BD4" w:rsidP="00A14BD4">
                  <w:pPr>
                    <w:pStyle w:val="TableBodyText"/>
                    <w:ind w:right="28"/>
                    <w:jc w:val="left"/>
                  </w:pPr>
                  <w:r>
                    <w:t>Survey funds; draw on reviews by others</w:t>
                  </w:r>
                </w:p>
              </w:tc>
            </w:tr>
            <w:tr w:rsidR="00A14BD4" w:rsidRPr="000160AA" w14:paraId="781B889B" w14:textId="77777777" w:rsidTr="00990744">
              <w:trPr>
                <w:trHeight w:val="283"/>
              </w:trPr>
              <w:tc>
                <w:tcPr>
                  <w:tcW w:w="2598" w:type="pct"/>
                  <w:shd w:val="solid" w:color="E0EEC6" w:themeColor="accent3" w:themeTint="66" w:fill="6599D9" w:themeFill="accent2" w:themeFillTint="99"/>
                  <w:vAlign w:val="center"/>
                </w:tcPr>
                <w:p w14:paraId="5F4458A5" w14:textId="77777777" w:rsidR="00A14BD4" w:rsidRDefault="00A14BD4" w:rsidP="00990744">
                  <w:pPr>
                    <w:pStyle w:val="TableBodyText"/>
                    <w:spacing w:before="40"/>
                    <w:jc w:val="left"/>
                    <w:rPr>
                      <w:b/>
                    </w:rPr>
                  </w:pPr>
                  <w:r>
                    <w:rPr>
                      <w:b/>
                    </w:rPr>
                    <w:t>Costs and fees</w:t>
                  </w:r>
                </w:p>
              </w:tc>
              <w:tc>
                <w:tcPr>
                  <w:tcW w:w="2402" w:type="pct"/>
                  <w:shd w:val="solid" w:color="E0EEC6" w:themeColor="accent3" w:themeTint="66" w:fill="6599D9" w:themeFill="accent2" w:themeFillTint="99"/>
                  <w:vAlign w:val="center"/>
                </w:tcPr>
                <w:p w14:paraId="5C099EBC" w14:textId="77777777" w:rsidR="00A14BD4" w:rsidRPr="000160AA" w:rsidRDefault="00A14BD4" w:rsidP="00990744">
                  <w:pPr>
                    <w:pStyle w:val="TableBodyText"/>
                    <w:spacing w:before="40"/>
                    <w:ind w:right="28"/>
                    <w:jc w:val="left"/>
                    <w:rPr>
                      <w:b/>
                    </w:rPr>
                  </w:pPr>
                </w:p>
              </w:tc>
            </w:tr>
            <w:tr w:rsidR="00A14BD4" w14:paraId="45577D14" w14:textId="77777777" w:rsidTr="00A14BD4">
              <w:tc>
                <w:tcPr>
                  <w:tcW w:w="2598" w:type="pct"/>
                </w:tcPr>
                <w:p w14:paraId="53549B3E" w14:textId="77777777" w:rsidR="00A14BD4" w:rsidRDefault="00A14BD4" w:rsidP="00A14BD4">
                  <w:pPr>
                    <w:pStyle w:val="TableBodyText"/>
                    <w:spacing w:before="40"/>
                    <w:jc w:val="left"/>
                  </w:pPr>
                  <w:r>
                    <w:t>Data on product</w:t>
                  </w:r>
                  <w:r>
                    <w:noBreakHyphen/>
                    <w:t>level fees, fee dispersion, fund costs for specific services, fund margins, trailing adviser commissions and fund/product switching costs</w:t>
                  </w:r>
                </w:p>
              </w:tc>
              <w:tc>
                <w:tcPr>
                  <w:tcW w:w="2402" w:type="pct"/>
                </w:tcPr>
                <w:p w14:paraId="6FD479F4" w14:textId="77777777" w:rsidR="00A14BD4" w:rsidRDefault="00A14BD4" w:rsidP="00A14BD4">
                  <w:pPr>
                    <w:pStyle w:val="TableBodyText"/>
                    <w:spacing w:before="40"/>
                    <w:ind w:right="28"/>
                    <w:jc w:val="left"/>
                  </w:pPr>
                  <w:r>
                    <w:t>Purchase data from private research firms; survey funds</w:t>
                  </w:r>
                </w:p>
              </w:tc>
            </w:tr>
            <w:tr w:rsidR="00A14BD4" w14:paraId="5D27C4E0" w14:textId="77777777" w:rsidTr="00A14BD4">
              <w:tc>
                <w:tcPr>
                  <w:tcW w:w="2598" w:type="pct"/>
                </w:tcPr>
                <w:p w14:paraId="4866306C" w14:textId="77777777" w:rsidR="00A14BD4" w:rsidRDefault="00A14BD4" w:rsidP="00A14BD4">
                  <w:pPr>
                    <w:pStyle w:val="TableBodyText"/>
                    <w:jc w:val="left"/>
                  </w:pPr>
                  <w:r>
                    <w:t>Costs and fees associated with outsourcing to related/unrelated parties</w:t>
                  </w:r>
                </w:p>
              </w:tc>
              <w:tc>
                <w:tcPr>
                  <w:tcW w:w="2402" w:type="pct"/>
                </w:tcPr>
                <w:p w14:paraId="135C7601" w14:textId="47B04DD4" w:rsidR="00A14BD4" w:rsidRDefault="00A14BD4" w:rsidP="00A14BD4">
                  <w:pPr>
                    <w:pStyle w:val="TableBodyText"/>
                    <w:ind w:right="28"/>
                    <w:jc w:val="left"/>
                  </w:pPr>
                  <w:r>
                    <w:t>Construct datasets from information already disclosed by funds; seek data from regulators</w:t>
                  </w:r>
                  <w:r w:rsidR="00797879">
                    <w:t>; purchase data from private research firms</w:t>
                  </w:r>
                </w:p>
              </w:tc>
            </w:tr>
            <w:tr w:rsidR="00A14BD4" w14:paraId="07A74E16" w14:textId="77777777" w:rsidTr="00A14BD4">
              <w:tc>
                <w:tcPr>
                  <w:tcW w:w="2598" w:type="pct"/>
                </w:tcPr>
                <w:p w14:paraId="59B8AE46" w14:textId="77777777" w:rsidR="00A14BD4" w:rsidRDefault="00A14BD4" w:rsidP="00A14BD4">
                  <w:pPr>
                    <w:pStyle w:val="TableBodyText"/>
                    <w:jc w:val="left"/>
                  </w:pPr>
                  <w:r>
                    <w:t>Fund expenditure on marketing, member retention and member engagement</w:t>
                  </w:r>
                </w:p>
              </w:tc>
              <w:tc>
                <w:tcPr>
                  <w:tcW w:w="2402" w:type="pct"/>
                </w:tcPr>
                <w:p w14:paraId="1D0298A9" w14:textId="77777777" w:rsidR="00A14BD4" w:rsidRDefault="00A14BD4" w:rsidP="00A14BD4">
                  <w:pPr>
                    <w:pStyle w:val="TableBodyText"/>
                    <w:ind w:right="28"/>
                    <w:jc w:val="left"/>
                  </w:pPr>
                  <w:r>
                    <w:t>Construct datasets from information already disclosed by funds; survey funds</w:t>
                  </w:r>
                </w:p>
              </w:tc>
            </w:tr>
            <w:tr w:rsidR="00A14BD4" w14:paraId="08E0471F" w14:textId="77777777" w:rsidTr="00990744">
              <w:tc>
                <w:tcPr>
                  <w:tcW w:w="2598" w:type="pct"/>
                </w:tcPr>
                <w:p w14:paraId="386B486E" w14:textId="77777777" w:rsidR="00A14BD4" w:rsidRDefault="00A14BD4" w:rsidP="00A14BD4">
                  <w:pPr>
                    <w:pStyle w:val="TableBodyText"/>
                    <w:jc w:val="left"/>
                  </w:pPr>
                  <w:r>
                    <w:t>Availability and quality of information on fees and investment risks</w:t>
                  </w:r>
                </w:p>
              </w:tc>
              <w:tc>
                <w:tcPr>
                  <w:tcW w:w="2402" w:type="pct"/>
                </w:tcPr>
                <w:p w14:paraId="06C684C6" w14:textId="740D8D81" w:rsidR="00A14BD4" w:rsidRDefault="00A14BD4" w:rsidP="00A14BD4">
                  <w:pPr>
                    <w:pStyle w:val="TableBodyText"/>
                    <w:ind w:right="28"/>
                    <w:jc w:val="left"/>
                  </w:pPr>
                  <w:r>
                    <w:t xml:space="preserve">Draw on reviews by others; surveys </w:t>
                  </w:r>
                  <w:r w:rsidR="00431639">
                    <w:t xml:space="preserve">of </w:t>
                  </w:r>
                  <w:r>
                    <w:t xml:space="preserve">funds and members </w:t>
                  </w:r>
                </w:p>
              </w:tc>
            </w:tr>
            <w:tr w:rsidR="00A14BD4" w14:paraId="458CBB61" w14:textId="77777777" w:rsidTr="00990744">
              <w:trPr>
                <w:trHeight w:val="283"/>
              </w:trPr>
              <w:tc>
                <w:tcPr>
                  <w:tcW w:w="2598" w:type="pct"/>
                  <w:shd w:val="solid" w:color="E0EEC6" w:themeColor="accent3" w:themeTint="66" w:fill="6599D9" w:themeFill="accent2" w:themeFillTint="99"/>
                  <w:vAlign w:val="center"/>
                </w:tcPr>
                <w:p w14:paraId="1F1523AA" w14:textId="77777777" w:rsidR="00A14BD4" w:rsidRDefault="00A14BD4" w:rsidP="00990744">
                  <w:pPr>
                    <w:pStyle w:val="TableBodyText"/>
                    <w:jc w:val="left"/>
                  </w:pPr>
                  <w:r>
                    <w:rPr>
                      <w:b/>
                    </w:rPr>
                    <w:t>Contestability</w:t>
                  </w:r>
                </w:p>
              </w:tc>
              <w:tc>
                <w:tcPr>
                  <w:tcW w:w="2402" w:type="pct"/>
                  <w:shd w:val="solid" w:color="E0EEC6" w:themeColor="accent3" w:themeTint="66" w:fill="6599D9" w:themeFill="accent2" w:themeFillTint="99"/>
                  <w:vAlign w:val="center"/>
                </w:tcPr>
                <w:p w14:paraId="0905FB77" w14:textId="77777777" w:rsidR="00A14BD4" w:rsidRDefault="00A14BD4" w:rsidP="00990744">
                  <w:pPr>
                    <w:pStyle w:val="TableBodyText"/>
                    <w:ind w:right="28"/>
                    <w:jc w:val="left"/>
                  </w:pPr>
                </w:p>
              </w:tc>
            </w:tr>
            <w:tr w:rsidR="00A14BD4" w14:paraId="293C9413" w14:textId="77777777" w:rsidTr="00990744">
              <w:tc>
                <w:tcPr>
                  <w:tcW w:w="2598" w:type="pct"/>
                  <w:shd w:val="clear" w:color="auto" w:fill="FFFFFF" w:themeFill="background1"/>
                </w:tcPr>
                <w:p w14:paraId="42FD4617" w14:textId="77777777" w:rsidR="00A14BD4" w:rsidRDefault="00A14BD4" w:rsidP="00A14BD4">
                  <w:pPr>
                    <w:pStyle w:val="TableBodyText"/>
                    <w:jc w:val="left"/>
                    <w:rPr>
                      <w:b/>
                    </w:rPr>
                  </w:pPr>
                  <w:r>
                    <w:t>Height of barriers to entry arising from default rules and m</w:t>
                  </w:r>
                  <w:r w:rsidRPr="008421A5">
                    <w:t>arket impediments to funds accessing distribution channels</w:t>
                  </w:r>
                </w:p>
              </w:tc>
              <w:tc>
                <w:tcPr>
                  <w:tcW w:w="2402" w:type="pct"/>
                  <w:shd w:val="clear" w:color="auto" w:fill="FFFFFF" w:themeFill="background1"/>
                </w:tcPr>
                <w:p w14:paraId="0976AFA2" w14:textId="77777777" w:rsidR="00A14BD4" w:rsidRDefault="00A14BD4" w:rsidP="00A14BD4">
                  <w:pPr>
                    <w:pStyle w:val="TableBodyText"/>
                    <w:ind w:right="28"/>
                    <w:jc w:val="left"/>
                  </w:pPr>
                  <w:r>
                    <w:t>Survey funds; draw on reviews by others</w:t>
                  </w:r>
                </w:p>
              </w:tc>
            </w:tr>
            <w:tr w:rsidR="00DB6E0B" w14:paraId="310B543E" w14:textId="77777777" w:rsidTr="00990744">
              <w:trPr>
                <w:trHeight w:val="283"/>
              </w:trPr>
              <w:tc>
                <w:tcPr>
                  <w:tcW w:w="2598" w:type="pct"/>
                  <w:shd w:val="solid" w:color="E0EEC6" w:themeColor="accent3" w:themeTint="66" w:fill="6599D9" w:themeFill="accent2" w:themeFillTint="99"/>
                  <w:vAlign w:val="center"/>
                </w:tcPr>
                <w:p w14:paraId="4501757D" w14:textId="0A574A8A" w:rsidR="00DB6E0B" w:rsidRDefault="00DB6E0B" w:rsidP="00990744">
                  <w:pPr>
                    <w:pStyle w:val="TableBodyText"/>
                    <w:jc w:val="left"/>
                  </w:pPr>
                  <w:r>
                    <w:rPr>
                      <w:b/>
                    </w:rPr>
                    <w:t>Fund behaviour</w:t>
                  </w:r>
                </w:p>
              </w:tc>
              <w:tc>
                <w:tcPr>
                  <w:tcW w:w="2402" w:type="pct"/>
                  <w:shd w:val="solid" w:color="E0EEC6" w:themeColor="accent3" w:themeTint="66" w:fill="6599D9" w:themeFill="accent2" w:themeFillTint="99"/>
                  <w:vAlign w:val="center"/>
                </w:tcPr>
                <w:p w14:paraId="64050E88" w14:textId="245AE8BC" w:rsidR="00DB6E0B" w:rsidRDefault="00DB6E0B" w:rsidP="00990744">
                  <w:pPr>
                    <w:pStyle w:val="TableBodyText"/>
                    <w:ind w:right="28"/>
                    <w:jc w:val="left"/>
                  </w:pPr>
                </w:p>
              </w:tc>
            </w:tr>
            <w:tr w:rsidR="00DB6E0B" w14:paraId="276EAC5E" w14:textId="77777777" w:rsidTr="00990744">
              <w:tc>
                <w:tcPr>
                  <w:tcW w:w="2598" w:type="pct"/>
                  <w:shd w:val="clear" w:color="auto" w:fill="FFFFFF" w:themeFill="background1"/>
                </w:tcPr>
                <w:p w14:paraId="08BB3990" w14:textId="5BD76159" w:rsidR="00DB6E0B" w:rsidRDefault="00DB6E0B" w:rsidP="00DB6E0B">
                  <w:pPr>
                    <w:pStyle w:val="TableBodyText"/>
                    <w:jc w:val="left"/>
                    <w:rPr>
                      <w:b/>
                    </w:rPr>
                  </w:pPr>
                  <w:r>
                    <w:t xml:space="preserve">Funds’ use of member information and behavioural finance lessons in product design; development </w:t>
                  </w:r>
                  <w:r w:rsidRPr="007C178D">
                    <w:t>and take</w:t>
                  </w:r>
                  <w:r w:rsidRPr="007C178D">
                    <w:noBreakHyphen/>
                    <w:t xml:space="preserve">up of </w:t>
                  </w:r>
                  <w:r>
                    <w:t>tailored products, member services and retirement income products</w:t>
                  </w:r>
                </w:p>
              </w:tc>
              <w:tc>
                <w:tcPr>
                  <w:tcW w:w="2402" w:type="pct"/>
                  <w:shd w:val="clear" w:color="auto" w:fill="FFFFFF" w:themeFill="background1"/>
                </w:tcPr>
                <w:p w14:paraId="119BF766" w14:textId="70BE6CF2" w:rsidR="00DB6E0B" w:rsidRDefault="00DB6E0B" w:rsidP="00DB6E0B">
                  <w:pPr>
                    <w:pStyle w:val="TableBodyText"/>
                    <w:ind w:right="28"/>
                    <w:jc w:val="left"/>
                  </w:pPr>
                  <w:r>
                    <w:t>Survey funds; draw on fund disclosures</w:t>
                  </w:r>
                </w:p>
              </w:tc>
            </w:tr>
            <w:tr w:rsidR="00DB6E0B" w14:paraId="1FDA9DF7" w14:textId="77777777" w:rsidTr="00990744">
              <w:trPr>
                <w:trHeight w:val="283"/>
              </w:trPr>
              <w:tc>
                <w:tcPr>
                  <w:tcW w:w="2598" w:type="pct"/>
                  <w:shd w:val="solid" w:color="E0EEC6" w:themeColor="accent3" w:themeTint="66" w:fill="6599D9" w:themeFill="accent2" w:themeFillTint="99"/>
                  <w:vAlign w:val="center"/>
                </w:tcPr>
                <w:p w14:paraId="5091ACB9" w14:textId="20EADC62" w:rsidR="00DB6E0B" w:rsidRDefault="00DB6E0B" w:rsidP="00990744">
                  <w:pPr>
                    <w:pStyle w:val="TableBodyText"/>
                    <w:jc w:val="left"/>
                  </w:pPr>
                  <w:r>
                    <w:rPr>
                      <w:b/>
                    </w:rPr>
                    <w:t>Fund g</w:t>
                  </w:r>
                  <w:r w:rsidRPr="00DC2F5B">
                    <w:rPr>
                      <w:b/>
                    </w:rPr>
                    <w:t xml:space="preserve">overnance </w:t>
                  </w:r>
                </w:p>
              </w:tc>
              <w:tc>
                <w:tcPr>
                  <w:tcW w:w="2402" w:type="pct"/>
                  <w:shd w:val="solid" w:color="E0EEC6" w:themeColor="accent3" w:themeTint="66" w:fill="6599D9" w:themeFill="accent2" w:themeFillTint="99"/>
                  <w:vAlign w:val="center"/>
                </w:tcPr>
                <w:p w14:paraId="7F9C078D" w14:textId="3A3EF5D5" w:rsidR="00DB6E0B" w:rsidRDefault="00DB6E0B" w:rsidP="00990744">
                  <w:pPr>
                    <w:pStyle w:val="TableBodyText"/>
                    <w:ind w:right="28"/>
                    <w:jc w:val="left"/>
                  </w:pPr>
                </w:p>
              </w:tc>
            </w:tr>
            <w:tr w:rsidR="00DB6E0B" w14:paraId="195580C9" w14:textId="77777777" w:rsidTr="00E33F2B">
              <w:tc>
                <w:tcPr>
                  <w:tcW w:w="2598" w:type="pct"/>
                  <w:tcBorders>
                    <w:bottom w:val="single" w:sz="6" w:space="0" w:color="BFBFBF"/>
                  </w:tcBorders>
                  <w:shd w:val="clear" w:color="auto" w:fill="FFFFFF" w:themeFill="background1"/>
                </w:tcPr>
                <w:p w14:paraId="20B130F4" w14:textId="003A67B4" w:rsidR="00DB6E0B" w:rsidRDefault="00DB6E0B" w:rsidP="00DB6E0B">
                  <w:pPr>
                    <w:pStyle w:val="TableBodyText"/>
                    <w:jc w:val="left"/>
                    <w:rPr>
                      <w:b/>
                    </w:rPr>
                  </w:pPr>
                  <w:r>
                    <w:t>Trustee board disclosure, capability and investment governance</w:t>
                  </w:r>
                </w:p>
              </w:tc>
              <w:tc>
                <w:tcPr>
                  <w:tcW w:w="2402" w:type="pct"/>
                  <w:tcBorders>
                    <w:bottom w:val="single" w:sz="6" w:space="0" w:color="BFBFBF"/>
                  </w:tcBorders>
                  <w:shd w:val="clear" w:color="auto" w:fill="FFFFFF" w:themeFill="background1"/>
                </w:tcPr>
                <w:p w14:paraId="48AFBF95" w14:textId="5BA91F35" w:rsidR="00DB6E0B" w:rsidRDefault="00DB6E0B" w:rsidP="00DB6E0B">
                  <w:pPr>
                    <w:pStyle w:val="TableBodyText"/>
                    <w:ind w:right="28"/>
                    <w:jc w:val="left"/>
                  </w:pPr>
                  <w:r>
                    <w:t>Draw on reviews by others; survey fund CEOs; survey funds</w:t>
                  </w:r>
                </w:p>
              </w:tc>
            </w:tr>
          </w:tbl>
          <w:p w14:paraId="1409558D" w14:textId="77777777" w:rsidR="00A14BD4" w:rsidRDefault="00A14BD4" w:rsidP="00A14BD4">
            <w:pPr>
              <w:pStyle w:val="Box"/>
            </w:pPr>
          </w:p>
        </w:tc>
      </w:tr>
      <w:tr w:rsidR="00A14BD4" w14:paraId="30AC337D" w14:textId="77777777" w:rsidTr="00990744">
        <w:tc>
          <w:tcPr>
            <w:tcW w:w="5000" w:type="pct"/>
            <w:tcBorders>
              <w:top w:val="nil"/>
              <w:left w:val="nil"/>
              <w:bottom w:val="single" w:sz="6" w:space="0" w:color="78A22F"/>
              <w:right w:val="nil"/>
            </w:tcBorders>
            <w:shd w:val="clear" w:color="auto" w:fill="auto"/>
          </w:tcPr>
          <w:p w14:paraId="07D5D07E" w14:textId="77777777" w:rsidR="00A14BD4" w:rsidRDefault="00A14BD4" w:rsidP="00A14BD4">
            <w:pPr>
              <w:pStyle w:val="Box"/>
              <w:spacing w:before="0" w:line="120" w:lineRule="exact"/>
            </w:pPr>
          </w:p>
        </w:tc>
      </w:tr>
      <w:tr w:rsidR="00A14BD4" w:rsidRPr="000863A5" w14:paraId="0780A35B" w14:textId="77777777" w:rsidTr="00990744">
        <w:tc>
          <w:tcPr>
            <w:tcW w:w="5000" w:type="pct"/>
            <w:tcBorders>
              <w:top w:val="single" w:sz="6" w:space="0" w:color="78A22F"/>
              <w:left w:val="nil"/>
              <w:bottom w:val="nil"/>
              <w:right w:val="nil"/>
            </w:tcBorders>
          </w:tcPr>
          <w:p w14:paraId="59400159" w14:textId="580BA65B" w:rsidR="00A14BD4" w:rsidRPr="00626D32" w:rsidRDefault="00A14BD4" w:rsidP="00A14BD4">
            <w:pPr>
              <w:pStyle w:val="BoxSpaceBelow"/>
            </w:pPr>
          </w:p>
        </w:tc>
      </w:tr>
    </w:tbl>
    <w:p w14:paraId="6D077C60" w14:textId="51F9CA86" w:rsidR="00A14BD4" w:rsidRPr="005F10C4" w:rsidRDefault="00A14BD4" w:rsidP="00A14BD4">
      <w:pPr>
        <w:pStyle w:val="BoxSpaceAbove"/>
        <w:rPr>
          <w:b/>
          <w:vanish/>
          <w:color w:val="FF00FF"/>
          <w:sz w:val="14"/>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9073"/>
      </w:tblGrid>
      <w:tr w:rsidR="00A14BD4" w14:paraId="257B198E" w14:textId="77777777" w:rsidTr="00687440">
        <w:tc>
          <w:tcPr>
            <w:tcW w:w="5000" w:type="pct"/>
            <w:tcBorders>
              <w:top w:val="single" w:sz="6" w:space="0" w:color="78A22F"/>
              <w:left w:val="nil"/>
              <w:bottom w:val="nil"/>
              <w:right w:val="nil"/>
            </w:tcBorders>
            <w:shd w:val="clear" w:color="auto" w:fill="auto"/>
          </w:tcPr>
          <w:p w14:paraId="533B500E" w14:textId="339DC7D4" w:rsidR="00A14BD4" w:rsidRPr="00A17C51" w:rsidRDefault="00A14BD4" w:rsidP="00E33F2B">
            <w:pPr>
              <w:pStyle w:val="TableTitle"/>
              <w:rPr>
                <w:rStyle w:val="NoteLabel"/>
              </w:rPr>
            </w:pPr>
            <w:r>
              <w:rPr>
                <w:b w:val="0"/>
              </w:rPr>
              <w:t xml:space="preserve">Table </w:t>
            </w:r>
            <w:r w:rsidR="00E33F2B">
              <w:rPr>
                <w:b w:val="0"/>
              </w:rPr>
              <w:t>3</w:t>
            </w:r>
            <w:r>
              <w:tab/>
            </w:r>
            <w:r w:rsidRPr="00F92A2C">
              <w:rPr>
                <w:b w:val="0"/>
              </w:rPr>
              <w:t>(continued)</w:t>
            </w:r>
          </w:p>
        </w:tc>
      </w:tr>
      <w:tr w:rsidR="00A14BD4" w14:paraId="22932CAF" w14:textId="77777777" w:rsidTr="00687440">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4419"/>
              <w:gridCol w:w="4086"/>
            </w:tblGrid>
            <w:tr w:rsidR="00A14BD4" w14:paraId="153B0F8B" w14:textId="77777777" w:rsidTr="00990744">
              <w:trPr>
                <w:tblHeader/>
              </w:trPr>
              <w:tc>
                <w:tcPr>
                  <w:tcW w:w="2598" w:type="pct"/>
                  <w:tcBorders>
                    <w:top w:val="single" w:sz="6" w:space="0" w:color="BFBFBF"/>
                  </w:tcBorders>
                  <w:shd w:val="clear" w:color="auto" w:fill="auto"/>
                  <w:tcMar>
                    <w:top w:w="28" w:type="dxa"/>
                  </w:tcMar>
                </w:tcPr>
                <w:p w14:paraId="7E9028B6" w14:textId="77777777" w:rsidR="00A14BD4" w:rsidRDefault="00A14BD4" w:rsidP="00A14BD4">
                  <w:pPr>
                    <w:pStyle w:val="TableColumnHeading"/>
                    <w:jc w:val="left"/>
                  </w:pPr>
                  <w:r>
                    <w:t>Evidence required</w:t>
                  </w:r>
                </w:p>
              </w:tc>
              <w:tc>
                <w:tcPr>
                  <w:tcW w:w="2402" w:type="pct"/>
                  <w:tcBorders>
                    <w:top w:val="single" w:sz="6" w:space="0" w:color="BFBFBF"/>
                  </w:tcBorders>
                  <w:shd w:val="clear" w:color="auto" w:fill="auto"/>
                  <w:tcMar>
                    <w:top w:w="28" w:type="dxa"/>
                  </w:tcMar>
                </w:tcPr>
                <w:p w14:paraId="7B76BCEF" w14:textId="77777777" w:rsidR="00A14BD4" w:rsidRDefault="00A14BD4" w:rsidP="00A14BD4">
                  <w:pPr>
                    <w:pStyle w:val="TableColumnHeading"/>
                    <w:ind w:right="28"/>
                    <w:jc w:val="left"/>
                  </w:pPr>
                  <w:r>
                    <w:t>Expected evidence source</w:t>
                  </w:r>
                </w:p>
              </w:tc>
            </w:tr>
            <w:tr w:rsidR="00A14BD4" w14:paraId="4E3FFF29" w14:textId="77777777" w:rsidTr="00990744">
              <w:trPr>
                <w:trHeight w:val="283"/>
              </w:trPr>
              <w:tc>
                <w:tcPr>
                  <w:tcW w:w="2598" w:type="pct"/>
                  <w:shd w:val="solid" w:color="E0EEC6" w:themeColor="accent3" w:themeTint="66" w:fill="6599D9" w:themeFill="accent2" w:themeFillTint="99"/>
                  <w:vAlign w:val="center"/>
                </w:tcPr>
                <w:p w14:paraId="1EB7D979" w14:textId="77777777" w:rsidR="00A14BD4" w:rsidRDefault="00A14BD4" w:rsidP="00990744">
                  <w:pPr>
                    <w:pStyle w:val="TableBodyText"/>
                    <w:spacing w:before="40"/>
                    <w:jc w:val="left"/>
                  </w:pPr>
                  <w:r>
                    <w:rPr>
                      <w:b/>
                    </w:rPr>
                    <w:t>Insurance</w:t>
                  </w:r>
                </w:p>
              </w:tc>
              <w:tc>
                <w:tcPr>
                  <w:tcW w:w="2402" w:type="pct"/>
                  <w:shd w:val="solid" w:color="E0EEC6" w:themeColor="accent3" w:themeTint="66" w:fill="6599D9" w:themeFill="accent2" w:themeFillTint="99"/>
                  <w:vAlign w:val="center"/>
                </w:tcPr>
                <w:p w14:paraId="0E1ECA35" w14:textId="77777777" w:rsidR="00A14BD4" w:rsidRDefault="00A14BD4" w:rsidP="00990744">
                  <w:pPr>
                    <w:pStyle w:val="TableBodyText"/>
                    <w:spacing w:before="40"/>
                    <w:ind w:right="28"/>
                    <w:jc w:val="left"/>
                  </w:pPr>
                </w:p>
              </w:tc>
            </w:tr>
            <w:tr w:rsidR="00A14BD4" w14:paraId="65B4D0C5" w14:textId="77777777" w:rsidTr="00A14BD4">
              <w:tc>
                <w:tcPr>
                  <w:tcW w:w="2598" w:type="pct"/>
                </w:tcPr>
                <w:p w14:paraId="082CB2AC" w14:textId="77777777" w:rsidR="00A14BD4" w:rsidRDefault="00A14BD4" w:rsidP="00A14BD4">
                  <w:pPr>
                    <w:pStyle w:val="TableBodyText"/>
                    <w:jc w:val="left"/>
                  </w:pPr>
                  <w:r>
                    <w:t>Impact of insurance on retirement balances</w:t>
                  </w:r>
                </w:p>
              </w:tc>
              <w:tc>
                <w:tcPr>
                  <w:tcW w:w="2402" w:type="pct"/>
                </w:tcPr>
                <w:p w14:paraId="35CF1DBE" w14:textId="77777777" w:rsidR="00A14BD4" w:rsidRDefault="00A14BD4" w:rsidP="00A14BD4">
                  <w:pPr>
                    <w:pStyle w:val="TableBodyText"/>
                    <w:ind w:right="28"/>
                    <w:jc w:val="left"/>
                  </w:pPr>
                  <w:r>
                    <w:t>Purchase data from private research firms; survey funds</w:t>
                  </w:r>
                </w:p>
              </w:tc>
            </w:tr>
            <w:tr w:rsidR="00A14BD4" w14:paraId="3A953683" w14:textId="77777777" w:rsidTr="00A14BD4">
              <w:tc>
                <w:tcPr>
                  <w:tcW w:w="2598" w:type="pct"/>
                </w:tcPr>
                <w:p w14:paraId="64BA1218" w14:textId="77777777" w:rsidR="00A14BD4" w:rsidRDefault="00A14BD4" w:rsidP="00A14BD4">
                  <w:pPr>
                    <w:pStyle w:val="TableBodyText"/>
                    <w:jc w:val="left"/>
                  </w:pPr>
                  <w:r>
                    <w:t>Insurance cover by age band and market segment, existence and consolidation of duplicate policies,  take-up in choice products</w:t>
                  </w:r>
                </w:p>
                <w:p w14:paraId="51551E93" w14:textId="77777777" w:rsidR="00A14BD4" w:rsidRDefault="00A14BD4" w:rsidP="00A14BD4">
                  <w:pPr>
                    <w:pStyle w:val="TableBodyText"/>
                    <w:jc w:val="left"/>
                  </w:pPr>
                  <w:r>
                    <w:t>Comparison of premiums inside and outside of superannuation and historical ratio of claims to premium revenue</w:t>
                  </w:r>
                </w:p>
              </w:tc>
              <w:tc>
                <w:tcPr>
                  <w:tcW w:w="2402" w:type="pct"/>
                </w:tcPr>
                <w:p w14:paraId="4982D0E8" w14:textId="59D176C5" w:rsidR="00A14BD4" w:rsidRDefault="00A14BD4" w:rsidP="00A14BD4">
                  <w:pPr>
                    <w:pStyle w:val="TableBodyText"/>
                    <w:ind w:right="28"/>
                    <w:jc w:val="left"/>
                  </w:pPr>
                  <w:r>
                    <w:t>Purchase data from private research firms; survey members</w:t>
                  </w:r>
                  <w:r w:rsidR="00EF1B08">
                    <w:t>; seek data from regulators</w:t>
                  </w:r>
                </w:p>
              </w:tc>
            </w:tr>
            <w:tr w:rsidR="00A14BD4" w14:paraId="700F70EA" w14:textId="77777777" w:rsidTr="00A14BD4">
              <w:tc>
                <w:tcPr>
                  <w:tcW w:w="2598" w:type="pct"/>
                </w:tcPr>
                <w:p w14:paraId="09591E74" w14:textId="77777777" w:rsidR="00A14BD4" w:rsidDel="00171902" w:rsidRDefault="00A14BD4" w:rsidP="00A14BD4">
                  <w:pPr>
                    <w:pStyle w:val="TableBodyText"/>
                    <w:jc w:val="left"/>
                  </w:pPr>
                  <w:r>
                    <w:t>Effect of policy settings on social security costs to Government</w:t>
                  </w:r>
                  <w:r>
                    <w:rPr>
                      <w:rStyle w:val="NoteLabel"/>
                    </w:rPr>
                    <w:t>a</w:t>
                  </w:r>
                  <w:r>
                    <w:t xml:space="preserve"> </w:t>
                  </w:r>
                </w:p>
              </w:tc>
              <w:tc>
                <w:tcPr>
                  <w:tcW w:w="2402" w:type="pct"/>
                </w:tcPr>
                <w:p w14:paraId="3AF1F9F8" w14:textId="77777777" w:rsidR="00A14BD4" w:rsidRDefault="00A14BD4" w:rsidP="00A14BD4">
                  <w:pPr>
                    <w:pStyle w:val="TableBodyText"/>
                    <w:ind w:right="28"/>
                    <w:jc w:val="left"/>
                  </w:pPr>
                  <w:r>
                    <w:t>Purchase data from private research firms; request  data from relevant government departments and agencies</w:t>
                  </w:r>
                </w:p>
              </w:tc>
            </w:tr>
            <w:tr w:rsidR="00A14BD4" w14:paraId="1D0FAA72" w14:textId="77777777" w:rsidTr="00A14BD4">
              <w:tc>
                <w:tcPr>
                  <w:tcW w:w="2598" w:type="pct"/>
                  <w:shd w:val="clear" w:color="auto" w:fill="FFFFFF" w:themeFill="background1"/>
                </w:tcPr>
                <w:p w14:paraId="1B6BA856" w14:textId="77777777" w:rsidR="00A14BD4" w:rsidRDefault="00A14BD4" w:rsidP="00A14BD4">
                  <w:pPr>
                    <w:pStyle w:val="TableBodyText"/>
                    <w:jc w:val="left"/>
                  </w:pPr>
                  <w:r>
                    <w:t>Ease and extent of members opting out of insurance, amending cover or making claims</w:t>
                  </w:r>
                </w:p>
              </w:tc>
              <w:tc>
                <w:tcPr>
                  <w:tcW w:w="2402" w:type="pct"/>
                  <w:shd w:val="clear" w:color="auto" w:fill="FFFFFF" w:themeFill="background1"/>
                </w:tcPr>
                <w:p w14:paraId="0C25B14E" w14:textId="5A833D86" w:rsidR="00A14BD4" w:rsidRDefault="00A14BD4" w:rsidP="00F21F3E">
                  <w:pPr>
                    <w:pStyle w:val="TableBodyText"/>
                    <w:ind w:right="28"/>
                    <w:jc w:val="left"/>
                  </w:pPr>
                  <w:r>
                    <w:t>Survey members; purchase data from private research firms; draw on reviews by others</w:t>
                  </w:r>
                </w:p>
              </w:tc>
            </w:tr>
            <w:tr w:rsidR="00A14BD4" w14:paraId="0CB78E6E" w14:textId="77777777" w:rsidTr="00990744">
              <w:tc>
                <w:tcPr>
                  <w:tcW w:w="2598" w:type="pct"/>
                  <w:shd w:val="clear" w:color="auto" w:fill="FFFFFF" w:themeFill="background1"/>
                </w:tcPr>
                <w:p w14:paraId="7D0A9839" w14:textId="77777777" w:rsidR="00A14BD4" w:rsidRDefault="00A14BD4" w:rsidP="00A14BD4">
                  <w:pPr>
                    <w:pStyle w:val="TableBodyText"/>
                    <w:jc w:val="left"/>
                  </w:pPr>
                  <w:r>
                    <w:t>Funds’ use of member information to provide default insurance cover</w:t>
                  </w:r>
                </w:p>
              </w:tc>
              <w:tc>
                <w:tcPr>
                  <w:tcW w:w="2402" w:type="pct"/>
                  <w:shd w:val="clear" w:color="auto" w:fill="FFFFFF" w:themeFill="background1"/>
                </w:tcPr>
                <w:p w14:paraId="1A7EC77C" w14:textId="4491CB46" w:rsidR="00A14BD4" w:rsidRDefault="00A14BD4" w:rsidP="00F21F3E">
                  <w:pPr>
                    <w:pStyle w:val="TableBodyText"/>
                    <w:ind w:right="28"/>
                    <w:jc w:val="left"/>
                  </w:pPr>
                  <w:r>
                    <w:t>Survey funds</w:t>
                  </w:r>
                </w:p>
              </w:tc>
            </w:tr>
            <w:tr w:rsidR="00A14BD4" w:rsidRPr="00F8613E" w14:paraId="00307F82" w14:textId="77777777" w:rsidTr="00990744">
              <w:trPr>
                <w:trHeight w:val="283"/>
              </w:trPr>
              <w:tc>
                <w:tcPr>
                  <w:tcW w:w="2598" w:type="pct"/>
                  <w:shd w:val="solid" w:color="E0EEC6" w:themeColor="accent3" w:themeTint="66" w:fill="6599D9" w:themeFill="accent2" w:themeFillTint="99"/>
                  <w:vAlign w:val="center"/>
                </w:tcPr>
                <w:p w14:paraId="78DFD624" w14:textId="77777777" w:rsidR="00A14BD4" w:rsidRPr="00F92A2C" w:rsidRDefault="00A14BD4" w:rsidP="00990744">
                  <w:pPr>
                    <w:pStyle w:val="TableBodyText"/>
                    <w:jc w:val="left"/>
                    <w:rPr>
                      <w:b/>
                    </w:rPr>
                  </w:pPr>
                  <w:r w:rsidRPr="00F92A2C">
                    <w:rPr>
                      <w:b/>
                    </w:rPr>
                    <w:t xml:space="preserve">Effect of regulation </w:t>
                  </w:r>
                </w:p>
              </w:tc>
              <w:tc>
                <w:tcPr>
                  <w:tcW w:w="2402" w:type="pct"/>
                  <w:shd w:val="solid" w:color="E0EEC6" w:themeColor="accent3" w:themeTint="66" w:fill="6599D9" w:themeFill="accent2" w:themeFillTint="99"/>
                  <w:vAlign w:val="center"/>
                </w:tcPr>
                <w:p w14:paraId="3E272E85" w14:textId="77777777" w:rsidR="00A14BD4" w:rsidRPr="00F8613E" w:rsidRDefault="00A14BD4" w:rsidP="00990744">
                  <w:pPr>
                    <w:pStyle w:val="TableBodyText"/>
                    <w:jc w:val="left"/>
                  </w:pPr>
                </w:p>
              </w:tc>
            </w:tr>
            <w:tr w:rsidR="00A14BD4" w:rsidRPr="00A17C51" w14:paraId="5A1BFF19" w14:textId="77777777" w:rsidTr="00A14BD4">
              <w:tc>
                <w:tcPr>
                  <w:tcW w:w="2598" w:type="pct"/>
                  <w:shd w:val="clear" w:color="auto" w:fill="FFFFFF" w:themeFill="background1"/>
                </w:tcPr>
                <w:p w14:paraId="5F9853E0" w14:textId="77777777" w:rsidR="00A14BD4" w:rsidRDefault="00A14BD4" w:rsidP="00A14BD4">
                  <w:pPr>
                    <w:pStyle w:val="TableBodyText"/>
                    <w:jc w:val="left"/>
                  </w:pPr>
                  <w:r>
                    <w:t xml:space="preserve">For ASIC: </w:t>
                  </w:r>
                </w:p>
                <w:p w14:paraId="71D69450" w14:textId="77777777" w:rsidR="00A14BD4" w:rsidRDefault="00A14BD4" w:rsidP="00A14BD4">
                  <w:pPr>
                    <w:pStyle w:val="TableBullet"/>
                  </w:pPr>
                  <w:r>
                    <w:t xml:space="preserve">regulator </w:t>
                  </w:r>
                  <w:r w:rsidRPr="00AD6120">
                    <w:t>monitoring and enforcement activity on inducements</w:t>
                  </w:r>
                </w:p>
                <w:p w14:paraId="5004A46B" w14:textId="77777777" w:rsidR="00A14BD4" w:rsidRDefault="00A14BD4" w:rsidP="00A14BD4">
                  <w:pPr>
                    <w:pStyle w:val="TableBullet"/>
                  </w:pPr>
                  <w:r>
                    <w:t>ongoing and predicted effect of RG97 on transparency of fee disclosure</w:t>
                  </w:r>
                </w:p>
              </w:tc>
              <w:tc>
                <w:tcPr>
                  <w:tcW w:w="2402" w:type="pct"/>
                  <w:shd w:val="clear" w:color="auto" w:fill="FFFFFF" w:themeFill="background1"/>
                </w:tcPr>
                <w:p w14:paraId="5D247150" w14:textId="2F7F0A9F" w:rsidR="00A14BD4" w:rsidRDefault="00A14BD4" w:rsidP="00F21F3E">
                  <w:pPr>
                    <w:pStyle w:val="TableBodyText"/>
                    <w:jc w:val="left"/>
                  </w:pPr>
                  <w:r>
                    <w:t>Draw on reviews by others</w:t>
                  </w:r>
                </w:p>
              </w:tc>
            </w:tr>
            <w:tr w:rsidR="00A14BD4" w:rsidRPr="00F8613E" w14:paraId="232771E0" w14:textId="77777777" w:rsidTr="00990744">
              <w:tc>
                <w:tcPr>
                  <w:tcW w:w="2598" w:type="pct"/>
                  <w:shd w:val="clear" w:color="auto" w:fill="FFFFFF" w:themeFill="background1"/>
                </w:tcPr>
                <w:p w14:paraId="7F1657A4" w14:textId="77777777" w:rsidR="00A14BD4" w:rsidRPr="00AD6120" w:rsidRDefault="00A14BD4" w:rsidP="00A14BD4">
                  <w:pPr>
                    <w:pStyle w:val="TableBodyText"/>
                    <w:jc w:val="left"/>
                  </w:pPr>
                  <w:r>
                    <w:t>For APRA:</w:t>
                  </w:r>
                </w:p>
                <w:p w14:paraId="172D2E8F" w14:textId="77777777" w:rsidR="00A14BD4" w:rsidRPr="00A17C51" w:rsidRDefault="00A14BD4" w:rsidP="00A14BD4">
                  <w:pPr>
                    <w:pStyle w:val="TableBullet"/>
                  </w:pPr>
                  <w:r>
                    <w:t>effect of current successor fund transfer rules and likely effect of proposed guidelines on fund mergers</w:t>
                  </w:r>
                </w:p>
                <w:p w14:paraId="3B5FE0B7" w14:textId="77777777" w:rsidR="00A14BD4" w:rsidRPr="00A17C51" w:rsidRDefault="00A14BD4" w:rsidP="00A14BD4">
                  <w:pPr>
                    <w:pStyle w:val="TableBullet"/>
                  </w:pPr>
                  <w:r>
                    <w:t>regulator activity in ensuring that trustees discharge their obligations under the scale test</w:t>
                  </w:r>
                </w:p>
                <w:p w14:paraId="683CB23B" w14:textId="77777777" w:rsidR="00A14BD4" w:rsidRDefault="00A14BD4" w:rsidP="00A14BD4">
                  <w:pPr>
                    <w:pStyle w:val="TableBullet"/>
                  </w:pPr>
                  <w:r>
                    <w:t>regulator activity in ensuring that trustees discharge their obligations on bundled insurance</w:t>
                  </w:r>
                </w:p>
              </w:tc>
              <w:tc>
                <w:tcPr>
                  <w:tcW w:w="2402" w:type="pct"/>
                  <w:shd w:val="clear" w:color="auto" w:fill="FFFFFF" w:themeFill="background1"/>
                </w:tcPr>
                <w:p w14:paraId="7B8E74E5" w14:textId="283BBB80" w:rsidR="00A14BD4" w:rsidRDefault="00A14BD4" w:rsidP="00F21F3E">
                  <w:pPr>
                    <w:pStyle w:val="TableBodyText"/>
                    <w:jc w:val="left"/>
                  </w:pPr>
                  <w:r>
                    <w:t>Draw on reviews by others</w:t>
                  </w:r>
                </w:p>
              </w:tc>
            </w:tr>
            <w:tr w:rsidR="00A14BD4" w:rsidRPr="00F8613E" w14:paraId="3CE5B50B" w14:textId="77777777" w:rsidTr="00990744">
              <w:trPr>
                <w:trHeight w:val="283"/>
              </w:trPr>
              <w:tc>
                <w:tcPr>
                  <w:tcW w:w="2598" w:type="pct"/>
                  <w:shd w:val="solid" w:color="E0EEC6" w:themeColor="accent3" w:themeTint="66" w:fill="6599D9" w:themeFill="accent2" w:themeFillTint="99"/>
                  <w:vAlign w:val="center"/>
                </w:tcPr>
                <w:p w14:paraId="3B485B71" w14:textId="77777777" w:rsidR="00A14BD4" w:rsidRPr="00F92A2C" w:rsidRDefault="00A14BD4" w:rsidP="00990744">
                  <w:pPr>
                    <w:pStyle w:val="TableBodyText"/>
                    <w:jc w:val="left"/>
                    <w:rPr>
                      <w:b/>
                    </w:rPr>
                  </w:pPr>
                  <w:r w:rsidRPr="00F92A2C">
                    <w:rPr>
                      <w:b/>
                    </w:rPr>
                    <w:t>Member behaviour and knowledge</w:t>
                  </w:r>
                </w:p>
              </w:tc>
              <w:tc>
                <w:tcPr>
                  <w:tcW w:w="2402" w:type="pct"/>
                  <w:shd w:val="solid" w:color="E0EEC6" w:themeColor="accent3" w:themeTint="66" w:fill="6599D9" w:themeFill="accent2" w:themeFillTint="99"/>
                  <w:vAlign w:val="center"/>
                </w:tcPr>
                <w:p w14:paraId="61E8D950" w14:textId="77777777" w:rsidR="00A14BD4" w:rsidRPr="00F8613E" w:rsidRDefault="00A14BD4" w:rsidP="00990744">
                  <w:pPr>
                    <w:pStyle w:val="TableBodyText"/>
                    <w:jc w:val="left"/>
                  </w:pPr>
                </w:p>
              </w:tc>
            </w:tr>
            <w:tr w:rsidR="00A14BD4" w14:paraId="0AB947DA" w14:textId="77777777" w:rsidTr="00A14BD4">
              <w:tc>
                <w:tcPr>
                  <w:tcW w:w="2598" w:type="pct"/>
                  <w:shd w:val="clear" w:color="auto" w:fill="FFFFFF" w:themeFill="background1"/>
                </w:tcPr>
                <w:p w14:paraId="535F3ED0" w14:textId="77777777" w:rsidR="00A14BD4" w:rsidRDefault="00A14BD4">
                  <w:pPr>
                    <w:pStyle w:val="TableBodyText"/>
                    <w:jc w:val="left"/>
                  </w:pPr>
                  <w:r>
                    <w:t>Member account activity and account monitoring</w:t>
                  </w:r>
                </w:p>
              </w:tc>
              <w:tc>
                <w:tcPr>
                  <w:tcW w:w="2402" w:type="pct"/>
                  <w:shd w:val="clear" w:color="auto" w:fill="FFFFFF" w:themeFill="background1"/>
                </w:tcPr>
                <w:p w14:paraId="07F986E9" w14:textId="4FD7276A" w:rsidR="00A14BD4" w:rsidRDefault="00F21F3E" w:rsidP="00F21F3E">
                  <w:pPr>
                    <w:pStyle w:val="TableBodyText"/>
                    <w:jc w:val="left"/>
                  </w:pPr>
                  <w:r>
                    <w:t xml:space="preserve">Survey </w:t>
                  </w:r>
                  <w:r w:rsidR="00A14BD4">
                    <w:t>funds and members; draw on fund disclosures</w:t>
                  </w:r>
                </w:p>
              </w:tc>
            </w:tr>
            <w:tr w:rsidR="00A14BD4" w14:paraId="44D314A6" w14:textId="77777777" w:rsidTr="00A14BD4">
              <w:tc>
                <w:tcPr>
                  <w:tcW w:w="2598" w:type="pct"/>
                </w:tcPr>
                <w:p w14:paraId="01063A4F" w14:textId="77777777" w:rsidR="00A14BD4" w:rsidRDefault="00A14BD4" w:rsidP="00A14BD4">
                  <w:pPr>
                    <w:pStyle w:val="TableBodyText"/>
                    <w:jc w:val="left"/>
                  </w:pPr>
                  <w:r>
                    <w:t>Default and switching rates for funds, accumulation products and insurance</w:t>
                  </w:r>
                </w:p>
              </w:tc>
              <w:tc>
                <w:tcPr>
                  <w:tcW w:w="2402" w:type="pct"/>
                </w:tcPr>
                <w:p w14:paraId="66F7A072" w14:textId="1DAC5FB2" w:rsidR="00A14BD4" w:rsidRDefault="00A14BD4" w:rsidP="00F21F3E">
                  <w:pPr>
                    <w:pStyle w:val="TableBodyText"/>
                    <w:jc w:val="left"/>
                  </w:pPr>
                  <w:r>
                    <w:t>Seek data from regulators; survey members; purchase data from private research firms</w:t>
                  </w:r>
                </w:p>
              </w:tc>
            </w:tr>
            <w:tr w:rsidR="00A14BD4" w14:paraId="065627E5" w14:textId="77777777" w:rsidTr="00A14BD4">
              <w:tc>
                <w:tcPr>
                  <w:tcW w:w="2598" w:type="pct"/>
                  <w:tcBorders>
                    <w:bottom w:val="single" w:sz="6" w:space="0" w:color="BFBFBF"/>
                  </w:tcBorders>
                  <w:shd w:val="clear" w:color="auto" w:fill="auto"/>
                </w:tcPr>
                <w:p w14:paraId="70CC046F" w14:textId="77777777" w:rsidR="00A14BD4" w:rsidRDefault="00A14BD4" w:rsidP="00A14BD4">
                  <w:pPr>
                    <w:pStyle w:val="TableBodyText"/>
                    <w:jc w:val="left"/>
                  </w:pPr>
                  <w:r>
                    <w:t>Member knowledge and understanding, including superannuation and insurance literacy</w:t>
                  </w:r>
                </w:p>
              </w:tc>
              <w:tc>
                <w:tcPr>
                  <w:tcW w:w="2402" w:type="pct"/>
                  <w:tcBorders>
                    <w:bottom w:val="single" w:sz="6" w:space="0" w:color="BFBFBF"/>
                  </w:tcBorders>
                  <w:shd w:val="clear" w:color="auto" w:fill="auto"/>
                </w:tcPr>
                <w:p w14:paraId="5DD31840" w14:textId="77777777" w:rsidR="00A14BD4" w:rsidRDefault="00A14BD4" w:rsidP="00A14BD4">
                  <w:pPr>
                    <w:pStyle w:val="TableBodyText"/>
                    <w:jc w:val="left"/>
                  </w:pPr>
                  <w:r>
                    <w:t>Survey members</w:t>
                  </w:r>
                </w:p>
              </w:tc>
            </w:tr>
          </w:tbl>
          <w:p w14:paraId="32452B19" w14:textId="77777777" w:rsidR="00A14BD4" w:rsidRDefault="00A14BD4" w:rsidP="00A14BD4">
            <w:pPr>
              <w:pStyle w:val="Box"/>
            </w:pPr>
          </w:p>
        </w:tc>
      </w:tr>
      <w:tr w:rsidR="00A14BD4" w14:paraId="6386A592" w14:textId="77777777" w:rsidTr="00687440">
        <w:tc>
          <w:tcPr>
            <w:tcW w:w="5000" w:type="pct"/>
            <w:tcBorders>
              <w:top w:val="nil"/>
              <w:left w:val="nil"/>
              <w:bottom w:val="nil"/>
              <w:right w:val="nil"/>
            </w:tcBorders>
            <w:shd w:val="clear" w:color="auto" w:fill="auto"/>
          </w:tcPr>
          <w:p w14:paraId="0325FDCF" w14:textId="199CC5F4" w:rsidR="00A14BD4" w:rsidRDefault="00A14BD4" w:rsidP="00A14BD4">
            <w:pPr>
              <w:pStyle w:val="Note"/>
              <w:rPr>
                <w:i/>
              </w:rPr>
            </w:pPr>
            <w:r w:rsidRPr="008E77FE">
              <w:rPr>
                <w:rStyle w:val="NoteLabel"/>
              </w:rPr>
              <w:t>a</w:t>
            </w:r>
            <w:r>
              <w:t xml:space="preserve"> This question is not part of the stage 1 assessment framework and has been added to reflect the </w:t>
            </w:r>
            <w:r w:rsidR="007C6886">
              <w:t>T</w:t>
            </w:r>
            <w:r>
              <w:t xml:space="preserve">erms of </w:t>
            </w:r>
            <w:r w:rsidR="007C6886">
              <w:t>R</w:t>
            </w:r>
            <w:r>
              <w:t>eference</w:t>
            </w:r>
            <w:r w:rsidR="007C6886">
              <w:t xml:space="preserve"> for the stage 3 Inquiry</w:t>
            </w:r>
            <w:r>
              <w:t>.</w:t>
            </w:r>
          </w:p>
        </w:tc>
      </w:tr>
      <w:tr w:rsidR="00A14BD4" w14:paraId="4746D006" w14:textId="77777777" w:rsidTr="00687440">
        <w:tc>
          <w:tcPr>
            <w:tcW w:w="5000" w:type="pct"/>
            <w:tcBorders>
              <w:top w:val="nil"/>
              <w:left w:val="nil"/>
              <w:bottom w:val="single" w:sz="6" w:space="0" w:color="78A22F"/>
              <w:right w:val="nil"/>
            </w:tcBorders>
            <w:shd w:val="clear" w:color="auto" w:fill="auto"/>
          </w:tcPr>
          <w:p w14:paraId="3F8AB4CC" w14:textId="77777777" w:rsidR="00A14BD4" w:rsidRDefault="00A14BD4" w:rsidP="00A14BD4">
            <w:pPr>
              <w:pStyle w:val="Box"/>
              <w:spacing w:before="0" w:line="120" w:lineRule="exact"/>
            </w:pPr>
          </w:p>
        </w:tc>
      </w:tr>
      <w:tr w:rsidR="00A14BD4" w:rsidRPr="000863A5" w14:paraId="6787A38E" w14:textId="77777777" w:rsidTr="00687440">
        <w:tc>
          <w:tcPr>
            <w:tcW w:w="5000" w:type="pct"/>
            <w:tcBorders>
              <w:top w:val="single" w:sz="6" w:space="0" w:color="78A22F"/>
              <w:left w:val="nil"/>
              <w:bottom w:val="nil"/>
              <w:right w:val="nil"/>
            </w:tcBorders>
          </w:tcPr>
          <w:p w14:paraId="02A74ED3" w14:textId="76DB4BDF" w:rsidR="00A14BD4" w:rsidRPr="00626D32" w:rsidRDefault="00A14BD4" w:rsidP="00A14BD4">
            <w:pPr>
              <w:pStyle w:val="BoxSpaceBelow"/>
            </w:pPr>
          </w:p>
        </w:tc>
      </w:tr>
    </w:tbl>
    <w:p w14:paraId="6729401A" w14:textId="77777777" w:rsidR="00A14BD4" w:rsidRDefault="00A14BD4" w:rsidP="00F92A2C">
      <w:pPr>
        <w:pStyle w:val="ListBullet"/>
        <w:numPr>
          <w:ilvl w:val="0"/>
          <w:numId w:val="0"/>
        </w:numPr>
        <w:ind w:left="340"/>
      </w:pPr>
    </w:p>
    <w:p w14:paraId="28826870" w14:textId="77777777" w:rsidR="008908FB" w:rsidRDefault="008908FB" w:rsidP="00120072">
      <w:pPr>
        <w:pStyle w:val="BodyText"/>
        <w:sectPr w:rsidR="008908FB" w:rsidSect="0025238E">
          <w:headerReference w:type="even" r:id="rId35"/>
          <w:headerReference w:type="default" r:id="rId36"/>
          <w:footerReference w:type="even" r:id="rId37"/>
          <w:footerReference w:type="default" r:id="rId38"/>
          <w:pgSz w:w="11907" w:h="16840" w:code="9"/>
          <w:pgMar w:top="1985" w:right="1304" w:bottom="1247" w:left="1814" w:header="1701" w:footer="397" w:gutter="0"/>
          <w:pgNumType w:chapSep="period"/>
          <w:cols w:space="720"/>
        </w:sectPr>
      </w:pPr>
    </w:p>
    <w:p w14:paraId="253E30F5" w14:textId="68308F7F" w:rsidR="00391500" w:rsidRDefault="004C7E4B" w:rsidP="001C5DCF">
      <w:pPr>
        <w:pStyle w:val="Heading2"/>
        <w:spacing w:before="520"/>
      </w:pPr>
      <w:bookmarkStart w:id="16" w:name="_Toc487031380"/>
      <w:bookmarkStart w:id="17" w:name="_Toc487035880"/>
      <w:r>
        <w:lastRenderedPageBreak/>
        <w:t>A</w:t>
      </w:r>
      <w:r w:rsidR="00384CC9">
        <w:t>ttachment</w:t>
      </w:r>
      <w:r w:rsidR="009501B0">
        <w:t xml:space="preserve"> </w:t>
      </w:r>
      <w:r w:rsidR="00F21F3E">
        <w:t>B</w:t>
      </w:r>
      <w:r w:rsidR="009501B0">
        <w:t>: The Commission’s assessment framework</w:t>
      </w:r>
      <w:r w:rsidR="00687440" w:rsidRPr="0082116B">
        <w:rPr>
          <w:rStyle w:val="FootnoteReference"/>
          <w:b w:val="0"/>
        </w:rPr>
        <w:footnoteReference w:id="6"/>
      </w:r>
      <w:bookmarkEnd w:id="16"/>
      <w:bookmarkEnd w:id="17"/>
    </w:p>
    <w:p w14:paraId="4B4241B8" w14:textId="77777777" w:rsidR="009501B0" w:rsidRDefault="009501B0" w:rsidP="001C5DCF">
      <w:pPr>
        <w:pStyle w:val="BoxSpaceAbove"/>
        <w:spacing w:before="24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9501B0" w14:paraId="7A13E268" w14:textId="77777777" w:rsidTr="00687440">
        <w:tc>
          <w:tcPr>
            <w:tcW w:w="5000" w:type="pct"/>
            <w:tcBorders>
              <w:top w:val="single" w:sz="6" w:space="0" w:color="78A22F"/>
              <w:left w:val="nil"/>
              <w:bottom w:val="nil"/>
              <w:right w:val="nil"/>
            </w:tcBorders>
            <w:shd w:val="clear" w:color="auto" w:fill="auto"/>
          </w:tcPr>
          <w:p w14:paraId="47E011B3" w14:textId="77777777" w:rsidR="009501B0" w:rsidRPr="00784A05" w:rsidRDefault="009501B0" w:rsidP="001C5DCF">
            <w:pPr>
              <w:pStyle w:val="TableTitle"/>
            </w:pPr>
            <w:r>
              <w:t>Competition: system</w:t>
            </w:r>
            <w:r>
              <w:noBreakHyphen/>
              <w:t>level objective, assessment criteria and indicators</w:t>
            </w:r>
          </w:p>
        </w:tc>
      </w:tr>
      <w:tr w:rsidR="009501B0" w14:paraId="2698F2A0" w14:textId="77777777" w:rsidTr="00687440">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843"/>
              <w:gridCol w:w="7372"/>
              <w:gridCol w:w="1844"/>
              <w:gridCol w:w="2378"/>
            </w:tblGrid>
            <w:tr w:rsidR="009501B0" w14:paraId="26297ADD" w14:textId="77777777" w:rsidTr="001C5DCF">
              <w:tc>
                <w:tcPr>
                  <w:tcW w:w="686" w:type="pct"/>
                  <w:tcBorders>
                    <w:top w:val="single" w:sz="6" w:space="0" w:color="BFBFBF"/>
                  </w:tcBorders>
                  <w:shd w:val="clear" w:color="auto" w:fill="auto"/>
                  <w:tcMar>
                    <w:top w:w="28" w:type="dxa"/>
                  </w:tcMar>
                </w:tcPr>
                <w:p w14:paraId="67E19C93" w14:textId="77777777" w:rsidR="009501B0" w:rsidRDefault="009501B0" w:rsidP="00152C9B">
                  <w:pPr>
                    <w:pStyle w:val="TableColumnHeading"/>
                    <w:jc w:val="left"/>
                  </w:pPr>
                  <w:r>
                    <w:t>Assessment criteria</w:t>
                  </w:r>
                </w:p>
              </w:tc>
              <w:tc>
                <w:tcPr>
                  <w:tcW w:w="2743" w:type="pct"/>
                  <w:tcBorders>
                    <w:top w:val="single" w:sz="6" w:space="0" w:color="BFBFBF"/>
                  </w:tcBorders>
                  <w:shd w:val="clear" w:color="auto" w:fill="auto"/>
                  <w:tcMar>
                    <w:top w:w="28" w:type="dxa"/>
                  </w:tcMar>
                </w:tcPr>
                <w:p w14:paraId="5540A9B7" w14:textId="77777777" w:rsidR="009501B0" w:rsidRDefault="009501B0" w:rsidP="00152C9B">
                  <w:pPr>
                    <w:pStyle w:val="TableColumnHeading"/>
                    <w:ind w:right="28"/>
                    <w:jc w:val="left"/>
                  </w:pPr>
                  <w:r>
                    <w:t>Indicators</w:t>
                  </w:r>
                </w:p>
              </w:tc>
              <w:tc>
                <w:tcPr>
                  <w:tcW w:w="686" w:type="pct"/>
                  <w:tcBorders>
                    <w:top w:val="single" w:sz="6" w:space="0" w:color="BFBFBF"/>
                  </w:tcBorders>
                </w:tcPr>
                <w:p w14:paraId="2CBBA40E" w14:textId="77777777" w:rsidR="009501B0" w:rsidRDefault="009501B0" w:rsidP="00152C9B">
                  <w:pPr>
                    <w:pStyle w:val="TableColumnHeading"/>
                    <w:ind w:right="28"/>
                    <w:jc w:val="left"/>
                  </w:pPr>
                  <w:r>
                    <w:t>Assessment methods</w:t>
                  </w:r>
                </w:p>
              </w:tc>
              <w:tc>
                <w:tcPr>
                  <w:tcW w:w="885" w:type="pct"/>
                  <w:tcBorders>
                    <w:top w:val="single" w:sz="6" w:space="0" w:color="BFBFBF"/>
                  </w:tcBorders>
                </w:tcPr>
                <w:p w14:paraId="35916702" w14:textId="77777777" w:rsidR="009501B0" w:rsidRDefault="009501B0" w:rsidP="00152C9B">
                  <w:pPr>
                    <w:pStyle w:val="TableColumnHeading"/>
                    <w:ind w:right="28"/>
                    <w:jc w:val="left"/>
                  </w:pPr>
                  <w:r>
                    <w:t>Expected data sources</w:t>
                  </w:r>
                </w:p>
              </w:tc>
            </w:tr>
            <w:tr w:rsidR="009501B0" w:rsidRPr="00533BD5" w14:paraId="3C169446" w14:textId="77777777" w:rsidTr="00437F99">
              <w:tc>
                <w:tcPr>
                  <w:tcW w:w="5000" w:type="pct"/>
                  <w:gridSpan w:val="4"/>
                  <w:shd w:val="clear" w:color="auto" w:fill="E0EEC6" w:themeFill="accent3" w:themeFillTint="66"/>
                </w:tcPr>
                <w:p w14:paraId="205B4089" w14:textId="77777777" w:rsidR="009501B0" w:rsidRPr="00533BD5" w:rsidRDefault="009501B0" w:rsidP="00152C9B">
                  <w:pPr>
                    <w:pStyle w:val="SuperObjective"/>
                  </w:pPr>
                  <w:r w:rsidRPr="00DF2714">
                    <w:rPr>
                      <w:i/>
                    </w:rPr>
                    <w:t>Objective</w:t>
                  </w:r>
                  <w:r>
                    <w:rPr>
                      <w:i/>
                    </w:rPr>
                    <w:t xml:space="preserve"> 5</w:t>
                  </w:r>
                  <w:r w:rsidRPr="00533BD5">
                    <w:rPr>
                      <w:i/>
                    </w:rPr>
                    <w:t>:</w:t>
                  </w:r>
                  <w:r w:rsidRPr="00533BD5">
                    <w:t xml:space="preserve"> Competition </w:t>
                  </w:r>
                  <w:r>
                    <w:t xml:space="preserve">in the superannuation system should </w:t>
                  </w:r>
                  <w:r w:rsidRPr="00533BD5">
                    <w:t>drive efficient outcomes for members through:</w:t>
                  </w:r>
                </w:p>
                <w:p w14:paraId="67C78FD9" w14:textId="77777777" w:rsidR="009501B0" w:rsidRDefault="009501B0" w:rsidP="00152C9B">
                  <w:pPr>
                    <w:pStyle w:val="SuperObjectiveBullet"/>
                  </w:pPr>
                  <w:r w:rsidRPr="00533BD5">
                    <w:t>a market structure and other supply and demand</w:t>
                  </w:r>
                  <w:r>
                    <w:noBreakHyphen/>
                  </w:r>
                  <w:r w:rsidRPr="00533BD5">
                    <w:t xml:space="preserve">side conditions that facilitate </w:t>
                  </w:r>
                  <w:r>
                    <w:t>rivalry and contestability</w:t>
                  </w:r>
                </w:p>
                <w:p w14:paraId="6DE66DFE" w14:textId="77777777" w:rsidR="009501B0" w:rsidRPr="00900CED" w:rsidRDefault="009501B0" w:rsidP="00152C9B">
                  <w:pPr>
                    <w:pStyle w:val="SuperObjectiveBullet"/>
                  </w:pPr>
                  <w:r w:rsidRPr="00533BD5">
                    <w:t>suppliers competing on aspects of value to members</w:t>
                  </w:r>
                </w:p>
              </w:tc>
            </w:tr>
            <w:tr w:rsidR="009501B0" w14:paraId="0781ECAF" w14:textId="77777777" w:rsidTr="001C5DCF">
              <w:tc>
                <w:tcPr>
                  <w:tcW w:w="686" w:type="pct"/>
                  <w:tcBorders>
                    <w:bottom w:val="single" w:sz="6" w:space="0" w:color="BFBFBF"/>
                  </w:tcBorders>
                </w:tcPr>
                <w:p w14:paraId="49430397" w14:textId="77777777" w:rsidR="009501B0" w:rsidRDefault="009501B0" w:rsidP="00152C9B">
                  <w:pPr>
                    <w:pStyle w:val="TableBodyText"/>
                    <w:spacing w:before="40"/>
                    <w:jc w:val="left"/>
                  </w:pPr>
                  <w:r>
                    <w:t>C1. Is there informed member engagement?</w:t>
                  </w:r>
                </w:p>
              </w:tc>
              <w:tc>
                <w:tcPr>
                  <w:tcW w:w="2743" w:type="pct"/>
                  <w:tcBorders>
                    <w:bottom w:val="single" w:sz="6" w:space="0" w:color="BFBFBF"/>
                  </w:tcBorders>
                </w:tcPr>
                <w:p w14:paraId="2AEDA09B" w14:textId="77777777" w:rsidR="009501B0" w:rsidRDefault="009501B0" w:rsidP="00152C9B">
                  <w:pPr>
                    <w:pStyle w:val="TableBullet"/>
                    <w:spacing w:before="40"/>
                  </w:pPr>
                  <w:r w:rsidRPr="008C11C9">
                    <w:t xml:space="preserve">Financial literacy </w:t>
                  </w:r>
                  <w:r>
                    <w:t>of members</w:t>
                  </w:r>
                  <w:r w:rsidRPr="008C11C9">
                    <w:t xml:space="preserve"> compared to an ‘adequate’ standard (input)</w:t>
                  </w:r>
                </w:p>
                <w:p w14:paraId="79373199" w14:textId="77777777" w:rsidR="009501B0" w:rsidRDefault="009501B0" w:rsidP="00152C9B">
                  <w:pPr>
                    <w:pStyle w:val="TableBullet"/>
                  </w:pPr>
                  <w:r w:rsidRPr="000579C2">
                    <w:t>Member superannuation</w:t>
                  </w:r>
                  <w:r>
                    <w:t xml:space="preserve"> and insurance</w:t>
                  </w:r>
                  <w:r w:rsidRPr="000579C2">
                    <w:t xml:space="preserve"> literacy</w:t>
                  </w:r>
                  <w:r w:rsidRPr="00B15864">
                    <w:rPr>
                      <w:vertAlign w:val="superscript"/>
                    </w:rPr>
                    <w:t>#</w:t>
                  </w:r>
                  <w:r w:rsidRPr="000579C2">
                    <w:t>* (input)</w:t>
                  </w:r>
                </w:p>
                <w:p w14:paraId="5576ABDF" w14:textId="77777777" w:rsidR="009501B0" w:rsidRPr="00DE4D17" w:rsidRDefault="009501B0" w:rsidP="00152C9B">
                  <w:pPr>
                    <w:pStyle w:val="TableBullet"/>
                    <w:spacing w:before="40"/>
                    <w:rPr>
                      <w:i/>
                      <w:szCs w:val="24"/>
                    </w:rPr>
                  </w:pPr>
                  <w:r w:rsidRPr="008C11C9">
                    <w:t xml:space="preserve">Member </w:t>
                  </w:r>
                  <w:r>
                    <w:t xml:space="preserve">active </w:t>
                  </w:r>
                  <w:r w:rsidRPr="008C11C9">
                    <w:t>account activity</w:t>
                  </w:r>
                  <w:r>
                    <w:t>:</w:t>
                  </w:r>
                </w:p>
                <w:p w14:paraId="44AC7C6D" w14:textId="77777777" w:rsidR="009501B0" w:rsidRPr="0004764B" w:rsidRDefault="009501B0" w:rsidP="00152C9B">
                  <w:pPr>
                    <w:pStyle w:val="TableBullet-level2"/>
                    <w:spacing w:before="40"/>
                    <w:rPr>
                      <w:i/>
                      <w:szCs w:val="24"/>
                    </w:rPr>
                  </w:pPr>
                  <w:r>
                    <w:t>voluntary contributions</w:t>
                  </w:r>
                </w:p>
                <w:p w14:paraId="282E4973" w14:textId="77777777" w:rsidR="009501B0" w:rsidRPr="0004764B" w:rsidRDefault="009501B0" w:rsidP="00152C9B">
                  <w:pPr>
                    <w:pStyle w:val="TableBullet-level2"/>
                    <w:spacing w:before="40"/>
                    <w:rPr>
                      <w:i/>
                      <w:szCs w:val="24"/>
                    </w:rPr>
                  </w:pPr>
                  <w:r>
                    <w:t>uptake of intrafund advice</w:t>
                  </w:r>
                </w:p>
                <w:p w14:paraId="12C4912E" w14:textId="77777777" w:rsidR="009501B0" w:rsidRDefault="009501B0" w:rsidP="00152C9B">
                  <w:pPr>
                    <w:pStyle w:val="TableBullet-level2"/>
                    <w:spacing w:before="40"/>
                    <w:rPr>
                      <w:i/>
                    </w:rPr>
                  </w:pPr>
                  <w:r>
                    <w:t>changes to investment/insurance options*</w:t>
                  </w:r>
                  <w:r w:rsidRPr="008C11C9">
                    <w:t xml:space="preserve"> (input</w:t>
                  </w:r>
                  <w:r>
                    <w:t>, behaviour</w:t>
                  </w:r>
                  <w:r w:rsidRPr="008C11C9">
                    <w:t>)</w:t>
                  </w:r>
                </w:p>
                <w:p w14:paraId="1A02415E" w14:textId="77777777" w:rsidR="009501B0" w:rsidRDefault="009501B0" w:rsidP="00152C9B">
                  <w:pPr>
                    <w:pStyle w:val="TableBullet"/>
                    <w:spacing w:before="40"/>
                  </w:pPr>
                  <w:r>
                    <w:t>Member account monitoring activity:</w:t>
                  </w:r>
                </w:p>
                <w:p w14:paraId="63927AB4" w14:textId="77777777" w:rsidR="009501B0" w:rsidRDefault="009501B0" w:rsidP="00152C9B">
                  <w:pPr>
                    <w:pStyle w:val="TableBullet-level2"/>
                    <w:spacing w:before="40"/>
                  </w:pPr>
                  <w:r>
                    <w:t xml:space="preserve">use of fund websites </w:t>
                  </w:r>
                </w:p>
                <w:p w14:paraId="057A3724" w14:textId="77777777" w:rsidR="009501B0" w:rsidRDefault="009501B0" w:rsidP="00152C9B">
                  <w:pPr>
                    <w:pStyle w:val="TableBullet-level2"/>
                    <w:spacing w:before="40"/>
                  </w:pPr>
                  <w:r>
                    <w:t>use of online calculators</w:t>
                  </w:r>
                </w:p>
                <w:p w14:paraId="3CA21B32" w14:textId="77777777" w:rsidR="009501B0" w:rsidRPr="008C11C9" w:rsidRDefault="009501B0" w:rsidP="00152C9B">
                  <w:pPr>
                    <w:pStyle w:val="TableBullet-level2"/>
                  </w:pPr>
                  <w:r>
                    <w:t>call centre enquiries* (input, behaviour)</w:t>
                  </w:r>
                </w:p>
                <w:p w14:paraId="31FA3311" w14:textId="77777777" w:rsidR="009501B0" w:rsidRPr="0042423A" w:rsidRDefault="009501B0" w:rsidP="00152C9B">
                  <w:pPr>
                    <w:pStyle w:val="TableBullet"/>
                  </w:pPr>
                  <w:r w:rsidRPr="0042423A">
                    <w:t>Use of advisers by members and/or member intermediaries (input)</w:t>
                  </w:r>
                </w:p>
                <w:p w14:paraId="6685EE36" w14:textId="77777777" w:rsidR="009501B0" w:rsidRDefault="009501B0" w:rsidP="00152C9B">
                  <w:pPr>
                    <w:pStyle w:val="TableBullet"/>
                    <w:spacing w:before="40"/>
                  </w:pPr>
                  <w:r w:rsidRPr="0042423A">
                    <w:t>Fund expenditure on member education and engagement as a proportion of total marketing expenditure</w:t>
                  </w:r>
                  <w:r w:rsidRPr="006B0F23">
                    <w:t>* (input)</w:t>
                  </w:r>
                </w:p>
                <w:p w14:paraId="3B10820E" w14:textId="77777777" w:rsidR="009501B0" w:rsidRPr="008C11C9" w:rsidRDefault="009501B0" w:rsidP="00152C9B">
                  <w:pPr>
                    <w:pStyle w:val="TableBullet"/>
                  </w:pPr>
                  <w:r w:rsidRPr="00C41B74">
                    <w:t>Availability of meaningful and comparable information on fees, product features (including insurance) and risks</w:t>
                  </w:r>
                  <w:r w:rsidRPr="00B15864">
                    <w:rPr>
                      <w:vertAlign w:val="superscript"/>
                    </w:rPr>
                    <w:t>#</w:t>
                  </w:r>
                  <w:r w:rsidRPr="008C11C9">
                    <w:t>* (input)</w:t>
                  </w:r>
                </w:p>
                <w:p w14:paraId="035A3745" w14:textId="77777777" w:rsidR="009501B0" w:rsidRPr="0046631B" w:rsidRDefault="009501B0" w:rsidP="00152C9B">
                  <w:pPr>
                    <w:pStyle w:val="TableBullet"/>
                    <w:rPr>
                      <w:rFonts w:ascii="Times New Roman" w:hAnsi="Times New Roman"/>
                      <w:sz w:val="24"/>
                      <w:szCs w:val="24"/>
                    </w:rPr>
                  </w:pPr>
                  <w:r w:rsidRPr="000579C2">
                    <w:t>Fund and product switching costs for members (administrative, search and learning costs)</w:t>
                  </w:r>
                  <w:r>
                    <w:t xml:space="preserve"> </w:t>
                  </w:r>
                  <w:r w:rsidRPr="00DD211A">
                    <w:t xml:space="preserve">and costs </w:t>
                  </w:r>
                  <w:r>
                    <w:t>to</w:t>
                  </w:r>
                  <w:r w:rsidRPr="00DD211A">
                    <w:t xml:space="preserve"> opt out of insurance</w:t>
                  </w:r>
                  <w:r w:rsidRPr="000579C2">
                    <w:t xml:space="preserve"> (input)</w:t>
                  </w:r>
                </w:p>
              </w:tc>
              <w:tc>
                <w:tcPr>
                  <w:tcW w:w="686" w:type="pct"/>
                  <w:tcBorders>
                    <w:bottom w:val="single" w:sz="6" w:space="0" w:color="BFBFBF"/>
                  </w:tcBorders>
                </w:tcPr>
                <w:p w14:paraId="3706FFEC" w14:textId="77777777" w:rsidR="009501B0" w:rsidRDefault="009501B0" w:rsidP="00152C9B">
                  <w:pPr>
                    <w:pStyle w:val="TableBullet"/>
                    <w:spacing w:before="40"/>
                  </w:pPr>
                  <w:r>
                    <w:t>Trend analysis</w:t>
                  </w:r>
                </w:p>
                <w:p w14:paraId="2294E0DF" w14:textId="77777777" w:rsidR="009501B0" w:rsidRDefault="009501B0" w:rsidP="00152C9B">
                  <w:pPr>
                    <w:pStyle w:val="TableBullet"/>
                    <w:spacing w:before="40"/>
                  </w:pPr>
                  <w:r>
                    <w:t>Qualitative</w:t>
                  </w:r>
                </w:p>
                <w:p w14:paraId="44838036" w14:textId="77777777" w:rsidR="009501B0" w:rsidRDefault="009501B0" w:rsidP="00152C9B">
                  <w:pPr>
                    <w:pStyle w:val="TableBullet"/>
                  </w:pPr>
                  <w:r>
                    <w:t>Trend analysis</w:t>
                  </w:r>
                  <w:r>
                    <w:br/>
                  </w:r>
                  <w:r>
                    <w:br/>
                  </w:r>
                  <w:r>
                    <w:br/>
                  </w:r>
                </w:p>
                <w:p w14:paraId="03DA701D" w14:textId="77777777" w:rsidR="009501B0" w:rsidRDefault="009501B0" w:rsidP="00152C9B">
                  <w:pPr>
                    <w:pStyle w:val="TableBullet"/>
                    <w:spacing w:before="160"/>
                  </w:pPr>
                  <w:r>
                    <w:t>Trend analysis</w:t>
                  </w:r>
                  <w:r>
                    <w:br/>
                  </w:r>
                  <w:r>
                    <w:br/>
                  </w:r>
                  <w:r>
                    <w:br/>
                  </w:r>
                </w:p>
                <w:p w14:paraId="6E0BA980" w14:textId="77777777" w:rsidR="009501B0" w:rsidRDefault="009501B0" w:rsidP="00152C9B">
                  <w:pPr>
                    <w:pStyle w:val="TableBullet"/>
                    <w:spacing w:before="160"/>
                  </w:pPr>
                  <w:r>
                    <w:t>Trend analysis</w:t>
                  </w:r>
                </w:p>
                <w:p w14:paraId="507290B4" w14:textId="77777777" w:rsidR="009501B0" w:rsidRDefault="009501B0" w:rsidP="00152C9B">
                  <w:pPr>
                    <w:pStyle w:val="TableBullet"/>
                    <w:spacing w:before="40"/>
                  </w:pPr>
                  <w:r>
                    <w:t>Trend analysis</w:t>
                  </w:r>
                  <w:r>
                    <w:br/>
                  </w:r>
                </w:p>
                <w:p w14:paraId="5626374F" w14:textId="77777777" w:rsidR="009501B0" w:rsidRDefault="009501B0" w:rsidP="00152C9B">
                  <w:pPr>
                    <w:pStyle w:val="TableBullet"/>
                    <w:spacing w:before="40"/>
                  </w:pPr>
                  <w:r>
                    <w:t>Qualitative</w:t>
                  </w:r>
                  <w:r>
                    <w:br/>
                  </w:r>
                </w:p>
                <w:p w14:paraId="1324BD73" w14:textId="77777777" w:rsidR="009501B0" w:rsidRDefault="009501B0" w:rsidP="00152C9B">
                  <w:pPr>
                    <w:pStyle w:val="TableBullet"/>
                    <w:spacing w:before="40"/>
                  </w:pPr>
                  <w:r>
                    <w:t>Trend analysis; qualitative</w:t>
                  </w:r>
                </w:p>
              </w:tc>
              <w:tc>
                <w:tcPr>
                  <w:tcW w:w="885" w:type="pct"/>
                  <w:tcBorders>
                    <w:bottom w:val="single" w:sz="6" w:space="0" w:color="BFBFBF"/>
                  </w:tcBorders>
                </w:tcPr>
                <w:p w14:paraId="03849FE6" w14:textId="77777777" w:rsidR="009501B0" w:rsidRDefault="009501B0" w:rsidP="00152C9B">
                  <w:pPr>
                    <w:pStyle w:val="TableBullet"/>
                    <w:spacing w:before="40"/>
                  </w:pPr>
                  <w:r>
                    <w:t>Member surveys</w:t>
                  </w:r>
                </w:p>
                <w:p w14:paraId="11F6FA19" w14:textId="77777777" w:rsidR="009501B0" w:rsidRPr="00C23C34" w:rsidRDefault="009501B0" w:rsidP="00152C9B">
                  <w:pPr>
                    <w:pStyle w:val="TableBullet"/>
                  </w:pPr>
                  <w:r w:rsidRPr="004F3F7D">
                    <w:t>Member surveys</w:t>
                  </w:r>
                </w:p>
                <w:p w14:paraId="4AE545C2" w14:textId="77777777" w:rsidR="009501B0" w:rsidRPr="004F3F7D" w:rsidRDefault="009501B0" w:rsidP="00152C9B">
                  <w:pPr>
                    <w:pStyle w:val="TableBullet"/>
                  </w:pPr>
                  <w:r w:rsidRPr="004F3F7D">
                    <w:t>Member surveys; fund disclosures; case studies</w:t>
                  </w:r>
                  <w:r w:rsidRPr="00C23C34" w:rsidDel="004F3F7D">
                    <w:t xml:space="preserve"> </w:t>
                  </w:r>
                  <w:r>
                    <w:br/>
                  </w:r>
                  <w:r>
                    <w:br/>
                  </w:r>
                </w:p>
                <w:p w14:paraId="58B1F18D" w14:textId="77777777" w:rsidR="009501B0" w:rsidRPr="00C23C34" w:rsidRDefault="009501B0" w:rsidP="00152C9B">
                  <w:pPr>
                    <w:pStyle w:val="TableBullet"/>
                    <w:spacing w:before="160"/>
                  </w:pPr>
                  <w:r w:rsidRPr="00C23C34">
                    <w:t>Member surveys; fund disclosures; case studies</w:t>
                  </w:r>
                  <w:r w:rsidRPr="00C23C34" w:rsidDel="007B4581">
                    <w:t xml:space="preserve"> </w:t>
                  </w:r>
                  <w:r>
                    <w:br/>
                  </w:r>
                  <w:r>
                    <w:br/>
                  </w:r>
                </w:p>
                <w:p w14:paraId="3D8C9267" w14:textId="77777777" w:rsidR="009501B0" w:rsidRPr="0042423A" w:rsidRDefault="009501B0" w:rsidP="00152C9B">
                  <w:pPr>
                    <w:pStyle w:val="TableBullet"/>
                    <w:spacing w:before="160"/>
                  </w:pPr>
                  <w:r w:rsidRPr="0042423A">
                    <w:t>M</w:t>
                  </w:r>
                  <w:r w:rsidRPr="006B0F23">
                    <w:t>ember surveys</w:t>
                  </w:r>
                </w:p>
                <w:p w14:paraId="54D94DA3" w14:textId="77777777" w:rsidR="009501B0" w:rsidRPr="0042423A" w:rsidRDefault="009501B0" w:rsidP="00152C9B">
                  <w:pPr>
                    <w:pStyle w:val="TableBullet"/>
                  </w:pPr>
                  <w:r>
                    <w:t>Research firms</w:t>
                  </w:r>
                  <w:r w:rsidRPr="006B0F23">
                    <w:t>; fund disclosures</w:t>
                  </w:r>
                  <w:r>
                    <w:t>; f</w:t>
                  </w:r>
                  <w:r w:rsidRPr="006B0F23">
                    <w:t>und surveys</w:t>
                  </w:r>
                </w:p>
                <w:p w14:paraId="2F844659" w14:textId="77777777" w:rsidR="009501B0" w:rsidRDefault="009501B0" w:rsidP="00152C9B">
                  <w:pPr>
                    <w:pStyle w:val="TableBullet"/>
                    <w:spacing w:before="40"/>
                  </w:pPr>
                  <w:r>
                    <w:t>Reviews by others; member surveys</w:t>
                  </w:r>
                </w:p>
                <w:p w14:paraId="008B9FE6" w14:textId="77777777" w:rsidR="009501B0" w:rsidRDefault="009501B0" w:rsidP="00152C9B">
                  <w:pPr>
                    <w:pStyle w:val="TableBullet"/>
                    <w:spacing w:before="40"/>
                  </w:pPr>
                  <w:r>
                    <w:t>Member surveys; research firms</w:t>
                  </w:r>
                </w:p>
              </w:tc>
            </w:tr>
          </w:tbl>
          <w:p w14:paraId="1E61BCE9" w14:textId="77777777" w:rsidR="009501B0" w:rsidRDefault="009501B0" w:rsidP="00152C9B">
            <w:pPr>
              <w:pStyle w:val="Box"/>
            </w:pPr>
          </w:p>
        </w:tc>
      </w:tr>
      <w:tr w:rsidR="009501B0" w14:paraId="351634CE" w14:textId="77777777" w:rsidTr="00687440">
        <w:trPr>
          <w:cantSplit/>
        </w:trPr>
        <w:tc>
          <w:tcPr>
            <w:tcW w:w="5000" w:type="pct"/>
            <w:tcBorders>
              <w:top w:val="nil"/>
              <w:left w:val="nil"/>
              <w:bottom w:val="nil"/>
              <w:right w:val="nil"/>
            </w:tcBorders>
            <w:shd w:val="clear" w:color="auto" w:fill="auto"/>
          </w:tcPr>
          <w:p w14:paraId="54A0BA41" w14:textId="77777777" w:rsidR="009501B0" w:rsidRDefault="009501B0" w:rsidP="001C5DCF">
            <w:pPr>
              <w:pStyle w:val="Continued"/>
            </w:pPr>
            <w:r>
              <w:t>(continued next page)</w:t>
            </w:r>
          </w:p>
        </w:tc>
      </w:tr>
      <w:tr w:rsidR="009501B0" w14:paraId="550ED752" w14:textId="77777777" w:rsidTr="00687440">
        <w:trPr>
          <w:cantSplit/>
        </w:trPr>
        <w:tc>
          <w:tcPr>
            <w:tcW w:w="5000" w:type="pct"/>
            <w:tcBorders>
              <w:top w:val="nil"/>
              <w:left w:val="nil"/>
              <w:bottom w:val="single" w:sz="6" w:space="0" w:color="78A22F"/>
              <w:right w:val="nil"/>
            </w:tcBorders>
            <w:shd w:val="clear" w:color="auto" w:fill="auto"/>
          </w:tcPr>
          <w:p w14:paraId="2FF49542" w14:textId="77777777" w:rsidR="009501B0" w:rsidRDefault="009501B0" w:rsidP="00152C9B">
            <w:pPr>
              <w:pStyle w:val="Box"/>
              <w:spacing w:before="0" w:line="120" w:lineRule="exact"/>
            </w:pPr>
          </w:p>
        </w:tc>
      </w:tr>
      <w:tr w:rsidR="009501B0" w:rsidRPr="000863A5" w14:paraId="586F6EE7" w14:textId="77777777" w:rsidTr="00687440">
        <w:tc>
          <w:tcPr>
            <w:tcW w:w="5000" w:type="pct"/>
            <w:tcBorders>
              <w:top w:val="single" w:sz="6" w:space="0" w:color="78A22F"/>
              <w:left w:val="nil"/>
              <w:bottom w:val="nil"/>
              <w:right w:val="nil"/>
            </w:tcBorders>
          </w:tcPr>
          <w:p w14:paraId="35675688" w14:textId="77777777" w:rsidR="009501B0" w:rsidRPr="00626D32" w:rsidRDefault="009501B0" w:rsidP="001C5DCF">
            <w:pPr>
              <w:pStyle w:val="BoxSpaceBelow"/>
              <w:spacing w:before="0" w:after="0"/>
            </w:pPr>
          </w:p>
        </w:tc>
      </w:tr>
    </w:tbl>
    <w:p w14:paraId="45FE8968" w14:textId="77777777" w:rsidR="009501B0" w:rsidRDefault="009501B0" w:rsidP="009501B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9501B0" w14:paraId="42DD95D9" w14:textId="77777777" w:rsidTr="00687440">
        <w:tc>
          <w:tcPr>
            <w:tcW w:w="5000" w:type="pct"/>
            <w:tcBorders>
              <w:top w:val="single" w:sz="6" w:space="0" w:color="78A22F"/>
              <w:left w:val="nil"/>
              <w:bottom w:val="nil"/>
              <w:right w:val="nil"/>
            </w:tcBorders>
            <w:shd w:val="clear" w:color="auto" w:fill="auto"/>
          </w:tcPr>
          <w:p w14:paraId="50EA2D6D" w14:textId="77777777" w:rsidR="009501B0" w:rsidRPr="00784A05" w:rsidRDefault="009501B0" w:rsidP="00152C9B">
            <w:pPr>
              <w:pStyle w:val="TableTitle"/>
            </w:pPr>
            <w:r>
              <w:t xml:space="preserve">Competition </w:t>
            </w:r>
            <w:r w:rsidRPr="00C078F2">
              <w:rPr>
                <w:b w:val="0"/>
                <w:sz w:val="18"/>
                <w:szCs w:val="18"/>
              </w:rPr>
              <w:t>(continued)</w:t>
            </w:r>
          </w:p>
        </w:tc>
      </w:tr>
      <w:tr w:rsidR="009501B0" w14:paraId="3564D01F" w14:textId="77777777" w:rsidTr="00687440">
        <w:trPr>
          <w:cantSplit/>
        </w:trPr>
        <w:tc>
          <w:tcPr>
            <w:tcW w:w="5000" w:type="pct"/>
            <w:tcBorders>
              <w:top w:val="nil"/>
              <w:left w:val="nil"/>
              <w:bottom w:val="nil"/>
              <w:right w:val="nil"/>
            </w:tcBorders>
            <w:shd w:val="clear" w:color="auto" w:fill="auto"/>
          </w:tcPr>
          <w:tbl>
            <w:tblPr>
              <w:tblW w:w="13457" w:type="dxa"/>
              <w:tblCellMar>
                <w:top w:w="28" w:type="dxa"/>
                <w:left w:w="0" w:type="dxa"/>
                <w:right w:w="0" w:type="dxa"/>
              </w:tblCellMar>
              <w:tblLook w:val="0000" w:firstRow="0" w:lastRow="0" w:firstColumn="0" w:lastColumn="0" w:noHBand="0" w:noVBand="0"/>
            </w:tblPr>
            <w:tblGrid>
              <w:gridCol w:w="1986"/>
              <w:gridCol w:w="7229"/>
              <w:gridCol w:w="1841"/>
              <w:gridCol w:w="2401"/>
            </w:tblGrid>
            <w:tr w:rsidR="009501B0" w14:paraId="40492CD1" w14:textId="77777777" w:rsidTr="00152C9B">
              <w:tc>
                <w:tcPr>
                  <w:tcW w:w="738" w:type="pct"/>
                  <w:tcBorders>
                    <w:top w:val="single" w:sz="6" w:space="0" w:color="BFBFBF"/>
                    <w:bottom w:val="single" w:sz="6" w:space="0" w:color="BFBFBF"/>
                  </w:tcBorders>
                  <w:shd w:val="clear" w:color="auto" w:fill="auto"/>
                  <w:tcMar>
                    <w:top w:w="28" w:type="dxa"/>
                  </w:tcMar>
                </w:tcPr>
                <w:p w14:paraId="49CA8B36" w14:textId="77777777" w:rsidR="009501B0" w:rsidRDefault="009501B0" w:rsidP="00152C9B">
                  <w:pPr>
                    <w:pStyle w:val="TableColumnHeading"/>
                    <w:jc w:val="left"/>
                  </w:pPr>
                  <w:r>
                    <w:t>Assessment criteria</w:t>
                  </w:r>
                </w:p>
              </w:tc>
              <w:tc>
                <w:tcPr>
                  <w:tcW w:w="2686" w:type="pct"/>
                  <w:tcBorders>
                    <w:top w:val="single" w:sz="6" w:space="0" w:color="BFBFBF"/>
                    <w:bottom w:val="single" w:sz="6" w:space="0" w:color="BFBFBF"/>
                  </w:tcBorders>
                  <w:shd w:val="clear" w:color="auto" w:fill="auto"/>
                  <w:tcMar>
                    <w:top w:w="28" w:type="dxa"/>
                  </w:tcMar>
                </w:tcPr>
                <w:p w14:paraId="7A4B673D" w14:textId="77777777" w:rsidR="009501B0" w:rsidRDefault="009501B0" w:rsidP="00152C9B">
                  <w:pPr>
                    <w:pStyle w:val="TableColumnHeading"/>
                    <w:ind w:right="28"/>
                    <w:jc w:val="left"/>
                  </w:pPr>
                  <w:r>
                    <w:t>Indicators</w:t>
                  </w:r>
                </w:p>
              </w:tc>
              <w:tc>
                <w:tcPr>
                  <w:tcW w:w="684" w:type="pct"/>
                  <w:tcBorders>
                    <w:top w:val="single" w:sz="6" w:space="0" w:color="BFBFBF"/>
                    <w:bottom w:val="single" w:sz="6" w:space="0" w:color="BFBFBF"/>
                  </w:tcBorders>
                </w:tcPr>
                <w:p w14:paraId="39C47A15" w14:textId="77777777" w:rsidR="009501B0" w:rsidRDefault="009501B0" w:rsidP="00152C9B">
                  <w:pPr>
                    <w:pStyle w:val="TableColumnHeading"/>
                    <w:ind w:right="28"/>
                    <w:jc w:val="left"/>
                  </w:pPr>
                  <w:r>
                    <w:t>Assessment methods</w:t>
                  </w:r>
                </w:p>
              </w:tc>
              <w:tc>
                <w:tcPr>
                  <w:tcW w:w="892" w:type="pct"/>
                  <w:tcBorders>
                    <w:top w:val="single" w:sz="6" w:space="0" w:color="BFBFBF"/>
                    <w:bottom w:val="single" w:sz="6" w:space="0" w:color="BFBFBF"/>
                  </w:tcBorders>
                </w:tcPr>
                <w:p w14:paraId="418C5943" w14:textId="77777777" w:rsidR="009501B0" w:rsidRDefault="009501B0" w:rsidP="00152C9B">
                  <w:pPr>
                    <w:pStyle w:val="TableColumnHeading"/>
                    <w:ind w:right="28"/>
                    <w:jc w:val="left"/>
                  </w:pPr>
                  <w:r>
                    <w:t>Expected data sources</w:t>
                  </w:r>
                </w:p>
              </w:tc>
            </w:tr>
            <w:tr w:rsidR="009501B0" w14:paraId="69A24DA8" w14:textId="77777777" w:rsidTr="00152C9B">
              <w:tc>
                <w:tcPr>
                  <w:tcW w:w="738" w:type="pct"/>
                  <w:tcBorders>
                    <w:top w:val="single" w:sz="6" w:space="0" w:color="BFBFBF"/>
                  </w:tcBorders>
                  <w:shd w:val="clear" w:color="auto" w:fill="auto"/>
                </w:tcPr>
                <w:p w14:paraId="524920B9" w14:textId="77777777" w:rsidR="009501B0" w:rsidRDefault="009501B0" w:rsidP="00152C9B">
                  <w:pPr>
                    <w:pStyle w:val="TableBodyText"/>
                    <w:spacing w:before="40"/>
                    <w:jc w:val="left"/>
                  </w:pPr>
                  <w:r>
                    <w:t>C2. Are active members and member intermediaries able to exert material competitive pressure?</w:t>
                  </w:r>
                </w:p>
              </w:tc>
              <w:tc>
                <w:tcPr>
                  <w:tcW w:w="2686" w:type="pct"/>
                  <w:tcBorders>
                    <w:top w:val="single" w:sz="6" w:space="0" w:color="BFBFBF"/>
                  </w:tcBorders>
                  <w:shd w:val="clear" w:color="auto" w:fill="auto"/>
                </w:tcPr>
                <w:p w14:paraId="5A792808" w14:textId="77777777" w:rsidR="009501B0" w:rsidRDefault="009501B0" w:rsidP="00152C9B">
                  <w:pPr>
                    <w:pStyle w:val="TableBullet"/>
                    <w:spacing w:before="40"/>
                  </w:pPr>
                  <w:r>
                    <w:t>Defined contribution</w:t>
                  </w:r>
                  <w:r w:rsidRPr="000579C2">
                    <w:t xml:space="preserve"> members that do not have choice of fund (input)</w:t>
                  </w:r>
                </w:p>
                <w:p w14:paraId="7501980A" w14:textId="77777777" w:rsidR="009501B0" w:rsidRDefault="009501B0" w:rsidP="00152C9B">
                  <w:pPr>
                    <w:pStyle w:val="TableBullet"/>
                    <w:spacing w:before="40"/>
                  </w:pPr>
                  <w:r w:rsidRPr="008C11C9">
                    <w:t>Size of the SMSF sector (funds and members) relative to institutional sector (output)</w:t>
                  </w:r>
                </w:p>
                <w:p w14:paraId="5932AF5E" w14:textId="77777777" w:rsidR="009501B0" w:rsidRDefault="009501B0" w:rsidP="00152C9B">
                  <w:pPr>
                    <w:pStyle w:val="TableBullet"/>
                    <w:spacing w:before="40"/>
                  </w:pPr>
                  <w:r w:rsidRPr="008C11C9">
                    <w:t>Changes in market shares of funds (output)</w:t>
                  </w:r>
                </w:p>
                <w:p w14:paraId="087E8D2E" w14:textId="77777777" w:rsidR="009501B0" w:rsidRPr="008C11C9" w:rsidRDefault="009501B0" w:rsidP="00152C9B">
                  <w:pPr>
                    <w:pStyle w:val="TableBullet"/>
                    <w:spacing w:before="40"/>
                  </w:pPr>
                  <w:r w:rsidRPr="008C11C9">
                    <w:t xml:space="preserve">Switching rate between and within default and choice </w:t>
                  </w:r>
                  <w:r>
                    <w:t>products</w:t>
                  </w:r>
                  <w:r w:rsidRPr="008C11C9">
                    <w:t xml:space="preserve"> and between institutional funds and SMSFs (behaviour)</w:t>
                  </w:r>
                </w:p>
                <w:p w14:paraId="79FAE3FE" w14:textId="77777777" w:rsidR="009501B0" w:rsidRPr="008C11C9" w:rsidRDefault="009501B0" w:rsidP="00152C9B">
                  <w:pPr>
                    <w:pStyle w:val="TableBullet"/>
                    <w:spacing w:before="40"/>
                  </w:pPr>
                  <w:r w:rsidRPr="008C11C9">
                    <w:t xml:space="preserve">Default rates for funds, </w:t>
                  </w:r>
                  <w:r>
                    <w:t>accumulation products</w:t>
                  </w:r>
                  <w:r w:rsidRPr="008C11C9">
                    <w:t xml:space="preserve"> and insurance (behaviour)</w:t>
                  </w:r>
                  <w:r>
                    <w:br/>
                  </w:r>
                </w:p>
                <w:p w14:paraId="29096FA6" w14:textId="77777777" w:rsidR="009501B0" w:rsidRDefault="009501B0" w:rsidP="00152C9B">
                  <w:pPr>
                    <w:pStyle w:val="TableBullet"/>
                    <w:spacing w:before="40"/>
                  </w:pPr>
                  <w:r>
                    <w:t>Fee dispersion*</w:t>
                  </w:r>
                  <w:r w:rsidRPr="008C11C9">
                    <w:t xml:space="preserve"> (output)</w:t>
                  </w:r>
                  <w:r>
                    <w:br/>
                  </w:r>
                </w:p>
                <w:p w14:paraId="6A0D0E31" w14:textId="77777777" w:rsidR="009501B0" w:rsidRPr="008C11C9" w:rsidRDefault="009501B0" w:rsidP="00152C9B">
                  <w:pPr>
                    <w:pStyle w:val="TableBullet"/>
                    <w:spacing w:before="40"/>
                  </w:pPr>
                  <w:r w:rsidRPr="003F4922">
                    <w:t>Corporate</w:t>
                  </w:r>
                  <w:r>
                    <w:t xml:space="preserve"> fee discounts (output)</w:t>
                  </w:r>
                </w:p>
              </w:tc>
              <w:tc>
                <w:tcPr>
                  <w:tcW w:w="684" w:type="pct"/>
                  <w:tcBorders>
                    <w:top w:val="single" w:sz="6" w:space="0" w:color="BFBFBF"/>
                  </w:tcBorders>
                  <w:shd w:val="clear" w:color="auto" w:fill="auto"/>
                </w:tcPr>
                <w:p w14:paraId="11E6544E" w14:textId="77777777" w:rsidR="009501B0" w:rsidRDefault="009501B0" w:rsidP="00152C9B">
                  <w:pPr>
                    <w:pStyle w:val="TableBullet"/>
                    <w:spacing w:before="40"/>
                  </w:pPr>
                  <w:r>
                    <w:t>Trend analysis</w:t>
                  </w:r>
                </w:p>
                <w:p w14:paraId="4C3CFA65" w14:textId="77777777" w:rsidR="009501B0" w:rsidRDefault="009501B0" w:rsidP="00152C9B">
                  <w:pPr>
                    <w:pStyle w:val="TableBullet"/>
                    <w:spacing w:before="40"/>
                  </w:pPr>
                  <w:r>
                    <w:t>Trend analysis</w:t>
                  </w:r>
                </w:p>
                <w:p w14:paraId="5A5EC829" w14:textId="77777777" w:rsidR="009501B0" w:rsidRDefault="009501B0" w:rsidP="00152C9B">
                  <w:pPr>
                    <w:pStyle w:val="TableBullet"/>
                    <w:spacing w:before="40"/>
                  </w:pPr>
                  <w:r>
                    <w:t>Trend analysis</w:t>
                  </w:r>
                </w:p>
                <w:p w14:paraId="0131B413" w14:textId="77777777" w:rsidR="009501B0" w:rsidRDefault="009501B0" w:rsidP="00152C9B">
                  <w:pPr>
                    <w:pStyle w:val="TableBullet"/>
                    <w:spacing w:before="40"/>
                  </w:pPr>
                  <w:r>
                    <w:t>Trend analysis</w:t>
                  </w:r>
                  <w:r>
                    <w:br/>
                  </w:r>
                </w:p>
                <w:p w14:paraId="6AD5F4F2" w14:textId="77777777" w:rsidR="009501B0" w:rsidRDefault="009501B0" w:rsidP="00152C9B">
                  <w:pPr>
                    <w:pStyle w:val="TableBullet"/>
                    <w:spacing w:before="40"/>
                  </w:pPr>
                  <w:r>
                    <w:t>Trend analysis</w:t>
                  </w:r>
                  <w:r>
                    <w:br/>
                  </w:r>
                </w:p>
                <w:p w14:paraId="2D22E306" w14:textId="77777777" w:rsidR="009501B0" w:rsidRDefault="009501B0" w:rsidP="00152C9B">
                  <w:pPr>
                    <w:pStyle w:val="TableBullet"/>
                    <w:spacing w:before="40"/>
                  </w:pPr>
                  <w:r>
                    <w:t>Trend analysis</w:t>
                  </w:r>
                  <w:r>
                    <w:br/>
                  </w:r>
                </w:p>
                <w:p w14:paraId="2E6C2CFB" w14:textId="77777777" w:rsidR="009501B0" w:rsidRDefault="009501B0" w:rsidP="00152C9B">
                  <w:pPr>
                    <w:pStyle w:val="TableBullet"/>
                    <w:spacing w:before="40"/>
                  </w:pPr>
                  <w:r>
                    <w:t>Trend analysis</w:t>
                  </w:r>
                </w:p>
              </w:tc>
              <w:tc>
                <w:tcPr>
                  <w:tcW w:w="892" w:type="pct"/>
                  <w:tcBorders>
                    <w:top w:val="single" w:sz="6" w:space="0" w:color="BFBFBF"/>
                  </w:tcBorders>
                  <w:shd w:val="clear" w:color="auto" w:fill="auto"/>
                </w:tcPr>
                <w:p w14:paraId="07065DD2" w14:textId="77777777" w:rsidR="009501B0" w:rsidRDefault="009501B0" w:rsidP="00152C9B">
                  <w:pPr>
                    <w:pStyle w:val="TableBullet"/>
                    <w:spacing w:before="40"/>
                  </w:pPr>
                  <w:r>
                    <w:t>Regulator data</w:t>
                  </w:r>
                </w:p>
                <w:p w14:paraId="1A4A0374" w14:textId="77777777" w:rsidR="009501B0" w:rsidRDefault="009501B0" w:rsidP="00152C9B">
                  <w:pPr>
                    <w:pStyle w:val="TableBullet"/>
                    <w:spacing w:before="40"/>
                  </w:pPr>
                  <w:r>
                    <w:t>Regulator data</w:t>
                  </w:r>
                </w:p>
                <w:p w14:paraId="24733B87" w14:textId="77777777" w:rsidR="009501B0" w:rsidRDefault="009501B0" w:rsidP="00152C9B">
                  <w:pPr>
                    <w:pStyle w:val="TableBullet"/>
                    <w:spacing w:before="40"/>
                  </w:pPr>
                  <w:r>
                    <w:t>Regulator data</w:t>
                  </w:r>
                </w:p>
                <w:p w14:paraId="73BF8155" w14:textId="77777777" w:rsidR="009501B0" w:rsidRDefault="009501B0" w:rsidP="00152C9B">
                  <w:pPr>
                    <w:pStyle w:val="TableBullet"/>
                    <w:spacing w:before="40"/>
                  </w:pPr>
                  <w:r>
                    <w:t>Member surveys; fund surveys; research firms</w:t>
                  </w:r>
                </w:p>
                <w:p w14:paraId="14D18B2C" w14:textId="77777777" w:rsidR="009501B0" w:rsidRDefault="009501B0" w:rsidP="00152C9B">
                  <w:pPr>
                    <w:pStyle w:val="TableBullet"/>
                    <w:spacing w:before="40"/>
                  </w:pPr>
                  <w:r>
                    <w:t>Regulator data; member surveys</w:t>
                  </w:r>
                </w:p>
                <w:p w14:paraId="45D4E309" w14:textId="77777777" w:rsidR="009501B0" w:rsidRDefault="009501B0" w:rsidP="00152C9B">
                  <w:pPr>
                    <w:pStyle w:val="TableBullet"/>
                    <w:spacing w:before="40"/>
                  </w:pPr>
                  <w:r>
                    <w:t>Research firms; fund disclosures</w:t>
                  </w:r>
                </w:p>
                <w:p w14:paraId="1316B820" w14:textId="77777777" w:rsidR="009501B0" w:rsidRDefault="009501B0" w:rsidP="00152C9B">
                  <w:pPr>
                    <w:pStyle w:val="TableBullet"/>
                    <w:spacing w:before="40"/>
                  </w:pPr>
                  <w:r>
                    <w:t>Regulator data</w:t>
                  </w:r>
                </w:p>
              </w:tc>
            </w:tr>
            <w:tr w:rsidR="009501B0" w14:paraId="46F26140" w14:textId="77777777" w:rsidTr="00152C9B">
              <w:tc>
                <w:tcPr>
                  <w:tcW w:w="738" w:type="pct"/>
                  <w:shd w:val="pct5" w:color="auto" w:fill="auto"/>
                </w:tcPr>
                <w:p w14:paraId="128A226A" w14:textId="77777777" w:rsidR="009501B0" w:rsidRPr="00B74C41" w:rsidRDefault="009501B0" w:rsidP="00152C9B">
                  <w:pPr>
                    <w:pStyle w:val="TableBodyText"/>
                    <w:jc w:val="left"/>
                  </w:pPr>
                  <w:r>
                    <w:t xml:space="preserve">C3. Is </w:t>
                  </w:r>
                  <w:r w:rsidRPr="004A354B">
                    <w:t>the market structure conducive to rivalry?</w:t>
                  </w:r>
                </w:p>
              </w:tc>
              <w:tc>
                <w:tcPr>
                  <w:tcW w:w="2686" w:type="pct"/>
                  <w:shd w:val="pct5" w:color="auto" w:fill="auto"/>
                </w:tcPr>
                <w:p w14:paraId="58570410" w14:textId="77777777" w:rsidR="009501B0" w:rsidRDefault="009501B0" w:rsidP="00152C9B">
                  <w:pPr>
                    <w:pStyle w:val="TableBullet"/>
                  </w:pPr>
                  <w:r w:rsidRPr="008C11C9">
                    <w:t>Market concentration</w:t>
                  </w:r>
                  <w:r>
                    <w:t xml:space="preserve"> at wholesale and retail levels</w:t>
                  </w:r>
                  <w:r w:rsidRPr="008C11C9">
                    <w:t xml:space="preserve"> (Herfindahl</w:t>
                  </w:r>
                  <w:r>
                    <w:noBreakHyphen/>
                  </w:r>
                  <w:r w:rsidRPr="008C11C9">
                    <w:t>Hirschman Index and market shares of largest providers)</w:t>
                  </w:r>
                  <w:r>
                    <w:t>*</w:t>
                  </w:r>
                  <w:r w:rsidRPr="008C11C9">
                    <w:t xml:space="preserve"> (output)</w:t>
                  </w:r>
                </w:p>
                <w:p w14:paraId="1D43C590" w14:textId="77777777" w:rsidR="009501B0" w:rsidRPr="008C11C9" w:rsidRDefault="009501B0" w:rsidP="00152C9B">
                  <w:pPr>
                    <w:pStyle w:val="TableBullet"/>
                  </w:pPr>
                  <w:r>
                    <w:t>Number of institutional funds (input)</w:t>
                  </w:r>
                </w:p>
              </w:tc>
              <w:tc>
                <w:tcPr>
                  <w:tcW w:w="684" w:type="pct"/>
                  <w:shd w:val="pct5" w:color="auto" w:fill="auto"/>
                </w:tcPr>
                <w:p w14:paraId="4BFEE06E" w14:textId="77777777" w:rsidR="009501B0" w:rsidRDefault="009501B0" w:rsidP="00152C9B">
                  <w:pPr>
                    <w:pStyle w:val="TableBullet"/>
                  </w:pPr>
                  <w:r>
                    <w:t>Trend analysis</w:t>
                  </w:r>
                  <w:r>
                    <w:br/>
                  </w:r>
                </w:p>
                <w:p w14:paraId="0BF4C1DE" w14:textId="77777777" w:rsidR="009501B0" w:rsidRPr="00654F2E" w:rsidRDefault="009501B0" w:rsidP="00152C9B">
                  <w:pPr>
                    <w:pStyle w:val="TableBullet"/>
                  </w:pPr>
                  <w:r>
                    <w:t>Trend analysis</w:t>
                  </w:r>
                </w:p>
              </w:tc>
              <w:tc>
                <w:tcPr>
                  <w:tcW w:w="892" w:type="pct"/>
                  <w:shd w:val="pct5" w:color="auto" w:fill="auto"/>
                </w:tcPr>
                <w:p w14:paraId="47BE1653" w14:textId="77777777" w:rsidR="009501B0" w:rsidRDefault="009501B0" w:rsidP="00152C9B">
                  <w:pPr>
                    <w:pStyle w:val="TableBullet"/>
                  </w:pPr>
                  <w:r>
                    <w:t>Regulator data</w:t>
                  </w:r>
                  <w:r>
                    <w:br/>
                  </w:r>
                </w:p>
                <w:p w14:paraId="626B3C3A" w14:textId="77777777" w:rsidR="009501B0" w:rsidRDefault="009501B0" w:rsidP="00152C9B">
                  <w:pPr>
                    <w:pStyle w:val="TableBullet"/>
                  </w:pPr>
                  <w:r>
                    <w:t>Regulator data</w:t>
                  </w:r>
                </w:p>
              </w:tc>
            </w:tr>
            <w:tr w:rsidR="009501B0" w14:paraId="6AF873CF" w14:textId="77777777" w:rsidTr="00152C9B">
              <w:tc>
                <w:tcPr>
                  <w:tcW w:w="738" w:type="pct"/>
                  <w:tcBorders>
                    <w:bottom w:val="single" w:sz="6" w:space="0" w:color="BFBFBF"/>
                  </w:tcBorders>
                  <w:shd w:val="clear" w:color="auto" w:fill="auto"/>
                </w:tcPr>
                <w:p w14:paraId="5B89A878" w14:textId="77777777" w:rsidR="009501B0" w:rsidRDefault="009501B0" w:rsidP="00152C9B">
                  <w:pPr>
                    <w:pStyle w:val="TableBodyText"/>
                    <w:jc w:val="left"/>
                  </w:pPr>
                  <w:r>
                    <w:t>C4. Is the market contestable at the retail level?</w:t>
                  </w:r>
                </w:p>
              </w:tc>
              <w:tc>
                <w:tcPr>
                  <w:tcW w:w="2686" w:type="pct"/>
                  <w:tcBorders>
                    <w:bottom w:val="single" w:sz="6" w:space="0" w:color="BFBFBF"/>
                  </w:tcBorders>
                  <w:shd w:val="clear" w:color="auto" w:fill="auto"/>
                </w:tcPr>
                <w:p w14:paraId="4B10E3BA" w14:textId="77777777" w:rsidR="009501B0" w:rsidRPr="008C11C9" w:rsidRDefault="009501B0" w:rsidP="00152C9B">
                  <w:pPr>
                    <w:pStyle w:val="TableBullet"/>
                  </w:pPr>
                  <w:r w:rsidRPr="008C11C9">
                    <w:t>Height of barriers to entry — effect of default rules on market entry (input)</w:t>
                  </w:r>
                  <w:r>
                    <w:br/>
                  </w:r>
                </w:p>
                <w:p w14:paraId="61FD3222" w14:textId="77777777" w:rsidR="009501B0" w:rsidRPr="008C11C9" w:rsidRDefault="009501B0" w:rsidP="00152C9B">
                  <w:pPr>
                    <w:pStyle w:val="TableBullet"/>
                  </w:pPr>
                  <w:r w:rsidRPr="008C11C9">
                    <w:t>Height of barriers to entry — market impediments to funds accessing distribution channels (input)</w:t>
                  </w:r>
                </w:p>
                <w:p w14:paraId="49791AD7" w14:textId="77777777" w:rsidR="009501B0" w:rsidRPr="008C11C9" w:rsidRDefault="009501B0" w:rsidP="00152C9B">
                  <w:pPr>
                    <w:pStyle w:val="TableBullet"/>
                  </w:pPr>
                  <w:r>
                    <w:t>Entries, exits and consolidations of funds</w:t>
                  </w:r>
                  <w:r w:rsidRPr="00B15864">
                    <w:rPr>
                      <w:vertAlign w:val="superscript"/>
                    </w:rPr>
                    <w:t>#</w:t>
                  </w:r>
                  <w:r w:rsidRPr="008C11C9">
                    <w:t xml:space="preserve"> (behaviour)</w:t>
                  </w:r>
                </w:p>
              </w:tc>
              <w:tc>
                <w:tcPr>
                  <w:tcW w:w="684" w:type="pct"/>
                  <w:tcBorders>
                    <w:bottom w:val="single" w:sz="6" w:space="0" w:color="BFBFBF"/>
                  </w:tcBorders>
                  <w:shd w:val="clear" w:color="auto" w:fill="auto"/>
                </w:tcPr>
                <w:p w14:paraId="460797CD" w14:textId="77777777" w:rsidR="009501B0" w:rsidRDefault="009501B0" w:rsidP="00152C9B">
                  <w:pPr>
                    <w:pStyle w:val="TableBullet"/>
                  </w:pPr>
                  <w:r>
                    <w:t>Qualitative</w:t>
                  </w:r>
                  <w:r>
                    <w:br/>
                  </w:r>
                </w:p>
                <w:p w14:paraId="2C576A51" w14:textId="77777777" w:rsidR="009501B0" w:rsidRDefault="009501B0" w:rsidP="00152C9B">
                  <w:pPr>
                    <w:pStyle w:val="TableBullet"/>
                  </w:pPr>
                  <w:r>
                    <w:t>Qualitative</w:t>
                  </w:r>
                  <w:r>
                    <w:br/>
                  </w:r>
                </w:p>
                <w:p w14:paraId="30966CE9" w14:textId="77777777" w:rsidR="009501B0" w:rsidRPr="00654F2E" w:rsidRDefault="009501B0" w:rsidP="00152C9B">
                  <w:pPr>
                    <w:pStyle w:val="TableBullet"/>
                  </w:pPr>
                  <w:r>
                    <w:t>Trend analysis</w:t>
                  </w:r>
                </w:p>
              </w:tc>
              <w:tc>
                <w:tcPr>
                  <w:tcW w:w="892" w:type="pct"/>
                  <w:tcBorders>
                    <w:bottom w:val="single" w:sz="6" w:space="0" w:color="BFBFBF"/>
                  </w:tcBorders>
                  <w:shd w:val="clear" w:color="auto" w:fill="auto"/>
                </w:tcPr>
                <w:p w14:paraId="15DCE510" w14:textId="77777777" w:rsidR="009501B0" w:rsidRDefault="009501B0" w:rsidP="00152C9B">
                  <w:pPr>
                    <w:pStyle w:val="TableBullet"/>
                  </w:pPr>
                  <w:r>
                    <w:t>Fund surveys; case studies; reviews by others</w:t>
                  </w:r>
                </w:p>
                <w:p w14:paraId="564C560D" w14:textId="77777777" w:rsidR="009501B0" w:rsidRDefault="009501B0" w:rsidP="00152C9B">
                  <w:pPr>
                    <w:pStyle w:val="TableBullet"/>
                  </w:pPr>
                  <w:r>
                    <w:t>Fund surveys; case studies; reviews by others</w:t>
                  </w:r>
                </w:p>
                <w:p w14:paraId="498E1640" w14:textId="77777777" w:rsidR="009501B0" w:rsidRDefault="009501B0" w:rsidP="00152C9B">
                  <w:pPr>
                    <w:pStyle w:val="TableBullet"/>
                  </w:pPr>
                  <w:r>
                    <w:t>Regulator data; fund disclosures</w:t>
                  </w:r>
                </w:p>
              </w:tc>
            </w:tr>
          </w:tbl>
          <w:p w14:paraId="587FAEE1" w14:textId="77777777" w:rsidR="009501B0" w:rsidRDefault="009501B0" w:rsidP="00152C9B">
            <w:pPr>
              <w:pStyle w:val="Box"/>
            </w:pPr>
          </w:p>
        </w:tc>
      </w:tr>
      <w:tr w:rsidR="009501B0" w14:paraId="1014AB9E" w14:textId="77777777" w:rsidTr="00687440">
        <w:trPr>
          <w:cantSplit/>
        </w:trPr>
        <w:tc>
          <w:tcPr>
            <w:tcW w:w="5000" w:type="pct"/>
            <w:tcBorders>
              <w:top w:val="nil"/>
              <w:left w:val="nil"/>
              <w:bottom w:val="nil"/>
              <w:right w:val="nil"/>
            </w:tcBorders>
            <w:shd w:val="clear" w:color="auto" w:fill="auto"/>
          </w:tcPr>
          <w:p w14:paraId="7790FBB1" w14:textId="77777777" w:rsidR="009501B0" w:rsidRDefault="009501B0" w:rsidP="00152C9B">
            <w:pPr>
              <w:pStyle w:val="Continued"/>
            </w:pPr>
            <w:r>
              <w:t>(continued next page)</w:t>
            </w:r>
          </w:p>
        </w:tc>
      </w:tr>
      <w:tr w:rsidR="009501B0" w14:paraId="540A9276" w14:textId="77777777" w:rsidTr="00687440">
        <w:trPr>
          <w:cantSplit/>
        </w:trPr>
        <w:tc>
          <w:tcPr>
            <w:tcW w:w="5000" w:type="pct"/>
            <w:tcBorders>
              <w:top w:val="nil"/>
              <w:left w:val="nil"/>
              <w:bottom w:val="single" w:sz="6" w:space="0" w:color="78A22F"/>
              <w:right w:val="nil"/>
            </w:tcBorders>
            <w:shd w:val="clear" w:color="auto" w:fill="auto"/>
          </w:tcPr>
          <w:p w14:paraId="040878AF" w14:textId="77777777" w:rsidR="009501B0" w:rsidRDefault="009501B0" w:rsidP="00152C9B">
            <w:pPr>
              <w:pStyle w:val="Box"/>
              <w:spacing w:before="0" w:line="120" w:lineRule="exact"/>
            </w:pPr>
          </w:p>
        </w:tc>
      </w:tr>
      <w:tr w:rsidR="009501B0" w:rsidRPr="000863A5" w14:paraId="3740A783" w14:textId="77777777" w:rsidTr="00687440">
        <w:tc>
          <w:tcPr>
            <w:tcW w:w="5000" w:type="pct"/>
            <w:tcBorders>
              <w:top w:val="single" w:sz="6" w:space="0" w:color="78A22F"/>
              <w:left w:val="nil"/>
              <w:bottom w:val="nil"/>
              <w:right w:val="nil"/>
            </w:tcBorders>
          </w:tcPr>
          <w:p w14:paraId="34A19E3F" w14:textId="77777777" w:rsidR="009501B0" w:rsidRPr="00626D32" w:rsidRDefault="009501B0" w:rsidP="00152C9B">
            <w:pPr>
              <w:pStyle w:val="BoxSpaceBelow"/>
            </w:pPr>
          </w:p>
        </w:tc>
      </w:tr>
    </w:tbl>
    <w:p w14:paraId="46671126" w14:textId="77777777" w:rsidR="009501B0" w:rsidRDefault="009501B0" w:rsidP="009501B0">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13721"/>
      </w:tblGrid>
      <w:tr w:rsidR="009501B0" w14:paraId="4025764B" w14:textId="77777777" w:rsidTr="00687440">
        <w:tc>
          <w:tcPr>
            <w:tcW w:w="5000" w:type="pct"/>
            <w:tcBorders>
              <w:top w:val="single" w:sz="6" w:space="0" w:color="78A22F"/>
              <w:left w:val="nil"/>
              <w:bottom w:val="nil"/>
              <w:right w:val="nil"/>
            </w:tcBorders>
            <w:shd w:val="clear" w:color="auto" w:fill="auto"/>
          </w:tcPr>
          <w:p w14:paraId="7B09C05C" w14:textId="77777777" w:rsidR="009501B0" w:rsidRPr="00784A05" w:rsidRDefault="009501B0" w:rsidP="00152C9B">
            <w:pPr>
              <w:pStyle w:val="TableTitle"/>
            </w:pPr>
            <w:r>
              <w:t>Competition</w:t>
            </w:r>
            <w:r w:rsidRPr="00C078F2">
              <w:rPr>
                <w:b w:val="0"/>
                <w:sz w:val="18"/>
                <w:szCs w:val="18"/>
              </w:rPr>
              <w:t xml:space="preserve"> (continued)</w:t>
            </w:r>
          </w:p>
        </w:tc>
      </w:tr>
      <w:tr w:rsidR="009501B0" w14:paraId="73339D5C" w14:textId="77777777" w:rsidTr="00687440">
        <w:trPr>
          <w:cantSplit/>
        </w:trPr>
        <w:tc>
          <w:tcPr>
            <w:tcW w:w="5000" w:type="pct"/>
            <w:tcBorders>
              <w:top w:val="nil"/>
              <w:left w:val="nil"/>
              <w:bottom w:val="nil"/>
              <w:right w:val="nil"/>
            </w:tcBorders>
            <w:shd w:val="clear" w:color="auto" w:fill="auto"/>
          </w:tcPr>
          <w:tbl>
            <w:tblPr>
              <w:tblW w:w="13438" w:type="dxa"/>
              <w:tblLayout w:type="fixed"/>
              <w:tblCellMar>
                <w:top w:w="28" w:type="dxa"/>
                <w:left w:w="0" w:type="dxa"/>
                <w:right w:w="0" w:type="dxa"/>
              </w:tblCellMar>
              <w:tblLook w:val="0000" w:firstRow="0" w:lastRow="0" w:firstColumn="0" w:lastColumn="0" w:noHBand="0" w:noVBand="0"/>
            </w:tblPr>
            <w:tblGrid>
              <w:gridCol w:w="1987"/>
              <w:gridCol w:w="6802"/>
              <w:gridCol w:w="1986"/>
              <w:gridCol w:w="2663"/>
            </w:tblGrid>
            <w:tr w:rsidR="009501B0" w14:paraId="0B7F47CA" w14:textId="77777777" w:rsidTr="00152C9B">
              <w:tc>
                <w:tcPr>
                  <w:tcW w:w="739" w:type="pct"/>
                  <w:tcBorders>
                    <w:top w:val="single" w:sz="6" w:space="0" w:color="BFBFBF"/>
                    <w:bottom w:val="single" w:sz="6" w:space="0" w:color="BFBFBF"/>
                  </w:tcBorders>
                  <w:shd w:val="clear" w:color="auto" w:fill="auto"/>
                  <w:tcMar>
                    <w:top w:w="28" w:type="dxa"/>
                  </w:tcMar>
                </w:tcPr>
                <w:p w14:paraId="7837F23C" w14:textId="77777777" w:rsidR="009501B0" w:rsidRDefault="009501B0" w:rsidP="00152C9B">
                  <w:pPr>
                    <w:pStyle w:val="TableColumnHeading"/>
                    <w:jc w:val="left"/>
                  </w:pPr>
                  <w:r>
                    <w:t>Assessment criteria</w:t>
                  </w:r>
                </w:p>
              </w:tc>
              <w:tc>
                <w:tcPr>
                  <w:tcW w:w="2531" w:type="pct"/>
                  <w:tcBorders>
                    <w:top w:val="single" w:sz="6" w:space="0" w:color="BFBFBF"/>
                    <w:bottom w:val="single" w:sz="6" w:space="0" w:color="BFBFBF"/>
                  </w:tcBorders>
                  <w:shd w:val="clear" w:color="auto" w:fill="auto"/>
                  <w:tcMar>
                    <w:top w:w="28" w:type="dxa"/>
                  </w:tcMar>
                </w:tcPr>
                <w:p w14:paraId="1554E395" w14:textId="77777777" w:rsidR="009501B0" w:rsidRDefault="009501B0" w:rsidP="00152C9B">
                  <w:pPr>
                    <w:pStyle w:val="TableColumnHeading"/>
                    <w:ind w:right="28"/>
                    <w:jc w:val="left"/>
                  </w:pPr>
                  <w:r>
                    <w:t>Indicators</w:t>
                  </w:r>
                </w:p>
              </w:tc>
              <w:tc>
                <w:tcPr>
                  <w:tcW w:w="739" w:type="pct"/>
                  <w:tcBorders>
                    <w:top w:val="single" w:sz="6" w:space="0" w:color="BFBFBF"/>
                    <w:bottom w:val="single" w:sz="6" w:space="0" w:color="BFBFBF"/>
                  </w:tcBorders>
                </w:tcPr>
                <w:p w14:paraId="74AB814D" w14:textId="77777777" w:rsidR="009501B0" w:rsidRDefault="009501B0" w:rsidP="00152C9B">
                  <w:pPr>
                    <w:pStyle w:val="TableColumnHeading"/>
                    <w:ind w:right="28"/>
                    <w:jc w:val="left"/>
                  </w:pPr>
                  <w:r>
                    <w:t>Assessment methods</w:t>
                  </w:r>
                </w:p>
              </w:tc>
              <w:tc>
                <w:tcPr>
                  <w:tcW w:w="991" w:type="pct"/>
                  <w:tcBorders>
                    <w:top w:val="single" w:sz="6" w:space="0" w:color="BFBFBF"/>
                    <w:bottom w:val="single" w:sz="6" w:space="0" w:color="BFBFBF"/>
                  </w:tcBorders>
                </w:tcPr>
                <w:p w14:paraId="728C4D52" w14:textId="77777777" w:rsidR="009501B0" w:rsidRDefault="009501B0" w:rsidP="00152C9B">
                  <w:pPr>
                    <w:pStyle w:val="TableColumnHeading"/>
                    <w:ind w:right="28"/>
                    <w:jc w:val="left"/>
                  </w:pPr>
                  <w:r>
                    <w:t>Expected data sources</w:t>
                  </w:r>
                </w:p>
              </w:tc>
            </w:tr>
            <w:tr w:rsidR="009501B0" w14:paraId="53A6E085" w14:textId="77777777" w:rsidTr="00152C9B">
              <w:tc>
                <w:tcPr>
                  <w:tcW w:w="739" w:type="pct"/>
                  <w:tcBorders>
                    <w:top w:val="single" w:sz="6" w:space="0" w:color="BFBFBF"/>
                  </w:tcBorders>
                  <w:shd w:val="clear" w:color="auto" w:fill="FFFFFF" w:themeFill="background1"/>
                </w:tcPr>
                <w:p w14:paraId="2CF1D3BF" w14:textId="77777777" w:rsidR="009501B0" w:rsidRDefault="009501B0" w:rsidP="00152C9B">
                  <w:pPr>
                    <w:pStyle w:val="TableBodyText"/>
                    <w:spacing w:before="40"/>
                    <w:jc w:val="left"/>
                  </w:pPr>
                  <w:r>
                    <w:t>C5. Are there material anticompetitive effects of vertical and horizontal integration?</w:t>
                  </w:r>
                </w:p>
              </w:tc>
              <w:tc>
                <w:tcPr>
                  <w:tcW w:w="2531" w:type="pct"/>
                  <w:tcBorders>
                    <w:top w:val="single" w:sz="6" w:space="0" w:color="BFBFBF"/>
                  </w:tcBorders>
                  <w:shd w:val="clear" w:color="auto" w:fill="FFFFFF" w:themeFill="background1"/>
                </w:tcPr>
                <w:p w14:paraId="5455052D" w14:textId="77777777" w:rsidR="009501B0" w:rsidRDefault="009501B0" w:rsidP="00152C9B">
                  <w:pPr>
                    <w:pStyle w:val="TableBullet"/>
                    <w:spacing w:before="40"/>
                  </w:pPr>
                  <w:r>
                    <w:t>Proportion of administration and investment services provided in</w:t>
                  </w:r>
                  <w:r>
                    <w:noBreakHyphen/>
                    <w:t>house, outsourced to related parties and outsourced to unrelated parties (input)</w:t>
                  </w:r>
                </w:p>
                <w:p w14:paraId="5CB4716D" w14:textId="77777777" w:rsidR="009501B0" w:rsidRDefault="009501B0" w:rsidP="00152C9B">
                  <w:pPr>
                    <w:pStyle w:val="TableBullet"/>
                    <w:spacing w:before="40"/>
                  </w:pPr>
                  <w:r>
                    <w:t>Proportion of insurance services outsourced to related parties (input)</w:t>
                  </w:r>
                  <w:r>
                    <w:br/>
                  </w:r>
                </w:p>
                <w:p w14:paraId="117059E3" w14:textId="77777777" w:rsidR="009501B0" w:rsidRDefault="009501B0" w:rsidP="00152C9B">
                  <w:pPr>
                    <w:pStyle w:val="TableBullet"/>
                    <w:spacing w:before="40"/>
                  </w:pPr>
                  <w:r>
                    <w:t>Switching between insourcing and outsourcing of wholesale functions by funds (behaviour)</w:t>
                  </w:r>
                </w:p>
                <w:p w14:paraId="1E351389" w14:textId="77777777" w:rsidR="009501B0" w:rsidRPr="008C11C9" w:rsidRDefault="009501B0" w:rsidP="00152C9B">
                  <w:pPr>
                    <w:pStyle w:val="TableBullet"/>
                    <w:spacing w:before="40"/>
                  </w:pPr>
                  <w:r w:rsidRPr="008C11C9">
                    <w:t>Alignment in the structure of member fees and underlying costs</w:t>
                  </w:r>
                  <w:r w:rsidRPr="00B15864">
                    <w:rPr>
                      <w:vertAlign w:val="superscript"/>
                    </w:rPr>
                    <w:t>#</w:t>
                  </w:r>
                  <w:r>
                    <w:t>*</w:t>
                  </w:r>
                  <w:r w:rsidRPr="008C11C9">
                    <w:t xml:space="preserve"> (output)</w:t>
                  </w:r>
                  <w:r>
                    <w:br/>
                  </w:r>
                </w:p>
                <w:p w14:paraId="753B3FD7" w14:textId="77777777" w:rsidR="009501B0" w:rsidRPr="008C11C9" w:rsidRDefault="009501B0" w:rsidP="00152C9B">
                  <w:pPr>
                    <w:pStyle w:val="TableBullet"/>
                    <w:spacing w:before="40"/>
                  </w:pPr>
                  <w:r w:rsidRPr="008C11C9">
                    <w:t>Cost and member fee differences from outsourcing services to related versus unrelated parties (output)</w:t>
                  </w:r>
                </w:p>
                <w:p w14:paraId="7D0D0979" w14:textId="77777777" w:rsidR="009501B0" w:rsidRPr="008C11C9" w:rsidRDefault="009501B0" w:rsidP="00152C9B">
                  <w:pPr>
                    <w:pStyle w:val="TableBullet"/>
                    <w:spacing w:before="40"/>
                  </w:pPr>
                  <w:r w:rsidRPr="008C11C9">
                    <w:t>Transparency and efficacy of fee disclosure by funds, including for distinct services</w:t>
                  </w:r>
                  <w:r w:rsidRPr="00B15864">
                    <w:rPr>
                      <w:vertAlign w:val="superscript"/>
                    </w:rPr>
                    <w:t>#</w:t>
                  </w:r>
                  <w:r w:rsidRPr="008C11C9">
                    <w:t xml:space="preserve"> (behaviour)</w:t>
                  </w:r>
                </w:p>
              </w:tc>
              <w:tc>
                <w:tcPr>
                  <w:tcW w:w="739" w:type="pct"/>
                  <w:tcBorders>
                    <w:top w:val="single" w:sz="6" w:space="0" w:color="BFBFBF"/>
                  </w:tcBorders>
                  <w:shd w:val="clear" w:color="auto" w:fill="FFFFFF" w:themeFill="background1"/>
                </w:tcPr>
                <w:p w14:paraId="78315639" w14:textId="77777777" w:rsidR="009501B0" w:rsidRDefault="009501B0" w:rsidP="00152C9B">
                  <w:pPr>
                    <w:pStyle w:val="TableBullet"/>
                    <w:spacing w:before="40"/>
                    <w:rPr>
                      <w:szCs w:val="24"/>
                    </w:rPr>
                  </w:pPr>
                  <w:r>
                    <w:rPr>
                      <w:szCs w:val="24"/>
                    </w:rPr>
                    <w:t>Trend analysis</w:t>
                  </w:r>
                  <w:r>
                    <w:rPr>
                      <w:szCs w:val="24"/>
                    </w:rPr>
                    <w:br/>
                  </w:r>
                </w:p>
                <w:p w14:paraId="17C5BEDF" w14:textId="77777777" w:rsidR="009501B0" w:rsidRDefault="009501B0" w:rsidP="00152C9B">
                  <w:pPr>
                    <w:pStyle w:val="TableBullet"/>
                    <w:spacing w:before="40"/>
                    <w:rPr>
                      <w:szCs w:val="24"/>
                    </w:rPr>
                  </w:pPr>
                  <w:r>
                    <w:rPr>
                      <w:szCs w:val="24"/>
                    </w:rPr>
                    <w:t>Trend analysis</w:t>
                  </w:r>
                  <w:r>
                    <w:rPr>
                      <w:szCs w:val="24"/>
                    </w:rPr>
                    <w:br/>
                  </w:r>
                </w:p>
                <w:p w14:paraId="183835B9" w14:textId="77777777" w:rsidR="009501B0" w:rsidRDefault="009501B0" w:rsidP="00152C9B">
                  <w:pPr>
                    <w:pStyle w:val="TableBullet"/>
                    <w:spacing w:before="40"/>
                    <w:rPr>
                      <w:szCs w:val="24"/>
                    </w:rPr>
                  </w:pPr>
                  <w:r>
                    <w:rPr>
                      <w:szCs w:val="24"/>
                    </w:rPr>
                    <w:t>Trend analysis</w:t>
                  </w:r>
                  <w:r>
                    <w:rPr>
                      <w:szCs w:val="24"/>
                    </w:rPr>
                    <w:br/>
                  </w:r>
                </w:p>
                <w:p w14:paraId="3F71C356" w14:textId="77777777" w:rsidR="009501B0" w:rsidRDefault="009501B0" w:rsidP="00152C9B">
                  <w:pPr>
                    <w:pStyle w:val="TableBullet"/>
                    <w:spacing w:before="40"/>
                    <w:rPr>
                      <w:szCs w:val="24"/>
                    </w:rPr>
                  </w:pPr>
                  <w:r w:rsidRPr="00335F88">
                    <w:rPr>
                      <w:szCs w:val="24"/>
                    </w:rPr>
                    <w:t>Econometrics; qualitative</w:t>
                  </w:r>
                </w:p>
                <w:p w14:paraId="0A5F9EE0" w14:textId="77777777" w:rsidR="009501B0" w:rsidRPr="00335F88" w:rsidRDefault="009501B0" w:rsidP="00152C9B">
                  <w:pPr>
                    <w:pStyle w:val="TableBullet"/>
                    <w:spacing w:before="40"/>
                    <w:rPr>
                      <w:szCs w:val="24"/>
                    </w:rPr>
                  </w:pPr>
                  <w:r w:rsidRPr="00335F88">
                    <w:rPr>
                      <w:szCs w:val="24"/>
                    </w:rPr>
                    <w:t>Trend analysis</w:t>
                  </w:r>
                  <w:r w:rsidRPr="00335F88">
                    <w:rPr>
                      <w:szCs w:val="24"/>
                    </w:rPr>
                    <w:br/>
                  </w:r>
                </w:p>
                <w:p w14:paraId="115EA8AE" w14:textId="77777777" w:rsidR="009501B0" w:rsidRPr="00654F2E" w:rsidRDefault="009501B0" w:rsidP="00152C9B">
                  <w:pPr>
                    <w:pStyle w:val="TableBullet"/>
                    <w:spacing w:before="40"/>
                    <w:rPr>
                      <w:szCs w:val="24"/>
                    </w:rPr>
                  </w:pPr>
                  <w:r>
                    <w:rPr>
                      <w:szCs w:val="24"/>
                    </w:rPr>
                    <w:t>Qualitative</w:t>
                  </w:r>
                </w:p>
              </w:tc>
              <w:tc>
                <w:tcPr>
                  <w:tcW w:w="991" w:type="pct"/>
                  <w:tcBorders>
                    <w:top w:val="single" w:sz="6" w:space="0" w:color="BFBFBF"/>
                  </w:tcBorders>
                  <w:shd w:val="clear" w:color="auto" w:fill="FFFFFF" w:themeFill="background1"/>
                </w:tcPr>
                <w:p w14:paraId="7779E29D" w14:textId="77777777" w:rsidR="009501B0" w:rsidRDefault="009501B0" w:rsidP="00152C9B">
                  <w:pPr>
                    <w:pStyle w:val="TableBullet"/>
                    <w:spacing w:before="40"/>
                    <w:rPr>
                      <w:szCs w:val="24"/>
                    </w:rPr>
                  </w:pPr>
                  <w:r>
                    <w:rPr>
                      <w:szCs w:val="24"/>
                    </w:rPr>
                    <w:t>Regulator data; fund disclosures; fund surveys</w:t>
                  </w:r>
                </w:p>
                <w:p w14:paraId="19F7A536" w14:textId="77777777" w:rsidR="009501B0" w:rsidRDefault="009501B0" w:rsidP="00152C9B">
                  <w:pPr>
                    <w:pStyle w:val="TableBullet"/>
                    <w:spacing w:before="40"/>
                    <w:rPr>
                      <w:szCs w:val="24"/>
                    </w:rPr>
                  </w:pPr>
                  <w:r>
                    <w:rPr>
                      <w:szCs w:val="24"/>
                    </w:rPr>
                    <w:t>Regulator data; fund disclosures; fund surveys</w:t>
                  </w:r>
                </w:p>
                <w:p w14:paraId="4C89CBFA" w14:textId="77777777" w:rsidR="009501B0" w:rsidRDefault="009501B0" w:rsidP="00152C9B">
                  <w:pPr>
                    <w:pStyle w:val="TableBullet"/>
                    <w:spacing w:before="40"/>
                    <w:rPr>
                      <w:szCs w:val="24"/>
                    </w:rPr>
                  </w:pPr>
                  <w:r w:rsidRPr="00335F88">
                    <w:rPr>
                      <w:szCs w:val="24"/>
                    </w:rPr>
                    <w:t>Fund disclosures; fund surveys</w:t>
                  </w:r>
                </w:p>
                <w:p w14:paraId="5D631AF9" w14:textId="77777777" w:rsidR="009501B0" w:rsidRPr="00335F88" w:rsidRDefault="009501B0" w:rsidP="00152C9B">
                  <w:pPr>
                    <w:pStyle w:val="TableBullet"/>
                    <w:spacing w:before="40"/>
                    <w:rPr>
                      <w:szCs w:val="24"/>
                    </w:rPr>
                  </w:pPr>
                  <w:r w:rsidRPr="00335F88">
                    <w:rPr>
                      <w:szCs w:val="24"/>
                    </w:rPr>
                    <w:t xml:space="preserve">Regulator data; </w:t>
                  </w:r>
                  <w:r>
                    <w:t>fund disclosures; research firms</w:t>
                  </w:r>
                </w:p>
                <w:p w14:paraId="3E0EA48A" w14:textId="77777777" w:rsidR="009501B0" w:rsidRDefault="009501B0" w:rsidP="00152C9B">
                  <w:pPr>
                    <w:pStyle w:val="TableBullet"/>
                    <w:rPr>
                      <w:szCs w:val="24"/>
                    </w:rPr>
                  </w:pPr>
                  <w:r>
                    <w:rPr>
                      <w:szCs w:val="24"/>
                    </w:rPr>
                    <w:t>Fund s</w:t>
                  </w:r>
                  <w:r w:rsidRPr="00D46B60">
                    <w:rPr>
                      <w:szCs w:val="24"/>
                    </w:rPr>
                    <w:t>urveys</w:t>
                  </w:r>
                  <w:r w:rsidRPr="00D5101A">
                    <w:rPr>
                      <w:szCs w:val="24"/>
                    </w:rPr>
                    <w:t>; regulator data; fund disclosures</w:t>
                  </w:r>
                </w:p>
                <w:p w14:paraId="52CB130E" w14:textId="77777777" w:rsidR="009501B0" w:rsidRDefault="009501B0" w:rsidP="00152C9B">
                  <w:pPr>
                    <w:pStyle w:val="TableBullet"/>
                    <w:spacing w:before="40"/>
                    <w:rPr>
                      <w:szCs w:val="24"/>
                    </w:rPr>
                  </w:pPr>
                  <w:r>
                    <w:rPr>
                      <w:szCs w:val="24"/>
                    </w:rPr>
                    <w:t>Reviews by others</w:t>
                  </w:r>
                </w:p>
              </w:tc>
            </w:tr>
            <w:tr w:rsidR="009501B0" w14:paraId="068D4520" w14:textId="77777777" w:rsidTr="00152C9B">
              <w:tc>
                <w:tcPr>
                  <w:tcW w:w="739" w:type="pct"/>
                  <w:tcBorders>
                    <w:bottom w:val="single" w:sz="6" w:space="0" w:color="BFBFBF"/>
                  </w:tcBorders>
                  <w:shd w:val="pct5" w:color="auto" w:fill="FFFFFF" w:themeFill="background1"/>
                </w:tcPr>
                <w:p w14:paraId="44001F64" w14:textId="77777777" w:rsidR="009501B0" w:rsidRPr="00CB7A16" w:rsidRDefault="009501B0" w:rsidP="00152C9B">
                  <w:pPr>
                    <w:pStyle w:val="TableBodyText"/>
                    <w:jc w:val="left"/>
                  </w:pPr>
                  <w:r>
                    <w:t>C6. Do funds compete on costs/price?</w:t>
                  </w:r>
                </w:p>
              </w:tc>
              <w:tc>
                <w:tcPr>
                  <w:tcW w:w="2531" w:type="pct"/>
                  <w:tcBorders>
                    <w:bottom w:val="single" w:sz="6" w:space="0" w:color="BFBFBF"/>
                  </w:tcBorders>
                  <w:shd w:val="pct5" w:color="auto" w:fill="FFFFFF" w:themeFill="background1"/>
                </w:tcPr>
                <w:p w14:paraId="53C10755" w14:textId="77777777" w:rsidR="009501B0" w:rsidRDefault="009501B0" w:rsidP="00152C9B">
                  <w:pPr>
                    <w:pStyle w:val="TableBullet"/>
                  </w:pPr>
                  <w:r>
                    <w:t>Costs relative to assets and number of accounts by service (</w:t>
                  </w:r>
                  <w:r w:rsidRPr="00D5101A">
                    <w:t>investment, administration and insurance services</w:t>
                  </w:r>
                  <w:r>
                    <w:t>) and by market segment (input)</w:t>
                  </w:r>
                </w:p>
                <w:p w14:paraId="2F433713" w14:textId="77777777" w:rsidR="009501B0" w:rsidRDefault="009501B0" w:rsidP="00152C9B">
                  <w:pPr>
                    <w:pStyle w:val="TableBullet"/>
                  </w:pPr>
                  <w:r>
                    <w:t>Fees relative to assets and number of accounts by service (</w:t>
                  </w:r>
                  <w:r w:rsidRPr="00D5101A">
                    <w:t>investment, administration and insurance services</w:t>
                  </w:r>
                  <w:r>
                    <w:t>) and by market segment (output)</w:t>
                  </w:r>
                </w:p>
                <w:p w14:paraId="40A49CA8" w14:textId="77777777" w:rsidR="009501B0" w:rsidRPr="008C11C9" w:rsidRDefault="009501B0" w:rsidP="00152C9B">
                  <w:pPr>
                    <w:pStyle w:val="TableBullet"/>
                  </w:pPr>
                  <w:r>
                    <w:t>Fund margins (output)</w:t>
                  </w:r>
                </w:p>
                <w:p w14:paraId="061AC12F" w14:textId="77777777" w:rsidR="009501B0" w:rsidRPr="008C11C9" w:rsidRDefault="009501B0" w:rsidP="00152C9B">
                  <w:pPr>
                    <w:pStyle w:val="TableBullet"/>
                  </w:pPr>
                  <w:r w:rsidRPr="008C11C9">
                    <w:t>Investment management</w:t>
                  </w:r>
                  <w:r>
                    <w:t xml:space="preserve"> costs and</w:t>
                  </w:r>
                  <w:r w:rsidRPr="008C11C9">
                    <w:t xml:space="preserve"> fees by asset class compared to other countries* (output)</w:t>
                  </w:r>
                </w:p>
                <w:p w14:paraId="4B71EDFB" w14:textId="77777777" w:rsidR="009501B0" w:rsidRDefault="009501B0" w:rsidP="00152C9B">
                  <w:pPr>
                    <w:pStyle w:val="TableBullet"/>
                  </w:pPr>
                  <w:r w:rsidRPr="008C11C9">
                    <w:t xml:space="preserve">Alignment </w:t>
                  </w:r>
                  <w:r>
                    <w:t>in</w:t>
                  </w:r>
                  <w:r w:rsidRPr="008C11C9">
                    <w:t xml:space="preserve"> the structure of member fees and underlying costs</w:t>
                  </w:r>
                  <w:r w:rsidRPr="00B15864">
                    <w:rPr>
                      <w:vertAlign w:val="superscript"/>
                    </w:rPr>
                    <w:t>#</w:t>
                  </w:r>
                  <w:r>
                    <w:t>*</w:t>
                  </w:r>
                  <w:r w:rsidRPr="008C11C9">
                    <w:t xml:space="preserve"> (output)</w:t>
                  </w:r>
                  <w:r>
                    <w:br/>
                  </w:r>
                </w:p>
                <w:p w14:paraId="6CC3A214" w14:textId="77777777" w:rsidR="009501B0" w:rsidRPr="008C11C9" w:rsidRDefault="009501B0" w:rsidP="00152C9B">
                  <w:pPr>
                    <w:pStyle w:val="TableBullet"/>
                  </w:pPr>
                  <w:r w:rsidRPr="008C11C9">
                    <w:t>Transparency and efficacy of fee disclosure by funds, including for distinct services</w:t>
                  </w:r>
                  <w:r w:rsidRPr="00B15864">
                    <w:rPr>
                      <w:vertAlign w:val="superscript"/>
                    </w:rPr>
                    <w:t>#</w:t>
                  </w:r>
                  <w:r w:rsidRPr="008C11C9">
                    <w:t xml:space="preserve"> (behaviour)</w:t>
                  </w:r>
                </w:p>
              </w:tc>
              <w:tc>
                <w:tcPr>
                  <w:tcW w:w="739" w:type="pct"/>
                  <w:tcBorders>
                    <w:bottom w:val="single" w:sz="6" w:space="0" w:color="BFBFBF"/>
                  </w:tcBorders>
                  <w:shd w:val="pct5" w:color="auto" w:fill="FFFFFF" w:themeFill="background1"/>
                </w:tcPr>
                <w:p w14:paraId="282DC8B0" w14:textId="77777777" w:rsidR="009501B0" w:rsidRDefault="009501B0" w:rsidP="00152C9B">
                  <w:pPr>
                    <w:pStyle w:val="TableBullet"/>
                  </w:pPr>
                  <w:r>
                    <w:t>Trend analysis</w:t>
                  </w:r>
                  <w:r>
                    <w:br/>
                  </w:r>
                </w:p>
                <w:p w14:paraId="7F78BF4E" w14:textId="77777777" w:rsidR="009501B0" w:rsidRDefault="009501B0" w:rsidP="00152C9B">
                  <w:pPr>
                    <w:pStyle w:val="TableBullet"/>
                  </w:pPr>
                  <w:r>
                    <w:t>Trend analysis</w:t>
                  </w:r>
                  <w:r>
                    <w:br/>
                  </w:r>
                </w:p>
                <w:p w14:paraId="56501C74" w14:textId="77777777" w:rsidR="009501B0" w:rsidRDefault="009501B0" w:rsidP="00152C9B">
                  <w:pPr>
                    <w:pStyle w:val="TableBullet"/>
                  </w:pPr>
                  <w:r>
                    <w:t>Trend analysis</w:t>
                  </w:r>
                </w:p>
                <w:p w14:paraId="5A607790" w14:textId="77777777" w:rsidR="009501B0" w:rsidRDefault="009501B0" w:rsidP="00152C9B">
                  <w:pPr>
                    <w:pStyle w:val="TableBullet"/>
                  </w:pPr>
                  <w:r>
                    <w:t>Trend analysis</w:t>
                  </w:r>
                  <w:r>
                    <w:br/>
                  </w:r>
                </w:p>
                <w:p w14:paraId="41D7BEF5" w14:textId="77777777" w:rsidR="009501B0" w:rsidRDefault="009501B0" w:rsidP="00152C9B">
                  <w:pPr>
                    <w:pStyle w:val="TableBullet"/>
                  </w:pPr>
                  <w:r>
                    <w:t>Econometrics; qualitative</w:t>
                  </w:r>
                </w:p>
                <w:p w14:paraId="0CC58936" w14:textId="77777777" w:rsidR="009501B0" w:rsidRPr="00654F2E" w:rsidRDefault="009501B0" w:rsidP="00152C9B">
                  <w:pPr>
                    <w:pStyle w:val="TableBullet"/>
                  </w:pPr>
                  <w:r>
                    <w:t>Qualitative</w:t>
                  </w:r>
                </w:p>
              </w:tc>
              <w:tc>
                <w:tcPr>
                  <w:tcW w:w="991" w:type="pct"/>
                  <w:tcBorders>
                    <w:bottom w:val="single" w:sz="6" w:space="0" w:color="BFBFBF"/>
                  </w:tcBorders>
                  <w:shd w:val="pct5" w:color="auto" w:fill="FFFFFF" w:themeFill="background1"/>
                </w:tcPr>
                <w:p w14:paraId="112D85AE" w14:textId="77777777" w:rsidR="009501B0" w:rsidRDefault="009501B0" w:rsidP="00152C9B">
                  <w:pPr>
                    <w:pStyle w:val="TableBullet"/>
                  </w:pPr>
                  <w:r>
                    <w:t xml:space="preserve">Regulator data; </w:t>
                  </w:r>
                  <w:r w:rsidRPr="00D5101A">
                    <w:t>research firms; fund disclosures</w:t>
                  </w:r>
                </w:p>
                <w:p w14:paraId="1A6E2C5F" w14:textId="77777777" w:rsidR="009501B0" w:rsidRDefault="009501B0" w:rsidP="00152C9B">
                  <w:pPr>
                    <w:pStyle w:val="TableBullet"/>
                  </w:pPr>
                  <w:r>
                    <w:t xml:space="preserve">Regulator data; </w:t>
                  </w:r>
                  <w:r w:rsidRPr="00D5101A">
                    <w:t>research firms; fund disclosures</w:t>
                  </w:r>
                </w:p>
                <w:p w14:paraId="0FA8E8EB" w14:textId="77777777" w:rsidR="009501B0" w:rsidRDefault="009501B0" w:rsidP="00152C9B">
                  <w:pPr>
                    <w:pStyle w:val="TableBullet"/>
                  </w:pPr>
                  <w:r>
                    <w:t>Research firms</w:t>
                  </w:r>
                </w:p>
                <w:p w14:paraId="5DFC3FE2" w14:textId="77777777" w:rsidR="009501B0" w:rsidRDefault="009501B0" w:rsidP="00152C9B">
                  <w:pPr>
                    <w:pStyle w:val="TableBullet"/>
                  </w:pPr>
                  <w:r>
                    <w:t>Research firms; fund disclosures</w:t>
                  </w:r>
                </w:p>
                <w:p w14:paraId="312BAA01" w14:textId="77777777" w:rsidR="009501B0" w:rsidRDefault="009501B0" w:rsidP="00152C9B">
                  <w:pPr>
                    <w:pStyle w:val="TableBullet"/>
                  </w:pPr>
                  <w:r>
                    <w:t>Regulator data; fund disclosures; research firms</w:t>
                  </w:r>
                </w:p>
                <w:p w14:paraId="7325A73A" w14:textId="77777777" w:rsidR="009501B0" w:rsidRDefault="009501B0" w:rsidP="00152C9B">
                  <w:pPr>
                    <w:pStyle w:val="TableBullet"/>
                  </w:pPr>
                  <w:r>
                    <w:t>Reviews by others</w:t>
                  </w:r>
                </w:p>
              </w:tc>
            </w:tr>
          </w:tbl>
          <w:p w14:paraId="74A18336" w14:textId="77777777" w:rsidR="009501B0" w:rsidRDefault="009501B0" w:rsidP="00152C9B">
            <w:pPr>
              <w:pStyle w:val="Box"/>
            </w:pPr>
          </w:p>
        </w:tc>
      </w:tr>
      <w:tr w:rsidR="009501B0" w14:paraId="1C17390D" w14:textId="77777777" w:rsidTr="00687440">
        <w:trPr>
          <w:cantSplit/>
        </w:trPr>
        <w:tc>
          <w:tcPr>
            <w:tcW w:w="5000" w:type="pct"/>
            <w:tcBorders>
              <w:top w:val="nil"/>
              <w:left w:val="nil"/>
              <w:bottom w:val="nil"/>
              <w:right w:val="nil"/>
            </w:tcBorders>
            <w:shd w:val="clear" w:color="auto" w:fill="auto"/>
          </w:tcPr>
          <w:p w14:paraId="1E28BE3F" w14:textId="77777777" w:rsidR="009501B0" w:rsidRDefault="009501B0" w:rsidP="00152C9B">
            <w:pPr>
              <w:pStyle w:val="Continued"/>
            </w:pPr>
            <w:r>
              <w:t>(continued next page)</w:t>
            </w:r>
          </w:p>
        </w:tc>
      </w:tr>
      <w:tr w:rsidR="009501B0" w14:paraId="58978B76" w14:textId="77777777" w:rsidTr="00687440">
        <w:trPr>
          <w:cantSplit/>
        </w:trPr>
        <w:tc>
          <w:tcPr>
            <w:tcW w:w="5000" w:type="pct"/>
            <w:tcBorders>
              <w:top w:val="nil"/>
              <w:left w:val="nil"/>
              <w:bottom w:val="single" w:sz="6" w:space="0" w:color="78A22F"/>
              <w:right w:val="nil"/>
            </w:tcBorders>
            <w:shd w:val="clear" w:color="auto" w:fill="auto"/>
          </w:tcPr>
          <w:p w14:paraId="41F46A1C" w14:textId="77777777" w:rsidR="009501B0" w:rsidRDefault="009501B0" w:rsidP="00152C9B">
            <w:pPr>
              <w:pStyle w:val="Box"/>
              <w:spacing w:before="0" w:line="120" w:lineRule="exact"/>
            </w:pPr>
          </w:p>
        </w:tc>
      </w:tr>
      <w:tr w:rsidR="009501B0" w:rsidRPr="000863A5" w14:paraId="268E33F3" w14:textId="77777777" w:rsidTr="00687440">
        <w:tc>
          <w:tcPr>
            <w:tcW w:w="5000" w:type="pct"/>
            <w:tcBorders>
              <w:top w:val="single" w:sz="6" w:space="0" w:color="78A22F"/>
              <w:left w:val="nil"/>
              <w:bottom w:val="nil"/>
              <w:right w:val="nil"/>
            </w:tcBorders>
          </w:tcPr>
          <w:p w14:paraId="48CE1F29" w14:textId="77777777" w:rsidR="009501B0" w:rsidRPr="00626D32" w:rsidRDefault="009501B0" w:rsidP="00152C9B">
            <w:pPr>
              <w:pStyle w:val="BoxSpaceBelow"/>
            </w:pPr>
          </w:p>
        </w:tc>
      </w:tr>
    </w:tbl>
    <w:p w14:paraId="386BB2C4" w14:textId="77777777" w:rsidR="009501B0" w:rsidRDefault="009501B0" w:rsidP="009501B0">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13721"/>
      </w:tblGrid>
      <w:tr w:rsidR="009501B0" w14:paraId="5969BEF6" w14:textId="77777777" w:rsidTr="00687440">
        <w:tc>
          <w:tcPr>
            <w:tcW w:w="5000" w:type="pct"/>
            <w:tcBorders>
              <w:top w:val="single" w:sz="6" w:space="0" w:color="78A22F"/>
              <w:left w:val="nil"/>
              <w:bottom w:val="nil"/>
              <w:right w:val="nil"/>
            </w:tcBorders>
            <w:shd w:val="clear" w:color="auto" w:fill="auto"/>
          </w:tcPr>
          <w:p w14:paraId="16B5D99B" w14:textId="77777777" w:rsidR="009501B0" w:rsidRPr="00784A05" w:rsidRDefault="009501B0" w:rsidP="00152C9B">
            <w:pPr>
              <w:pStyle w:val="TableTitle"/>
            </w:pPr>
            <w:r>
              <w:t>Competition</w:t>
            </w:r>
            <w:r w:rsidRPr="00C078F2">
              <w:rPr>
                <w:b w:val="0"/>
                <w:sz w:val="18"/>
                <w:szCs w:val="18"/>
              </w:rPr>
              <w:t xml:space="preserve"> (continued)</w:t>
            </w:r>
          </w:p>
        </w:tc>
      </w:tr>
      <w:tr w:rsidR="009501B0" w14:paraId="6CBE8F06" w14:textId="77777777" w:rsidTr="00687440">
        <w:trPr>
          <w:cantSplit/>
        </w:trPr>
        <w:tc>
          <w:tcPr>
            <w:tcW w:w="5000" w:type="pct"/>
            <w:tcBorders>
              <w:top w:val="nil"/>
              <w:left w:val="nil"/>
              <w:bottom w:val="nil"/>
              <w:right w:val="nil"/>
            </w:tcBorders>
            <w:shd w:val="clear" w:color="auto" w:fill="auto"/>
          </w:tcPr>
          <w:tbl>
            <w:tblPr>
              <w:tblW w:w="13457" w:type="dxa"/>
              <w:tblLayout w:type="fixed"/>
              <w:tblCellMar>
                <w:top w:w="28" w:type="dxa"/>
                <w:left w:w="0" w:type="dxa"/>
                <w:right w:w="0" w:type="dxa"/>
              </w:tblCellMar>
              <w:tblLook w:val="0000" w:firstRow="0" w:lastRow="0" w:firstColumn="0" w:lastColumn="0" w:noHBand="0" w:noVBand="0"/>
            </w:tblPr>
            <w:tblGrid>
              <w:gridCol w:w="1987"/>
              <w:gridCol w:w="6801"/>
              <w:gridCol w:w="1986"/>
              <w:gridCol w:w="2683"/>
            </w:tblGrid>
            <w:tr w:rsidR="009501B0" w14:paraId="508F90DC" w14:textId="77777777" w:rsidTr="00152C9B">
              <w:tc>
                <w:tcPr>
                  <w:tcW w:w="738" w:type="pct"/>
                  <w:tcBorders>
                    <w:top w:val="single" w:sz="6" w:space="0" w:color="BFBFBF"/>
                    <w:bottom w:val="single" w:sz="6" w:space="0" w:color="BFBFBF"/>
                  </w:tcBorders>
                  <w:shd w:val="clear" w:color="auto" w:fill="auto"/>
                  <w:tcMar>
                    <w:top w:w="28" w:type="dxa"/>
                  </w:tcMar>
                </w:tcPr>
                <w:p w14:paraId="48CFD149" w14:textId="77777777" w:rsidR="009501B0" w:rsidRDefault="009501B0" w:rsidP="00152C9B">
                  <w:pPr>
                    <w:pStyle w:val="TableColumnHeading"/>
                    <w:jc w:val="left"/>
                  </w:pPr>
                  <w:r>
                    <w:t>Assessment criteria</w:t>
                  </w:r>
                </w:p>
              </w:tc>
              <w:tc>
                <w:tcPr>
                  <w:tcW w:w="2527" w:type="pct"/>
                  <w:tcBorders>
                    <w:top w:val="single" w:sz="6" w:space="0" w:color="BFBFBF"/>
                    <w:bottom w:val="single" w:sz="6" w:space="0" w:color="BFBFBF"/>
                  </w:tcBorders>
                  <w:shd w:val="clear" w:color="auto" w:fill="auto"/>
                  <w:tcMar>
                    <w:top w:w="28" w:type="dxa"/>
                  </w:tcMar>
                </w:tcPr>
                <w:p w14:paraId="679CC944" w14:textId="77777777" w:rsidR="009501B0" w:rsidRDefault="009501B0" w:rsidP="00152C9B">
                  <w:pPr>
                    <w:pStyle w:val="TableColumnHeading"/>
                    <w:ind w:right="28"/>
                    <w:jc w:val="left"/>
                  </w:pPr>
                  <w:r>
                    <w:t>Indicators</w:t>
                  </w:r>
                </w:p>
              </w:tc>
              <w:tc>
                <w:tcPr>
                  <w:tcW w:w="738" w:type="pct"/>
                  <w:tcBorders>
                    <w:top w:val="single" w:sz="6" w:space="0" w:color="BFBFBF"/>
                    <w:bottom w:val="single" w:sz="6" w:space="0" w:color="BFBFBF"/>
                  </w:tcBorders>
                </w:tcPr>
                <w:p w14:paraId="04E21730" w14:textId="77777777" w:rsidR="009501B0" w:rsidRDefault="009501B0" w:rsidP="00152C9B">
                  <w:pPr>
                    <w:pStyle w:val="TableColumnHeading"/>
                    <w:ind w:right="28"/>
                    <w:jc w:val="left"/>
                  </w:pPr>
                  <w:r>
                    <w:t>Assessment methods</w:t>
                  </w:r>
                </w:p>
              </w:tc>
              <w:tc>
                <w:tcPr>
                  <w:tcW w:w="997" w:type="pct"/>
                  <w:tcBorders>
                    <w:top w:val="single" w:sz="6" w:space="0" w:color="BFBFBF"/>
                    <w:bottom w:val="single" w:sz="6" w:space="0" w:color="BFBFBF"/>
                  </w:tcBorders>
                </w:tcPr>
                <w:p w14:paraId="70A04BF9" w14:textId="77777777" w:rsidR="009501B0" w:rsidRDefault="009501B0" w:rsidP="00152C9B">
                  <w:pPr>
                    <w:pStyle w:val="TableColumnHeading"/>
                    <w:ind w:right="28"/>
                    <w:jc w:val="left"/>
                  </w:pPr>
                  <w:r>
                    <w:t>Expected data sources</w:t>
                  </w:r>
                </w:p>
              </w:tc>
            </w:tr>
            <w:tr w:rsidR="009501B0" w14:paraId="0250876B" w14:textId="77777777" w:rsidTr="00152C9B">
              <w:tc>
                <w:tcPr>
                  <w:tcW w:w="738" w:type="pct"/>
                  <w:tcBorders>
                    <w:top w:val="single" w:sz="6" w:space="0" w:color="BFBFBF"/>
                  </w:tcBorders>
                  <w:shd w:val="clear" w:color="auto" w:fill="FFFFFF" w:themeFill="background1"/>
                </w:tcPr>
                <w:p w14:paraId="2EB51613" w14:textId="77777777" w:rsidR="009501B0" w:rsidRPr="00CB7A16" w:rsidRDefault="009501B0" w:rsidP="00152C9B">
                  <w:pPr>
                    <w:pStyle w:val="TableBodyText"/>
                    <w:spacing w:before="40"/>
                    <w:jc w:val="left"/>
                  </w:pPr>
                  <w:r>
                    <w:t xml:space="preserve">C7. Are </w:t>
                  </w:r>
                  <w:r w:rsidRPr="00CB7A16">
                    <w:t>economies of scale</w:t>
                  </w:r>
                  <w:r>
                    <w:t xml:space="preserve"> realised and the benefits passed through to members?</w:t>
                  </w:r>
                </w:p>
              </w:tc>
              <w:tc>
                <w:tcPr>
                  <w:tcW w:w="2527" w:type="pct"/>
                  <w:tcBorders>
                    <w:top w:val="single" w:sz="6" w:space="0" w:color="BFBFBF"/>
                  </w:tcBorders>
                  <w:shd w:val="clear" w:color="auto" w:fill="FFFFFF" w:themeFill="background1"/>
                </w:tcPr>
                <w:p w14:paraId="741C9BAF" w14:textId="77777777" w:rsidR="009501B0" w:rsidRDefault="009501B0" w:rsidP="00152C9B">
                  <w:pPr>
                    <w:pStyle w:val="TableBullet"/>
                    <w:spacing w:before="40"/>
                  </w:pPr>
                  <w:r w:rsidRPr="008C11C9">
                    <w:t xml:space="preserve">Unused scale economies at </w:t>
                  </w:r>
                  <w:r>
                    <w:t>fund</w:t>
                  </w:r>
                  <w:r w:rsidRPr="008C11C9">
                    <w:t xml:space="preserve"> level</w:t>
                  </w:r>
                  <w:r>
                    <w:t>*</w:t>
                  </w:r>
                  <w:r w:rsidRPr="008C11C9">
                    <w:t xml:space="preserve"> (output)</w:t>
                  </w:r>
                  <w:r>
                    <w:br/>
                  </w:r>
                </w:p>
                <w:p w14:paraId="088D7F0A" w14:textId="77777777" w:rsidR="009501B0" w:rsidRPr="008C11C9" w:rsidRDefault="009501B0" w:rsidP="00152C9B">
                  <w:pPr>
                    <w:pStyle w:val="TableBullet"/>
                  </w:pPr>
                  <w:r w:rsidRPr="00C95F75">
                    <w:t>Entries, exits and consolidations of funds</w:t>
                  </w:r>
                  <w:r w:rsidRPr="00B15864">
                    <w:rPr>
                      <w:vertAlign w:val="superscript"/>
                    </w:rPr>
                    <w:t>#</w:t>
                  </w:r>
                  <w:r w:rsidRPr="00C95F75" w:rsidDel="00C95F75">
                    <w:t xml:space="preserve"> </w:t>
                  </w:r>
                  <w:r w:rsidRPr="008C11C9">
                    <w:t>(output)</w:t>
                  </w:r>
                  <w:r>
                    <w:br/>
                    <w:t xml:space="preserve"> </w:t>
                  </w:r>
                </w:p>
                <w:p w14:paraId="374F5CDA" w14:textId="77777777" w:rsidR="009501B0" w:rsidRDefault="009501B0" w:rsidP="00152C9B">
                  <w:pPr>
                    <w:pStyle w:val="TableBullet"/>
                    <w:spacing w:before="40"/>
                  </w:pPr>
                  <w:r w:rsidRPr="008C11C9">
                    <w:t>Pass</w:t>
                  </w:r>
                  <w:r>
                    <w:t xml:space="preserve"> </w:t>
                  </w:r>
                  <w:r w:rsidRPr="008C11C9">
                    <w:t>through of benefits from scale economies (wholesale and retail) to members</w:t>
                  </w:r>
                  <w:r>
                    <w:t>*</w:t>
                  </w:r>
                  <w:r w:rsidRPr="008C11C9">
                    <w:t xml:space="preserve"> (output)</w:t>
                  </w:r>
                </w:p>
                <w:p w14:paraId="7AA9F633" w14:textId="77777777" w:rsidR="009501B0" w:rsidRPr="008C11C9" w:rsidRDefault="009501B0" w:rsidP="00152C9B">
                  <w:pPr>
                    <w:pStyle w:val="TableBullet"/>
                    <w:spacing w:before="40"/>
                  </w:pPr>
                  <w:r>
                    <w:t>Alignment in the structure of member fees and underlying costs</w:t>
                  </w:r>
                  <w:r w:rsidRPr="00B15864">
                    <w:rPr>
                      <w:vertAlign w:val="superscript"/>
                    </w:rPr>
                    <w:t>#</w:t>
                  </w:r>
                  <w:r>
                    <w:t>* (output)</w:t>
                  </w:r>
                  <w:r>
                    <w:br/>
                  </w:r>
                </w:p>
                <w:p w14:paraId="65570F04" w14:textId="77777777" w:rsidR="009501B0" w:rsidRPr="008C11C9" w:rsidRDefault="009501B0" w:rsidP="00152C9B">
                  <w:pPr>
                    <w:pStyle w:val="TableBullet"/>
                    <w:spacing w:before="40"/>
                  </w:pPr>
                  <w:r w:rsidRPr="008C11C9">
                    <w:t>Increased diversification due to growing scale (input)</w:t>
                  </w:r>
                </w:p>
              </w:tc>
              <w:tc>
                <w:tcPr>
                  <w:tcW w:w="738" w:type="pct"/>
                  <w:tcBorders>
                    <w:top w:val="single" w:sz="6" w:space="0" w:color="BFBFBF"/>
                  </w:tcBorders>
                  <w:shd w:val="clear" w:color="auto" w:fill="FFFFFF" w:themeFill="background1"/>
                </w:tcPr>
                <w:p w14:paraId="57E7FC78" w14:textId="77777777" w:rsidR="009501B0" w:rsidRDefault="009501B0" w:rsidP="00152C9B">
                  <w:pPr>
                    <w:pStyle w:val="TableBullet"/>
                    <w:spacing w:before="40"/>
                  </w:pPr>
                  <w:r>
                    <w:t>Econometrics</w:t>
                  </w:r>
                  <w:r>
                    <w:br/>
                  </w:r>
                </w:p>
                <w:p w14:paraId="79CD76A2" w14:textId="77777777" w:rsidR="009501B0" w:rsidRDefault="009501B0" w:rsidP="00152C9B">
                  <w:pPr>
                    <w:pStyle w:val="TableBullet"/>
                    <w:spacing w:before="40"/>
                  </w:pPr>
                  <w:r>
                    <w:t>Trend analysis</w:t>
                  </w:r>
                  <w:r>
                    <w:br/>
                  </w:r>
                </w:p>
                <w:p w14:paraId="5A4D2C65" w14:textId="77777777" w:rsidR="009501B0" w:rsidRDefault="009501B0" w:rsidP="00152C9B">
                  <w:pPr>
                    <w:pStyle w:val="TableBullet"/>
                    <w:spacing w:before="40"/>
                  </w:pPr>
                  <w:r>
                    <w:t>Econometrics</w:t>
                  </w:r>
                  <w:r>
                    <w:br/>
                  </w:r>
                </w:p>
                <w:p w14:paraId="5DAD0F28" w14:textId="77777777" w:rsidR="009501B0" w:rsidRDefault="009501B0" w:rsidP="00152C9B">
                  <w:pPr>
                    <w:pStyle w:val="TableBullet"/>
                    <w:spacing w:before="40"/>
                  </w:pPr>
                  <w:r>
                    <w:t>Econometrics; qualitative</w:t>
                  </w:r>
                </w:p>
                <w:p w14:paraId="532B6405" w14:textId="77777777" w:rsidR="009501B0" w:rsidRPr="00654F2E" w:rsidRDefault="009501B0" w:rsidP="00152C9B">
                  <w:pPr>
                    <w:pStyle w:val="TableBullet"/>
                    <w:spacing w:before="40"/>
                  </w:pPr>
                  <w:r>
                    <w:t>Econometrics</w:t>
                  </w:r>
                </w:p>
              </w:tc>
              <w:tc>
                <w:tcPr>
                  <w:tcW w:w="997" w:type="pct"/>
                  <w:tcBorders>
                    <w:top w:val="single" w:sz="6" w:space="0" w:color="BFBFBF"/>
                  </w:tcBorders>
                  <w:shd w:val="clear" w:color="auto" w:fill="FFFFFF" w:themeFill="background1"/>
                </w:tcPr>
                <w:p w14:paraId="42A902A3" w14:textId="77777777" w:rsidR="009501B0" w:rsidRDefault="009501B0" w:rsidP="00152C9B">
                  <w:pPr>
                    <w:pStyle w:val="TableBullet"/>
                    <w:spacing w:before="40"/>
                  </w:pPr>
                  <w:r>
                    <w:t>Regulator data; research firms</w:t>
                  </w:r>
                </w:p>
                <w:p w14:paraId="68D6F37D" w14:textId="77777777" w:rsidR="009501B0" w:rsidRDefault="009501B0" w:rsidP="00152C9B">
                  <w:pPr>
                    <w:pStyle w:val="TableBullet"/>
                    <w:spacing w:before="40"/>
                  </w:pPr>
                  <w:r>
                    <w:t>Regulator data; fund disclosures</w:t>
                  </w:r>
                </w:p>
                <w:p w14:paraId="1947FF2B" w14:textId="77777777" w:rsidR="009501B0" w:rsidRDefault="009501B0" w:rsidP="00152C9B">
                  <w:pPr>
                    <w:pStyle w:val="TableBullet"/>
                    <w:spacing w:before="40"/>
                  </w:pPr>
                  <w:r>
                    <w:t>Research firms; fund disclosures</w:t>
                  </w:r>
                </w:p>
                <w:p w14:paraId="7A14D8A7" w14:textId="77777777" w:rsidR="009501B0" w:rsidRDefault="009501B0" w:rsidP="00152C9B">
                  <w:pPr>
                    <w:pStyle w:val="TableBullet"/>
                    <w:spacing w:before="40"/>
                    <w:rPr>
                      <w:szCs w:val="24"/>
                    </w:rPr>
                  </w:pPr>
                  <w:r w:rsidRPr="00D46B60">
                    <w:rPr>
                      <w:szCs w:val="24"/>
                    </w:rPr>
                    <w:t xml:space="preserve">Regulator data; </w:t>
                  </w:r>
                  <w:r>
                    <w:t>fund disclosures; research firms</w:t>
                  </w:r>
                </w:p>
                <w:p w14:paraId="0CC87C2D" w14:textId="77777777" w:rsidR="009501B0" w:rsidRDefault="009501B0" w:rsidP="00152C9B">
                  <w:pPr>
                    <w:pStyle w:val="TableBullet"/>
                    <w:spacing w:before="40"/>
                    <w:rPr>
                      <w:szCs w:val="24"/>
                    </w:rPr>
                  </w:pPr>
                  <w:r>
                    <w:t>Regulator data; research firms</w:t>
                  </w:r>
                </w:p>
              </w:tc>
            </w:tr>
            <w:tr w:rsidR="009501B0" w14:paraId="10DA6540" w14:textId="77777777" w:rsidTr="00152C9B">
              <w:tc>
                <w:tcPr>
                  <w:tcW w:w="738" w:type="pct"/>
                  <w:shd w:val="pct5" w:color="auto" w:fill="FFFFFF" w:themeFill="background1"/>
                </w:tcPr>
                <w:p w14:paraId="6667C8C5" w14:textId="77777777" w:rsidR="009501B0" w:rsidRDefault="009501B0" w:rsidP="00152C9B">
                  <w:pPr>
                    <w:pStyle w:val="TableBodyText"/>
                    <w:jc w:val="left"/>
                  </w:pPr>
                  <w:r>
                    <w:t>C8. Do funds compete on member</w:t>
                  </w:r>
                  <w:r>
                    <w:noBreakHyphen/>
                  </w:r>
                  <w:r w:rsidRPr="00CB7A16">
                    <w:t xml:space="preserve">relevant </w:t>
                  </w:r>
                  <w:r>
                    <w:t>non</w:t>
                  </w:r>
                  <w:r>
                    <w:noBreakHyphen/>
                    <w:t xml:space="preserve">price </w:t>
                  </w:r>
                  <w:r w:rsidRPr="00CB7A16">
                    <w:t>dimensions</w:t>
                  </w:r>
                  <w:r>
                    <w:t>?</w:t>
                  </w:r>
                </w:p>
              </w:tc>
              <w:tc>
                <w:tcPr>
                  <w:tcW w:w="2527" w:type="pct"/>
                  <w:shd w:val="pct5" w:color="auto" w:fill="FFFFFF" w:themeFill="background1"/>
                </w:tcPr>
                <w:p w14:paraId="368E108D" w14:textId="77777777" w:rsidR="009501B0" w:rsidRDefault="009501B0" w:rsidP="00152C9B">
                  <w:pPr>
                    <w:pStyle w:val="TableBullet"/>
                  </w:pPr>
                  <w:r w:rsidRPr="00C41B74">
                    <w:t>Number of accumulation products (aggregate and per fund)</w:t>
                  </w:r>
                  <w:r>
                    <w:t>* (output)</w:t>
                  </w:r>
                </w:p>
                <w:p w14:paraId="031DB9AF" w14:textId="77777777" w:rsidR="009501B0" w:rsidRPr="008C11C9" w:rsidRDefault="009501B0" w:rsidP="00152C9B">
                  <w:pPr>
                    <w:pStyle w:val="TableBullet"/>
                  </w:pPr>
                  <w:r w:rsidRPr="008C11C9">
                    <w:t xml:space="preserve">Fund marketing </w:t>
                  </w:r>
                  <w:r w:rsidRPr="00A01C78">
                    <w:t xml:space="preserve">expenditure (share of operating expenditure) </w:t>
                  </w:r>
                  <w:r w:rsidRPr="008C11C9">
                    <w:t>(input)</w:t>
                  </w:r>
                  <w:r>
                    <w:br/>
                  </w:r>
                </w:p>
                <w:p w14:paraId="2669147D" w14:textId="77777777" w:rsidR="009501B0" w:rsidRDefault="009501B0" w:rsidP="00152C9B">
                  <w:pPr>
                    <w:pStyle w:val="TableBullet"/>
                  </w:pPr>
                  <w:r w:rsidRPr="00C41B74">
                    <w:t>Fund</w:t>
                  </w:r>
                  <w:r>
                    <w:t>s’</w:t>
                  </w:r>
                  <w:r w:rsidRPr="00C41B74">
                    <w:t xml:space="preserve"> use of member information to in</w:t>
                  </w:r>
                  <w:r>
                    <w:t>form product design and pricing*</w:t>
                  </w:r>
                  <w:r w:rsidRPr="00C41B74">
                    <w:t xml:space="preserve"> (input)</w:t>
                  </w:r>
                </w:p>
                <w:p w14:paraId="2843D5CE" w14:textId="77777777" w:rsidR="009501B0" w:rsidRPr="008C11C9" w:rsidRDefault="009501B0" w:rsidP="00152C9B">
                  <w:pPr>
                    <w:pStyle w:val="TableBullet"/>
                  </w:pPr>
                  <w:r w:rsidRPr="00C41B74">
                    <w:t>Availability of meaningful and comparable information on fees, product features (including insurance) and risks</w:t>
                  </w:r>
                  <w:r w:rsidRPr="00B15864">
                    <w:rPr>
                      <w:vertAlign w:val="superscript"/>
                    </w:rPr>
                    <w:t>#</w:t>
                  </w:r>
                  <w:r w:rsidRPr="008C11C9">
                    <w:t>* (input)</w:t>
                  </w:r>
                </w:p>
                <w:p w14:paraId="4D6E1AE0" w14:textId="77777777" w:rsidR="009501B0" w:rsidRPr="008C11C9" w:rsidRDefault="009501B0" w:rsidP="00152C9B">
                  <w:pPr>
                    <w:pStyle w:val="TableBullet"/>
                  </w:pPr>
                  <w:r w:rsidRPr="003B119B">
                    <w:t>Member superannuation</w:t>
                  </w:r>
                  <w:r>
                    <w:t xml:space="preserve"> and insurance</w:t>
                  </w:r>
                  <w:r w:rsidRPr="003B119B">
                    <w:t xml:space="preserve"> literacy</w:t>
                  </w:r>
                  <w:r w:rsidRPr="00B15864">
                    <w:rPr>
                      <w:vertAlign w:val="superscript"/>
                    </w:rPr>
                    <w:t>#</w:t>
                  </w:r>
                  <w:r w:rsidRPr="003B119B">
                    <w:t>* (input)</w:t>
                  </w:r>
                </w:p>
              </w:tc>
              <w:tc>
                <w:tcPr>
                  <w:tcW w:w="738" w:type="pct"/>
                  <w:shd w:val="pct5" w:color="auto" w:fill="FFFFFF" w:themeFill="background1"/>
                </w:tcPr>
                <w:p w14:paraId="1409D174" w14:textId="77777777" w:rsidR="009501B0" w:rsidRDefault="009501B0" w:rsidP="00152C9B">
                  <w:pPr>
                    <w:pStyle w:val="TableBullet"/>
                  </w:pPr>
                  <w:r>
                    <w:t>Trend analysis</w:t>
                  </w:r>
                </w:p>
                <w:p w14:paraId="57B50CF5" w14:textId="77777777" w:rsidR="009501B0" w:rsidRDefault="009501B0" w:rsidP="00152C9B">
                  <w:pPr>
                    <w:pStyle w:val="TableBullet"/>
                  </w:pPr>
                  <w:r>
                    <w:t>Trend analysis</w:t>
                  </w:r>
                  <w:r w:rsidDel="00DE19FA">
                    <w:t xml:space="preserve"> </w:t>
                  </w:r>
                  <w:r>
                    <w:br/>
                  </w:r>
                </w:p>
                <w:p w14:paraId="57BEE739" w14:textId="77777777" w:rsidR="009501B0" w:rsidRDefault="009501B0" w:rsidP="00152C9B">
                  <w:pPr>
                    <w:pStyle w:val="TableBullet"/>
                  </w:pPr>
                  <w:r>
                    <w:t>Qualitative</w:t>
                  </w:r>
                </w:p>
                <w:p w14:paraId="51B955D7" w14:textId="77777777" w:rsidR="009501B0" w:rsidRDefault="009501B0" w:rsidP="00152C9B">
                  <w:pPr>
                    <w:pStyle w:val="TableBullet"/>
                  </w:pPr>
                  <w:r>
                    <w:t>Qualitative</w:t>
                  </w:r>
                  <w:r>
                    <w:br/>
                  </w:r>
                </w:p>
                <w:p w14:paraId="4E1EF4AB" w14:textId="77777777" w:rsidR="009501B0" w:rsidRDefault="009501B0" w:rsidP="00152C9B">
                  <w:pPr>
                    <w:pStyle w:val="TableBullet"/>
                  </w:pPr>
                  <w:r>
                    <w:t>Qualitative</w:t>
                  </w:r>
                </w:p>
              </w:tc>
              <w:tc>
                <w:tcPr>
                  <w:tcW w:w="997" w:type="pct"/>
                  <w:shd w:val="pct5" w:color="auto" w:fill="FFFFFF" w:themeFill="background1"/>
                </w:tcPr>
                <w:p w14:paraId="149D1C9D" w14:textId="77777777" w:rsidR="009501B0" w:rsidRDefault="009501B0" w:rsidP="00152C9B">
                  <w:pPr>
                    <w:pStyle w:val="TableBullet"/>
                  </w:pPr>
                  <w:r>
                    <w:t>Regulator data</w:t>
                  </w:r>
                </w:p>
                <w:p w14:paraId="6A5F7A5D" w14:textId="77777777" w:rsidR="009501B0" w:rsidRDefault="009501B0" w:rsidP="00152C9B">
                  <w:pPr>
                    <w:pStyle w:val="TableBullet"/>
                  </w:pPr>
                  <w:r>
                    <w:t>Regulator data; fund disclosures</w:t>
                  </w:r>
                </w:p>
                <w:p w14:paraId="6BE63EFD" w14:textId="77777777" w:rsidR="009501B0" w:rsidRDefault="009501B0" w:rsidP="00152C9B">
                  <w:pPr>
                    <w:pStyle w:val="TableBullet"/>
                  </w:pPr>
                  <w:r>
                    <w:t>Fund surveys; case studies</w:t>
                  </w:r>
                </w:p>
                <w:p w14:paraId="7B0B5DC0" w14:textId="77777777" w:rsidR="009501B0" w:rsidRDefault="009501B0" w:rsidP="00152C9B">
                  <w:pPr>
                    <w:pStyle w:val="TableBullet"/>
                  </w:pPr>
                  <w:r>
                    <w:t>Reviews by others; member surveys</w:t>
                  </w:r>
                </w:p>
                <w:p w14:paraId="7E189A0A" w14:textId="77777777" w:rsidR="009501B0" w:rsidRDefault="009501B0" w:rsidP="00152C9B">
                  <w:pPr>
                    <w:pStyle w:val="TableBullet"/>
                  </w:pPr>
                  <w:r>
                    <w:t>Member surveys</w:t>
                  </w:r>
                </w:p>
              </w:tc>
            </w:tr>
            <w:tr w:rsidR="009501B0" w14:paraId="22471531" w14:textId="77777777" w:rsidTr="00152C9B">
              <w:tc>
                <w:tcPr>
                  <w:tcW w:w="738" w:type="pct"/>
                  <w:shd w:val="clear" w:color="auto" w:fill="FFFFFF" w:themeFill="background1"/>
                </w:tcPr>
                <w:p w14:paraId="256B0638" w14:textId="77777777" w:rsidR="009501B0" w:rsidRDefault="009501B0" w:rsidP="00152C9B">
                  <w:pPr>
                    <w:pStyle w:val="TableBodyText"/>
                    <w:jc w:val="left"/>
                  </w:pPr>
                  <w:r>
                    <w:t>C9. Is there innovation and quality improvement in the system?</w:t>
                  </w:r>
                </w:p>
              </w:tc>
              <w:tc>
                <w:tcPr>
                  <w:tcW w:w="2527" w:type="pct"/>
                  <w:shd w:val="clear" w:color="auto" w:fill="FFFFFF" w:themeFill="background1"/>
                </w:tcPr>
                <w:p w14:paraId="15DA4E24" w14:textId="77777777" w:rsidR="009501B0" w:rsidRDefault="009501B0" w:rsidP="00152C9B">
                  <w:pPr>
                    <w:pStyle w:val="TableBullet"/>
                  </w:pPr>
                  <w:r w:rsidRPr="008C11C9">
                    <w:t>Introduction of new retirement income products* (output)</w:t>
                  </w:r>
                  <w:r>
                    <w:br/>
                  </w:r>
                </w:p>
                <w:p w14:paraId="72F46C9A" w14:textId="77777777" w:rsidR="009501B0" w:rsidRDefault="009501B0" w:rsidP="00152C9B">
                  <w:pPr>
                    <w:pStyle w:val="TableBullet"/>
                  </w:pPr>
                  <w:r>
                    <w:t>D</w:t>
                  </w:r>
                  <w:r w:rsidRPr="008C11C9">
                    <w:t xml:space="preserve">evelopment </w:t>
                  </w:r>
                  <w:r>
                    <w:t>and active take</w:t>
                  </w:r>
                  <w:r>
                    <w:noBreakHyphen/>
                    <w:t xml:space="preserve">up </w:t>
                  </w:r>
                  <w:r w:rsidRPr="008C11C9">
                    <w:t>of tailored products</w:t>
                  </w:r>
                  <w:r>
                    <w:t xml:space="preserve"> and member services</w:t>
                  </w:r>
                  <w:r w:rsidRPr="008C11C9">
                    <w:t>* (output)</w:t>
                  </w:r>
                </w:p>
                <w:p w14:paraId="25F7529F" w14:textId="77777777" w:rsidR="009501B0" w:rsidRPr="008C11C9" w:rsidRDefault="009501B0" w:rsidP="00152C9B">
                  <w:pPr>
                    <w:pStyle w:val="TableBullet"/>
                  </w:pPr>
                  <w:r>
                    <w:t>Introduction of new methods of service delivery* (output)</w:t>
                  </w:r>
                </w:p>
              </w:tc>
              <w:tc>
                <w:tcPr>
                  <w:tcW w:w="738" w:type="pct"/>
                  <w:shd w:val="clear" w:color="auto" w:fill="FFFFFF" w:themeFill="background1"/>
                </w:tcPr>
                <w:p w14:paraId="1C296F36" w14:textId="77777777" w:rsidR="009501B0" w:rsidRDefault="009501B0" w:rsidP="00152C9B">
                  <w:pPr>
                    <w:pStyle w:val="TableBullet"/>
                  </w:pPr>
                  <w:r>
                    <w:t>Trend analysis</w:t>
                  </w:r>
                  <w:r>
                    <w:br/>
                  </w:r>
                </w:p>
                <w:p w14:paraId="7C9C2F19" w14:textId="77777777" w:rsidR="009501B0" w:rsidRDefault="009501B0" w:rsidP="00152C9B">
                  <w:pPr>
                    <w:pStyle w:val="TableBullet"/>
                  </w:pPr>
                  <w:r>
                    <w:t>Trend analysis; qualitative</w:t>
                  </w:r>
                </w:p>
                <w:p w14:paraId="0EC7D309" w14:textId="77777777" w:rsidR="009501B0" w:rsidRDefault="009501B0" w:rsidP="00152C9B">
                  <w:pPr>
                    <w:pStyle w:val="TableBullet"/>
                  </w:pPr>
                  <w:r>
                    <w:t>Trend analysis; qualitative</w:t>
                  </w:r>
                </w:p>
              </w:tc>
              <w:tc>
                <w:tcPr>
                  <w:tcW w:w="997" w:type="pct"/>
                  <w:shd w:val="clear" w:color="auto" w:fill="FFFFFF" w:themeFill="background1"/>
                </w:tcPr>
                <w:p w14:paraId="22F7CAFA" w14:textId="77777777" w:rsidR="009501B0" w:rsidRDefault="009501B0" w:rsidP="00152C9B">
                  <w:pPr>
                    <w:pStyle w:val="TableBullet"/>
                  </w:pPr>
                  <w:r>
                    <w:t>Fund surveys; fund disclosures; case studies</w:t>
                  </w:r>
                </w:p>
                <w:p w14:paraId="17328FF8" w14:textId="77777777" w:rsidR="009501B0" w:rsidRDefault="009501B0" w:rsidP="00152C9B">
                  <w:pPr>
                    <w:pStyle w:val="TableBullet"/>
                  </w:pPr>
                  <w:r>
                    <w:t>Fund surveys; fund disclosures; case studies</w:t>
                  </w:r>
                </w:p>
                <w:p w14:paraId="09C9EAF3" w14:textId="77777777" w:rsidR="009501B0" w:rsidRDefault="009501B0" w:rsidP="00152C9B">
                  <w:pPr>
                    <w:pStyle w:val="TableBullet"/>
                  </w:pPr>
                  <w:r>
                    <w:t>Fund surveys; fund disclosures; case studies</w:t>
                  </w:r>
                </w:p>
              </w:tc>
            </w:tr>
            <w:tr w:rsidR="009501B0" w14:paraId="076C2AE3" w14:textId="77777777" w:rsidTr="00152C9B">
              <w:tc>
                <w:tcPr>
                  <w:tcW w:w="738" w:type="pct"/>
                  <w:tcBorders>
                    <w:bottom w:val="single" w:sz="6" w:space="0" w:color="BFBFBF"/>
                  </w:tcBorders>
                  <w:shd w:val="pct5" w:color="auto" w:fill="FFFFFF" w:themeFill="background1"/>
                </w:tcPr>
                <w:p w14:paraId="1C04B306" w14:textId="77777777" w:rsidR="009501B0" w:rsidRDefault="009501B0" w:rsidP="00152C9B">
                  <w:pPr>
                    <w:pStyle w:val="TableBodyText"/>
                    <w:jc w:val="left"/>
                  </w:pPr>
                  <w:r>
                    <w:t>C10. Are outcomes improving at the s</w:t>
                  </w:r>
                  <w:r w:rsidRPr="00CB7A16">
                    <w:t>ystem level</w:t>
                  </w:r>
                  <w:r>
                    <w:t>?</w:t>
                  </w:r>
                  <w:r w:rsidRPr="00CB7A16" w:rsidDel="002C1654">
                    <w:t xml:space="preserve"> </w:t>
                  </w:r>
                </w:p>
              </w:tc>
              <w:tc>
                <w:tcPr>
                  <w:tcW w:w="2527" w:type="pct"/>
                  <w:tcBorders>
                    <w:bottom w:val="single" w:sz="6" w:space="0" w:color="BFBFBF"/>
                  </w:tcBorders>
                  <w:shd w:val="pct5" w:color="auto" w:fill="FFFFFF" w:themeFill="background1"/>
                </w:tcPr>
                <w:p w14:paraId="7B54A5D2" w14:textId="77777777" w:rsidR="009501B0" w:rsidRPr="008C11C9" w:rsidRDefault="009501B0" w:rsidP="00152C9B">
                  <w:pPr>
                    <w:pStyle w:val="TableBullet"/>
                  </w:pPr>
                  <w:r w:rsidRPr="008C11C9" w:rsidDel="00F4693C">
                    <w:t xml:space="preserve">Growing </w:t>
                  </w:r>
                  <w:r w:rsidRPr="008C11C9">
                    <w:t xml:space="preserve">voluntary consumption of superannuation services (investment, retirement products, </w:t>
                  </w:r>
                  <w:r>
                    <w:t xml:space="preserve">advice and </w:t>
                  </w:r>
                  <w:r w:rsidRPr="008C11C9">
                    <w:t>insurance) (output)</w:t>
                  </w:r>
                </w:p>
                <w:p w14:paraId="796A75C7" w14:textId="77777777" w:rsidR="009501B0" w:rsidRPr="008C11C9" w:rsidRDefault="009501B0" w:rsidP="00152C9B">
                  <w:pPr>
                    <w:pStyle w:val="TableBullet"/>
                  </w:pPr>
                  <w:r w:rsidRPr="008C11C9">
                    <w:t>Member satisfaction and trust* (outcome)</w:t>
                  </w:r>
                </w:p>
              </w:tc>
              <w:tc>
                <w:tcPr>
                  <w:tcW w:w="738" w:type="pct"/>
                  <w:tcBorders>
                    <w:bottom w:val="single" w:sz="6" w:space="0" w:color="BFBFBF"/>
                  </w:tcBorders>
                  <w:shd w:val="pct5" w:color="auto" w:fill="FFFFFF" w:themeFill="background1"/>
                </w:tcPr>
                <w:p w14:paraId="04354351" w14:textId="77777777" w:rsidR="009501B0" w:rsidRDefault="009501B0" w:rsidP="00152C9B">
                  <w:pPr>
                    <w:pStyle w:val="TableBullet"/>
                  </w:pPr>
                  <w:r>
                    <w:t>Trend analysis</w:t>
                  </w:r>
                  <w:r>
                    <w:br/>
                  </w:r>
                </w:p>
                <w:p w14:paraId="0A641CD2" w14:textId="77777777" w:rsidR="009501B0" w:rsidRDefault="009501B0" w:rsidP="00152C9B">
                  <w:pPr>
                    <w:pStyle w:val="TableBullet"/>
                  </w:pPr>
                  <w:r>
                    <w:t>Trend analysis; qualitative</w:t>
                  </w:r>
                </w:p>
              </w:tc>
              <w:tc>
                <w:tcPr>
                  <w:tcW w:w="997" w:type="pct"/>
                  <w:tcBorders>
                    <w:bottom w:val="single" w:sz="6" w:space="0" w:color="BFBFBF"/>
                  </w:tcBorders>
                  <w:shd w:val="pct5" w:color="auto" w:fill="FFFFFF" w:themeFill="background1"/>
                </w:tcPr>
                <w:p w14:paraId="3DB26614" w14:textId="77777777" w:rsidR="009501B0" w:rsidRDefault="009501B0" w:rsidP="00152C9B">
                  <w:pPr>
                    <w:pStyle w:val="TableBullet"/>
                  </w:pPr>
                  <w:r>
                    <w:t>Regulator data</w:t>
                  </w:r>
                  <w:r>
                    <w:br/>
                  </w:r>
                </w:p>
                <w:p w14:paraId="0002D32E" w14:textId="77777777" w:rsidR="009501B0" w:rsidRDefault="009501B0" w:rsidP="00152C9B">
                  <w:pPr>
                    <w:pStyle w:val="TableBullet"/>
                  </w:pPr>
                  <w:r>
                    <w:t>Member surveys</w:t>
                  </w:r>
                </w:p>
              </w:tc>
            </w:tr>
          </w:tbl>
          <w:p w14:paraId="5BB5E928" w14:textId="77777777" w:rsidR="009501B0" w:rsidRDefault="009501B0" w:rsidP="00152C9B">
            <w:pPr>
              <w:pStyle w:val="Box"/>
            </w:pPr>
          </w:p>
        </w:tc>
      </w:tr>
      <w:tr w:rsidR="009501B0" w14:paraId="3E63FA0B" w14:textId="77777777" w:rsidTr="00687440">
        <w:trPr>
          <w:cantSplit/>
        </w:trPr>
        <w:tc>
          <w:tcPr>
            <w:tcW w:w="5000" w:type="pct"/>
            <w:tcBorders>
              <w:top w:val="nil"/>
              <w:left w:val="nil"/>
              <w:bottom w:val="nil"/>
              <w:right w:val="nil"/>
            </w:tcBorders>
            <w:shd w:val="clear" w:color="auto" w:fill="auto"/>
          </w:tcPr>
          <w:p w14:paraId="6581C4B3" w14:textId="77777777" w:rsidR="009501B0" w:rsidRDefault="009501B0" w:rsidP="00152C9B">
            <w:pPr>
              <w:pStyle w:val="Note"/>
              <w:rPr>
                <w:i/>
              </w:rPr>
            </w:pPr>
            <w:r w:rsidRPr="004A6FA6">
              <w:rPr>
                <w:rStyle w:val="NoteLabel"/>
                <w:vertAlign w:val="superscript"/>
              </w:rPr>
              <w:t>#</w:t>
            </w:r>
            <w:r w:rsidRPr="00A13985">
              <w:t xml:space="preserve"> Repeated indicator within competition</w:t>
            </w:r>
            <w:r>
              <w:t>.</w:t>
            </w:r>
            <w:r w:rsidRPr="00A13985">
              <w:t xml:space="preserve"> </w:t>
            </w:r>
            <w:r>
              <w:rPr>
                <w:rStyle w:val="NoteLabel"/>
              </w:rPr>
              <w:t>*</w:t>
            </w:r>
            <w:r>
              <w:t xml:space="preserve"> Indicator is common to both competition and efficiency.</w:t>
            </w:r>
          </w:p>
        </w:tc>
      </w:tr>
      <w:tr w:rsidR="009501B0" w14:paraId="6750FC70" w14:textId="77777777" w:rsidTr="00687440">
        <w:trPr>
          <w:cantSplit/>
        </w:trPr>
        <w:tc>
          <w:tcPr>
            <w:tcW w:w="5000" w:type="pct"/>
            <w:tcBorders>
              <w:top w:val="nil"/>
              <w:left w:val="nil"/>
              <w:bottom w:val="single" w:sz="6" w:space="0" w:color="78A22F"/>
              <w:right w:val="nil"/>
            </w:tcBorders>
            <w:shd w:val="clear" w:color="auto" w:fill="auto"/>
          </w:tcPr>
          <w:p w14:paraId="1C7C4ADF" w14:textId="77777777" w:rsidR="009501B0" w:rsidRDefault="009501B0" w:rsidP="00152C9B">
            <w:pPr>
              <w:pStyle w:val="Box"/>
              <w:spacing w:before="0" w:line="120" w:lineRule="exact"/>
            </w:pPr>
          </w:p>
        </w:tc>
      </w:tr>
      <w:tr w:rsidR="009501B0" w:rsidRPr="000863A5" w14:paraId="4D32E1EC" w14:textId="77777777" w:rsidTr="00687440">
        <w:tc>
          <w:tcPr>
            <w:tcW w:w="5000" w:type="pct"/>
            <w:tcBorders>
              <w:top w:val="single" w:sz="6" w:space="0" w:color="78A22F"/>
              <w:left w:val="nil"/>
              <w:bottom w:val="nil"/>
              <w:right w:val="nil"/>
            </w:tcBorders>
          </w:tcPr>
          <w:p w14:paraId="28F15411" w14:textId="77777777" w:rsidR="009501B0" w:rsidRPr="00626D32" w:rsidRDefault="009501B0" w:rsidP="00152C9B">
            <w:pPr>
              <w:pStyle w:val="BoxSpaceBelow"/>
            </w:pPr>
          </w:p>
        </w:tc>
      </w:tr>
    </w:tbl>
    <w:p w14:paraId="3411FB18" w14:textId="77777777" w:rsidR="009501B0" w:rsidRDefault="009501B0" w:rsidP="009501B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9501B0" w14:paraId="4C1917C7" w14:textId="77777777" w:rsidTr="00687440">
        <w:tc>
          <w:tcPr>
            <w:tcW w:w="5000" w:type="pct"/>
            <w:tcBorders>
              <w:top w:val="single" w:sz="6" w:space="0" w:color="78A22F"/>
              <w:left w:val="nil"/>
              <w:bottom w:val="nil"/>
              <w:right w:val="nil"/>
            </w:tcBorders>
            <w:shd w:val="clear" w:color="auto" w:fill="auto"/>
          </w:tcPr>
          <w:p w14:paraId="30DA91D3" w14:textId="77777777" w:rsidR="009501B0" w:rsidRPr="00784A05" w:rsidRDefault="009501B0" w:rsidP="00152C9B">
            <w:pPr>
              <w:pStyle w:val="TableTitle"/>
            </w:pPr>
            <w:r>
              <w:t>Efficiency: system</w:t>
            </w:r>
            <w:r>
              <w:noBreakHyphen/>
              <w:t>level objectives, assessment criteria and indicators</w:t>
            </w:r>
          </w:p>
        </w:tc>
      </w:tr>
      <w:tr w:rsidR="009501B0" w14:paraId="707F6885" w14:textId="77777777" w:rsidTr="00687440">
        <w:trPr>
          <w:cantSplit/>
        </w:trPr>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268"/>
              <w:gridCol w:w="6804"/>
              <w:gridCol w:w="1844"/>
              <w:gridCol w:w="2521"/>
            </w:tblGrid>
            <w:tr w:rsidR="009501B0" w14:paraId="5D4332B4" w14:textId="77777777" w:rsidTr="00990744">
              <w:tc>
                <w:tcPr>
                  <w:tcW w:w="844" w:type="pct"/>
                  <w:tcBorders>
                    <w:top w:val="single" w:sz="6" w:space="0" w:color="BFBFBF"/>
                  </w:tcBorders>
                  <w:shd w:val="clear" w:color="auto" w:fill="auto"/>
                  <w:tcMar>
                    <w:top w:w="28" w:type="dxa"/>
                  </w:tcMar>
                </w:tcPr>
                <w:p w14:paraId="79B21C1C" w14:textId="77777777" w:rsidR="009501B0" w:rsidRDefault="009501B0" w:rsidP="00152C9B">
                  <w:pPr>
                    <w:pStyle w:val="TableColumnHeading"/>
                    <w:jc w:val="left"/>
                  </w:pPr>
                  <w:r>
                    <w:t>Assessment criteria</w:t>
                  </w:r>
                </w:p>
              </w:tc>
              <w:tc>
                <w:tcPr>
                  <w:tcW w:w="2532" w:type="pct"/>
                  <w:tcBorders>
                    <w:top w:val="single" w:sz="6" w:space="0" w:color="BFBFBF"/>
                  </w:tcBorders>
                  <w:shd w:val="clear" w:color="auto" w:fill="auto"/>
                  <w:tcMar>
                    <w:top w:w="28" w:type="dxa"/>
                  </w:tcMar>
                </w:tcPr>
                <w:p w14:paraId="40ED50D0" w14:textId="77777777" w:rsidR="009501B0" w:rsidRDefault="009501B0" w:rsidP="00152C9B">
                  <w:pPr>
                    <w:pStyle w:val="TableColumnHeading"/>
                    <w:ind w:right="28"/>
                    <w:jc w:val="left"/>
                  </w:pPr>
                  <w:r>
                    <w:t>Indicators</w:t>
                  </w:r>
                </w:p>
              </w:tc>
              <w:tc>
                <w:tcPr>
                  <w:tcW w:w="686" w:type="pct"/>
                  <w:tcBorders>
                    <w:top w:val="single" w:sz="6" w:space="0" w:color="BFBFBF"/>
                  </w:tcBorders>
                </w:tcPr>
                <w:p w14:paraId="6B42121A" w14:textId="77777777" w:rsidR="009501B0" w:rsidRDefault="009501B0" w:rsidP="00152C9B">
                  <w:pPr>
                    <w:pStyle w:val="TableColumnHeading"/>
                    <w:ind w:right="28"/>
                    <w:jc w:val="left"/>
                  </w:pPr>
                  <w:r>
                    <w:t>Assessment methods</w:t>
                  </w:r>
                </w:p>
              </w:tc>
              <w:tc>
                <w:tcPr>
                  <w:tcW w:w="938" w:type="pct"/>
                  <w:tcBorders>
                    <w:top w:val="single" w:sz="6" w:space="0" w:color="BFBFBF"/>
                  </w:tcBorders>
                </w:tcPr>
                <w:p w14:paraId="60BD67C7" w14:textId="77777777" w:rsidR="009501B0" w:rsidRDefault="009501B0" w:rsidP="00152C9B">
                  <w:pPr>
                    <w:pStyle w:val="TableColumnHeading"/>
                    <w:ind w:right="28"/>
                    <w:jc w:val="left"/>
                  </w:pPr>
                  <w:r>
                    <w:t>Expected data sources</w:t>
                  </w:r>
                </w:p>
              </w:tc>
            </w:tr>
            <w:tr w:rsidR="009501B0" w:rsidRPr="0050503A" w14:paraId="092C0856" w14:textId="77777777" w:rsidTr="00437F99">
              <w:tc>
                <w:tcPr>
                  <w:tcW w:w="5000" w:type="pct"/>
                  <w:gridSpan w:val="4"/>
                  <w:shd w:val="clear" w:color="auto" w:fill="E0EEC6" w:themeFill="accent3" w:themeFillTint="66"/>
                </w:tcPr>
                <w:p w14:paraId="75FD156E" w14:textId="77777777" w:rsidR="009501B0" w:rsidRPr="00900CED" w:rsidRDefault="009501B0" w:rsidP="00152C9B">
                  <w:pPr>
                    <w:pStyle w:val="SuperObjective"/>
                    <w:rPr>
                      <w:i/>
                    </w:rPr>
                  </w:pPr>
                  <w:r w:rsidRPr="0050503A">
                    <w:rPr>
                      <w:i/>
                    </w:rPr>
                    <w:t>Objective</w:t>
                  </w:r>
                  <w:r>
                    <w:rPr>
                      <w:i/>
                    </w:rPr>
                    <w:t xml:space="preserve"> 1</w:t>
                  </w:r>
                  <w:r w:rsidRPr="0050503A">
                    <w:t xml:space="preserve">: </w:t>
                  </w:r>
                  <w:r w:rsidRPr="006F3F1F">
                    <w:t>The superannuation system contributes to retirement incomes by maximising long</w:t>
                  </w:r>
                  <w:r>
                    <w:noBreakHyphen/>
                  </w:r>
                  <w:r w:rsidRPr="006F3F1F">
                    <w:t>term net returns on member contributions and balances over the member’s lif</w:t>
                  </w:r>
                  <w:r>
                    <w:t>etime, taking risk into account</w:t>
                  </w:r>
                </w:p>
              </w:tc>
            </w:tr>
            <w:tr w:rsidR="004306D6" w14:paraId="309F3327" w14:textId="77777777" w:rsidTr="00990744">
              <w:tc>
                <w:tcPr>
                  <w:tcW w:w="844" w:type="pct"/>
                  <w:shd w:val="clear" w:color="auto" w:fill="FFFFFF" w:themeFill="background1"/>
                </w:tcPr>
                <w:p w14:paraId="794889F4" w14:textId="77777777" w:rsidR="009501B0" w:rsidRDefault="009501B0" w:rsidP="00152C9B">
                  <w:pPr>
                    <w:pStyle w:val="TableBodyText"/>
                    <w:spacing w:before="40"/>
                    <w:jc w:val="left"/>
                  </w:pPr>
                  <w:r>
                    <w:t xml:space="preserve">E1. </w:t>
                  </w:r>
                  <w:r w:rsidRPr="00633104">
                    <w:t>Are long</w:t>
                  </w:r>
                  <w:r>
                    <w:noBreakHyphen/>
                  </w:r>
                  <w:r w:rsidRPr="00633104">
                    <w:t>term net investment returns being maximised over members’ lifetimes, taking account of risk?</w:t>
                  </w:r>
                </w:p>
              </w:tc>
              <w:tc>
                <w:tcPr>
                  <w:tcW w:w="2532" w:type="pct"/>
                  <w:shd w:val="clear" w:color="auto" w:fill="FFFFFF" w:themeFill="background1"/>
                </w:tcPr>
                <w:p w14:paraId="6EE1571D" w14:textId="77777777" w:rsidR="009501B0" w:rsidRPr="008C11C9" w:rsidRDefault="009501B0" w:rsidP="00152C9B">
                  <w:pPr>
                    <w:pStyle w:val="TableBullet"/>
                    <w:spacing w:before="40"/>
                  </w:pPr>
                  <w:r>
                    <w:t>Long</w:t>
                  </w:r>
                  <w:r>
                    <w:noBreakHyphen/>
                  </w:r>
                  <w:r w:rsidRPr="008C11C9">
                    <w:t xml:space="preserve">term (5, 10 and 20 year) historical net </w:t>
                  </w:r>
                  <w:r>
                    <w:t xml:space="preserve">investment </w:t>
                  </w:r>
                  <w:r w:rsidRPr="008C11C9">
                    <w:t>returns from the system and market segments compared to benchmarks (output)</w:t>
                  </w:r>
                </w:p>
                <w:p w14:paraId="55D7EEF1" w14:textId="77777777" w:rsidR="009501B0" w:rsidRDefault="009501B0" w:rsidP="00152C9B">
                  <w:pPr>
                    <w:pStyle w:val="TableBullet"/>
                    <w:spacing w:before="40"/>
                  </w:pPr>
                  <w:r>
                    <w:t>Long</w:t>
                  </w:r>
                  <w:r>
                    <w:noBreakHyphen/>
                  </w:r>
                  <w:r w:rsidRPr="008C11C9">
                    <w:t xml:space="preserve">term (5, 10 and 20 year) historical net </w:t>
                  </w:r>
                  <w:r>
                    <w:t xml:space="preserve">investment </w:t>
                  </w:r>
                  <w:r w:rsidRPr="008C11C9">
                    <w:t xml:space="preserve">returns to specific asset classes </w:t>
                  </w:r>
                  <w:r>
                    <w:t>from the system and market segments</w:t>
                  </w:r>
                  <w:r w:rsidRPr="008C11C9">
                    <w:t xml:space="preserve"> compared to</w:t>
                  </w:r>
                  <w:r w:rsidRPr="008C11C9" w:rsidDel="004D08E1">
                    <w:t xml:space="preserve"> </w:t>
                  </w:r>
                  <w:r w:rsidRPr="008C11C9">
                    <w:t>benchmarks (output)</w:t>
                  </w:r>
                </w:p>
                <w:p w14:paraId="57F673AF" w14:textId="77777777" w:rsidR="009501B0" w:rsidRDefault="009501B0" w:rsidP="00152C9B">
                  <w:pPr>
                    <w:pStyle w:val="TableBullet"/>
                    <w:spacing w:before="40"/>
                  </w:pPr>
                  <w:r>
                    <w:t>Variance</w:t>
                  </w:r>
                  <w:r w:rsidRPr="003E51AA">
                    <w:t xml:space="preserve"> of historical net investment returns </w:t>
                  </w:r>
                  <w:r>
                    <w:t xml:space="preserve">(over 5, 10 and 20 years) </w:t>
                  </w:r>
                  <w:r w:rsidRPr="003E51AA">
                    <w:t xml:space="preserve">from the system and market segments compared to </w:t>
                  </w:r>
                  <w:r>
                    <w:t>benchmarks (output)</w:t>
                  </w:r>
                </w:p>
                <w:p w14:paraId="24C0DC23" w14:textId="77777777" w:rsidR="009501B0" w:rsidRPr="008C11C9" w:rsidRDefault="009501B0" w:rsidP="00152C9B">
                  <w:pPr>
                    <w:pStyle w:val="TableBullet"/>
                  </w:pPr>
                  <w:r w:rsidRPr="00FE22FD">
                    <w:t>Proportion of default products that persistently underperform the benchmark (for 5</w:t>
                  </w:r>
                  <w:r>
                    <w:t> </w:t>
                  </w:r>
                  <w:r w:rsidRPr="00FE22FD">
                    <w:t xml:space="preserve">or more consecutive years) </w:t>
                  </w:r>
                  <w:r w:rsidRPr="00025C79">
                    <w:t>(output)</w:t>
                  </w:r>
                </w:p>
              </w:tc>
              <w:tc>
                <w:tcPr>
                  <w:tcW w:w="686" w:type="pct"/>
                  <w:shd w:val="clear" w:color="auto" w:fill="FFFFFF" w:themeFill="background1"/>
                </w:tcPr>
                <w:p w14:paraId="15CA0335" w14:textId="77777777" w:rsidR="009501B0" w:rsidRDefault="009501B0" w:rsidP="00152C9B">
                  <w:pPr>
                    <w:pStyle w:val="TableBullet"/>
                    <w:spacing w:before="40"/>
                  </w:pPr>
                  <w:r>
                    <w:t>Trend analysis</w:t>
                  </w:r>
                  <w:r>
                    <w:br/>
                  </w:r>
                </w:p>
                <w:p w14:paraId="01E9CF97" w14:textId="77777777" w:rsidR="009501B0" w:rsidRDefault="009501B0" w:rsidP="00152C9B">
                  <w:pPr>
                    <w:pStyle w:val="TableBullet"/>
                    <w:spacing w:before="40"/>
                  </w:pPr>
                  <w:r>
                    <w:t>Trend analysis</w:t>
                  </w:r>
                  <w:r>
                    <w:br/>
                  </w:r>
                </w:p>
                <w:p w14:paraId="01CD8457" w14:textId="77777777" w:rsidR="009501B0" w:rsidRDefault="009501B0" w:rsidP="00152C9B">
                  <w:pPr>
                    <w:pStyle w:val="TableBullet"/>
                    <w:spacing w:before="40"/>
                  </w:pPr>
                  <w:r>
                    <w:t>Trend analysis</w:t>
                  </w:r>
                  <w:r>
                    <w:br/>
                  </w:r>
                </w:p>
                <w:p w14:paraId="445A9EBA" w14:textId="77777777" w:rsidR="009501B0" w:rsidRDefault="009501B0" w:rsidP="00152C9B">
                  <w:pPr>
                    <w:pStyle w:val="TableBullet"/>
                    <w:spacing w:before="40"/>
                  </w:pPr>
                  <w:r>
                    <w:t>Trend analysis</w:t>
                  </w:r>
                </w:p>
              </w:tc>
              <w:tc>
                <w:tcPr>
                  <w:tcW w:w="938" w:type="pct"/>
                  <w:shd w:val="clear" w:color="auto" w:fill="FFFFFF" w:themeFill="background1"/>
                </w:tcPr>
                <w:p w14:paraId="63881AFB" w14:textId="77777777" w:rsidR="009501B0" w:rsidRDefault="009501B0" w:rsidP="00152C9B">
                  <w:pPr>
                    <w:pStyle w:val="TableBullet"/>
                    <w:spacing w:before="40"/>
                  </w:pPr>
                  <w:r>
                    <w:t>Regulator data; research firms</w:t>
                  </w:r>
                </w:p>
                <w:p w14:paraId="77800A70" w14:textId="77777777" w:rsidR="009501B0" w:rsidRDefault="009501B0" w:rsidP="00152C9B">
                  <w:pPr>
                    <w:pStyle w:val="TableBullet"/>
                    <w:spacing w:before="40"/>
                  </w:pPr>
                  <w:r>
                    <w:t>Research firms; regulator data</w:t>
                  </w:r>
                </w:p>
                <w:p w14:paraId="061D632D" w14:textId="77777777" w:rsidR="009501B0" w:rsidRDefault="009501B0" w:rsidP="00152C9B">
                  <w:pPr>
                    <w:pStyle w:val="TableBullet"/>
                    <w:spacing w:before="40"/>
                  </w:pPr>
                  <w:r>
                    <w:t>Regulator data; research firms</w:t>
                  </w:r>
                </w:p>
                <w:p w14:paraId="30726BD2" w14:textId="77777777" w:rsidR="009501B0" w:rsidRDefault="009501B0" w:rsidP="00152C9B">
                  <w:pPr>
                    <w:pStyle w:val="TableBullet"/>
                    <w:spacing w:before="40"/>
                  </w:pPr>
                  <w:r>
                    <w:t>Regulator data; research firms</w:t>
                  </w:r>
                </w:p>
              </w:tc>
            </w:tr>
            <w:tr w:rsidR="004306D6" w14:paraId="12E298A0" w14:textId="77777777" w:rsidTr="00152C9B">
              <w:tc>
                <w:tcPr>
                  <w:tcW w:w="844" w:type="pct"/>
                  <w:tcBorders>
                    <w:bottom w:val="single" w:sz="6" w:space="0" w:color="BFBFBF"/>
                  </w:tcBorders>
                  <w:shd w:val="pct5" w:color="auto" w:fill="FFFFFF" w:themeFill="background1"/>
                </w:tcPr>
                <w:p w14:paraId="667A2D2B" w14:textId="77777777" w:rsidR="009501B0" w:rsidRPr="00A50DC9" w:rsidRDefault="009501B0" w:rsidP="00152C9B">
                  <w:pPr>
                    <w:pStyle w:val="TableBodyText"/>
                    <w:jc w:val="left"/>
                  </w:pPr>
                  <w:r>
                    <w:t xml:space="preserve">E2. </w:t>
                  </w:r>
                  <w:r w:rsidRPr="001F0E0E">
                    <w:t>Are costs</w:t>
                  </w:r>
                  <w:r>
                    <w:t xml:space="preserve"> incurred by funds</w:t>
                  </w:r>
                  <w:r w:rsidRPr="001F0E0E">
                    <w:t xml:space="preserve"> and fees charged to members being minimised</w:t>
                  </w:r>
                  <w:r w:rsidRPr="009701CE">
                    <w:t>, taking account of service features provided to members</w:t>
                  </w:r>
                  <w:r w:rsidRPr="00A50DC9">
                    <w:t>?</w:t>
                  </w:r>
                </w:p>
              </w:tc>
              <w:tc>
                <w:tcPr>
                  <w:tcW w:w="2532" w:type="pct"/>
                  <w:tcBorders>
                    <w:bottom w:val="single" w:sz="6" w:space="0" w:color="BFBFBF"/>
                  </w:tcBorders>
                  <w:shd w:val="pct5" w:color="auto" w:fill="FFFFFF" w:themeFill="background1"/>
                </w:tcPr>
                <w:p w14:paraId="7823A7D4" w14:textId="77777777" w:rsidR="009501B0" w:rsidRDefault="009501B0" w:rsidP="00152C9B">
                  <w:pPr>
                    <w:pStyle w:val="TableBullet"/>
                  </w:pPr>
                  <w:r>
                    <w:t>Costs relative to assets and number of accounts by service (investment and administration) and by market segment (input)</w:t>
                  </w:r>
                </w:p>
                <w:p w14:paraId="0AEA6EB9" w14:textId="77777777" w:rsidR="009501B0" w:rsidRDefault="009501B0" w:rsidP="00152C9B">
                  <w:pPr>
                    <w:pStyle w:val="TableBullet"/>
                  </w:pPr>
                  <w:r>
                    <w:t>Fees relative to assets and number of accounts by service (investment and administration) and by market segment (output)</w:t>
                  </w:r>
                </w:p>
                <w:p w14:paraId="5EA668AD" w14:textId="77777777" w:rsidR="009501B0" w:rsidRDefault="009501B0" w:rsidP="00152C9B">
                  <w:pPr>
                    <w:pStyle w:val="TableBullet"/>
                  </w:pPr>
                  <w:r>
                    <w:t>Alignment in the structure of member fees and underlying costs* (output)</w:t>
                  </w:r>
                  <w:r>
                    <w:br/>
                  </w:r>
                </w:p>
                <w:p w14:paraId="310A9AE7" w14:textId="77777777" w:rsidR="009501B0" w:rsidRPr="008C11C9" w:rsidRDefault="009501B0" w:rsidP="00152C9B">
                  <w:pPr>
                    <w:pStyle w:val="TableBullet"/>
                  </w:pPr>
                  <w:r w:rsidRPr="008C11C9">
                    <w:t>Investment management</w:t>
                  </w:r>
                  <w:r>
                    <w:t xml:space="preserve"> costs and</w:t>
                  </w:r>
                  <w:r w:rsidRPr="008C11C9">
                    <w:t xml:space="preserve"> fees by asset class compared to other countries* (output)</w:t>
                  </w:r>
                </w:p>
                <w:p w14:paraId="7EE55287" w14:textId="77777777" w:rsidR="009501B0" w:rsidRPr="008C11C9" w:rsidRDefault="009501B0" w:rsidP="00152C9B">
                  <w:pPr>
                    <w:pStyle w:val="TableBullet"/>
                  </w:pPr>
                  <w:r w:rsidRPr="008C11C9">
                    <w:t>Relationship between investment fees and returns</w:t>
                  </w:r>
                  <w:r>
                    <w:t xml:space="preserve"> at system level and for market segments</w:t>
                  </w:r>
                  <w:r w:rsidRPr="008C11C9">
                    <w:t xml:space="preserve"> (output)</w:t>
                  </w:r>
                </w:p>
                <w:p w14:paraId="3E9BF13D" w14:textId="77777777" w:rsidR="009501B0" w:rsidRPr="008C11C9" w:rsidRDefault="009501B0" w:rsidP="00152C9B">
                  <w:pPr>
                    <w:pStyle w:val="TableBullet"/>
                  </w:pPr>
                  <w:r w:rsidRPr="008C11C9">
                    <w:t>Cost savings from SuperStream (output)</w:t>
                  </w:r>
                </w:p>
                <w:p w14:paraId="7F829616" w14:textId="77777777" w:rsidR="009501B0" w:rsidRDefault="009501B0" w:rsidP="00152C9B">
                  <w:pPr>
                    <w:pStyle w:val="TableBullet"/>
                  </w:pPr>
                  <w:r w:rsidRPr="008C11C9">
                    <w:t>Relationship between level of administrati</w:t>
                  </w:r>
                  <w:r>
                    <w:t>on</w:t>
                  </w:r>
                  <w:r w:rsidRPr="008C11C9">
                    <w:t xml:space="preserve"> fees and quality of member services (output)</w:t>
                  </w:r>
                </w:p>
                <w:p w14:paraId="4FC4BD88" w14:textId="77777777" w:rsidR="009501B0" w:rsidRDefault="009501B0" w:rsidP="00152C9B">
                  <w:pPr>
                    <w:pStyle w:val="TableBullet"/>
                  </w:pPr>
                  <w:r w:rsidRPr="00FE22FD">
                    <w:t>Unuse</w:t>
                  </w:r>
                  <w:r>
                    <w:t>d scale economies at fund level*</w:t>
                  </w:r>
                  <w:r w:rsidRPr="00FE22FD">
                    <w:t xml:space="preserve"> (output)</w:t>
                  </w:r>
                  <w:r>
                    <w:br/>
                  </w:r>
                </w:p>
                <w:p w14:paraId="49A7E7D7" w14:textId="77777777" w:rsidR="009501B0" w:rsidRDefault="009501B0" w:rsidP="00152C9B">
                  <w:pPr>
                    <w:pStyle w:val="TableBullet"/>
                  </w:pPr>
                  <w:r>
                    <w:t>Pass through of benefits from scale economies (wholesale and retail) to members* (output)</w:t>
                  </w:r>
                </w:p>
                <w:p w14:paraId="4976105A" w14:textId="77777777" w:rsidR="009501B0" w:rsidRPr="008C11C9" w:rsidRDefault="009501B0" w:rsidP="00152C9B">
                  <w:pPr>
                    <w:pStyle w:val="TableBullet"/>
                  </w:pPr>
                  <w:r w:rsidRPr="008C11C9">
                    <w:t>Fee dispersion</w:t>
                  </w:r>
                  <w:r>
                    <w:t>*</w:t>
                  </w:r>
                  <w:r w:rsidRPr="008C11C9">
                    <w:t xml:space="preserve"> (output)</w:t>
                  </w:r>
                </w:p>
              </w:tc>
              <w:tc>
                <w:tcPr>
                  <w:tcW w:w="686" w:type="pct"/>
                  <w:tcBorders>
                    <w:bottom w:val="single" w:sz="6" w:space="0" w:color="BFBFBF"/>
                  </w:tcBorders>
                  <w:shd w:val="pct5" w:color="auto" w:fill="FFFFFF" w:themeFill="background1"/>
                </w:tcPr>
                <w:p w14:paraId="515E2017" w14:textId="77777777" w:rsidR="009501B0" w:rsidRDefault="009501B0" w:rsidP="00152C9B">
                  <w:pPr>
                    <w:pStyle w:val="TableBullet"/>
                  </w:pPr>
                  <w:r>
                    <w:t>Trend analysis</w:t>
                  </w:r>
                  <w:r>
                    <w:br/>
                  </w:r>
                </w:p>
                <w:p w14:paraId="2301F291" w14:textId="77777777" w:rsidR="009501B0" w:rsidRDefault="009501B0" w:rsidP="00152C9B">
                  <w:pPr>
                    <w:pStyle w:val="TableBullet"/>
                  </w:pPr>
                  <w:r>
                    <w:t>Trend analysis</w:t>
                  </w:r>
                  <w:r>
                    <w:br/>
                  </w:r>
                </w:p>
                <w:p w14:paraId="1CC360D8" w14:textId="77777777" w:rsidR="009501B0" w:rsidRDefault="009501B0" w:rsidP="00152C9B">
                  <w:pPr>
                    <w:pStyle w:val="TableBullet"/>
                  </w:pPr>
                  <w:r>
                    <w:t>Econometrics; qualitative</w:t>
                  </w:r>
                </w:p>
                <w:p w14:paraId="0E6712D7" w14:textId="77777777" w:rsidR="009501B0" w:rsidRDefault="009501B0" w:rsidP="00152C9B">
                  <w:pPr>
                    <w:pStyle w:val="TableBullet"/>
                  </w:pPr>
                  <w:r w:rsidRPr="00D34944">
                    <w:t>Trend analysis</w:t>
                  </w:r>
                  <w:r>
                    <w:br/>
                  </w:r>
                </w:p>
                <w:p w14:paraId="234A89D0" w14:textId="77777777" w:rsidR="009501B0" w:rsidRDefault="009501B0" w:rsidP="00152C9B">
                  <w:pPr>
                    <w:pStyle w:val="TableBullet"/>
                  </w:pPr>
                  <w:r>
                    <w:t>Econometrics</w:t>
                  </w:r>
                  <w:r>
                    <w:br/>
                  </w:r>
                </w:p>
                <w:p w14:paraId="7D95C3E1" w14:textId="77777777" w:rsidR="009501B0" w:rsidRDefault="009501B0" w:rsidP="00152C9B">
                  <w:pPr>
                    <w:pStyle w:val="TableBullet"/>
                  </w:pPr>
                  <w:r>
                    <w:t>Trend analysis</w:t>
                  </w:r>
                </w:p>
                <w:p w14:paraId="75888E57" w14:textId="77777777" w:rsidR="009501B0" w:rsidRDefault="009501B0" w:rsidP="00152C9B">
                  <w:pPr>
                    <w:pStyle w:val="TableBullet"/>
                  </w:pPr>
                  <w:r>
                    <w:t>Qualitative</w:t>
                  </w:r>
                  <w:r>
                    <w:br/>
                  </w:r>
                </w:p>
                <w:p w14:paraId="12C98656" w14:textId="77777777" w:rsidR="009501B0" w:rsidRDefault="009501B0" w:rsidP="00152C9B">
                  <w:pPr>
                    <w:pStyle w:val="TableBullet"/>
                  </w:pPr>
                  <w:r>
                    <w:t>Econometrics</w:t>
                  </w:r>
                  <w:r>
                    <w:br/>
                  </w:r>
                </w:p>
                <w:p w14:paraId="583345EA" w14:textId="77777777" w:rsidR="009501B0" w:rsidRDefault="009501B0" w:rsidP="00152C9B">
                  <w:pPr>
                    <w:pStyle w:val="TableBullet"/>
                  </w:pPr>
                  <w:r>
                    <w:t>Econometrics</w:t>
                  </w:r>
                  <w:r>
                    <w:br/>
                  </w:r>
                </w:p>
                <w:p w14:paraId="420E1672" w14:textId="77777777" w:rsidR="009501B0" w:rsidRDefault="009501B0" w:rsidP="00152C9B">
                  <w:pPr>
                    <w:pStyle w:val="TableBullet"/>
                  </w:pPr>
                  <w:r>
                    <w:t>Trend analysis</w:t>
                  </w:r>
                </w:p>
              </w:tc>
              <w:tc>
                <w:tcPr>
                  <w:tcW w:w="938" w:type="pct"/>
                  <w:tcBorders>
                    <w:bottom w:val="single" w:sz="6" w:space="0" w:color="BFBFBF"/>
                  </w:tcBorders>
                  <w:shd w:val="pct5" w:color="auto" w:fill="FFFFFF" w:themeFill="background1"/>
                </w:tcPr>
                <w:p w14:paraId="317FF798" w14:textId="77777777" w:rsidR="009501B0" w:rsidRDefault="009501B0" w:rsidP="00152C9B">
                  <w:pPr>
                    <w:pStyle w:val="TableBullet"/>
                  </w:pPr>
                  <w:r>
                    <w:t>Regulator data; research firms; fund disclosures</w:t>
                  </w:r>
                </w:p>
                <w:p w14:paraId="154A5671" w14:textId="77777777" w:rsidR="009501B0" w:rsidRDefault="009501B0" w:rsidP="00152C9B">
                  <w:pPr>
                    <w:pStyle w:val="TableBullet"/>
                  </w:pPr>
                  <w:r>
                    <w:t>Regulator data; research firms; fund disclosures</w:t>
                  </w:r>
                </w:p>
                <w:p w14:paraId="5FE2E6D2" w14:textId="77777777" w:rsidR="009501B0" w:rsidRPr="00E9794C" w:rsidRDefault="009501B0" w:rsidP="00152C9B">
                  <w:pPr>
                    <w:pStyle w:val="TableBullet"/>
                    <w:spacing w:before="40"/>
                    <w:rPr>
                      <w:szCs w:val="24"/>
                    </w:rPr>
                  </w:pPr>
                  <w:r w:rsidRPr="00D46B60">
                    <w:rPr>
                      <w:szCs w:val="24"/>
                    </w:rPr>
                    <w:t xml:space="preserve">Regulator data; </w:t>
                  </w:r>
                  <w:r>
                    <w:t>fund disclosures; research firms</w:t>
                  </w:r>
                </w:p>
                <w:p w14:paraId="1EBDE1DB" w14:textId="77777777" w:rsidR="009501B0" w:rsidRDefault="009501B0" w:rsidP="00152C9B">
                  <w:pPr>
                    <w:pStyle w:val="TableBullet"/>
                  </w:pPr>
                  <w:r>
                    <w:t>Research firms; fund disclosures</w:t>
                  </w:r>
                </w:p>
                <w:p w14:paraId="758E40AF" w14:textId="77777777" w:rsidR="009501B0" w:rsidRDefault="009501B0" w:rsidP="00152C9B">
                  <w:pPr>
                    <w:pStyle w:val="TableBullet"/>
                  </w:pPr>
                  <w:r>
                    <w:t>Regulator data; research firms</w:t>
                  </w:r>
                </w:p>
                <w:p w14:paraId="6D546744" w14:textId="77777777" w:rsidR="009501B0" w:rsidRDefault="009501B0" w:rsidP="00152C9B">
                  <w:pPr>
                    <w:pStyle w:val="TableBullet"/>
                  </w:pPr>
                  <w:r>
                    <w:t>Regulator data</w:t>
                  </w:r>
                </w:p>
                <w:p w14:paraId="5A0A98E8" w14:textId="77777777" w:rsidR="009501B0" w:rsidRDefault="009501B0" w:rsidP="00152C9B">
                  <w:pPr>
                    <w:pStyle w:val="TableBullet"/>
                  </w:pPr>
                  <w:r>
                    <w:t>Research firms; member surveys</w:t>
                  </w:r>
                </w:p>
                <w:p w14:paraId="6398EA33" w14:textId="77777777" w:rsidR="009501B0" w:rsidRDefault="009501B0" w:rsidP="00152C9B">
                  <w:pPr>
                    <w:pStyle w:val="TableBullet"/>
                  </w:pPr>
                  <w:r>
                    <w:t>Regulator data; research firms</w:t>
                  </w:r>
                </w:p>
                <w:p w14:paraId="7C5D9245" w14:textId="77777777" w:rsidR="009501B0" w:rsidRDefault="009501B0" w:rsidP="00152C9B">
                  <w:pPr>
                    <w:pStyle w:val="TableBullet"/>
                  </w:pPr>
                  <w:r>
                    <w:t>Research firms; fund disclosures</w:t>
                  </w:r>
                </w:p>
                <w:p w14:paraId="2CC168EA" w14:textId="77777777" w:rsidR="009501B0" w:rsidRDefault="009501B0" w:rsidP="00152C9B">
                  <w:pPr>
                    <w:pStyle w:val="TableBullet"/>
                  </w:pPr>
                  <w:r>
                    <w:t>Research firms; fund disclosures</w:t>
                  </w:r>
                </w:p>
              </w:tc>
            </w:tr>
          </w:tbl>
          <w:p w14:paraId="1A05EDC5" w14:textId="77777777" w:rsidR="009501B0" w:rsidRDefault="009501B0" w:rsidP="00152C9B">
            <w:pPr>
              <w:pStyle w:val="Box"/>
            </w:pPr>
          </w:p>
        </w:tc>
      </w:tr>
      <w:tr w:rsidR="00D9122A" w14:paraId="2231ED29" w14:textId="77777777" w:rsidTr="00687440">
        <w:trPr>
          <w:cantSplit/>
        </w:trPr>
        <w:tc>
          <w:tcPr>
            <w:tcW w:w="5000" w:type="pct"/>
            <w:tcBorders>
              <w:top w:val="nil"/>
              <w:left w:val="nil"/>
              <w:bottom w:val="single" w:sz="6" w:space="0" w:color="78A22F"/>
              <w:right w:val="nil"/>
            </w:tcBorders>
            <w:shd w:val="clear" w:color="auto" w:fill="auto"/>
          </w:tcPr>
          <w:p w14:paraId="01472A64" w14:textId="15D9A762" w:rsidR="00D9122A" w:rsidRDefault="00D9122A" w:rsidP="00D9122A">
            <w:pPr>
              <w:pStyle w:val="Continued"/>
              <w:spacing w:after="120"/>
            </w:pPr>
            <w:r>
              <w:t>(continued next page)</w:t>
            </w:r>
          </w:p>
        </w:tc>
      </w:tr>
    </w:tbl>
    <w:p w14:paraId="3017B450" w14:textId="4BC6EF9B" w:rsidR="009501B0" w:rsidRDefault="009501B0" w:rsidP="009501B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9501B0" w14:paraId="32179A7A" w14:textId="77777777" w:rsidTr="00687440">
        <w:tc>
          <w:tcPr>
            <w:tcW w:w="5000" w:type="pct"/>
            <w:tcBorders>
              <w:top w:val="single" w:sz="6" w:space="0" w:color="78A22F"/>
              <w:left w:val="nil"/>
              <w:bottom w:val="nil"/>
              <w:right w:val="nil"/>
            </w:tcBorders>
            <w:shd w:val="clear" w:color="auto" w:fill="auto"/>
          </w:tcPr>
          <w:p w14:paraId="186D3F06" w14:textId="77777777" w:rsidR="009501B0" w:rsidRPr="007772FD" w:rsidRDefault="009501B0" w:rsidP="00152C9B">
            <w:pPr>
              <w:pStyle w:val="TableTitle"/>
            </w:pPr>
            <w:r>
              <w:t>Efficiency</w:t>
            </w:r>
            <w:r w:rsidRPr="007772FD">
              <w:rPr>
                <w:b w:val="0"/>
                <w:sz w:val="18"/>
                <w:szCs w:val="18"/>
              </w:rPr>
              <w:t xml:space="preserve"> (continued)</w:t>
            </w:r>
          </w:p>
        </w:tc>
      </w:tr>
      <w:tr w:rsidR="009501B0" w14:paraId="2C98EB02" w14:textId="77777777" w:rsidTr="00687440">
        <w:trPr>
          <w:cantSplit/>
        </w:trPr>
        <w:tc>
          <w:tcPr>
            <w:tcW w:w="5000" w:type="pct"/>
            <w:tcBorders>
              <w:top w:val="nil"/>
              <w:left w:val="nil"/>
              <w:bottom w:val="nil"/>
              <w:right w:val="nil"/>
            </w:tcBorders>
            <w:shd w:val="clear" w:color="auto" w:fill="auto"/>
          </w:tcPr>
          <w:tbl>
            <w:tblPr>
              <w:tblW w:w="13457" w:type="dxa"/>
              <w:tblCellMar>
                <w:top w:w="28" w:type="dxa"/>
                <w:left w:w="0" w:type="dxa"/>
                <w:right w:w="0" w:type="dxa"/>
              </w:tblCellMar>
              <w:tblLook w:val="0000" w:firstRow="0" w:lastRow="0" w:firstColumn="0" w:lastColumn="0" w:noHBand="0" w:noVBand="0"/>
            </w:tblPr>
            <w:tblGrid>
              <w:gridCol w:w="2269"/>
              <w:gridCol w:w="6521"/>
              <w:gridCol w:w="1844"/>
              <w:gridCol w:w="2823"/>
            </w:tblGrid>
            <w:tr w:rsidR="009501B0" w:rsidRPr="007772FD" w14:paraId="6DD1C14C" w14:textId="77777777" w:rsidTr="00152C9B">
              <w:tc>
                <w:tcPr>
                  <w:tcW w:w="843" w:type="pct"/>
                  <w:tcBorders>
                    <w:top w:val="single" w:sz="6" w:space="0" w:color="BFBFBF"/>
                    <w:bottom w:val="single" w:sz="6" w:space="0" w:color="BFBFBF"/>
                  </w:tcBorders>
                  <w:shd w:val="clear" w:color="auto" w:fill="auto"/>
                  <w:tcMar>
                    <w:top w:w="28" w:type="dxa"/>
                  </w:tcMar>
                </w:tcPr>
                <w:p w14:paraId="4E8E173B" w14:textId="77777777" w:rsidR="009501B0" w:rsidRPr="007772FD" w:rsidRDefault="009501B0" w:rsidP="00152C9B">
                  <w:pPr>
                    <w:pStyle w:val="TableColumnHeading"/>
                    <w:jc w:val="left"/>
                  </w:pPr>
                  <w:r w:rsidRPr="007772FD">
                    <w:t>Assessment criteria</w:t>
                  </w:r>
                </w:p>
              </w:tc>
              <w:tc>
                <w:tcPr>
                  <w:tcW w:w="2423" w:type="pct"/>
                  <w:tcBorders>
                    <w:top w:val="single" w:sz="6" w:space="0" w:color="BFBFBF"/>
                    <w:bottom w:val="single" w:sz="6" w:space="0" w:color="BFBFBF"/>
                  </w:tcBorders>
                  <w:shd w:val="clear" w:color="auto" w:fill="auto"/>
                  <w:tcMar>
                    <w:top w:w="28" w:type="dxa"/>
                  </w:tcMar>
                </w:tcPr>
                <w:p w14:paraId="3C1E1544" w14:textId="77777777" w:rsidR="009501B0" w:rsidRPr="007772FD" w:rsidRDefault="009501B0" w:rsidP="00152C9B">
                  <w:pPr>
                    <w:pStyle w:val="TableColumnHeading"/>
                    <w:ind w:right="28"/>
                    <w:jc w:val="left"/>
                  </w:pPr>
                  <w:r w:rsidRPr="007772FD">
                    <w:t>Indicators</w:t>
                  </w:r>
                </w:p>
              </w:tc>
              <w:tc>
                <w:tcPr>
                  <w:tcW w:w="685" w:type="pct"/>
                  <w:tcBorders>
                    <w:top w:val="single" w:sz="6" w:space="0" w:color="BFBFBF"/>
                    <w:bottom w:val="single" w:sz="6" w:space="0" w:color="BFBFBF"/>
                  </w:tcBorders>
                </w:tcPr>
                <w:p w14:paraId="69229B95" w14:textId="77777777" w:rsidR="009501B0" w:rsidRPr="007772FD" w:rsidRDefault="009501B0" w:rsidP="00152C9B">
                  <w:pPr>
                    <w:pStyle w:val="TableColumnHeading"/>
                    <w:ind w:right="28"/>
                    <w:jc w:val="left"/>
                  </w:pPr>
                  <w:r>
                    <w:t>Assessment methods</w:t>
                  </w:r>
                </w:p>
              </w:tc>
              <w:tc>
                <w:tcPr>
                  <w:tcW w:w="1049" w:type="pct"/>
                  <w:tcBorders>
                    <w:top w:val="single" w:sz="6" w:space="0" w:color="BFBFBF"/>
                    <w:bottom w:val="single" w:sz="6" w:space="0" w:color="BFBFBF"/>
                  </w:tcBorders>
                </w:tcPr>
                <w:p w14:paraId="6FB780B6" w14:textId="77777777" w:rsidR="009501B0" w:rsidRDefault="009501B0" w:rsidP="00152C9B">
                  <w:pPr>
                    <w:pStyle w:val="TableColumnHeading"/>
                    <w:ind w:right="28"/>
                    <w:jc w:val="left"/>
                  </w:pPr>
                  <w:r>
                    <w:t>Expected data sources</w:t>
                  </w:r>
                </w:p>
              </w:tc>
            </w:tr>
            <w:tr w:rsidR="009501B0" w14:paraId="5B0E6C11" w14:textId="77777777" w:rsidTr="00152C9B">
              <w:tc>
                <w:tcPr>
                  <w:tcW w:w="843" w:type="pct"/>
                  <w:tcBorders>
                    <w:top w:val="single" w:sz="6" w:space="0" w:color="BFBFBF"/>
                  </w:tcBorders>
                </w:tcPr>
                <w:p w14:paraId="22F17221" w14:textId="77777777" w:rsidR="009501B0" w:rsidRPr="001F0E0E" w:rsidRDefault="009501B0" w:rsidP="00152C9B">
                  <w:pPr>
                    <w:pStyle w:val="TableBodyText"/>
                    <w:spacing w:before="40"/>
                    <w:jc w:val="left"/>
                  </w:pPr>
                  <w:r>
                    <w:t xml:space="preserve">E3. </w:t>
                  </w:r>
                  <w:r w:rsidRPr="00CC7398">
                    <w:t>Do all types of funds have opportunities to invest efficiently in upstream capital markets?</w:t>
                  </w:r>
                </w:p>
              </w:tc>
              <w:tc>
                <w:tcPr>
                  <w:tcW w:w="2423" w:type="pct"/>
                  <w:tcBorders>
                    <w:top w:val="single" w:sz="6" w:space="0" w:color="BFBFBF"/>
                  </w:tcBorders>
                </w:tcPr>
                <w:p w14:paraId="23B416A9" w14:textId="77777777" w:rsidR="009501B0" w:rsidRPr="008C11C9" w:rsidRDefault="009501B0" w:rsidP="00152C9B">
                  <w:pPr>
                    <w:pStyle w:val="TableBullet"/>
                    <w:spacing w:before="40"/>
                  </w:pPr>
                  <w:r w:rsidRPr="00831F36">
                    <w:t xml:space="preserve">Asset allocation in small funds compared to </w:t>
                  </w:r>
                  <w:r>
                    <w:t>large institutional</w:t>
                  </w:r>
                  <w:r w:rsidRPr="00831F36">
                    <w:t xml:space="preserve"> funds </w:t>
                  </w:r>
                  <w:r w:rsidRPr="008C11C9">
                    <w:t>(input)</w:t>
                  </w:r>
                </w:p>
                <w:p w14:paraId="4ED60D7D" w14:textId="77777777" w:rsidR="009501B0" w:rsidRPr="008C11C9" w:rsidRDefault="009501B0" w:rsidP="00152C9B">
                  <w:pPr>
                    <w:pStyle w:val="TableBullet"/>
                    <w:spacing w:before="40"/>
                  </w:pPr>
                  <w:r w:rsidRPr="008C11C9">
                    <w:t>Retail investment management costs compared to wholesale (input)</w:t>
                  </w:r>
                </w:p>
                <w:p w14:paraId="04D041D1" w14:textId="77777777" w:rsidR="009501B0" w:rsidRDefault="009501B0" w:rsidP="00152C9B">
                  <w:pPr>
                    <w:pStyle w:val="TableBullet"/>
                    <w:spacing w:before="40"/>
                  </w:pPr>
                  <w:r w:rsidRPr="008C11C9">
                    <w:t>Minimum transaction values (input)</w:t>
                  </w:r>
                </w:p>
                <w:p w14:paraId="44799464" w14:textId="77777777" w:rsidR="009501B0" w:rsidRPr="008C11C9" w:rsidDel="004D4052" w:rsidRDefault="009501B0" w:rsidP="00152C9B">
                  <w:pPr>
                    <w:pStyle w:val="TableBullet"/>
                    <w:spacing w:before="40"/>
                  </w:pPr>
                  <w:r>
                    <w:t>Ability of small funds to access investments through intermediaries (input)</w:t>
                  </w:r>
                </w:p>
              </w:tc>
              <w:tc>
                <w:tcPr>
                  <w:tcW w:w="685" w:type="pct"/>
                  <w:tcBorders>
                    <w:top w:val="single" w:sz="6" w:space="0" w:color="BFBFBF"/>
                  </w:tcBorders>
                </w:tcPr>
                <w:p w14:paraId="073E9347" w14:textId="77777777" w:rsidR="009501B0" w:rsidRPr="00057E3E" w:rsidRDefault="009501B0" w:rsidP="00152C9B">
                  <w:pPr>
                    <w:pStyle w:val="TableBullet"/>
                    <w:framePr w:w="2155" w:hSpace="227" w:vSpace="181" w:wrap="around" w:vAnchor="text" w:hAnchor="page" w:xAlign="outside" w:y="1"/>
                    <w:spacing w:before="40"/>
                  </w:pPr>
                  <w:r>
                    <w:t>Trend analysis</w:t>
                  </w:r>
                </w:p>
                <w:p w14:paraId="06A4C132" w14:textId="77777777" w:rsidR="009501B0" w:rsidRDefault="009501B0" w:rsidP="00152C9B">
                  <w:pPr>
                    <w:pStyle w:val="TableBullet"/>
                    <w:spacing w:before="40"/>
                  </w:pPr>
                  <w:r>
                    <w:t>Trend analysis</w:t>
                  </w:r>
                </w:p>
                <w:p w14:paraId="799449B1" w14:textId="77777777" w:rsidR="009501B0" w:rsidRDefault="009501B0" w:rsidP="00152C9B">
                  <w:pPr>
                    <w:pStyle w:val="TableBullet"/>
                    <w:spacing w:before="40"/>
                  </w:pPr>
                  <w:r w:rsidRPr="00ED53F7">
                    <w:t>Trend analysis</w:t>
                  </w:r>
                </w:p>
                <w:p w14:paraId="48DC03C9" w14:textId="77777777" w:rsidR="009501B0" w:rsidRDefault="009501B0" w:rsidP="00152C9B">
                  <w:pPr>
                    <w:pStyle w:val="TableBullet"/>
                    <w:spacing w:before="40"/>
                  </w:pPr>
                  <w:r>
                    <w:t>Qualitative</w:t>
                  </w:r>
                </w:p>
              </w:tc>
              <w:tc>
                <w:tcPr>
                  <w:tcW w:w="1049" w:type="pct"/>
                  <w:tcBorders>
                    <w:top w:val="single" w:sz="6" w:space="0" w:color="BFBFBF"/>
                  </w:tcBorders>
                </w:tcPr>
                <w:p w14:paraId="3B8A12DB" w14:textId="77777777" w:rsidR="009501B0" w:rsidRDefault="009501B0" w:rsidP="00152C9B">
                  <w:pPr>
                    <w:pStyle w:val="TableBullet"/>
                    <w:spacing w:before="40"/>
                  </w:pPr>
                  <w:r>
                    <w:t>Regulator data</w:t>
                  </w:r>
                </w:p>
                <w:p w14:paraId="3B02376C" w14:textId="77777777" w:rsidR="009501B0" w:rsidRDefault="009501B0" w:rsidP="00152C9B">
                  <w:pPr>
                    <w:pStyle w:val="TableBullet"/>
                    <w:spacing w:before="40"/>
                  </w:pPr>
                  <w:r>
                    <w:t>Research firms</w:t>
                  </w:r>
                </w:p>
                <w:p w14:paraId="5F14F83C" w14:textId="77777777" w:rsidR="009501B0" w:rsidRDefault="009501B0" w:rsidP="00152C9B">
                  <w:pPr>
                    <w:pStyle w:val="TableBullet"/>
                    <w:spacing w:before="40"/>
                  </w:pPr>
                  <w:r>
                    <w:t>Research firms</w:t>
                  </w:r>
                </w:p>
                <w:p w14:paraId="4283F302" w14:textId="77777777" w:rsidR="009501B0" w:rsidRDefault="009501B0" w:rsidP="00152C9B">
                  <w:pPr>
                    <w:pStyle w:val="TableBullet"/>
                    <w:spacing w:before="40"/>
                  </w:pPr>
                  <w:r>
                    <w:t>Reviews by others; member surveys</w:t>
                  </w:r>
                </w:p>
              </w:tc>
            </w:tr>
            <w:tr w:rsidR="009501B0" w14:paraId="075C01F7" w14:textId="77777777" w:rsidTr="00152C9B">
              <w:tc>
                <w:tcPr>
                  <w:tcW w:w="843" w:type="pct"/>
                  <w:shd w:val="pct5" w:color="auto" w:fill="auto"/>
                </w:tcPr>
                <w:p w14:paraId="5354A7EF" w14:textId="77777777" w:rsidR="009501B0" w:rsidRDefault="009501B0" w:rsidP="00152C9B">
                  <w:pPr>
                    <w:pStyle w:val="TableBodyText"/>
                    <w:jc w:val="left"/>
                  </w:pPr>
                  <w:r>
                    <w:t xml:space="preserve">E4. </w:t>
                  </w:r>
                  <w:r w:rsidRPr="004D097D">
                    <w:t xml:space="preserve">Is the system effectively managing </w:t>
                  </w:r>
                  <w:r>
                    <w:t>tax for members, including in transition</w:t>
                  </w:r>
                  <w:r w:rsidRPr="004D097D">
                    <w:t>?</w:t>
                  </w:r>
                </w:p>
              </w:tc>
              <w:tc>
                <w:tcPr>
                  <w:tcW w:w="2423" w:type="pct"/>
                  <w:shd w:val="pct5" w:color="auto" w:fill="auto"/>
                </w:tcPr>
                <w:p w14:paraId="71BB5AE8" w14:textId="77777777" w:rsidR="009501B0" w:rsidRDefault="009501B0" w:rsidP="00152C9B">
                  <w:pPr>
                    <w:pStyle w:val="TableBullet"/>
                  </w:pPr>
                  <w:r w:rsidRPr="008C11C9">
                    <w:t>Average effective tax rates across market segments (output)</w:t>
                  </w:r>
                </w:p>
                <w:p w14:paraId="3B9B6361" w14:textId="77777777" w:rsidR="009501B0" w:rsidRDefault="009501B0" w:rsidP="00152C9B">
                  <w:pPr>
                    <w:pStyle w:val="TableBullet"/>
                  </w:pPr>
                  <w:r w:rsidRPr="00AF5FA7">
                    <w:t>Tax flexibility as a</w:t>
                  </w:r>
                  <w:r>
                    <w:t xml:space="preserve"> motivation for establishing </w:t>
                  </w:r>
                  <w:r w:rsidRPr="00AF5FA7">
                    <w:t>SMSF</w:t>
                  </w:r>
                  <w:r>
                    <w:t>s</w:t>
                  </w:r>
                  <w:r w:rsidRPr="00AF5FA7">
                    <w:t xml:space="preserve"> </w:t>
                  </w:r>
                  <w:r>
                    <w:t>(input)</w:t>
                  </w:r>
                </w:p>
                <w:p w14:paraId="534045B2" w14:textId="77777777" w:rsidR="009501B0" w:rsidRPr="008C11C9" w:rsidRDefault="009501B0" w:rsidP="00152C9B">
                  <w:pPr>
                    <w:pStyle w:val="TableBullet"/>
                  </w:pPr>
                  <w:r>
                    <w:t>Take</w:t>
                  </w:r>
                  <w:r>
                    <w:noBreakHyphen/>
                    <w:t>up rates of co</w:t>
                  </w:r>
                  <w:r>
                    <w:noBreakHyphen/>
                    <w:t>contributions and offsets (input)</w:t>
                  </w:r>
                </w:p>
              </w:tc>
              <w:tc>
                <w:tcPr>
                  <w:tcW w:w="685" w:type="pct"/>
                  <w:shd w:val="pct5" w:color="auto" w:fill="auto"/>
                </w:tcPr>
                <w:p w14:paraId="63BEA61D" w14:textId="77777777" w:rsidR="009501B0" w:rsidRDefault="009501B0" w:rsidP="00152C9B">
                  <w:pPr>
                    <w:pStyle w:val="TableBullet"/>
                  </w:pPr>
                  <w:r w:rsidRPr="00AF5FA7">
                    <w:t>Trend</w:t>
                  </w:r>
                  <w:r>
                    <w:t xml:space="preserve"> analysis</w:t>
                  </w:r>
                </w:p>
                <w:p w14:paraId="23F78852" w14:textId="77777777" w:rsidR="009501B0" w:rsidRDefault="009501B0" w:rsidP="00152C9B">
                  <w:pPr>
                    <w:pStyle w:val="TableBullet"/>
                  </w:pPr>
                  <w:r>
                    <w:t>Qualitative</w:t>
                  </w:r>
                </w:p>
                <w:p w14:paraId="6A3566D6" w14:textId="77777777" w:rsidR="009501B0" w:rsidRDefault="009501B0" w:rsidP="00152C9B">
                  <w:pPr>
                    <w:pStyle w:val="TableBullet"/>
                  </w:pPr>
                  <w:r>
                    <w:t>Trend analysis</w:t>
                  </w:r>
                </w:p>
              </w:tc>
              <w:tc>
                <w:tcPr>
                  <w:tcW w:w="1049" w:type="pct"/>
                  <w:shd w:val="pct5" w:color="auto" w:fill="auto"/>
                </w:tcPr>
                <w:p w14:paraId="1DB710A9" w14:textId="77777777" w:rsidR="009501B0" w:rsidRDefault="009501B0" w:rsidP="00152C9B">
                  <w:pPr>
                    <w:pStyle w:val="TableBullet"/>
                  </w:pPr>
                  <w:r>
                    <w:t>Regulator data; research firms</w:t>
                  </w:r>
                </w:p>
                <w:p w14:paraId="1306F2F9" w14:textId="77777777" w:rsidR="009501B0" w:rsidRDefault="009501B0" w:rsidP="00152C9B">
                  <w:pPr>
                    <w:pStyle w:val="TableBullet"/>
                  </w:pPr>
                  <w:r>
                    <w:t>Member surveys</w:t>
                  </w:r>
                </w:p>
                <w:p w14:paraId="0CA3EA31" w14:textId="77777777" w:rsidR="009501B0" w:rsidRDefault="009501B0" w:rsidP="00152C9B">
                  <w:pPr>
                    <w:pStyle w:val="TableBullet"/>
                  </w:pPr>
                  <w:r>
                    <w:t>Regulator data</w:t>
                  </w:r>
                </w:p>
              </w:tc>
            </w:tr>
            <w:tr w:rsidR="009501B0" w14:paraId="127DE4A8" w14:textId="77777777" w:rsidTr="00152C9B">
              <w:tc>
                <w:tcPr>
                  <w:tcW w:w="843" w:type="pct"/>
                  <w:tcBorders>
                    <w:bottom w:val="single" w:sz="6" w:space="0" w:color="BFBFBF"/>
                  </w:tcBorders>
                  <w:shd w:val="clear" w:color="auto" w:fill="auto"/>
                </w:tcPr>
                <w:p w14:paraId="6FC421FE" w14:textId="77777777" w:rsidR="009501B0" w:rsidRPr="004D097D" w:rsidRDefault="009501B0" w:rsidP="00152C9B">
                  <w:pPr>
                    <w:pStyle w:val="TableBodyText"/>
                    <w:jc w:val="left"/>
                  </w:pPr>
                  <w:r>
                    <w:t xml:space="preserve">E5. </w:t>
                  </w:r>
                  <w:r w:rsidRPr="00FD33B3">
                    <w:t>Are other leakages from members’ accounts being minimised?</w:t>
                  </w:r>
                </w:p>
              </w:tc>
              <w:tc>
                <w:tcPr>
                  <w:tcW w:w="2423" w:type="pct"/>
                  <w:tcBorders>
                    <w:bottom w:val="single" w:sz="6" w:space="0" w:color="BFBFBF"/>
                  </w:tcBorders>
                  <w:shd w:val="clear" w:color="auto" w:fill="auto"/>
                </w:tcPr>
                <w:p w14:paraId="5258EF21" w14:textId="77777777" w:rsidR="009501B0" w:rsidRDefault="009501B0" w:rsidP="00152C9B">
                  <w:pPr>
                    <w:pStyle w:val="TableBullet"/>
                  </w:pPr>
                  <w:r>
                    <w:t>Unpaid Superannuation Guarantee contributions (input)</w:t>
                  </w:r>
                </w:p>
                <w:p w14:paraId="38DAA785" w14:textId="77777777" w:rsidR="009501B0" w:rsidRDefault="009501B0" w:rsidP="00152C9B">
                  <w:pPr>
                    <w:pStyle w:val="TableBullet"/>
                  </w:pPr>
                  <w:r>
                    <w:t>Delayed Superannuation Guarantee contributions (input)</w:t>
                  </w:r>
                </w:p>
                <w:p w14:paraId="37596DB0" w14:textId="77777777" w:rsidR="009501B0" w:rsidRDefault="009501B0" w:rsidP="00152C9B">
                  <w:pPr>
                    <w:pStyle w:val="TableBullet"/>
                  </w:pPr>
                  <w:r>
                    <w:t>Number and value of lost accounts (output)</w:t>
                  </w:r>
                </w:p>
                <w:p w14:paraId="7CD1C0A4" w14:textId="77777777" w:rsidR="009501B0" w:rsidRDefault="009501B0" w:rsidP="00152C9B">
                  <w:pPr>
                    <w:pStyle w:val="TableBullet"/>
                  </w:pPr>
                  <w:r>
                    <w:t>Trailing adviser commissions embedded in choice products and insurance</w:t>
                  </w:r>
                  <w:r w:rsidRPr="00B15864">
                    <w:rPr>
                      <w:vertAlign w:val="superscript"/>
                    </w:rPr>
                    <w:t>#</w:t>
                  </w:r>
                  <w:r>
                    <w:t xml:space="preserve"> (output)</w:t>
                  </w:r>
                </w:p>
                <w:p w14:paraId="15D84D44" w14:textId="77777777" w:rsidR="009501B0" w:rsidRPr="008C11C9" w:rsidDel="00AF5FA7" w:rsidRDefault="009501B0" w:rsidP="00152C9B">
                  <w:pPr>
                    <w:pStyle w:val="TableBullet"/>
                    <w:spacing w:before="40"/>
                  </w:pPr>
                  <w:r>
                    <w:t>Unclaimed superannuation (output)</w:t>
                  </w:r>
                </w:p>
              </w:tc>
              <w:tc>
                <w:tcPr>
                  <w:tcW w:w="685" w:type="pct"/>
                  <w:tcBorders>
                    <w:bottom w:val="single" w:sz="6" w:space="0" w:color="BFBFBF"/>
                  </w:tcBorders>
                  <w:shd w:val="clear" w:color="auto" w:fill="auto"/>
                </w:tcPr>
                <w:p w14:paraId="2618DC95" w14:textId="77777777" w:rsidR="009501B0" w:rsidRDefault="009501B0" w:rsidP="00152C9B">
                  <w:pPr>
                    <w:pStyle w:val="TableBullet"/>
                  </w:pPr>
                  <w:r>
                    <w:t>Trend analysis</w:t>
                  </w:r>
                </w:p>
                <w:p w14:paraId="22D3006B" w14:textId="77777777" w:rsidR="009501B0" w:rsidRDefault="009501B0" w:rsidP="00152C9B">
                  <w:pPr>
                    <w:pStyle w:val="TableBullet"/>
                  </w:pPr>
                  <w:r>
                    <w:t>Trend analysis</w:t>
                  </w:r>
                </w:p>
                <w:p w14:paraId="13C3DCDE" w14:textId="77777777" w:rsidR="009501B0" w:rsidRDefault="009501B0" w:rsidP="00152C9B">
                  <w:pPr>
                    <w:pStyle w:val="TableBullet"/>
                  </w:pPr>
                  <w:r>
                    <w:t>Trend analysis</w:t>
                  </w:r>
                </w:p>
                <w:p w14:paraId="5BFCFBE0" w14:textId="77777777" w:rsidR="009501B0" w:rsidRDefault="009501B0" w:rsidP="00152C9B">
                  <w:pPr>
                    <w:pStyle w:val="TableBullet"/>
                  </w:pPr>
                  <w:r>
                    <w:t>Trend analysis</w:t>
                  </w:r>
                  <w:r>
                    <w:br/>
                  </w:r>
                </w:p>
                <w:p w14:paraId="1357A84E" w14:textId="77777777" w:rsidR="009501B0" w:rsidRPr="00AF5FA7" w:rsidDel="00AF5FA7" w:rsidRDefault="009501B0" w:rsidP="00152C9B">
                  <w:pPr>
                    <w:pStyle w:val="TableBullet"/>
                  </w:pPr>
                  <w:r>
                    <w:t>Trend analysis</w:t>
                  </w:r>
                </w:p>
              </w:tc>
              <w:tc>
                <w:tcPr>
                  <w:tcW w:w="1049" w:type="pct"/>
                  <w:tcBorders>
                    <w:bottom w:val="single" w:sz="6" w:space="0" w:color="BFBFBF"/>
                  </w:tcBorders>
                  <w:shd w:val="clear" w:color="auto" w:fill="auto"/>
                </w:tcPr>
                <w:p w14:paraId="24E06957" w14:textId="77777777" w:rsidR="009501B0" w:rsidRDefault="009501B0" w:rsidP="00152C9B">
                  <w:pPr>
                    <w:pStyle w:val="TableBullet"/>
                  </w:pPr>
                  <w:r>
                    <w:t>Regulator data</w:t>
                  </w:r>
                </w:p>
                <w:p w14:paraId="50360080" w14:textId="77777777" w:rsidR="009501B0" w:rsidRDefault="009501B0" w:rsidP="00152C9B">
                  <w:pPr>
                    <w:pStyle w:val="TableBullet"/>
                  </w:pPr>
                  <w:r>
                    <w:t>Regulator data</w:t>
                  </w:r>
                </w:p>
                <w:p w14:paraId="42BE1CCB" w14:textId="77777777" w:rsidR="009501B0" w:rsidRDefault="009501B0" w:rsidP="00152C9B">
                  <w:pPr>
                    <w:pStyle w:val="TableBullet"/>
                  </w:pPr>
                  <w:r>
                    <w:t>Regulator data</w:t>
                  </w:r>
                </w:p>
                <w:p w14:paraId="12637FF9" w14:textId="77777777" w:rsidR="009501B0" w:rsidRDefault="009501B0" w:rsidP="00152C9B">
                  <w:pPr>
                    <w:pStyle w:val="TableBullet"/>
                  </w:pPr>
                  <w:r>
                    <w:t>Fund surveys</w:t>
                  </w:r>
                  <w:r>
                    <w:br/>
                  </w:r>
                </w:p>
                <w:p w14:paraId="0E314056" w14:textId="77777777" w:rsidR="009501B0" w:rsidDel="00AF5FA7" w:rsidRDefault="009501B0" w:rsidP="00152C9B">
                  <w:pPr>
                    <w:pStyle w:val="TableBullet"/>
                  </w:pPr>
                  <w:r>
                    <w:t>Regulator data</w:t>
                  </w:r>
                </w:p>
              </w:tc>
            </w:tr>
          </w:tbl>
          <w:p w14:paraId="02B9CA77" w14:textId="77777777" w:rsidR="009501B0" w:rsidRPr="007772FD" w:rsidRDefault="009501B0" w:rsidP="00152C9B">
            <w:pPr>
              <w:pStyle w:val="Box"/>
            </w:pPr>
          </w:p>
        </w:tc>
      </w:tr>
      <w:tr w:rsidR="009501B0" w14:paraId="1E51348E" w14:textId="77777777" w:rsidTr="00687440">
        <w:trPr>
          <w:cantSplit/>
        </w:trPr>
        <w:tc>
          <w:tcPr>
            <w:tcW w:w="5000" w:type="pct"/>
            <w:tcBorders>
              <w:top w:val="nil"/>
              <w:left w:val="nil"/>
              <w:bottom w:val="nil"/>
              <w:right w:val="nil"/>
            </w:tcBorders>
            <w:shd w:val="clear" w:color="auto" w:fill="auto"/>
          </w:tcPr>
          <w:p w14:paraId="017C72EA" w14:textId="77777777" w:rsidR="009501B0" w:rsidRDefault="009501B0" w:rsidP="00152C9B">
            <w:pPr>
              <w:pStyle w:val="Continued"/>
            </w:pPr>
            <w:r>
              <w:t>(continued next page)</w:t>
            </w:r>
          </w:p>
        </w:tc>
      </w:tr>
      <w:tr w:rsidR="009501B0" w14:paraId="11AF24E2" w14:textId="77777777" w:rsidTr="00687440">
        <w:trPr>
          <w:cantSplit/>
        </w:trPr>
        <w:tc>
          <w:tcPr>
            <w:tcW w:w="5000" w:type="pct"/>
            <w:tcBorders>
              <w:top w:val="nil"/>
              <w:left w:val="nil"/>
              <w:bottom w:val="single" w:sz="6" w:space="0" w:color="78A22F"/>
              <w:right w:val="nil"/>
            </w:tcBorders>
            <w:shd w:val="clear" w:color="auto" w:fill="auto"/>
          </w:tcPr>
          <w:p w14:paraId="2C59F23F" w14:textId="77777777" w:rsidR="009501B0" w:rsidRDefault="009501B0" w:rsidP="00152C9B">
            <w:pPr>
              <w:pStyle w:val="Box"/>
              <w:spacing w:before="0" w:line="120" w:lineRule="exact"/>
            </w:pPr>
          </w:p>
        </w:tc>
      </w:tr>
      <w:tr w:rsidR="009501B0" w:rsidRPr="000863A5" w14:paraId="6FEBC909" w14:textId="77777777" w:rsidTr="00687440">
        <w:tc>
          <w:tcPr>
            <w:tcW w:w="5000" w:type="pct"/>
            <w:tcBorders>
              <w:top w:val="single" w:sz="6" w:space="0" w:color="78A22F"/>
              <w:left w:val="nil"/>
              <w:bottom w:val="nil"/>
              <w:right w:val="nil"/>
            </w:tcBorders>
          </w:tcPr>
          <w:p w14:paraId="0726A099" w14:textId="77777777" w:rsidR="009501B0" w:rsidRPr="00626D32" w:rsidRDefault="009501B0" w:rsidP="00152C9B">
            <w:pPr>
              <w:pStyle w:val="BoxSpaceBelow"/>
            </w:pPr>
          </w:p>
        </w:tc>
      </w:tr>
    </w:tbl>
    <w:p w14:paraId="438C5059" w14:textId="77777777" w:rsidR="009501B0" w:rsidRDefault="009501B0" w:rsidP="009501B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9501B0" w14:paraId="273C664C" w14:textId="77777777" w:rsidTr="00687440">
        <w:tc>
          <w:tcPr>
            <w:tcW w:w="5000" w:type="pct"/>
            <w:tcBorders>
              <w:top w:val="single" w:sz="6" w:space="0" w:color="78A22F"/>
              <w:left w:val="nil"/>
              <w:bottom w:val="nil"/>
              <w:right w:val="nil"/>
            </w:tcBorders>
            <w:shd w:val="clear" w:color="auto" w:fill="auto"/>
          </w:tcPr>
          <w:p w14:paraId="78F3421E" w14:textId="77777777" w:rsidR="009501B0" w:rsidRPr="00784A05" w:rsidRDefault="009501B0" w:rsidP="00152C9B">
            <w:pPr>
              <w:pStyle w:val="TableTitle"/>
            </w:pPr>
            <w:r>
              <w:t>Efficiency</w:t>
            </w:r>
            <w:r w:rsidRPr="00A57215">
              <w:rPr>
                <w:b w:val="0"/>
                <w:sz w:val="18"/>
                <w:szCs w:val="18"/>
              </w:rPr>
              <w:t xml:space="preserve"> (continued)</w:t>
            </w:r>
          </w:p>
        </w:tc>
      </w:tr>
      <w:tr w:rsidR="009501B0" w14:paraId="7FC1FD25" w14:textId="77777777" w:rsidTr="00687440">
        <w:trPr>
          <w:cantSplit/>
        </w:trPr>
        <w:tc>
          <w:tcPr>
            <w:tcW w:w="5000" w:type="pct"/>
            <w:tcBorders>
              <w:top w:val="nil"/>
              <w:left w:val="nil"/>
              <w:bottom w:val="nil"/>
              <w:right w:val="nil"/>
            </w:tcBorders>
            <w:shd w:val="clear" w:color="auto" w:fill="auto"/>
          </w:tcPr>
          <w:tbl>
            <w:tblPr>
              <w:tblW w:w="13488" w:type="dxa"/>
              <w:tblCellMar>
                <w:top w:w="28" w:type="dxa"/>
                <w:left w:w="0" w:type="dxa"/>
                <w:right w:w="0" w:type="dxa"/>
              </w:tblCellMar>
              <w:tblLook w:val="0000" w:firstRow="0" w:lastRow="0" w:firstColumn="0" w:lastColumn="0" w:noHBand="0" w:noVBand="0"/>
            </w:tblPr>
            <w:tblGrid>
              <w:gridCol w:w="2005"/>
              <w:gridCol w:w="6644"/>
              <w:gridCol w:w="1842"/>
              <w:gridCol w:w="2965"/>
              <w:gridCol w:w="32"/>
            </w:tblGrid>
            <w:tr w:rsidR="009501B0" w14:paraId="06AF9090" w14:textId="77777777" w:rsidTr="00152C9B">
              <w:trPr>
                <w:gridAfter w:val="1"/>
                <w:wAfter w:w="12" w:type="pct"/>
              </w:trPr>
              <w:tc>
                <w:tcPr>
                  <w:tcW w:w="743" w:type="pct"/>
                  <w:tcBorders>
                    <w:top w:val="single" w:sz="6" w:space="0" w:color="BFBFBF"/>
                    <w:bottom w:val="single" w:sz="6" w:space="0" w:color="BFBFBF"/>
                  </w:tcBorders>
                  <w:shd w:val="clear" w:color="auto" w:fill="auto"/>
                  <w:tcMar>
                    <w:top w:w="28" w:type="dxa"/>
                  </w:tcMar>
                </w:tcPr>
                <w:p w14:paraId="532D2C94" w14:textId="77777777" w:rsidR="009501B0" w:rsidRDefault="009501B0" w:rsidP="00152C9B">
                  <w:pPr>
                    <w:pStyle w:val="TableColumnHeading"/>
                    <w:jc w:val="left"/>
                  </w:pPr>
                  <w:r>
                    <w:t>Assessment criteria</w:t>
                  </w:r>
                </w:p>
              </w:tc>
              <w:tc>
                <w:tcPr>
                  <w:tcW w:w="2463" w:type="pct"/>
                  <w:tcBorders>
                    <w:top w:val="single" w:sz="6" w:space="0" w:color="BFBFBF"/>
                    <w:bottom w:val="single" w:sz="6" w:space="0" w:color="BFBFBF"/>
                  </w:tcBorders>
                  <w:shd w:val="clear" w:color="auto" w:fill="auto"/>
                  <w:tcMar>
                    <w:top w:w="28" w:type="dxa"/>
                  </w:tcMar>
                </w:tcPr>
                <w:p w14:paraId="071401BC" w14:textId="77777777" w:rsidR="009501B0" w:rsidRDefault="009501B0" w:rsidP="00152C9B">
                  <w:pPr>
                    <w:pStyle w:val="TableColumnHeading"/>
                    <w:ind w:right="28"/>
                    <w:jc w:val="left"/>
                  </w:pPr>
                  <w:r>
                    <w:t>Indicators</w:t>
                  </w:r>
                </w:p>
              </w:tc>
              <w:tc>
                <w:tcPr>
                  <w:tcW w:w="683" w:type="pct"/>
                  <w:tcBorders>
                    <w:top w:val="single" w:sz="6" w:space="0" w:color="BFBFBF"/>
                    <w:bottom w:val="single" w:sz="6" w:space="0" w:color="BFBFBF"/>
                  </w:tcBorders>
                </w:tcPr>
                <w:p w14:paraId="25934637" w14:textId="77777777" w:rsidR="009501B0" w:rsidRDefault="009501B0" w:rsidP="00152C9B">
                  <w:pPr>
                    <w:pStyle w:val="TableColumnHeading"/>
                    <w:ind w:right="28"/>
                    <w:jc w:val="left"/>
                  </w:pPr>
                  <w:r>
                    <w:t>Assessment methods</w:t>
                  </w:r>
                </w:p>
              </w:tc>
              <w:tc>
                <w:tcPr>
                  <w:tcW w:w="1099" w:type="pct"/>
                  <w:tcBorders>
                    <w:top w:val="single" w:sz="6" w:space="0" w:color="BFBFBF"/>
                    <w:bottom w:val="single" w:sz="6" w:space="0" w:color="BFBFBF"/>
                  </w:tcBorders>
                </w:tcPr>
                <w:p w14:paraId="1DF9794F" w14:textId="77777777" w:rsidR="009501B0" w:rsidRDefault="009501B0" w:rsidP="00152C9B">
                  <w:pPr>
                    <w:pStyle w:val="TableColumnHeading"/>
                    <w:ind w:right="28"/>
                    <w:jc w:val="left"/>
                  </w:pPr>
                  <w:r>
                    <w:t>Expected data sources</w:t>
                  </w:r>
                </w:p>
              </w:tc>
            </w:tr>
            <w:tr w:rsidR="009501B0" w:rsidRPr="007772FD" w14:paraId="59E696D7" w14:textId="77777777" w:rsidTr="00437F99">
              <w:trPr>
                <w:trHeight w:val="283"/>
              </w:trPr>
              <w:tc>
                <w:tcPr>
                  <w:tcW w:w="5000" w:type="pct"/>
                  <w:gridSpan w:val="5"/>
                  <w:shd w:val="clear" w:color="auto" w:fill="E0EEC6" w:themeFill="accent3" w:themeFillTint="66"/>
                  <w:vAlign w:val="center"/>
                </w:tcPr>
                <w:p w14:paraId="18499505" w14:textId="77777777" w:rsidR="009501B0" w:rsidRPr="007772FD" w:rsidRDefault="009501B0" w:rsidP="00990744">
                  <w:pPr>
                    <w:pStyle w:val="SuperObjective"/>
                    <w:rPr>
                      <w:i/>
                    </w:rPr>
                  </w:pPr>
                  <w:r w:rsidRPr="0050503A">
                    <w:rPr>
                      <w:i/>
                    </w:rPr>
                    <w:t>Objective</w:t>
                  </w:r>
                  <w:r>
                    <w:rPr>
                      <w:i/>
                    </w:rPr>
                    <w:t xml:space="preserve"> 2</w:t>
                  </w:r>
                  <w:r w:rsidRPr="0050503A">
                    <w:t xml:space="preserve">: </w:t>
                  </w:r>
                  <w:r w:rsidRPr="000B20AE">
                    <w:t xml:space="preserve">The </w:t>
                  </w:r>
                  <w:r>
                    <w:t xml:space="preserve">superannuation </w:t>
                  </w:r>
                  <w:r w:rsidRPr="000B20AE">
                    <w:t xml:space="preserve">system meets member needs, </w:t>
                  </w:r>
                  <w:r w:rsidRPr="005A5885">
                    <w:t>in relation to information, products and risk management, over the member’s lifetime</w:t>
                  </w:r>
                </w:p>
              </w:tc>
            </w:tr>
            <w:tr w:rsidR="009501B0" w14:paraId="2C767977" w14:textId="77777777" w:rsidTr="00990744">
              <w:tc>
                <w:tcPr>
                  <w:tcW w:w="743" w:type="pct"/>
                  <w:shd w:val="clear" w:color="auto" w:fill="auto"/>
                </w:tcPr>
                <w:p w14:paraId="7E358E84" w14:textId="77777777" w:rsidR="009501B0" w:rsidRPr="00D10468" w:rsidRDefault="009501B0" w:rsidP="00152C9B">
                  <w:pPr>
                    <w:pStyle w:val="TableBodyText"/>
                    <w:spacing w:before="40"/>
                    <w:jc w:val="left"/>
                  </w:pPr>
                  <w:r>
                    <w:t>E6. Is the system providing high</w:t>
                  </w:r>
                  <w:r>
                    <w:noBreakHyphen/>
                  </w:r>
                  <w:r w:rsidRPr="00607B29">
                    <w:t xml:space="preserve">quality information and </w:t>
                  </w:r>
                  <w:r>
                    <w:t xml:space="preserve">intrafund </w:t>
                  </w:r>
                  <w:r w:rsidRPr="00607B29">
                    <w:t xml:space="preserve">financial advice to help </w:t>
                  </w:r>
                  <w:r>
                    <w:t>members</w:t>
                  </w:r>
                  <w:r w:rsidRPr="00607B29">
                    <w:t xml:space="preserve"> make decisions?</w:t>
                  </w:r>
                </w:p>
              </w:tc>
              <w:tc>
                <w:tcPr>
                  <w:tcW w:w="2463" w:type="pct"/>
                  <w:shd w:val="clear" w:color="auto" w:fill="auto"/>
                </w:tcPr>
                <w:p w14:paraId="67A96B0A" w14:textId="77777777" w:rsidR="009501B0" w:rsidRDefault="009501B0" w:rsidP="00152C9B">
                  <w:pPr>
                    <w:pStyle w:val="TableBullet"/>
                    <w:spacing w:before="40"/>
                  </w:pPr>
                  <w:r w:rsidRPr="00C55EC3">
                    <w:t>Availability of meaningful and comparable information on fees, product features (including insurance) and risks</w:t>
                  </w:r>
                  <w:r w:rsidRPr="00607B29">
                    <w:t>* (input)</w:t>
                  </w:r>
                </w:p>
                <w:p w14:paraId="697C6008" w14:textId="77777777" w:rsidR="009501B0" w:rsidRPr="00DE4D17" w:rsidRDefault="009501B0" w:rsidP="00152C9B">
                  <w:pPr>
                    <w:pStyle w:val="TableBullet"/>
                    <w:spacing w:before="40"/>
                    <w:rPr>
                      <w:i/>
                      <w:szCs w:val="24"/>
                    </w:rPr>
                  </w:pPr>
                  <w:r w:rsidRPr="008C11C9">
                    <w:t xml:space="preserve">Member </w:t>
                  </w:r>
                  <w:r>
                    <w:t xml:space="preserve">active </w:t>
                  </w:r>
                  <w:r w:rsidRPr="008C11C9">
                    <w:t>account activity</w:t>
                  </w:r>
                  <w:r>
                    <w:t>:</w:t>
                  </w:r>
                </w:p>
                <w:p w14:paraId="637D0758" w14:textId="77777777" w:rsidR="009501B0" w:rsidRPr="0004764B" w:rsidRDefault="009501B0" w:rsidP="00152C9B">
                  <w:pPr>
                    <w:pStyle w:val="TableBullet-level2"/>
                    <w:spacing w:before="40"/>
                    <w:rPr>
                      <w:i/>
                      <w:szCs w:val="24"/>
                    </w:rPr>
                  </w:pPr>
                  <w:r>
                    <w:t>voluntary contributions</w:t>
                  </w:r>
                </w:p>
                <w:p w14:paraId="4E8F9F26" w14:textId="77777777" w:rsidR="009501B0" w:rsidRPr="0004764B" w:rsidRDefault="009501B0" w:rsidP="00152C9B">
                  <w:pPr>
                    <w:pStyle w:val="TableBullet-level2"/>
                    <w:spacing w:before="40"/>
                    <w:rPr>
                      <w:i/>
                      <w:szCs w:val="24"/>
                    </w:rPr>
                  </w:pPr>
                  <w:r>
                    <w:t>uptake of intrafund advice</w:t>
                  </w:r>
                </w:p>
                <w:p w14:paraId="76D94905" w14:textId="77777777" w:rsidR="009501B0" w:rsidRDefault="009501B0" w:rsidP="00152C9B">
                  <w:pPr>
                    <w:pStyle w:val="TableBullet-level2"/>
                    <w:spacing w:before="40"/>
                    <w:rPr>
                      <w:i/>
                    </w:rPr>
                  </w:pPr>
                  <w:r>
                    <w:t>changes to investment/insurance options*</w:t>
                  </w:r>
                  <w:r w:rsidRPr="008C11C9">
                    <w:t xml:space="preserve"> (input</w:t>
                  </w:r>
                  <w:r>
                    <w:t>, behaviour</w:t>
                  </w:r>
                  <w:r w:rsidRPr="008C11C9">
                    <w:t>)</w:t>
                  </w:r>
                </w:p>
                <w:p w14:paraId="08D34B51" w14:textId="77777777" w:rsidR="009501B0" w:rsidRDefault="009501B0" w:rsidP="00152C9B">
                  <w:pPr>
                    <w:pStyle w:val="TableBullet"/>
                    <w:spacing w:before="40"/>
                  </w:pPr>
                  <w:r>
                    <w:t>Member account monitoring activity:</w:t>
                  </w:r>
                </w:p>
                <w:p w14:paraId="2CFD17B4" w14:textId="77777777" w:rsidR="009501B0" w:rsidRDefault="009501B0" w:rsidP="00152C9B">
                  <w:pPr>
                    <w:pStyle w:val="TableBullet-level2"/>
                    <w:spacing w:before="40"/>
                  </w:pPr>
                  <w:r>
                    <w:t xml:space="preserve">use of fund websites </w:t>
                  </w:r>
                </w:p>
                <w:p w14:paraId="04830D7D" w14:textId="77777777" w:rsidR="009501B0" w:rsidRDefault="009501B0" w:rsidP="00152C9B">
                  <w:pPr>
                    <w:pStyle w:val="TableBullet-level2"/>
                    <w:spacing w:before="40"/>
                  </w:pPr>
                  <w:r>
                    <w:t>use of online calculators</w:t>
                  </w:r>
                </w:p>
                <w:p w14:paraId="32A9379F" w14:textId="77777777" w:rsidR="009501B0" w:rsidRDefault="009501B0" w:rsidP="00152C9B">
                  <w:pPr>
                    <w:pStyle w:val="TableBullet-level2"/>
                    <w:spacing w:before="40"/>
                  </w:pPr>
                  <w:r>
                    <w:t>call centre enquiries* (input, behaviour)</w:t>
                  </w:r>
                </w:p>
                <w:p w14:paraId="20C7A5FB" w14:textId="77777777" w:rsidR="009501B0" w:rsidRDefault="009501B0" w:rsidP="00152C9B">
                  <w:pPr>
                    <w:pStyle w:val="TableBullet"/>
                    <w:spacing w:before="40"/>
                  </w:pPr>
                  <w:r>
                    <w:t>Fund expenditure on member education and engagement as a proportion of total marketing expenditure* (input)</w:t>
                  </w:r>
                </w:p>
                <w:p w14:paraId="26375225" w14:textId="77777777" w:rsidR="009501B0" w:rsidRDefault="009501B0" w:rsidP="00152C9B">
                  <w:pPr>
                    <w:pStyle w:val="TableBullet"/>
                    <w:spacing w:before="40"/>
                  </w:pPr>
                  <w:r>
                    <w:t xml:space="preserve">Funds’ application of the lessons from behavioural finance to </w:t>
                  </w:r>
                  <w:r w:rsidRPr="00BC6D3A">
                    <w:t>improve information provision and product design</w:t>
                  </w:r>
                  <w:r w:rsidRPr="00B15864">
                    <w:rPr>
                      <w:vertAlign w:val="superscript"/>
                    </w:rPr>
                    <w:t>#</w:t>
                  </w:r>
                  <w:r w:rsidRPr="00BC6D3A" w:rsidDel="00BC6D3A">
                    <w:t xml:space="preserve"> </w:t>
                  </w:r>
                  <w:r>
                    <w:t>(behaviour, output)</w:t>
                  </w:r>
                </w:p>
                <w:p w14:paraId="3357259E" w14:textId="77777777" w:rsidR="009501B0" w:rsidRDefault="009501B0" w:rsidP="00152C9B">
                  <w:pPr>
                    <w:pStyle w:val="TableBullet"/>
                    <w:spacing w:before="40"/>
                  </w:pPr>
                  <w:r>
                    <w:t>Number of accumulation accounts and consolidations (behaviour, output)</w:t>
                  </w:r>
                </w:p>
                <w:p w14:paraId="314ADF83" w14:textId="77777777" w:rsidR="009501B0" w:rsidRPr="006E306B" w:rsidRDefault="009501B0" w:rsidP="00152C9B">
                  <w:pPr>
                    <w:pStyle w:val="TableBullet"/>
                    <w:spacing w:before="40"/>
                  </w:pPr>
                  <w:r w:rsidRPr="00616AF5">
                    <w:t xml:space="preserve">Member superannuation </w:t>
                  </w:r>
                  <w:r>
                    <w:t xml:space="preserve">and insurance </w:t>
                  </w:r>
                  <w:r w:rsidRPr="00616AF5">
                    <w:t>literacy</w:t>
                  </w:r>
                  <w:r w:rsidRPr="00B15864">
                    <w:rPr>
                      <w:vertAlign w:val="superscript"/>
                    </w:rPr>
                    <w:t>#</w:t>
                  </w:r>
                  <w:r w:rsidRPr="00616AF5">
                    <w:t>* (</w:t>
                  </w:r>
                  <w:r>
                    <w:t>input</w:t>
                  </w:r>
                  <w:r w:rsidRPr="00616AF5">
                    <w:t>)</w:t>
                  </w:r>
                </w:p>
              </w:tc>
              <w:tc>
                <w:tcPr>
                  <w:tcW w:w="683" w:type="pct"/>
                  <w:shd w:val="clear" w:color="auto" w:fill="auto"/>
                </w:tcPr>
                <w:p w14:paraId="206D7883" w14:textId="77777777" w:rsidR="009501B0" w:rsidRDefault="009501B0" w:rsidP="00152C9B">
                  <w:pPr>
                    <w:pStyle w:val="TableBullet"/>
                    <w:spacing w:before="40"/>
                  </w:pPr>
                  <w:r>
                    <w:t>Qualitative</w:t>
                  </w:r>
                  <w:r>
                    <w:br/>
                  </w:r>
                </w:p>
                <w:p w14:paraId="22B4FDDA" w14:textId="77777777" w:rsidR="009501B0" w:rsidRDefault="009501B0" w:rsidP="00152C9B">
                  <w:pPr>
                    <w:pStyle w:val="TableBullet"/>
                    <w:spacing w:before="40" w:after="0"/>
                  </w:pPr>
                  <w:r>
                    <w:t>Trend analysis</w:t>
                  </w:r>
                  <w:r>
                    <w:br/>
                  </w:r>
                  <w:r>
                    <w:br/>
                  </w:r>
                  <w:r>
                    <w:br/>
                  </w:r>
                </w:p>
                <w:p w14:paraId="147B59E2" w14:textId="77777777" w:rsidR="009501B0" w:rsidRDefault="009501B0" w:rsidP="00152C9B">
                  <w:pPr>
                    <w:pStyle w:val="TableBullet"/>
                    <w:spacing w:before="160" w:after="0"/>
                  </w:pPr>
                  <w:r>
                    <w:t>Trend analysis</w:t>
                  </w:r>
                  <w:r>
                    <w:br/>
                  </w:r>
                  <w:r>
                    <w:br/>
                  </w:r>
                  <w:r>
                    <w:br/>
                  </w:r>
                </w:p>
                <w:p w14:paraId="5B33E3BB" w14:textId="77777777" w:rsidR="009501B0" w:rsidRDefault="009501B0" w:rsidP="00152C9B">
                  <w:pPr>
                    <w:pStyle w:val="TableBullet"/>
                    <w:spacing w:before="160"/>
                  </w:pPr>
                  <w:r>
                    <w:t>Trend analysis</w:t>
                  </w:r>
                  <w:r>
                    <w:br/>
                  </w:r>
                </w:p>
                <w:p w14:paraId="70B45259" w14:textId="77777777" w:rsidR="009501B0" w:rsidRDefault="009501B0" w:rsidP="00152C9B">
                  <w:pPr>
                    <w:pStyle w:val="TableBullet"/>
                    <w:spacing w:before="40"/>
                  </w:pPr>
                  <w:r>
                    <w:t>Qualitative</w:t>
                  </w:r>
                  <w:r>
                    <w:br/>
                  </w:r>
                </w:p>
                <w:p w14:paraId="50C8233B" w14:textId="77777777" w:rsidR="009501B0" w:rsidRDefault="009501B0" w:rsidP="00152C9B">
                  <w:pPr>
                    <w:pStyle w:val="TableBullet"/>
                    <w:spacing w:before="40"/>
                  </w:pPr>
                  <w:r>
                    <w:t>Trend analysis</w:t>
                  </w:r>
                </w:p>
                <w:p w14:paraId="28FC74DD" w14:textId="77777777" w:rsidR="009501B0" w:rsidRPr="001B6617" w:rsidRDefault="009501B0" w:rsidP="00152C9B">
                  <w:pPr>
                    <w:pStyle w:val="TableBullet"/>
                    <w:spacing w:before="40"/>
                  </w:pPr>
                  <w:r>
                    <w:t>Qualitative</w:t>
                  </w:r>
                </w:p>
              </w:tc>
              <w:tc>
                <w:tcPr>
                  <w:tcW w:w="1111" w:type="pct"/>
                  <w:gridSpan w:val="2"/>
                  <w:shd w:val="clear" w:color="auto" w:fill="auto"/>
                </w:tcPr>
                <w:p w14:paraId="781C015F" w14:textId="77777777" w:rsidR="009501B0" w:rsidRDefault="009501B0" w:rsidP="00152C9B">
                  <w:pPr>
                    <w:pStyle w:val="TableBullet"/>
                    <w:spacing w:before="40"/>
                  </w:pPr>
                  <w:r>
                    <w:t>Reviews by others; member surveys</w:t>
                  </w:r>
                </w:p>
                <w:p w14:paraId="656D9777" w14:textId="77777777" w:rsidR="009501B0" w:rsidRDefault="009501B0" w:rsidP="00152C9B">
                  <w:pPr>
                    <w:pStyle w:val="TableBullet"/>
                    <w:spacing w:before="40" w:after="0"/>
                  </w:pPr>
                  <w:r>
                    <w:t>Member surveys; fund disclosures; case studies</w:t>
                  </w:r>
                  <w:r>
                    <w:br/>
                  </w:r>
                  <w:r>
                    <w:br/>
                  </w:r>
                </w:p>
                <w:p w14:paraId="3858971C" w14:textId="77777777" w:rsidR="009501B0" w:rsidRDefault="009501B0" w:rsidP="00152C9B">
                  <w:pPr>
                    <w:pStyle w:val="TableBullet"/>
                    <w:spacing w:before="160" w:after="0"/>
                  </w:pPr>
                  <w:r>
                    <w:t>Member surveys; fund disclosures; case studies</w:t>
                  </w:r>
                  <w:r>
                    <w:br/>
                  </w:r>
                  <w:r>
                    <w:br/>
                  </w:r>
                </w:p>
                <w:p w14:paraId="39A9CFB5" w14:textId="77777777" w:rsidR="009501B0" w:rsidRDefault="009501B0" w:rsidP="00152C9B">
                  <w:pPr>
                    <w:pStyle w:val="TableBullet"/>
                    <w:spacing w:before="160"/>
                  </w:pPr>
                  <w:r>
                    <w:t>Research firms; fund disclosures; fund surveys</w:t>
                  </w:r>
                </w:p>
                <w:p w14:paraId="429237FB" w14:textId="77777777" w:rsidR="009501B0" w:rsidRDefault="009501B0" w:rsidP="00152C9B">
                  <w:pPr>
                    <w:pStyle w:val="TableBullet"/>
                    <w:spacing w:before="40"/>
                  </w:pPr>
                  <w:r w:rsidRPr="000F2197">
                    <w:t>Case studies</w:t>
                  </w:r>
                  <w:r>
                    <w:br/>
                  </w:r>
                </w:p>
                <w:p w14:paraId="7E7A813B" w14:textId="77777777" w:rsidR="009501B0" w:rsidRDefault="009501B0" w:rsidP="00152C9B">
                  <w:pPr>
                    <w:pStyle w:val="TableBullet"/>
                    <w:spacing w:before="40"/>
                  </w:pPr>
                  <w:r w:rsidRPr="00D10571">
                    <w:t>Regulator data; member surveys</w:t>
                  </w:r>
                </w:p>
                <w:p w14:paraId="3CBCA799" w14:textId="77777777" w:rsidR="009501B0" w:rsidRPr="00703E35" w:rsidRDefault="009501B0" w:rsidP="00152C9B">
                  <w:pPr>
                    <w:pStyle w:val="TableBullet"/>
                    <w:spacing w:before="40"/>
                  </w:pPr>
                  <w:r>
                    <w:t>Member surveys</w:t>
                  </w:r>
                </w:p>
              </w:tc>
            </w:tr>
            <w:tr w:rsidR="009501B0" w:rsidRPr="007772FD" w14:paraId="7D3A10B3" w14:textId="77777777" w:rsidTr="00152C9B">
              <w:tc>
                <w:tcPr>
                  <w:tcW w:w="743" w:type="pct"/>
                  <w:tcBorders>
                    <w:bottom w:val="single" w:sz="6" w:space="0" w:color="BFBFBF"/>
                  </w:tcBorders>
                  <w:shd w:val="pct5" w:color="auto" w:fill="auto"/>
                </w:tcPr>
                <w:p w14:paraId="581E9EC0" w14:textId="77777777" w:rsidR="009501B0" w:rsidRPr="007772FD" w:rsidRDefault="009501B0" w:rsidP="00152C9B">
                  <w:pPr>
                    <w:pStyle w:val="TableBodyText"/>
                    <w:jc w:val="left"/>
                  </w:pPr>
                  <w:r>
                    <w:t xml:space="preserve">E7. </w:t>
                  </w:r>
                  <w:r w:rsidRPr="002950A6">
                    <w:t>Is the system providing products to help members manage risks over their life cycles and optimally consume their retirement incomes?</w:t>
                  </w:r>
                </w:p>
              </w:tc>
              <w:tc>
                <w:tcPr>
                  <w:tcW w:w="2463" w:type="pct"/>
                  <w:tcBorders>
                    <w:bottom w:val="single" w:sz="6" w:space="0" w:color="BFBFBF"/>
                  </w:tcBorders>
                  <w:shd w:val="pct5" w:color="auto" w:fill="auto"/>
                </w:tcPr>
                <w:p w14:paraId="29BD0165" w14:textId="77777777" w:rsidR="009501B0" w:rsidRPr="005139D6" w:rsidRDefault="009501B0" w:rsidP="00152C9B">
                  <w:pPr>
                    <w:pStyle w:val="TableBullet"/>
                  </w:pPr>
                  <w:r w:rsidRPr="005139D6">
                    <w:t>Asset allocations by age cohort (across different market segments and products) (output)</w:t>
                  </w:r>
                </w:p>
                <w:p w14:paraId="52EB4AC5" w14:textId="77777777" w:rsidR="009501B0" w:rsidRDefault="009501B0" w:rsidP="00152C9B">
                  <w:pPr>
                    <w:pStyle w:val="TableBullet"/>
                  </w:pPr>
                  <w:r>
                    <w:t>Life</w:t>
                  </w:r>
                  <w:r>
                    <w:noBreakHyphen/>
                    <w:t xml:space="preserve">cycle MySuper products (number of products and members, and as a proportion of total assets under management) (output) </w:t>
                  </w:r>
                </w:p>
                <w:p w14:paraId="27A0418F" w14:textId="77777777" w:rsidR="009501B0" w:rsidRDefault="009501B0" w:rsidP="00152C9B">
                  <w:pPr>
                    <w:pStyle w:val="TableBullet"/>
                  </w:pPr>
                  <w:r w:rsidRPr="0050080E">
                    <w:t>Development and active take</w:t>
                  </w:r>
                  <w:r>
                    <w:noBreakHyphen/>
                  </w:r>
                  <w:r w:rsidRPr="0050080E">
                    <w:t>up of tailored products and member services</w:t>
                  </w:r>
                  <w:r w:rsidRPr="00B15864">
                    <w:rPr>
                      <w:vertAlign w:val="superscript"/>
                    </w:rPr>
                    <w:t>#</w:t>
                  </w:r>
                  <w:r w:rsidRPr="0050080E">
                    <w:t>* (output)</w:t>
                  </w:r>
                </w:p>
                <w:p w14:paraId="49FFC432" w14:textId="77777777" w:rsidR="009501B0" w:rsidRDefault="009501B0" w:rsidP="00152C9B">
                  <w:pPr>
                    <w:pStyle w:val="TableBullet"/>
                  </w:pPr>
                  <w:r w:rsidRPr="008C11C9">
                    <w:t>Introduction of new retirement income products</w:t>
                  </w:r>
                  <w:r w:rsidRPr="00B15864">
                    <w:rPr>
                      <w:vertAlign w:val="superscript"/>
                    </w:rPr>
                    <w:t>#</w:t>
                  </w:r>
                  <w:r w:rsidRPr="008C11C9">
                    <w:t>* (output)</w:t>
                  </w:r>
                  <w:r>
                    <w:br/>
                  </w:r>
                </w:p>
                <w:p w14:paraId="7416834F" w14:textId="77777777" w:rsidR="009501B0" w:rsidRDefault="009501B0" w:rsidP="00152C9B">
                  <w:pPr>
                    <w:pStyle w:val="TableBullet"/>
                  </w:pPr>
                  <w:r>
                    <w:t>Drawdown rates in transition and retirement (output)</w:t>
                  </w:r>
                </w:p>
                <w:p w14:paraId="1EB8630A" w14:textId="77777777" w:rsidR="009501B0" w:rsidRDefault="009501B0" w:rsidP="00152C9B">
                  <w:pPr>
                    <w:pStyle w:val="TableBullet"/>
                  </w:pPr>
                  <w:r>
                    <w:t>Funds’ use of member information to inform product design and pricing</w:t>
                  </w:r>
                  <w:r w:rsidRPr="00B15864">
                    <w:rPr>
                      <w:vertAlign w:val="superscript"/>
                    </w:rPr>
                    <w:t>#</w:t>
                  </w:r>
                  <w:r>
                    <w:t>* (input)</w:t>
                  </w:r>
                </w:p>
                <w:p w14:paraId="22BC3B7E" w14:textId="77777777" w:rsidR="009501B0" w:rsidRPr="008C11C9" w:rsidRDefault="009501B0" w:rsidP="00152C9B">
                  <w:pPr>
                    <w:pStyle w:val="TableBullet"/>
                  </w:pPr>
                  <w:r w:rsidRPr="00616AF5">
                    <w:t xml:space="preserve">Member superannuation </w:t>
                  </w:r>
                  <w:r>
                    <w:t xml:space="preserve">and insurance </w:t>
                  </w:r>
                  <w:r w:rsidRPr="00616AF5">
                    <w:t>literacy</w:t>
                  </w:r>
                  <w:r w:rsidRPr="00B15864">
                    <w:rPr>
                      <w:vertAlign w:val="superscript"/>
                    </w:rPr>
                    <w:t>#</w:t>
                  </w:r>
                  <w:r w:rsidRPr="00616AF5">
                    <w:t>* (</w:t>
                  </w:r>
                  <w:r>
                    <w:t>input</w:t>
                  </w:r>
                  <w:r w:rsidRPr="00616AF5">
                    <w:t>)</w:t>
                  </w:r>
                </w:p>
              </w:tc>
              <w:tc>
                <w:tcPr>
                  <w:tcW w:w="683" w:type="pct"/>
                  <w:tcBorders>
                    <w:bottom w:val="single" w:sz="6" w:space="0" w:color="BFBFBF"/>
                  </w:tcBorders>
                  <w:shd w:val="pct5" w:color="auto" w:fill="auto"/>
                </w:tcPr>
                <w:p w14:paraId="2A4327D7" w14:textId="77777777" w:rsidR="009501B0" w:rsidRDefault="009501B0" w:rsidP="00152C9B">
                  <w:pPr>
                    <w:pStyle w:val="TableBullet"/>
                  </w:pPr>
                  <w:r>
                    <w:t>Trend analysis</w:t>
                  </w:r>
                  <w:r>
                    <w:br/>
                  </w:r>
                </w:p>
                <w:p w14:paraId="6D5C3F7D" w14:textId="77777777" w:rsidR="009501B0" w:rsidRDefault="009501B0" w:rsidP="00152C9B">
                  <w:pPr>
                    <w:pStyle w:val="TableBullet"/>
                  </w:pPr>
                  <w:r>
                    <w:t>Trend analysis</w:t>
                  </w:r>
                  <w:r>
                    <w:br/>
                  </w:r>
                </w:p>
                <w:p w14:paraId="06FC9D31" w14:textId="77777777" w:rsidR="009501B0" w:rsidRDefault="009501B0" w:rsidP="00152C9B">
                  <w:pPr>
                    <w:pStyle w:val="TableBullet"/>
                  </w:pPr>
                  <w:r>
                    <w:t>Trend analysis; qualitative</w:t>
                  </w:r>
                </w:p>
                <w:p w14:paraId="2427212B" w14:textId="77777777" w:rsidR="009501B0" w:rsidRDefault="009501B0" w:rsidP="00152C9B">
                  <w:pPr>
                    <w:pStyle w:val="TableBullet"/>
                  </w:pPr>
                  <w:r>
                    <w:t>Trend analysis</w:t>
                  </w:r>
                  <w:r>
                    <w:br/>
                  </w:r>
                </w:p>
                <w:p w14:paraId="0C302339" w14:textId="77777777" w:rsidR="009501B0" w:rsidRDefault="009501B0" w:rsidP="00152C9B">
                  <w:pPr>
                    <w:pStyle w:val="TableBullet"/>
                  </w:pPr>
                  <w:r>
                    <w:t>Trend analysis</w:t>
                  </w:r>
                </w:p>
                <w:p w14:paraId="2DC408D1" w14:textId="77777777" w:rsidR="009501B0" w:rsidRDefault="009501B0" w:rsidP="00152C9B">
                  <w:pPr>
                    <w:pStyle w:val="TableBullet"/>
                  </w:pPr>
                  <w:r>
                    <w:t>Qualitative</w:t>
                  </w:r>
                </w:p>
                <w:p w14:paraId="5492FBDD" w14:textId="77777777" w:rsidR="009501B0" w:rsidRPr="007772FD" w:rsidRDefault="009501B0" w:rsidP="00152C9B">
                  <w:pPr>
                    <w:pStyle w:val="TableBullet"/>
                  </w:pPr>
                  <w:r>
                    <w:t>Q</w:t>
                  </w:r>
                  <w:r w:rsidRPr="00616AF5">
                    <w:t>ualitative</w:t>
                  </w:r>
                </w:p>
              </w:tc>
              <w:tc>
                <w:tcPr>
                  <w:tcW w:w="1111" w:type="pct"/>
                  <w:gridSpan w:val="2"/>
                  <w:tcBorders>
                    <w:bottom w:val="single" w:sz="6" w:space="0" w:color="BFBFBF"/>
                  </w:tcBorders>
                  <w:shd w:val="pct5" w:color="auto" w:fill="auto"/>
                </w:tcPr>
                <w:p w14:paraId="25D52122" w14:textId="77777777" w:rsidR="009501B0" w:rsidRDefault="009501B0" w:rsidP="00152C9B">
                  <w:pPr>
                    <w:pStyle w:val="TableBullet"/>
                  </w:pPr>
                  <w:r>
                    <w:t>Research firms; regulator data</w:t>
                  </w:r>
                  <w:r>
                    <w:br/>
                  </w:r>
                </w:p>
                <w:p w14:paraId="7C64D2A4" w14:textId="77777777" w:rsidR="009501B0" w:rsidRDefault="009501B0" w:rsidP="00152C9B">
                  <w:pPr>
                    <w:pStyle w:val="TableBullet"/>
                  </w:pPr>
                  <w:r>
                    <w:t xml:space="preserve">Regulator data </w:t>
                  </w:r>
                  <w:r>
                    <w:br/>
                  </w:r>
                </w:p>
                <w:p w14:paraId="42F1CDBF" w14:textId="77777777" w:rsidR="009501B0" w:rsidRDefault="009501B0" w:rsidP="00152C9B">
                  <w:pPr>
                    <w:pStyle w:val="TableBullet"/>
                  </w:pPr>
                  <w:r>
                    <w:t>Fund surveys; fund disclosures; case studies</w:t>
                  </w:r>
                </w:p>
                <w:p w14:paraId="516EEF14" w14:textId="77777777" w:rsidR="009501B0" w:rsidRDefault="009501B0" w:rsidP="00152C9B">
                  <w:pPr>
                    <w:pStyle w:val="TableBullet"/>
                  </w:pPr>
                  <w:r>
                    <w:t>Fund surveys; fund disclosures; case studies</w:t>
                  </w:r>
                </w:p>
                <w:p w14:paraId="27D6B22D" w14:textId="77777777" w:rsidR="009501B0" w:rsidRDefault="009501B0" w:rsidP="00152C9B">
                  <w:pPr>
                    <w:pStyle w:val="TableBullet"/>
                  </w:pPr>
                  <w:r>
                    <w:t>Regulator data</w:t>
                  </w:r>
                </w:p>
                <w:p w14:paraId="727E2F01" w14:textId="77777777" w:rsidR="009501B0" w:rsidRDefault="009501B0" w:rsidP="00152C9B">
                  <w:pPr>
                    <w:pStyle w:val="TableBullet"/>
                  </w:pPr>
                  <w:r>
                    <w:t>Fund surveys; case studies</w:t>
                  </w:r>
                </w:p>
                <w:p w14:paraId="6DDE1E37" w14:textId="77777777" w:rsidR="009501B0" w:rsidRDefault="009501B0" w:rsidP="00152C9B">
                  <w:pPr>
                    <w:pStyle w:val="TableBullet"/>
                  </w:pPr>
                  <w:r>
                    <w:t>Member surveys</w:t>
                  </w:r>
                </w:p>
              </w:tc>
            </w:tr>
          </w:tbl>
          <w:p w14:paraId="379F9272" w14:textId="77777777" w:rsidR="009501B0" w:rsidRDefault="009501B0" w:rsidP="00152C9B">
            <w:pPr>
              <w:pStyle w:val="Box"/>
            </w:pPr>
          </w:p>
        </w:tc>
      </w:tr>
      <w:tr w:rsidR="009501B0" w14:paraId="7CF2C05F" w14:textId="77777777" w:rsidTr="00687440">
        <w:trPr>
          <w:cantSplit/>
        </w:trPr>
        <w:tc>
          <w:tcPr>
            <w:tcW w:w="5000" w:type="pct"/>
            <w:tcBorders>
              <w:top w:val="nil"/>
              <w:left w:val="nil"/>
              <w:bottom w:val="nil"/>
              <w:right w:val="nil"/>
            </w:tcBorders>
            <w:shd w:val="clear" w:color="auto" w:fill="auto"/>
          </w:tcPr>
          <w:p w14:paraId="50197D8F" w14:textId="77777777" w:rsidR="009501B0" w:rsidRDefault="009501B0" w:rsidP="00152C9B">
            <w:pPr>
              <w:pStyle w:val="Continued"/>
            </w:pPr>
            <w:r>
              <w:t>(continued next page)</w:t>
            </w:r>
          </w:p>
        </w:tc>
      </w:tr>
      <w:tr w:rsidR="009501B0" w14:paraId="0ED286E3" w14:textId="77777777" w:rsidTr="00687440">
        <w:trPr>
          <w:cantSplit/>
        </w:trPr>
        <w:tc>
          <w:tcPr>
            <w:tcW w:w="5000" w:type="pct"/>
            <w:tcBorders>
              <w:top w:val="nil"/>
              <w:left w:val="nil"/>
              <w:bottom w:val="single" w:sz="6" w:space="0" w:color="78A22F"/>
              <w:right w:val="nil"/>
            </w:tcBorders>
            <w:shd w:val="clear" w:color="auto" w:fill="auto"/>
          </w:tcPr>
          <w:p w14:paraId="07CAEC29" w14:textId="77777777" w:rsidR="009501B0" w:rsidRDefault="009501B0" w:rsidP="00152C9B">
            <w:pPr>
              <w:pStyle w:val="Box"/>
              <w:spacing w:before="0" w:line="120" w:lineRule="exact"/>
            </w:pPr>
          </w:p>
        </w:tc>
      </w:tr>
      <w:tr w:rsidR="009501B0" w:rsidRPr="000863A5" w14:paraId="7513BA24" w14:textId="77777777" w:rsidTr="00687440">
        <w:tc>
          <w:tcPr>
            <w:tcW w:w="5000" w:type="pct"/>
            <w:tcBorders>
              <w:top w:val="single" w:sz="6" w:space="0" w:color="78A22F"/>
              <w:left w:val="nil"/>
              <w:bottom w:val="nil"/>
              <w:right w:val="nil"/>
            </w:tcBorders>
          </w:tcPr>
          <w:p w14:paraId="3D8D6976" w14:textId="77777777" w:rsidR="009501B0" w:rsidRPr="00626D32" w:rsidRDefault="009501B0" w:rsidP="00152C9B">
            <w:pPr>
              <w:pStyle w:val="BoxSpaceBelow"/>
            </w:pPr>
          </w:p>
        </w:tc>
      </w:tr>
    </w:tbl>
    <w:p w14:paraId="10D8F4F6" w14:textId="77777777" w:rsidR="009501B0" w:rsidRDefault="009501B0" w:rsidP="009501B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9501B0" w14:paraId="4AF009CB" w14:textId="77777777" w:rsidTr="00687440">
        <w:tc>
          <w:tcPr>
            <w:tcW w:w="5000" w:type="pct"/>
            <w:tcBorders>
              <w:top w:val="single" w:sz="6" w:space="0" w:color="78A22F"/>
              <w:left w:val="nil"/>
              <w:bottom w:val="nil"/>
              <w:right w:val="nil"/>
            </w:tcBorders>
            <w:shd w:val="clear" w:color="auto" w:fill="auto"/>
          </w:tcPr>
          <w:p w14:paraId="6E3A3AD6" w14:textId="77777777" w:rsidR="009501B0" w:rsidRPr="00784A05" w:rsidRDefault="009501B0" w:rsidP="00152C9B">
            <w:pPr>
              <w:pStyle w:val="TableTitle"/>
            </w:pPr>
            <w:r>
              <w:t>Efficiency</w:t>
            </w:r>
            <w:r w:rsidRPr="00A57215">
              <w:rPr>
                <w:b w:val="0"/>
                <w:sz w:val="18"/>
                <w:szCs w:val="18"/>
              </w:rPr>
              <w:t xml:space="preserve"> (continued)</w:t>
            </w:r>
          </w:p>
        </w:tc>
      </w:tr>
      <w:tr w:rsidR="009501B0" w14:paraId="6DE11EB3" w14:textId="77777777" w:rsidTr="00687440">
        <w:trPr>
          <w:cantSplit/>
        </w:trPr>
        <w:tc>
          <w:tcPr>
            <w:tcW w:w="5000" w:type="pct"/>
            <w:tcBorders>
              <w:top w:val="nil"/>
              <w:left w:val="nil"/>
              <w:bottom w:val="nil"/>
              <w:right w:val="nil"/>
            </w:tcBorders>
            <w:shd w:val="clear" w:color="auto" w:fill="auto"/>
          </w:tcPr>
          <w:tbl>
            <w:tblPr>
              <w:tblW w:w="13441" w:type="dxa"/>
              <w:tblCellMar>
                <w:top w:w="28" w:type="dxa"/>
                <w:left w:w="0" w:type="dxa"/>
                <w:right w:w="0" w:type="dxa"/>
              </w:tblCellMar>
              <w:tblLook w:val="0000" w:firstRow="0" w:lastRow="0" w:firstColumn="0" w:lastColumn="0" w:noHBand="0" w:noVBand="0"/>
            </w:tblPr>
            <w:tblGrid>
              <w:gridCol w:w="1983"/>
              <w:gridCol w:w="6519"/>
              <w:gridCol w:w="2409"/>
              <w:gridCol w:w="2530"/>
            </w:tblGrid>
            <w:tr w:rsidR="009501B0" w14:paraId="2EF44037" w14:textId="77777777" w:rsidTr="00152C9B">
              <w:tc>
                <w:tcPr>
                  <w:tcW w:w="738" w:type="pct"/>
                  <w:tcBorders>
                    <w:top w:val="single" w:sz="6" w:space="0" w:color="BFBFBF"/>
                    <w:bottom w:val="single" w:sz="6" w:space="0" w:color="BFBFBF"/>
                  </w:tcBorders>
                  <w:shd w:val="clear" w:color="auto" w:fill="auto"/>
                  <w:tcMar>
                    <w:top w:w="28" w:type="dxa"/>
                  </w:tcMar>
                </w:tcPr>
                <w:p w14:paraId="75B499DE" w14:textId="77777777" w:rsidR="009501B0" w:rsidRDefault="009501B0" w:rsidP="00152C9B">
                  <w:pPr>
                    <w:pStyle w:val="TableColumnHeading"/>
                    <w:jc w:val="left"/>
                  </w:pPr>
                  <w:r>
                    <w:t>Assessment criteria</w:t>
                  </w:r>
                </w:p>
              </w:tc>
              <w:tc>
                <w:tcPr>
                  <w:tcW w:w="2425" w:type="pct"/>
                  <w:tcBorders>
                    <w:top w:val="single" w:sz="6" w:space="0" w:color="BFBFBF"/>
                    <w:bottom w:val="single" w:sz="6" w:space="0" w:color="BFBFBF"/>
                  </w:tcBorders>
                  <w:shd w:val="clear" w:color="auto" w:fill="auto"/>
                  <w:tcMar>
                    <w:top w:w="28" w:type="dxa"/>
                  </w:tcMar>
                </w:tcPr>
                <w:p w14:paraId="2C7FD3C8" w14:textId="77777777" w:rsidR="009501B0" w:rsidRDefault="009501B0" w:rsidP="00152C9B">
                  <w:pPr>
                    <w:pStyle w:val="TableColumnHeading"/>
                    <w:ind w:right="28"/>
                    <w:jc w:val="left"/>
                  </w:pPr>
                  <w:r>
                    <w:t>Indicators</w:t>
                  </w:r>
                </w:p>
              </w:tc>
              <w:tc>
                <w:tcPr>
                  <w:tcW w:w="896" w:type="pct"/>
                  <w:tcBorders>
                    <w:top w:val="single" w:sz="6" w:space="0" w:color="BFBFBF"/>
                    <w:bottom w:val="single" w:sz="6" w:space="0" w:color="BFBFBF"/>
                  </w:tcBorders>
                </w:tcPr>
                <w:p w14:paraId="3EEC7C7E" w14:textId="77777777" w:rsidR="009501B0" w:rsidRDefault="009501B0" w:rsidP="00152C9B">
                  <w:pPr>
                    <w:pStyle w:val="TableColumnHeading"/>
                    <w:ind w:right="28"/>
                    <w:jc w:val="left"/>
                  </w:pPr>
                  <w:r>
                    <w:t>Assessment methods</w:t>
                  </w:r>
                </w:p>
              </w:tc>
              <w:tc>
                <w:tcPr>
                  <w:tcW w:w="940" w:type="pct"/>
                  <w:tcBorders>
                    <w:top w:val="single" w:sz="6" w:space="0" w:color="BFBFBF"/>
                    <w:bottom w:val="single" w:sz="6" w:space="0" w:color="BFBFBF"/>
                  </w:tcBorders>
                </w:tcPr>
                <w:p w14:paraId="1170C9A4" w14:textId="77777777" w:rsidR="009501B0" w:rsidRDefault="009501B0" w:rsidP="00152C9B">
                  <w:pPr>
                    <w:pStyle w:val="TableColumnHeading"/>
                    <w:ind w:right="28"/>
                    <w:jc w:val="left"/>
                  </w:pPr>
                  <w:r>
                    <w:t>Expected data sources</w:t>
                  </w:r>
                </w:p>
              </w:tc>
            </w:tr>
            <w:tr w:rsidR="009501B0" w:rsidRPr="007772FD" w14:paraId="14655E3C" w14:textId="77777777" w:rsidTr="00990744">
              <w:tc>
                <w:tcPr>
                  <w:tcW w:w="738" w:type="pct"/>
                  <w:tcBorders>
                    <w:top w:val="single" w:sz="6" w:space="0" w:color="BFBFBF"/>
                  </w:tcBorders>
                  <w:shd w:val="clear" w:color="auto" w:fill="auto"/>
                </w:tcPr>
                <w:p w14:paraId="6B505B30" w14:textId="77777777" w:rsidR="009501B0" w:rsidRPr="007772FD" w:rsidRDefault="009501B0" w:rsidP="00152C9B">
                  <w:pPr>
                    <w:pStyle w:val="TableBodyText"/>
                    <w:spacing w:before="40"/>
                    <w:jc w:val="left"/>
                  </w:pPr>
                  <w:r>
                    <w:t xml:space="preserve">E8. Are </w:t>
                  </w:r>
                  <w:r w:rsidRPr="00BD5391">
                    <w:t>principal−agent problems being minimised?</w:t>
                  </w:r>
                </w:p>
              </w:tc>
              <w:tc>
                <w:tcPr>
                  <w:tcW w:w="2425" w:type="pct"/>
                  <w:tcBorders>
                    <w:top w:val="single" w:sz="6" w:space="0" w:color="BFBFBF"/>
                  </w:tcBorders>
                  <w:shd w:val="clear" w:color="auto" w:fill="auto"/>
                </w:tcPr>
                <w:p w14:paraId="04C73F25" w14:textId="77777777" w:rsidR="009501B0" w:rsidRPr="008C11C9" w:rsidRDefault="009501B0" w:rsidP="00152C9B">
                  <w:pPr>
                    <w:pStyle w:val="TableBullet"/>
                    <w:spacing w:before="40"/>
                  </w:pPr>
                  <w:r w:rsidRPr="008C11C9">
                    <w:t>Existing ratings of system</w:t>
                  </w:r>
                  <w:r>
                    <w:noBreakHyphen/>
                  </w:r>
                  <w:r w:rsidRPr="008C11C9">
                    <w:t>wide quality of governance (input)</w:t>
                  </w:r>
                </w:p>
                <w:p w14:paraId="6ACE27E9" w14:textId="77777777" w:rsidR="009501B0" w:rsidRDefault="009501B0" w:rsidP="00152C9B">
                  <w:pPr>
                    <w:pStyle w:val="TableBullet"/>
                    <w:spacing w:before="40"/>
                  </w:pPr>
                  <w:r>
                    <w:t>Meaningful</w:t>
                  </w:r>
                  <w:r w:rsidRPr="008C11C9">
                    <w:t xml:space="preserve"> disclosure </w:t>
                  </w:r>
                  <w:r>
                    <w:t xml:space="preserve">by trustee boards </w:t>
                  </w:r>
                  <w:r w:rsidRPr="008C11C9">
                    <w:t>of</w:t>
                  </w:r>
                  <w:r>
                    <w:t>:</w:t>
                  </w:r>
                </w:p>
                <w:p w14:paraId="01DDFBB3" w14:textId="77777777" w:rsidR="009501B0" w:rsidRPr="00176137" w:rsidRDefault="009501B0" w:rsidP="00152C9B">
                  <w:pPr>
                    <w:pStyle w:val="TableBullet-level2"/>
                    <w:spacing w:before="40"/>
                  </w:pPr>
                  <w:r w:rsidRPr="00176137">
                    <w:t>trustee directors’ and investment committee members’ qualifications and relevant skills/experience</w:t>
                  </w:r>
                </w:p>
                <w:p w14:paraId="3C0DC4CA" w14:textId="77777777" w:rsidR="009501B0" w:rsidRPr="00176137" w:rsidRDefault="009501B0" w:rsidP="00152C9B">
                  <w:pPr>
                    <w:pStyle w:val="TableBullet-level2"/>
                    <w:spacing w:before="40"/>
                  </w:pPr>
                  <w:r w:rsidRPr="00176137">
                    <w:t>remuneration structures</w:t>
                  </w:r>
                </w:p>
                <w:p w14:paraId="77434D27" w14:textId="77777777" w:rsidR="009501B0" w:rsidRPr="00176137" w:rsidRDefault="009501B0" w:rsidP="00152C9B">
                  <w:pPr>
                    <w:pStyle w:val="TableBullet-level2"/>
                    <w:spacing w:before="40"/>
                  </w:pPr>
                  <w:r w:rsidRPr="00176137">
                    <w:t>potential conflicts of interest due to related</w:t>
                  </w:r>
                  <w:r w:rsidRPr="00176137">
                    <w:noBreakHyphen/>
                    <w:t>party dealings and competing duties (behaviour)</w:t>
                  </w:r>
                </w:p>
                <w:p w14:paraId="6BF3C4DB" w14:textId="77777777" w:rsidR="009501B0" w:rsidRPr="008C11C9" w:rsidRDefault="009501B0" w:rsidP="00152C9B">
                  <w:pPr>
                    <w:pStyle w:val="TableBullet"/>
                    <w:spacing w:before="40"/>
                  </w:pPr>
                  <w:r w:rsidRPr="00EB30AE">
                    <w:t>Quality of investment committee and investment governance processes</w:t>
                  </w:r>
                  <w:r>
                    <w:t>,</w:t>
                  </w:r>
                  <w:r w:rsidRPr="00EB30AE">
                    <w:t xml:space="preserve"> including use of performance attribution analysis and risk management </w:t>
                  </w:r>
                  <w:r w:rsidRPr="008C11C9">
                    <w:t>(input)</w:t>
                  </w:r>
                </w:p>
                <w:p w14:paraId="01D3F0C9" w14:textId="77777777" w:rsidR="009501B0" w:rsidRDefault="009501B0" w:rsidP="00152C9B">
                  <w:pPr>
                    <w:pStyle w:val="TableBullet"/>
                    <w:spacing w:before="40"/>
                  </w:pPr>
                  <w:r w:rsidRPr="008C11C9">
                    <w:t>Member satisfaction and trust* (outcome)</w:t>
                  </w:r>
                </w:p>
                <w:p w14:paraId="3AC8FFCC" w14:textId="77777777" w:rsidR="009501B0" w:rsidRDefault="009501B0" w:rsidP="00152C9B">
                  <w:pPr>
                    <w:pStyle w:val="TableBullet"/>
                    <w:spacing w:before="40"/>
                  </w:pPr>
                  <w:r>
                    <w:t>Proportion of complaints to the Superannuation Complaints Tribunal which are successful</w:t>
                  </w:r>
                  <w:r w:rsidRPr="00995826">
                    <w:rPr>
                      <w:vertAlign w:val="superscript"/>
                    </w:rPr>
                    <w:t>#</w:t>
                  </w:r>
                  <w:r>
                    <w:t xml:space="preserve"> (output)</w:t>
                  </w:r>
                </w:p>
                <w:p w14:paraId="4C0A1877" w14:textId="77777777" w:rsidR="009501B0" w:rsidRDefault="009501B0" w:rsidP="00152C9B">
                  <w:pPr>
                    <w:pStyle w:val="TableBullet"/>
                  </w:pPr>
                  <w:r>
                    <w:t>Proportion</w:t>
                  </w:r>
                  <w:r w:rsidRPr="00BA164D">
                    <w:t xml:space="preserve"> of funds that target short</w:t>
                  </w:r>
                  <w:r>
                    <w:noBreakHyphen/>
                  </w:r>
                  <w:r w:rsidRPr="00BA164D">
                    <w:t>term performance relative to their peers (behaviour)</w:t>
                  </w:r>
                </w:p>
                <w:p w14:paraId="3A597887" w14:textId="77777777" w:rsidR="009501B0" w:rsidRPr="007772FD" w:rsidRDefault="009501B0" w:rsidP="00152C9B">
                  <w:pPr>
                    <w:pStyle w:val="TableBullet"/>
                  </w:pPr>
                  <w:r w:rsidRPr="00BA164D">
                    <w:t>Degree of similarity in asset allocation among default products with different member characteristics (average age and balance) (input)</w:t>
                  </w:r>
                </w:p>
              </w:tc>
              <w:tc>
                <w:tcPr>
                  <w:tcW w:w="896" w:type="pct"/>
                  <w:tcBorders>
                    <w:top w:val="single" w:sz="6" w:space="0" w:color="BFBFBF"/>
                  </w:tcBorders>
                  <w:shd w:val="clear" w:color="auto" w:fill="auto"/>
                </w:tcPr>
                <w:p w14:paraId="1571B115" w14:textId="77777777" w:rsidR="009501B0" w:rsidRDefault="009501B0" w:rsidP="00152C9B">
                  <w:pPr>
                    <w:pStyle w:val="TableBullet"/>
                    <w:spacing w:before="40"/>
                  </w:pPr>
                  <w:r>
                    <w:t>Qualitative</w:t>
                  </w:r>
                </w:p>
                <w:p w14:paraId="45A32488" w14:textId="77777777" w:rsidR="009501B0" w:rsidRDefault="009501B0" w:rsidP="00152C9B">
                  <w:pPr>
                    <w:pStyle w:val="TableBullet"/>
                    <w:spacing w:before="40" w:after="0"/>
                  </w:pPr>
                  <w:r>
                    <w:t>Qualitative</w:t>
                  </w:r>
                  <w:r>
                    <w:br/>
                  </w:r>
                  <w:r>
                    <w:br/>
                  </w:r>
                  <w:r>
                    <w:br/>
                  </w:r>
                  <w:r>
                    <w:br/>
                  </w:r>
                  <w:r>
                    <w:br/>
                  </w:r>
                </w:p>
                <w:p w14:paraId="1EBD4E33" w14:textId="77777777" w:rsidR="009501B0" w:rsidRDefault="009501B0" w:rsidP="00152C9B">
                  <w:pPr>
                    <w:pStyle w:val="TableBullet"/>
                    <w:spacing w:before="160"/>
                  </w:pPr>
                  <w:r>
                    <w:t>Qualitative</w:t>
                  </w:r>
                  <w:r>
                    <w:br/>
                  </w:r>
                </w:p>
                <w:p w14:paraId="5F6DB75E" w14:textId="77777777" w:rsidR="009501B0" w:rsidRDefault="009501B0" w:rsidP="00152C9B">
                  <w:pPr>
                    <w:pStyle w:val="TableBullet"/>
                    <w:spacing w:before="40"/>
                  </w:pPr>
                  <w:r>
                    <w:t>Trend analysis; qualitative</w:t>
                  </w:r>
                </w:p>
                <w:p w14:paraId="0F207DDF" w14:textId="77777777" w:rsidR="009501B0" w:rsidRDefault="009501B0" w:rsidP="00152C9B">
                  <w:pPr>
                    <w:pStyle w:val="TableBullet"/>
                    <w:spacing w:before="40"/>
                  </w:pPr>
                  <w:r>
                    <w:t>Trend analysis</w:t>
                  </w:r>
                  <w:r>
                    <w:br/>
                  </w:r>
                </w:p>
                <w:p w14:paraId="6C899CFD" w14:textId="77777777" w:rsidR="009501B0" w:rsidRDefault="009501B0" w:rsidP="00152C9B">
                  <w:pPr>
                    <w:pStyle w:val="TableBullet"/>
                    <w:spacing w:before="40"/>
                  </w:pPr>
                  <w:r>
                    <w:t>Qualitative; trend analysis</w:t>
                  </w:r>
                  <w:r>
                    <w:br/>
                  </w:r>
                </w:p>
                <w:p w14:paraId="765892F6" w14:textId="77777777" w:rsidR="009501B0" w:rsidRPr="007772FD" w:rsidRDefault="009501B0" w:rsidP="00152C9B">
                  <w:pPr>
                    <w:pStyle w:val="TableBullet"/>
                    <w:spacing w:before="40"/>
                  </w:pPr>
                  <w:r>
                    <w:t>Trend analysis</w:t>
                  </w:r>
                </w:p>
              </w:tc>
              <w:tc>
                <w:tcPr>
                  <w:tcW w:w="940" w:type="pct"/>
                  <w:tcBorders>
                    <w:top w:val="single" w:sz="6" w:space="0" w:color="BFBFBF"/>
                  </w:tcBorders>
                  <w:shd w:val="clear" w:color="auto" w:fill="auto"/>
                </w:tcPr>
                <w:p w14:paraId="3F0AEDB7" w14:textId="77777777" w:rsidR="009501B0" w:rsidRDefault="009501B0" w:rsidP="00152C9B">
                  <w:pPr>
                    <w:pStyle w:val="TableBullet"/>
                    <w:spacing w:before="40"/>
                  </w:pPr>
                  <w:r>
                    <w:t>Reviews by others</w:t>
                  </w:r>
                </w:p>
                <w:p w14:paraId="214E532F" w14:textId="77777777" w:rsidR="009501B0" w:rsidRDefault="009501B0" w:rsidP="00152C9B">
                  <w:pPr>
                    <w:pStyle w:val="TableBullet"/>
                    <w:spacing w:before="40" w:after="0"/>
                  </w:pPr>
                  <w:r>
                    <w:t xml:space="preserve">Reviews by others </w:t>
                  </w:r>
                  <w:r>
                    <w:br/>
                  </w:r>
                  <w:r>
                    <w:br/>
                  </w:r>
                  <w:r>
                    <w:br/>
                  </w:r>
                  <w:r>
                    <w:br/>
                  </w:r>
                  <w:r>
                    <w:br/>
                  </w:r>
                </w:p>
                <w:p w14:paraId="54D9F369" w14:textId="77777777" w:rsidR="009501B0" w:rsidRDefault="009501B0" w:rsidP="00152C9B">
                  <w:pPr>
                    <w:pStyle w:val="TableBullet"/>
                    <w:spacing w:before="160"/>
                  </w:pPr>
                  <w:r>
                    <w:t>Reviews by others; fund surveys</w:t>
                  </w:r>
                </w:p>
                <w:p w14:paraId="485BEBF8" w14:textId="77777777" w:rsidR="009501B0" w:rsidRDefault="009501B0" w:rsidP="00152C9B">
                  <w:pPr>
                    <w:pStyle w:val="TableBullet"/>
                    <w:spacing w:before="40"/>
                  </w:pPr>
                  <w:r>
                    <w:t>Member surveys</w:t>
                  </w:r>
                </w:p>
                <w:p w14:paraId="0978675B" w14:textId="77777777" w:rsidR="009501B0" w:rsidRDefault="009501B0" w:rsidP="00152C9B">
                  <w:pPr>
                    <w:pStyle w:val="TableBullet"/>
                    <w:spacing w:before="40"/>
                  </w:pPr>
                  <w:r>
                    <w:t>Regulator data</w:t>
                  </w:r>
                  <w:r>
                    <w:br/>
                  </w:r>
                </w:p>
                <w:p w14:paraId="6B21D4DD" w14:textId="77777777" w:rsidR="009501B0" w:rsidRDefault="009501B0" w:rsidP="00152C9B">
                  <w:pPr>
                    <w:pStyle w:val="TableBullet"/>
                  </w:pPr>
                  <w:r w:rsidRPr="00BA164D">
                    <w:t>Research firms; fund disclosures; fund surveys</w:t>
                  </w:r>
                </w:p>
                <w:p w14:paraId="0BF01514" w14:textId="77777777" w:rsidR="009501B0" w:rsidRDefault="009501B0" w:rsidP="00152C9B">
                  <w:pPr>
                    <w:pStyle w:val="TableBullet"/>
                  </w:pPr>
                  <w:r w:rsidRPr="00BA164D">
                    <w:t>Regulator data; research firms</w:t>
                  </w:r>
                </w:p>
              </w:tc>
            </w:tr>
            <w:tr w:rsidR="009501B0" w:rsidRPr="007772FD" w14:paraId="277A7BC0" w14:textId="77777777" w:rsidTr="00437F99">
              <w:trPr>
                <w:trHeight w:val="340"/>
              </w:trPr>
              <w:tc>
                <w:tcPr>
                  <w:tcW w:w="5000" w:type="pct"/>
                  <w:gridSpan w:val="4"/>
                  <w:shd w:val="clear" w:color="auto" w:fill="E0EEC6" w:themeFill="accent3" w:themeFillTint="66"/>
                  <w:vAlign w:val="center"/>
                </w:tcPr>
                <w:p w14:paraId="0FDCDF98" w14:textId="77777777" w:rsidR="009501B0" w:rsidRPr="007772FD" w:rsidRDefault="009501B0" w:rsidP="00990744">
                  <w:pPr>
                    <w:pStyle w:val="SuperObjective"/>
                    <w:rPr>
                      <w:i/>
                    </w:rPr>
                  </w:pPr>
                  <w:r w:rsidRPr="007772FD">
                    <w:rPr>
                      <w:i/>
                    </w:rPr>
                    <w:t>Objective</w:t>
                  </w:r>
                  <w:r>
                    <w:rPr>
                      <w:i/>
                    </w:rPr>
                    <w:t xml:space="preserve"> 3</w:t>
                  </w:r>
                  <w:r w:rsidRPr="007772FD">
                    <w:t xml:space="preserve">: </w:t>
                  </w:r>
                  <w:r w:rsidRPr="00A104FD">
                    <w:t>The efficiency of the superannuation system improves over time</w:t>
                  </w:r>
                </w:p>
              </w:tc>
            </w:tr>
            <w:tr w:rsidR="009501B0" w:rsidRPr="007772FD" w14:paraId="74CD29AA" w14:textId="77777777" w:rsidTr="00990744">
              <w:tc>
                <w:tcPr>
                  <w:tcW w:w="738" w:type="pct"/>
                  <w:tcBorders>
                    <w:bottom w:val="single" w:sz="6" w:space="0" w:color="BFBFBF"/>
                  </w:tcBorders>
                  <w:shd w:val="clear" w:color="auto" w:fill="auto"/>
                </w:tcPr>
                <w:p w14:paraId="20EA2AB3" w14:textId="77777777" w:rsidR="009501B0" w:rsidRPr="00DA453E" w:rsidRDefault="009501B0" w:rsidP="00152C9B">
                  <w:pPr>
                    <w:pStyle w:val="TableBodyText"/>
                    <w:spacing w:before="40"/>
                    <w:jc w:val="left"/>
                  </w:pPr>
                  <w:r>
                    <w:t xml:space="preserve">E9. </w:t>
                  </w:r>
                  <w:r w:rsidRPr="00B83ACB">
                    <w:t>Does the system overcom</w:t>
                  </w:r>
                  <w:r>
                    <w:t>e impediments to improving long</w:t>
                  </w:r>
                  <w:r>
                    <w:noBreakHyphen/>
                  </w:r>
                  <w:r w:rsidRPr="00B83ACB">
                    <w:t>term outcomes for members?</w:t>
                  </w:r>
                </w:p>
              </w:tc>
              <w:tc>
                <w:tcPr>
                  <w:tcW w:w="2425" w:type="pct"/>
                  <w:tcBorders>
                    <w:bottom w:val="single" w:sz="6" w:space="0" w:color="BFBFBF"/>
                  </w:tcBorders>
                  <w:shd w:val="clear" w:color="auto" w:fill="auto"/>
                </w:tcPr>
                <w:p w14:paraId="5274E679" w14:textId="77777777" w:rsidR="009501B0" w:rsidRDefault="009501B0" w:rsidP="00152C9B">
                  <w:pPr>
                    <w:pStyle w:val="TableBullet"/>
                    <w:spacing w:before="40"/>
                  </w:pPr>
                  <w:r w:rsidRPr="008C11C9">
                    <w:t>Introduction of new retirement income products</w:t>
                  </w:r>
                  <w:r w:rsidRPr="00B15864">
                    <w:rPr>
                      <w:vertAlign w:val="superscript"/>
                    </w:rPr>
                    <w:t>#</w:t>
                  </w:r>
                  <w:r w:rsidRPr="008C11C9">
                    <w:t>* (output)</w:t>
                  </w:r>
                  <w:r>
                    <w:br/>
                  </w:r>
                </w:p>
                <w:p w14:paraId="69BA9ACD" w14:textId="77777777" w:rsidR="009501B0" w:rsidRDefault="009501B0" w:rsidP="00152C9B">
                  <w:pPr>
                    <w:pStyle w:val="TableBullet"/>
                    <w:spacing w:before="40"/>
                  </w:pPr>
                  <w:r>
                    <w:t>D</w:t>
                  </w:r>
                  <w:r w:rsidRPr="008C11C9">
                    <w:t xml:space="preserve">evelopment </w:t>
                  </w:r>
                  <w:r>
                    <w:t>and active take</w:t>
                  </w:r>
                  <w:r>
                    <w:noBreakHyphen/>
                    <w:t xml:space="preserve">up </w:t>
                  </w:r>
                  <w:r w:rsidRPr="008C11C9">
                    <w:t>of tailored products</w:t>
                  </w:r>
                  <w:r>
                    <w:t xml:space="preserve"> and member services</w:t>
                  </w:r>
                  <w:r w:rsidRPr="00B15864">
                    <w:rPr>
                      <w:vertAlign w:val="superscript"/>
                    </w:rPr>
                    <w:t>#</w:t>
                  </w:r>
                  <w:r w:rsidRPr="008C11C9">
                    <w:t>* (output)</w:t>
                  </w:r>
                </w:p>
                <w:p w14:paraId="36D1AB6D" w14:textId="77777777" w:rsidR="009501B0" w:rsidRDefault="009501B0" w:rsidP="00152C9B">
                  <w:pPr>
                    <w:pStyle w:val="TableBullet"/>
                    <w:spacing w:before="40"/>
                  </w:pPr>
                  <w:r>
                    <w:t>Introduction of new methods of service delivery* (output)</w:t>
                  </w:r>
                  <w:r>
                    <w:br/>
                  </w:r>
                </w:p>
                <w:p w14:paraId="24AA3F3A" w14:textId="77777777" w:rsidR="009501B0" w:rsidRDefault="009501B0" w:rsidP="00152C9B">
                  <w:pPr>
                    <w:pStyle w:val="TableBullet"/>
                    <w:spacing w:before="40"/>
                  </w:pPr>
                  <w:r w:rsidRPr="00B758E7">
                    <w:t>Number of accumulation products (aggregat</w:t>
                  </w:r>
                  <w:r>
                    <w:t>e and per fund)*</w:t>
                  </w:r>
                  <w:r w:rsidRPr="00B758E7">
                    <w:t xml:space="preserve"> (output)</w:t>
                  </w:r>
                </w:p>
                <w:p w14:paraId="32486A9D" w14:textId="77777777" w:rsidR="009501B0" w:rsidRDefault="009501B0" w:rsidP="00152C9B">
                  <w:pPr>
                    <w:pStyle w:val="TableBullet"/>
                    <w:spacing w:before="40"/>
                  </w:pPr>
                  <w:r>
                    <w:t xml:space="preserve">Funds’ application of the lessons from behavioural finance to </w:t>
                  </w:r>
                  <w:r w:rsidRPr="00BC6D3A">
                    <w:t>improve information provision and product design</w:t>
                  </w:r>
                  <w:r w:rsidRPr="00B15864">
                    <w:rPr>
                      <w:vertAlign w:val="superscript"/>
                    </w:rPr>
                    <w:t>#</w:t>
                  </w:r>
                  <w:r w:rsidRPr="00BC6D3A" w:rsidDel="00BC6D3A">
                    <w:t xml:space="preserve"> </w:t>
                  </w:r>
                  <w:r>
                    <w:t>(behaviour, output)</w:t>
                  </w:r>
                </w:p>
                <w:p w14:paraId="1F2EDB02" w14:textId="77777777" w:rsidR="009501B0" w:rsidRPr="008C11C9" w:rsidRDefault="009501B0" w:rsidP="00152C9B">
                  <w:pPr>
                    <w:pStyle w:val="TableBullet"/>
                    <w:spacing w:before="40"/>
                  </w:pPr>
                  <w:r w:rsidRPr="00B758E7">
                    <w:t xml:space="preserve">Impact of regulatory impediments on </w:t>
                  </w:r>
                  <w:r>
                    <w:t>innovation (input)</w:t>
                  </w:r>
                </w:p>
              </w:tc>
              <w:tc>
                <w:tcPr>
                  <w:tcW w:w="896" w:type="pct"/>
                  <w:tcBorders>
                    <w:bottom w:val="single" w:sz="6" w:space="0" w:color="BFBFBF"/>
                  </w:tcBorders>
                  <w:shd w:val="clear" w:color="auto" w:fill="auto"/>
                </w:tcPr>
                <w:p w14:paraId="6394AAA0" w14:textId="77777777" w:rsidR="009501B0" w:rsidRDefault="009501B0" w:rsidP="00152C9B">
                  <w:pPr>
                    <w:pStyle w:val="TableBullet"/>
                    <w:spacing w:before="40"/>
                  </w:pPr>
                  <w:r>
                    <w:t>Trend analysis</w:t>
                  </w:r>
                  <w:r>
                    <w:br/>
                  </w:r>
                </w:p>
                <w:p w14:paraId="5962A03A" w14:textId="77777777" w:rsidR="009501B0" w:rsidRDefault="009501B0" w:rsidP="00152C9B">
                  <w:pPr>
                    <w:pStyle w:val="TableBullet"/>
                    <w:spacing w:before="40"/>
                  </w:pPr>
                  <w:r>
                    <w:t>Trend analysis; qualitative</w:t>
                  </w:r>
                  <w:r>
                    <w:br/>
                  </w:r>
                </w:p>
                <w:p w14:paraId="37A9C4AF" w14:textId="77777777" w:rsidR="009501B0" w:rsidRDefault="009501B0" w:rsidP="00152C9B">
                  <w:pPr>
                    <w:pStyle w:val="TableBullet"/>
                    <w:spacing w:before="40"/>
                  </w:pPr>
                  <w:r>
                    <w:t>Trend analysis; qualitative</w:t>
                  </w:r>
                  <w:r>
                    <w:br/>
                  </w:r>
                </w:p>
                <w:p w14:paraId="06EB51D5" w14:textId="77777777" w:rsidR="009501B0" w:rsidRDefault="009501B0" w:rsidP="00152C9B">
                  <w:pPr>
                    <w:pStyle w:val="TableBullet"/>
                    <w:spacing w:before="40"/>
                  </w:pPr>
                  <w:r>
                    <w:t>Trend analysis</w:t>
                  </w:r>
                </w:p>
                <w:p w14:paraId="0CAF0D35" w14:textId="77777777" w:rsidR="009501B0" w:rsidRDefault="009501B0" w:rsidP="00152C9B">
                  <w:pPr>
                    <w:pStyle w:val="TableBullet"/>
                    <w:spacing w:before="40"/>
                  </w:pPr>
                  <w:r>
                    <w:t>Qualitative</w:t>
                  </w:r>
                  <w:r>
                    <w:br/>
                  </w:r>
                </w:p>
                <w:p w14:paraId="329A5FE7" w14:textId="77777777" w:rsidR="009501B0" w:rsidRDefault="009501B0" w:rsidP="00152C9B">
                  <w:pPr>
                    <w:pStyle w:val="TableBullet"/>
                    <w:spacing w:before="40"/>
                  </w:pPr>
                  <w:r>
                    <w:t>Qualitative</w:t>
                  </w:r>
                </w:p>
              </w:tc>
              <w:tc>
                <w:tcPr>
                  <w:tcW w:w="940" w:type="pct"/>
                  <w:tcBorders>
                    <w:bottom w:val="single" w:sz="6" w:space="0" w:color="BFBFBF"/>
                  </w:tcBorders>
                  <w:shd w:val="clear" w:color="auto" w:fill="auto"/>
                </w:tcPr>
                <w:p w14:paraId="675DFCDA" w14:textId="77777777" w:rsidR="009501B0" w:rsidRDefault="009501B0" w:rsidP="00152C9B">
                  <w:pPr>
                    <w:pStyle w:val="TableBullet"/>
                    <w:spacing w:before="40"/>
                  </w:pPr>
                  <w:r>
                    <w:t>Fund surveys; fund disclosures; case studies</w:t>
                  </w:r>
                </w:p>
                <w:p w14:paraId="1BBA3288" w14:textId="77777777" w:rsidR="009501B0" w:rsidRDefault="009501B0" w:rsidP="00152C9B">
                  <w:pPr>
                    <w:pStyle w:val="TableBullet"/>
                    <w:spacing w:before="40"/>
                  </w:pPr>
                  <w:r>
                    <w:t>Fund surveys; fund disclosures; case studies</w:t>
                  </w:r>
                </w:p>
                <w:p w14:paraId="51313E22" w14:textId="77777777" w:rsidR="009501B0" w:rsidRDefault="009501B0" w:rsidP="00152C9B">
                  <w:pPr>
                    <w:pStyle w:val="TableBullet"/>
                    <w:spacing w:before="40"/>
                  </w:pPr>
                  <w:r>
                    <w:t>Fund surveys; fund disclosures; case studies</w:t>
                  </w:r>
                </w:p>
                <w:p w14:paraId="69297711" w14:textId="77777777" w:rsidR="009501B0" w:rsidRPr="00B94CB2" w:rsidRDefault="009501B0" w:rsidP="00152C9B">
                  <w:pPr>
                    <w:pStyle w:val="TableBullet"/>
                    <w:spacing w:before="40"/>
                  </w:pPr>
                  <w:r w:rsidRPr="007F2B6E">
                    <w:t>Regulator data</w:t>
                  </w:r>
                </w:p>
                <w:p w14:paraId="76C9A369" w14:textId="77777777" w:rsidR="009501B0" w:rsidRPr="00896DFC" w:rsidRDefault="009501B0" w:rsidP="00152C9B">
                  <w:pPr>
                    <w:pStyle w:val="TableBullet"/>
                    <w:spacing w:before="40"/>
                  </w:pPr>
                  <w:r>
                    <w:t>Case studies</w:t>
                  </w:r>
                  <w:r>
                    <w:br/>
                  </w:r>
                </w:p>
                <w:p w14:paraId="308EE3FD" w14:textId="77777777" w:rsidR="009501B0" w:rsidRDefault="009501B0" w:rsidP="00152C9B">
                  <w:pPr>
                    <w:pStyle w:val="TableBullet"/>
                    <w:spacing w:before="40"/>
                  </w:pPr>
                  <w:r w:rsidRPr="00995826">
                    <w:t>Case studies; fund surveys; reviews by others</w:t>
                  </w:r>
                </w:p>
              </w:tc>
            </w:tr>
          </w:tbl>
          <w:p w14:paraId="7DC446E8" w14:textId="77777777" w:rsidR="009501B0" w:rsidRDefault="009501B0" w:rsidP="00152C9B">
            <w:pPr>
              <w:pStyle w:val="Box"/>
            </w:pPr>
          </w:p>
        </w:tc>
      </w:tr>
      <w:tr w:rsidR="009501B0" w14:paraId="3BD4690B" w14:textId="77777777" w:rsidTr="00687440">
        <w:trPr>
          <w:cantSplit/>
        </w:trPr>
        <w:tc>
          <w:tcPr>
            <w:tcW w:w="5000" w:type="pct"/>
            <w:tcBorders>
              <w:top w:val="nil"/>
              <w:left w:val="nil"/>
              <w:bottom w:val="nil"/>
              <w:right w:val="nil"/>
            </w:tcBorders>
            <w:shd w:val="clear" w:color="auto" w:fill="auto"/>
          </w:tcPr>
          <w:p w14:paraId="7063B2EF" w14:textId="77777777" w:rsidR="009501B0" w:rsidRDefault="009501B0" w:rsidP="00152C9B">
            <w:pPr>
              <w:pStyle w:val="Continued"/>
            </w:pPr>
            <w:r>
              <w:t>(continued next page)</w:t>
            </w:r>
          </w:p>
        </w:tc>
      </w:tr>
      <w:tr w:rsidR="009501B0" w14:paraId="39B5EA7B" w14:textId="77777777" w:rsidTr="00687440">
        <w:trPr>
          <w:cantSplit/>
        </w:trPr>
        <w:tc>
          <w:tcPr>
            <w:tcW w:w="5000" w:type="pct"/>
            <w:tcBorders>
              <w:top w:val="nil"/>
              <w:left w:val="nil"/>
              <w:bottom w:val="single" w:sz="6" w:space="0" w:color="78A22F"/>
              <w:right w:val="nil"/>
            </w:tcBorders>
            <w:shd w:val="clear" w:color="auto" w:fill="auto"/>
          </w:tcPr>
          <w:p w14:paraId="5ECEAC54" w14:textId="77777777" w:rsidR="009501B0" w:rsidRDefault="009501B0" w:rsidP="00152C9B">
            <w:pPr>
              <w:pStyle w:val="Box"/>
              <w:spacing w:before="0" w:line="120" w:lineRule="exact"/>
            </w:pPr>
          </w:p>
        </w:tc>
      </w:tr>
      <w:tr w:rsidR="009501B0" w:rsidRPr="000863A5" w14:paraId="4F2EF80E" w14:textId="77777777" w:rsidTr="00687440">
        <w:tc>
          <w:tcPr>
            <w:tcW w:w="5000" w:type="pct"/>
            <w:tcBorders>
              <w:top w:val="single" w:sz="6" w:space="0" w:color="78A22F"/>
              <w:left w:val="nil"/>
              <w:bottom w:val="nil"/>
              <w:right w:val="nil"/>
            </w:tcBorders>
          </w:tcPr>
          <w:p w14:paraId="12F153F7" w14:textId="77777777" w:rsidR="009501B0" w:rsidRPr="00626D32" w:rsidRDefault="009501B0" w:rsidP="00152C9B">
            <w:pPr>
              <w:pStyle w:val="BoxSpaceBelow"/>
            </w:pPr>
          </w:p>
        </w:tc>
      </w:tr>
    </w:tbl>
    <w:p w14:paraId="57EF1C4F" w14:textId="77777777" w:rsidR="009501B0" w:rsidRDefault="009501B0" w:rsidP="009501B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9501B0" w14:paraId="13381098" w14:textId="77777777" w:rsidTr="00687440">
        <w:tc>
          <w:tcPr>
            <w:tcW w:w="5000" w:type="pct"/>
            <w:tcBorders>
              <w:top w:val="single" w:sz="6" w:space="0" w:color="78A22F"/>
              <w:left w:val="nil"/>
              <w:bottom w:val="nil"/>
              <w:right w:val="nil"/>
            </w:tcBorders>
            <w:shd w:val="clear" w:color="auto" w:fill="auto"/>
          </w:tcPr>
          <w:p w14:paraId="0B1DD9C5" w14:textId="77777777" w:rsidR="009501B0" w:rsidRPr="00784A05" w:rsidRDefault="009501B0" w:rsidP="00152C9B">
            <w:pPr>
              <w:pStyle w:val="TableTitle"/>
            </w:pPr>
            <w:r>
              <w:t>Efficiency</w:t>
            </w:r>
            <w:r w:rsidRPr="00A57215">
              <w:rPr>
                <w:b w:val="0"/>
                <w:sz w:val="18"/>
                <w:szCs w:val="18"/>
              </w:rPr>
              <w:t xml:space="preserve"> (continued)</w:t>
            </w:r>
          </w:p>
        </w:tc>
      </w:tr>
      <w:tr w:rsidR="009501B0" w14:paraId="200F602A" w14:textId="77777777" w:rsidTr="00687440">
        <w:trPr>
          <w:cantSplit/>
        </w:trPr>
        <w:tc>
          <w:tcPr>
            <w:tcW w:w="5000" w:type="pct"/>
            <w:tcBorders>
              <w:top w:val="nil"/>
              <w:left w:val="nil"/>
              <w:bottom w:val="nil"/>
              <w:right w:val="nil"/>
            </w:tcBorders>
            <w:shd w:val="clear" w:color="auto" w:fill="auto"/>
          </w:tcPr>
          <w:tbl>
            <w:tblPr>
              <w:tblW w:w="13441" w:type="dxa"/>
              <w:tblCellMar>
                <w:top w:w="28" w:type="dxa"/>
                <w:left w:w="0" w:type="dxa"/>
                <w:right w:w="0" w:type="dxa"/>
              </w:tblCellMar>
              <w:tblLook w:val="0000" w:firstRow="0" w:lastRow="0" w:firstColumn="0" w:lastColumn="0" w:noHBand="0" w:noVBand="0"/>
            </w:tblPr>
            <w:tblGrid>
              <w:gridCol w:w="1845"/>
              <w:gridCol w:w="6661"/>
              <w:gridCol w:w="1844"/>
              <w:gridCol w:w="3091"/>
            </w:tblGrid>
            <w:tr w:rsidR="009501B0" w14:paraId="469FEC02" w14:textId="77777777" w:rsidTr="00152C9B">
              <w:tc>
                <w:tcPr>
                  <w:tcW w:w="686" w:type="pct"/>
                  <w:tcBorders>
                    <w:top w:val="single" w:sz="6" w:space="0" w:color="BFBFBF"/>
                    <w:bottom w:val="single" w:sz="6" w:space="0" w:color="BFBFBF"/>
                  </w:tcBorders>
                  <w:shd w:val="clear" w:color="auto" w:fill="auto"/>
                  <w:tcMar>
                    <w:top w:w="28" w:type="dxa"/>
                  </w:tcMar>
                </w:tcPr>
                <w:p w14:paraId="68E14945" w14:textId="77777777" w:rsidR="009501B0" w:rsidRDefault="009501B0" w:rsidP="00152C9B">
                  <w:pPr>
                    <w:pStyle w:val="TableColumnHeading"/>
                    <w:jc w:val="left"/>
                  </w:pPr>
                  <w:r>
                    <w:t>Assessment criteria</w:t>
                  </w:r>
                </w:p>
              </w:tc>
              <w:tc>
                <w:tcPr>
                  <w:tcW w:w="2478" w:type="pct"/>
                  <w:tcBorders>
                    <w:top w:val="single" w:sz="6" w:space="0" w:color="BFBFBF"/>
                    <w:bottom w:val="single" w:sz="6" w:space="0" w:color="BFBFBF"/>
                  </w:tcBorders>
                  <w:shd w:val="clear" w:color="auto" w:fill="auto"/>
                  <w:tcMar>
                    <w:top w:w="28" w:type="dxa"/>
                  </w:tcMar>
                </w:tcPr>
                <w:p w14:paraId="25C4C2CC" w14:textId="77777777" w:rsidR="009501B0" w:rsidRDefault="009501B0" w:rsidP="00152C9B">
                  <w:pPr>
                    <w:pStyle w:val="TableColumnHeading"/>
                    <w:ind w:right="28"/>
                    <w:jc w:val="left"/>
                  </w:pPr>
                  <w:r>
                    <w:t>Indicators</w:t>
                  </w:r>
                </w:p>
              </w:tc>
              <w:tc>
                <w:tcPr>
                  <w:tcW w:w="686" w:type="pct"/>
                  <w:tcBorders>
                    <w:top w:val="single" w:sz="6" w:space="0" w:color="BFBFBF"/>
                    <w:bottom w:val="single" w:sz="6" w:space="0" w:color="BFBFBF"/>
                  </w:tcBorders>
                </w:tcPr>
                <w:p w14:paraId="0871C0B6" w14:textId="77777777" w:rsidR="009501B0" w:rsidRDefault="009501B0" w:rsidP="00152C9B">
                  <w:pPr>
                    <w:pStyle w:val="TableColumnHeading"/>
                    <w:ind w:right="28"/>
                    <w:jc w:val="left"/>
                  </w:pPr>
                  <w:r>
                    <w:t>Assessment methods</w:t>
                  </w:r>
                </w:p>
              </w:tc>
              <w:tc>
                <w:tcPr>
                  <w:tcW w:w="1150" w:type="pct"/>
                  <w:tcBorders>
                    <w:top w:val="single" w:sz="6" w:space="0" w:color="BFBFBF"/>
                    <w:bottom w:val="single" w:sz="6" w:space="0" w:color="BFBFBF"/>
                  </w:tcBorders>
                </w:tcPr>
                <w:p w14:paraId="0EFACD3A" w14:textId="77777777" w:rsidR="009501B0" w:rsidRDefault="009501B0" w:rsidP="00152C9B">
                  <w:pPr>
                    <w:pStyle w:val="TableColumnHeading"/>
                    <w:ind w:right="28"/>
                    <w:jc w:val="left"/>
                  </w:pPr>
                  <w:r>
                    <w:t>Expected data sources</w:t>
                  </w:r>
                </w:p>
              </w:tc>
            </w:tr>
            <w:tr w:rsidR="009501B0" w:rsidRPr="007772FD" w14:paraId="016268FB" w14:textId="77777777" w:rsidTr="00990744">
              <w:tc>
                <w:tcPr>
                  <w:tcW w:w="686" w:type="pct"/>
                  <w:tcBorders>
                    <w:top w:val="single" w:sz="6" w:space="0" w:color="BFBFBF"/>
                  </w:tcBorders>
                </w:tcPr>
                <w:p w14:paraId="002DDC93" w14:textId="77777777" w:rsidR="009501B0" w:rsidRPr="007772FD" w:rsidRDefault="009501B0" w:rsidP="00152C9B">
                  <w:pPr>
                    <w:pStyle w:val="TableBodyText"/>
                    <w:spacing w:before="40"/>
                    <w:jc w:val="left"/>
                  </w:pPr>
                  <w:r>
                    <w:t xml:space="preserve">E10. </w:t>
                  </w:r>
                  <w:r w:rsidRPr="00DA453E">
                    <w:t>Are there material systemic risks in the superannuation system</w:t>
                  </w:r>
                  <w:r>
                    <w:t>?</w:t>
                  </w:r>
                </w:p>
              </w:tc>
              <w:tc>
                <w:tcPr>
                  <w:tcW w:w="2478" w:type="pct"/>
                  <w:tcBorders>
                    <w:top w:val="single" w:sz="6" w:space="0" w:color="BFBFBF"/>
                  </w:tcBorders>
                </w:tcPr>
                <w:p w14:paraId="7A73B0B1" w14:textId="77777777" w:rsidR="009501B0" w:rsidRDefault="009501B0" w:rsidP="00152C9B">
                  <w:pPr>
                    <w:pStyle w:val="TableBullet"/>
                    <w:spacing w:before="40"/>
                  </w:pPr>
                  <w:r w:rsidRPr="00DA0231">
                    <w:t>Market concentration at wholesale and retail levels (Herfindahl</w:t>
                  </w:r>
                  <w:r w:rsidRPr="00DA0231">
                    <w:rPr>
                      <w:rFonts w:ascii="Cambria Math" w:hAnsi="Cambria Math" w:cs="Cambria Math"/>
                    </w:rPr>
                    <w:t>‑</w:t>
                  </w:r>
                  <w:r w:rsidRPr="00DA0231">
                    <w:t>Hirschman Index and market shares of largest providers)</w:t>
                  </w:r>
                  <w:r>
                    <w:t>* (output)</w:t>
                  </w:r>
                </w:p>
                <w:p w14:paraId="434E6678" w14:textId="77777777" w:rsidR="009501B0" w:rsidRDefault="009501B0" w:rsidP="00152C9B">
                  <w:pPr>
                    <w:pStyle w:val="TableBullet"/>
                    <w:spacing w:before="40"/>
                  </w:pPr>
                  <w:r>
                    <w:t xml:space="preserve">Degree of interconnectedness </w:t>
                  </w:r>
                  <w:r w:rsidRPr="00E53318">
                    <w:t xml:space="preserve">between upstream service providers and funds </w:t>
                  </w:r>
                  <w:r>
                    <w:t>(input)</w:t>
                  </w:r>
                </w:p>
                <w:p w14:paraId="31BDEEAC" w14:textId="77777777" w:rsidR="009501B0" w:rsidRPr="008C11C9" w:rsidRDefault="009501B0" w:rsidP="00152C9B">
                  <w:pPr>
                    <w:pStyle w:val="TableBullet"/>
                    <w:spacing w:before="40"/>
                  </w:pPr>
                  <w:r w:rsidRPr="008C11C9">
                    <w:t>Levels of leverage in SMSFs (input)</w:t>
                  </w:r>
                </w:p>
              </w:tc>
              <w:tc>
                <w:tcPr>
                  <w:tcW w:w="686" w:type="pct"/>
                  <w:tcBorders>
                    <w:top w:val="single" w:sz="6" w:space="0" w:color="BFBFBF"/>
                  </w:tcBorders>
                </w:tcPr>
                <w:p w14:paraId="5E7A1798" w14:textId="77777777" w:rsidR="009501B0" w:rsidRDefault="009501B0" w:rsidP="00152C9B">
                  <w:pPr>
                    <w:pStyle w:val="TableBullet"/>
                    <w:spacing w:before="40"/>
                  </w:pPr>
                  <w:r>
                    <w:t>Trend analysis</w:t>
                  </w:r>
                  <w:r w:rsidDel="00374DB7">
                    <w:t xml:space="preserve"> </w:t>
                  </w:r>
                  <w:r>
                    <w:br/>
                  </w:r>
                </w:p>
                <w:p w14:paraId="0CE81DA1" w14:textId="77777777" w:rsidR="009501B0" w:rsidRDefault="009501B0" w:rsidP="00152C9B">
                  <w:pPr>
                    <w:pStyle w:val="TableBullet"/>
                    <w:spacing w:before="40"/>
                  </w:pPr>
                  <w:r>
                    <w:t>Qualitative</w:t>
                  </w:r>
                  <w:r>
                    <w:br/>
                  </w:r>
                </w:p>
                <w:p w14:paraId="3FC5632F" w14:textId="77777777" w:rsidR="009501B0" w:rsidRPr="007772FD" w:rsidRDefault="009501B0" w:rsidP="00152C9B">
                  <w:pPr>
                    <w:pStyle w:val="TableBullet"/>
                    <w:spacing w:before="40"/>
                  </w:pPr>
                  <w:r>
                    <w:t>Trend analysis</w:t>
                  </w:r>
                </w:p>
              </w:tc>
              <w:tc>
                <w:tcPr>
                  <w:tcW w:w="1150" w:type="pct"/>
                  <w:tcBorders>
                    <w:top w:val="single" w:sz="6" w:space="0" w:color="BFBFBF"/>
                  </w:tcBorders>
                </w:tcPr>
                <w:p w14:paraId="127AD6AC" w14:textId="77777777" w:rsidR="009501B0" w:rsidRDefault="009501B0" w:rsidP="00152C9B">
                  <w:pPr>
                    <w:pStyle w:val="TableBullet"/>
                    <w:spacing w:before="40"/>
                  </w:pPr>
                  <w:r>
                    <w:t>Regulator data</w:t>
                  </w:r>
                  <w:r>
                    <w:br/>
                  </w:r>
                </w:p>
                <w:p w14:paraId="0D8A3ABC" w14:textId="77777777" w:rsidR="009501B0" w:rsidRDefault="009501B0" w:rsidP="00152C9B">
                  <w:pPr>
                    <w:pStyle w:val="TableBullet"/>
                    <w:spacing w:before="40"/>
                  </w:pPr>
                  <w:r>
                    <w:t>Regulator data; research firms; reviews by others</w:t>
                  </w:r>
                </w:p>
                <w:p w14:paraId="0AFC0542" w14:textId="77777777" w:rsidR="009501B0" w:rsidRDefault="009501B0" w:rsidP="00152C9B">
                  <w:pPr>
                    <w:pStyle w:val="TableBullet"/>
                    <w:spacing w:before="40"/>
                  </w:pPr>
                  <w:r>
                    <w:t>Regulator data</w:t>
                  </w:r>
                </w:p>
              </w:tc>
            </w:tr>
            <w:tr w:rsidR="009501B0" w:rsidRPr="0050503A" w14:paraId="49AF1930" w14:textId="77777777" w:rsidTr="00437F99">
              <w:trPr>
                <w:trHeight w:val="340"/>
              </w:trPr>
              <w:tc>
                <w:tcPr>
                  <w:tcW w:w="5000" w:type="pct"/>
                  <w:gridSpan w:val="4"/>
                  <w:shd w:val="clear" w:color="auto" w:fill="E0EEC6" w:themeFill="accent3" w:themeFillTint="66"/>
                  <w:vAlign w:val="center"/>
                </w:tcPr>
                <w:p w14:paraId="37621AE8" w14:textId="77777777" w:rsidR="009501B0" w:rsidRPr="008C11C9" w:rsidRDefault="009501B0" w:rsidP="00990744">
                  <w:pPr>
                    <w:pStyle w:val="SuperObjective"/>
                  </w:pPr>
                  <w:r w:rsidRPr="003E18E6">
                    <w:rPr>
                      <w:i/>
                    </w:rPr>
                    <w:t>Objective</w:t>
                  </w:r>
                  <w:r>
                    <w:rPr>
                      <w:i/>
                    </w:rPr>
                    <w:t xml:space="preserve"> 4</w:t>
                  </w:r>
                  <w:r w:rsidRPr="008C11C9">
                    <w:t xml:space="preserve">: The superannuation system </w:t>
                  </w:r>
                  <w:r w:rsidRPr="005A5885">
                    <w:t xml:space="preserve">provides </w:t>
                  </w:r>
                  <w:r w:rsidRPr="00A104FD">
                    <w:t>value for money insurance cover without unduly eroding member balances</w:t>
                  </w:r>
                </w:p>
              </w:tc>
            </w:tr>
            <w:tr w:rsidR="009501B0" w14:paraId="4789470D" w14:textId="77777777" w:rsidTr="00990744">
              <w:tc>
                <w:tcPr>
                  <w:tcW w:w="686" w:type="pct"/>
                  <w:tcBorders>
                    <w:bottom w:val="single" w:sz="6" w:space="0" w:color="BFBFBF"/>
                  </w:tcBorders>
                </w:tcPr>
                <w:p w14:paraId="5D6622BF" w14:textId="77777777" w:rsidR="009501B0" w:rsidRPr="0099519A" w:rsidRDefault="009501B0" w:rsidP="00152C9B">
                  <w:pPr>
                    <w:pStyle w:val="TableBodyText"/>
                    <w:spacing w:before="40"/>
                    <w:jc w:val="left"/>
                  </w:pPr>
                  <w:r>
                    <w:t xml:space="preserve">E11. </w:t>
                  </w:r>
                  <w:r w:rsidRPr="00896DFC">
                    <w:t>Do funds offer value for money insurance products to members?</w:t>
                  </w:r>
                </w:p>
              </w:tc>
              <w:tc>
                <w:tcPr>
                  <w:tcW w:w="2478" w:type="pct"/>
                  <w:tcBorders>
                    <w:bottom w:val="single" w:sz="6" w:space="0" w:color="BFBFBF"/>
                  </w:tcBorders>
                </w:tcPr>
                <w:p w14:paraId="324FF133" w14:textId="77777777" w:rsidR="009501B0" w:rsidRDefault="009501B0" w:rsidP="00152C9B">
                  <w:pPr>
                    <w:pStyle w:val="TableBullet"/>
                    <w:spacing w:before="40"/>
                  </w:pPr>
                  <w:r>
                    <w:t xml:space="preserve">Duplicate insurance policies </w:t>
                  </w:r>
                  <w:r w:rsidRPr="00392740">
                    <w:t>(output)</w:t>
                  </w:r>
                </w:p>
                <w:p w14:paraId="3FE4F603" w14:textId="77777777" w:rsidR="009501B0" w:rsidRDefault="009501B0" w:rsidP="00152C9B">
                  <w:pPr>
                    <w:pStyle w:val="TableBullet"/>
                    <w:spacing w:before="40"/>
                  </w:pPr>
                  <w:r>
                    <w:t>Rates of insurance take</w:t>
                  </w:r>
                  <w:r>
                    <w:noBreakHyphen/>
                  </w:r>
                  <w:r w:rsidRPr="008C11C9">
                    <w:t xml:space="preserve">up in choice </w:t>
                  </w:r>
                  <w:r>
                    <w:t>products</w:t>
                  </w:r>
                  <w:r w:rsidRPr="008C11C9">
                    <w:t xml:space="preserve"> relative to default </w:t>
                  </w:r>
                  <w:r>
                    <w:t>products</w:t>
                  </w:r>
                  <w:r w:rsidRPr="008C11C9">
                    <w:t xml:space="preserve"> (output)</w:t>
                  </w:r>
                </w:p>
                <w:p w14:paraId="4DBEABAD" w14:textId="77777777" w:rsidR="009501B0" w:rsidRDefault="009501B0" w:rsidP="00152C9B">
                  <w:pPr>
                    <w:pStyle w:val="TableBullet"/>
                    <w:spacing w:before="40"/>
                  </w:pPr>
                  <w:r w:rsidRPr="00616AF5">
                    <w:t xml:space="preserve">Member superannuation </w:t>
                  </w:r>
                  <w:r>
                    <w:t xml:space="preserve">and insurance </w:t>
                  </w:r>
                  <w:r w:rsidRPr="00616AF5">
                    <w:t>literacy</w:t>
                  </w:r>
                  <w:r w:rsidRPr="00B15864">
                    <w:rPr>
                      <w:vertAlign w:val="superscript"/>
                    </w:rPr>
                    <w:t>#</w:t>
                  </w:r>
                  <w:r w:rsidRPr="00616AF5">
                    <w:t>* (</w:t>
                  </w:r>
                  <w:r>
                    <w:t>input</w:t>
                  </w:r>
                  <w:r w:rsidRPr="00616AF5">
                    <w:t>)</w:t>
                  </w:r>
                </w:p>
                <w:p w14:paraId="26CCFCD7" w14:textId="77777777" w:rsidR="009501B0" w:rsidRDefault="009501B0" w:rsidP="00152C9B">
                  <w:pPr>
                    <w:pStyle w:val="TableBullet"/>
                    <w:spacing w:before="40"/>
                  </w:pPr>
                  <w:r>
                    <w:t>Ease of members opting out of insurance, amending cover or making claims (input)</w:t>
                  </w:r>
                </w:p>
                <w:p w14:paraId="210C9AA6" w14:textId="77777777" w:rsidR="009501B0" w:rsidRDefault="009501B0" w:rsidP="00152C9B">
                  <w:pPr>
                    <w:pStyle w:val="TableBullet"/>
                    <w:spacing w:before="40"/>
                  </w:pPr>
                  <w:r>
                    <w:t>Number of members changing or opting out of default insurance cover (input)</w:t>
                  </w:r>
                </w:p>
                <w:p w14:paraId="7B95A446" w14:textId="77777777" w:rsidR="009501B0" w:rsidRDefault="009501B0" w:rsidP="00152C9B">
                  <w:pPr>
                    <w:pStyle w:val="TableBullet"/>
                    <w:spacing w:before="40"/>
                  </w:pPr>
                  <w:r>
                    <w:t>Funds’ use of member information to inform product design and pricing</w:t>
                  </w:r>
                  <w:r w:rsidRPr="00B15864">
                    <w:rPr>
                      <w:vertAlign w:val="superscript"/>
                    </w:rPr>
                    <w:t>#</w:t>
                  </w:r>
                  <w:r w:rsidRPr="00B67F84">
                    <w:t>*</w:t>
                  </w:r>
                  <w:r>
                    <w:t xml:space="preserve"> (input)</w:t>
                  </w:r>
                </w:p>
                <w:p w14:paraId="36CC06B1" w14:textId="77777777" w:rsidR="009501B0" w:rsidRDefault="009501B0" w:rsidP="00152C9B">
                  <w:pPr>
                    <w:pStyle w:val="TableBullet"/>
                    <w:spacing w:before="40"/>
                  </w:pPr>
                  <w:r w:rsidRPr="008C11C9">
                    <w:t>Comparability of insurance product information disclosed by funds (input)</w:t>
                  </w:r>
                </w:p>
                <w:p w14:paraId="4C29987B" w14:textId="77777777" w:rsidR="009501B0" w:rsidRDefault="009501B0" w:rsidP="00152C9B">
                  <w:pPr>
                    <w:pStyle w:val="TableBullet"/>
                  </w:pPr>
                  <w:r>
                    <w:t>Average insurance cover by age band and market segment (output)</w:t>
                  </w:r>
                </w:p>
                <w:p w14:paraId="72CB7AE6" w14:textId="77777777" w:rsidR="009501B0" w:rsidRDefault="009501B0" w:rsidP="00152C9B">
                  <w:pPr>
                    <w:pStyle w:val="TableBullet"/>
                    <w:spacing w:before="40"/>
                  </w:pPr>
                  <w:r w:rsidRPr="00CA7BA3">
                    <w:t>Proportion</w:t>
                  </w:r>
                  <w:r>
                    <w:t xml:space="preserve"> of complaints to the Superannuation Complaints Tribunal which are successful</w:t>
                  </w:r>
                  <w:r w:rsidRPr="00B15864">
                    <w:rPr>
                      <w:vertAlign w:val="superscript"/>
                    </w:rPr>
                    <w:t>#</w:t>
                  </w:r>
                  <w:r>
                    <w:t xml:space="preserve"> (output)</w:t>
                  </w:r>
                </w:p>
                <w:p w14:paraId="0336D00E" w14:textId="77777777" w:rsidR="009501B0" w:rsidRPr="008C11C9" w:rsidRDefault="009501B0" w:rsidP="00152C9B">
                  <w:pPr>
                    <w:pStyle w:val="TableBullet"/>
                    <w:spacing w:before="40"/>
                  </w:pPr>
                  <w:r>
                    <w:t>Number of members that nominate beneficiaries (input)</w:t>
                  </w:r>
                </w:p>
              </w:tc>
              <w:tc>
                <w:tcPr>
                  <w:tcW w:w="686" w:type="pct"/>
                  <w:tcBorders>
                    <w:bottom w:val="single" w:sz="6" w:space="0" w:color="BFBFBF"/>
                  </w:tcBorders>
                </w:tcPr>
                <w:p w14:paraId="68D85E5C" w14:textId="77777777" w:rsidR="009501B0" w:rsidRDefault="009501B0" w:rsidP="00152C9B">
                  <w:pPr>
                    <w:pStyle w:val="TableBullet"/>
                    <w:spacing w:before="40"/>
                  </w:pPr>
                  <w:r>
                    <w:t>Trend analysis</w:t>
                  </w:r>
                </w:p>
                <w:p w14:paraId="4FA8CEE2" w14:textId="77777777" w:rsidR="009501B0" w:rsidRDefault="009501B0" w:rsidP="00152C9B">
                  <w:pPr>
                    <w:pStyle w:val="TableBullet"/>
                    <w:spacing w:before="40"/>
                  </w:pPr>
                  <w:r>
                    <w:t>Trend analysis</w:t>
                  </w:r>
                  <w:r>
                    <w:br/>
                  </w:r>
                </w:p>
                <w:p w14:paraId="1A158E51" w14:textId="77777777" w:rsidR="009501B0" w:rsidRDefault="009501B0" w:rsidP="00152C9B">
                  <w:pPr>
                    <w:pStyle w:val="TableBullet"/>
                    <w:spacing w:before="40"/>
                  </w:pPr>
                  <w:r>
                    <w:t>Qualitative</w:t>
                  </w:r>
                </w:p>
                <w:p w14:paraId="48018793" w14:textId="77777777" w:rsidR="009501B0" w:rsidRDefault="009501B0" w:rsidP="00152C9B">
                  <w:pPr>
                    <w:pStyle w:val="TableBullet"/>
                    <w:spacing w:before="40"/>
                  </w:pPr>
                  <w:r>
                    <w:t>Qualitative</w:t>
                  </w:r>
                  <w:r>
                    <w:br/>
                  </w:r>
                </w:p>
                <w:p w14:paraId="7DBAFD8C" w14:textId="77777777" w:rsidR="009501B0" w:rsidRDefault="009501B0" w:rsidP="00152C9B">
                  <w:pPr>
                    <w:pStyle w:val="TableBullet"/>
                    <w:spacing w:before="40"/>
                  </w:pPr>
                  <w:r>
                    <w:t>Trend analysis</w:t>
                  </w:r>
                </w:p>
                <w:p w14:paraId="099DDA53" w14:textId="77777777" w:rsidR="009501B0" w:rsidRDefault="009501B0" w:rsidP="00152C9B">
                  <w:pPr>
                    <w:pStyle w:val="TableBullet"/>
                    <w:spacing w:before="40"/>
                  </w:pPr>
                  <w:r>
                    <w:t>Qualitative</w:t>
                  </w:r>
                </w:p>
                <w:p w14:paraId="07CD5C60" w14:textId="77777777" w:rsidR="009501B0" w:rsidRDefault="009501B0" w:rsidP="00152C9B">
                  <w:pPr>
                    <w:pStyle w:val="TableBullet"/>
                    <w:spacing w:before="40"/>
                  </w:pPr>
                  <w:r>
                    <w:t>Qualitative</w:t>
                  </w:r>
                </w:p>
                <w:p w14:paraId="6C5D8785" w14:textId="77777777" w:rsidR="009501B0" w:rsidRDefault="009501B0" w:rsidP="00152C9B">
                  <w:pPr>
                    <w:pStyle w:val="TableBullet"/>
                    <w:spacing w:before="40"/>
                  </w:pPr>
                  <w:r>
                    <w:t>Trend analysis</w:t>
                  </w:r>
                </w:p>
                <w:p w14:paraId="5B24DF71" w14:textId="77777777" w:rsidR="009501B0" w:rsidRDefault="009501B0" w:rsidP="00152C9B">
                  <w:pPr>
                    <w:pStyle w:val="TableBullet"/>
                    <w:spacing w:before="40"/>
                  </w:pPr>
                  <w:r>
                    <w:t>Trend analysis</w:t>
                  </w:r>
                  <w:r>
                    <w:br/>
                  </w:r>
                </w:p>
                <w:p w14:paraId="309CE212" w14:textId="77777777" w:rsidR="009501B0" w:rsidRDefault="009501B0" w:rsidP="00152C9B">
                  <w:pPr>
                    <w:pStyle w:val="TableBullet"/>
                    <w:spacing w:before="40"/>
                  </w:pPr>
                  <w:r>
                    <w:t>Trend analysis</w:t>
                  </w:r>
                </w:p>
              </w:tc>
              <w:tc>
                <w:tcPr>
                  <w:tcW w:w="1150" w:type="pct"/>
                  <w:tcBorders>
                    <w:bottom w:val="single" w:sz="6" w:space="0" w:color="BFBFBF"/>
                  </w:tcBorders>
                </w:tcPr>
                <w:p w14:paraId="0D999539" w14:textId="77777777" w:rsidR="009501B0" w:rsidRDefault="009501B0" w:rsidP="00152C9B">
                  <w:pPr>
                    <w:pStyle w:val="TableBullet"/>
                    <w:spacing w:before="40"/>
                  </w:pPr>
                  <w:r>
                    <w:t>Member surveys</w:t>
                  </w:r>
                </w:p>
                <w:p w14:paraId="57FE6686" w14:textId="77777777" w:rsidR="009501B0" w:rsidRDefault="009501B0" w:rsidP="00152C9B">
                  <w:pPr>
                    <w:pStyle w:val="TableBullet"/>
                    <w:spacing w:before="40"/>
                  </w:pPr>
                  <w:r>
                    <w:t>Regulator data; research firms</w:t>
                  </w:r>
                  <w:r>
                    <w:br/>
                  </w:r>
                </w:p>
                <w:p w14:paraId="55B01312" w14:textId="77777777" w:rsidR="009501B0" w:rsidRDefault="009501B0" w:rsidP="00152C9B">
                  <w:pPr>
                    <w:pStyle w:val="TableBullet"/>
                    <w:spacing w:before="40"/>
                  </w:pPr>
                  <w:r>
                    <w:t>Member surveys</w:t>
                  </w:r>
                </w:p>
                <w:p w14:paraId="5ED8850F" w14:textId="77777777" w:rsidR="009501B0" w:rsidRDefault="009501B0" w:rsidP="00152C9B">
                  <w:pPr>
                    <w:pStyle w:val="TableBullet"/>
                    <w:spacing w:before="40"/>
                  </w:pPr>
                  <w:r>
                    <w:t>Member surveys; reviews by others</w:t>
                  </w:r>
                </w:p>
                <w:p w14:paraId="33758364" w14:textId="77777777" w:rsidR="009501B0" w:rsidRDefault="009501B0" w:rsidP="00152C9B">
                  <w:pPr>
                    <w:pStyle w:val="TableBullet"/>
                    <w:spacing w:before="40"/>
                  </w:pPr>
                  <w:r>
                    <w:t>Research firms</w:t>
                  </w:r>
                </w:p>
                <w:p w14:paraId="3E3E5F3B" w14:textId="77777777" w:rsidR="009501B0" w:rsidRDefault="009501B0" w:rsidP="00152C9B">
                  <w:pPr>
                    <w:pStyle w:val="TableBullet"/>
                    <w:spacing w:before="40"/>
                  </w:pPr>
                  <w:r>
                    <w:t>Fund surveys; case studies</w:t>
                  </w:r>
                </w:p>
                <w:p w14:paraId="79D83458" w14:textId="77777777" w:rsidR="009501B0" w:rsidRDefault="009501B0" w:rsidP="00152C9B">
                  <w:pPr>
                    <w:pStyle w:val="TableBullet"/>
                    <w:spacing w:before="40"/>
                  </w:pPr>
                  <w:r>
                    <w:t>Reviews by others; research firms</w:t>
                  </w:r>
                </w:p>
                <w:p w14:paraId="765D12F8" w14:textId="77777777" w:rsidR="009501B0" w:rsidRDefault="009501B0" w:rsidP="00152C9B">
                  <w:pPr>
                    <w:pStyle w:val="TableBullet"/>
                  </w:pPr>
                  <w:r>
                    <w:t>Research firms</w:t>
                  </w:r>
                </w:p>
                <w:p w14:paraId="6BADAFCC" w14:textId="77777777" w:rsidR="009501B0" w:rsidRDefault="009501B0" w:rsidP="00152C9B">
                  <w:pPr>
                    <w:pStyle w:val="TableBullet"/>
                  </w:pPr>
                  <w:r>
                    <w:t>Regulator data</w:t>
                  </w:r>
                  <w:r>
                    <w:br/>
                  </w:r>
                </w:p>
                <w:p w14:paraId="013E211F" w14:textId="77777777" w:rsidR="009501B0" w:rsidRDefault="009501B0" w:rsidP="00152C9B">
                  <w:pPr>
                    <w:pStyle w:val="TableBullet"/>
                    <w:spacing w:before="40"/>
                  </w:pPr>
                  <w:r>
                    <w:t>Member surveys; fund surveys; research firms</w:t>
                  </w:r>
                </w:p>
              </w:tc>
            </w:tr>
          </w:tbl>
          <w:p w14:paraId="78779EAE" w14:textId="77777777" w:rsidR="009501B0" w:rsidRDefault="009501B0" w:rsidP="00152C9B">
            <w:pPr>
              <w:pStyle w:val="Box"/>
            </w:pPr>
          </w:p>
        </w:tc>
      </w:tr>
      <w:tr w:rsidR="009501B0" w14:paraId="6C087DB0" w14:textId="77777777" w:rsidTr="00687440">
        <w:trPr>
          <w:cantSplit/>
        </w:trPr>
        <w:tc>
          <w:tcPr>
            <w:tcW w:w="5000" w:type="pct"/>
            <w:tcBorders>
              <w:top w:val="nil"/>
              <w:left w:val="nil"/>
              <w:bottom w:val="nil"/>
              <w:right w:val="nil"/>
            </w:tcBorders>
            <w:shd w:val="clear" w:color="auto" w:fill="auto"/>
          </w:tcPr>
          <w:p w14:paraId="08E8F4EA" w14:textId="77777777" w:rsidR="009501B0" w:rsidRDefault="009501B0" w:rsidP="00152C9B">
            <w:pPr>
              <w:pStyle w:val="Continued"/>
            </w:pPr>
            <w:r>
              <w:t>(continued next page)</w:t>
            </w:r>
          </w:p>
        </w:tc>
      </w:tr>
      <w:tr w:rsidR="009501B0" w14:paraId="25ED315E" w14:textId="77777777" w:rsidTr="00687440">
        <w:trPr>
          <w:cantSplit/>
        </w:trPr>
        <w:tc>
          <w:tcPr>
            <w:tcW w:w="5000" w:type="pct"/>
            <w:tcBorders>
              <w:top w:val="nil"/>
              <w:left w:val="nil"/>
              <w:bottom w:val="single" w:sz="6" w:space="0" w:color="78A22F"/>
              <w:right w:val="nil"/>
            </w:tcBorders>
            <w:shd w:val="clear" w:color="auto" w:fill="auto"/>
          </w:tcPr>
          <w:p w14:paraId="1CCAAA1F" w14:textId="77777777" w:rsidR="009501B0" w:rsidRDefault="009501B0" w:rsidP="00152C9B">
            <w:pPr>
              <w:pStyle w:val="Box"/>
              <w:spacing w:before="0" w:line="120" w:lineRule="exact"/>
            </w:pPr>
          </w:p>
        </w:tc>
      </w:tr>
      <w:tr w:rsidR="009501B0" w:rsidRPr="000863A5" w14:paraId="64CFFF3F" w14:textId="77777777" w:rsidTr="00687440">
        <w:tc>
          <w:tcPr>
            <w:tcW w:w="5000" w:type="pct"/>
            <w:tcBorders>
              <w:top w:val="single" w:sz="6" w:space="0" w:color="78A22F"/>
              <w:left w:val="nil"/>
              <w:bottom w:val="nil"/>
              <w:right w:val="nil"/>
            </w:tcBorders>
          </w:tcPr>
          <w:p w14:paraId="178BAF47" w14:textId="77777777" w:rsidR="009501B0" w:rsidRPr="00626D32" w:rsidRDefault="009501B0" w:rsidP="00152C9B">
            <w:pPr>
              <w:pStyle w:val="BoxSpaceBelow"/>
            </w:pPr>
          </w:p>
        </w:tc>
      </w:tr>
    </w:tbl>
    <w:p w14:paraId="1A800688" w14:textId="77777777" w:rsidR="009501B0" w:rsidRDefault="009501B0" w:rsidP="009501B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721"/>
      </w:tblGrid>
      <w:tr w:rsidR="009501B0" w14:paraId="2B996FB9" w14:textId="77777777" w:rsidTr="00687440">
        <w:tc>
          <w:tcPr>
            <w:tcW w:w="5000" w:type="pct"/>
            <w:tcBorders>
              <w:top w:val="single" w:sz="6" w:space="0" w:color="78A22F"/>
              <w:left w:val="nil"/>
              <w:bottom w:val="nil"/>
              <w:right w:val="nil"/>
            </w:tcBorders>
            <w:shd w:val="clear" w:color="auto" w:fill="auto"/>
          </w:tcPr>
          <w:p w14:paraId="3C873F70" w14:textId="77777777" w:rsidR="009501B0" w:rsidRPr="00784A05" w:rsidRDefault="009501B0" w:rsidP="00152C9B">
            <w:pPr>
              <w:pStyle w:val="TableTitle"/>
            </w:pPr>
            <w:r>
              <w:t>Efficiency</w:t>
            </w:r>
            <w:r w:rsidRPr="00A57215">
              <w:rPr>
                <w:b w:val="0"/>
                <w:sz w:val="18"/>
                <w:szCs w:val="18"/>
              </w:rPr>
              <w:t xml:space="preserve"> (continued)</w:t>
            </w:r>
          </w:p>
        </w:tc>
      </w:tr>
      <w:tr w:rsidR="009501B0" w14:paraId="7BC3C9C2" w14:textId="77777777" w:rsidTr="00687440">
        <w:trPr>
          <w:cantSplit/>
        </w:trPr>
        <w:tc>
          <w:tcPr>
            <w:tcW w:w="5000" w:type="pct"/>
            <w:tcBorders>
              <w:top w:val="nil"/>
              <w:left w:val="nil"/>
              <w:bottom w:val="nil"/>
              <w:right w:val="nil"/>
            </w:tcBorders>
            <w:shd w:val="clear" w:color="auto" w:fill="auto"/>
          </w:tcPr>
          <w:tbl>
            <w:tblPr>
              <w:tblW w:w="13441" w:type="dxa"/>
              <w:tblCellMar>
                <w:top w:w="28" w:type="dxa"/>
                <w:left w:w="0" w:type="dxa"/>
                <w:right w:w="0" w:type="dxa"/>
              </w:tblCellMar>
              <w:tblLook w:val="0000" w:firstRow="0" w:lastRow="0" w:firstColumn="0" w:lastColumn="0" w:noHBand="0" w:noVBand="0"/>
            </w:tblPr>
            <w:tblGrid>
              <w:gridCol w:w="2411"/>
              <w:gridCol w:w="6237"/>
              <w:gridCol w:w="1841"/>
              <w:gridCol w:w="2952"/>
            </w:tblGrid>
            <w:tr w:rsidR="009501B0" w14:paraId="350FA936" w14:textId="77777777" w:rsidTr="00152C9B">
              <w:tc>
                <w:tcPr>
                  <w:tcW w:w="897" w:type="pct"/>
                  <w:tcBorders>
                    <w:top w:val="single" w:sz="6" w:space="0" w:color="BFBFBF"/>
                    <w:bottom w:val="single" w:sz="6" w:space="0" w:color="BFBFBF"/>
                  </w:tcBorders>
                  <w:shd w:val="clear" w:color="auto" w:fill="auto"/>
                  <w:tcMar>
                    <w:top w:w="28" w:type="dxa"/>
                  </w:tcMar>
                </w:tcPr>
                <w:p w14:paraId="385FE359" w14:textId="77777777" w:rsidR="009501B0" w:rsidRDefault="009501B0" w:rsidP="00152C9B">
                  <w:pPr>
                    <w:pStyle w:val="TableColumnHeading"/>
                    <w:jc w:val="left"/>
                  </w:pPr>
                  <w:r>
                    <w:t>Assessment criteria</w:t>
                  </w:r>
                </w:p>
              </w:tc>
              <w:tc>
                <w:tcPr>
                  <w:tcW w:w="2320" w:type="pct"/>
                  <w:tcBorders>
                    <w:top w:val="single" w:sz="6" w:space="0" w:color="BFBFBF"/>
                    <w:bottom w:val="single" w:sz="6" w:space="0" w:color="BFBFBF"/>
                  </w:tcBorders>
                  <w:shd w:val="clear" w:color="auto" w:fill="auto"/>
                  <w:tcMar>
                    <w:top w:w="28" w:type="dxa"/>
                  </w:tcMar>
                </w:tcPr>
                <w:p w14:paraId="51A1B0B0" w14:textId="77777777" w:rsidR="009501B0" w:rsidRDefault="009501B0" w:rsidP="00152C9B">
                  <w:pPr>
                    <w:pStyle w:val="TableColumnHeading"/>
                    <w:ind w:right="28"/>
                    <w:jc w:val="left"/>
                  </w:pPr>
                  <w:r>
                    <w:t>Indicators</w:t>
                  </w:r>
                </w:p>
              </w:tc>
              <w:tc>
                <w:tcPr>
                  <w:tcW w:w="685" w:type="pct"/>
                  <w:tcBorders>
                    <w:top w:val="single" w:sz="6" w:space="0" w:color="BFBFBF"/>
                    <w:bottom w:val="single" w:sz="6" w:space="0" w:color="BFBFBF"/>
                  </w:tcBorders>
                </w:tcPr>
                <w:p w14:paraId="4304243B" w14:textId="77777777" w:rsidR="009501B0" w:rsidRDefault="009501B0" w:rsidP="00152C9B">
                  <w:pPr>
                    <w:pStyle w:val="TableColumnHeading"/>
                    <w:ind w:right="28"/>
                    <w:jc w:val="left"/>
                  </w:pPr>
                  <w:r>
                    <w:t>Assessment methods</w:t>
                  </w:r>
                </w:p>
              </w:tc>
              <w:tc>
                <w:tcPr>
                  <w:tcW w:w="1098" w:type="pct"/>
                  <w:tcBorders>
                    <w:top w:val="single" w:sz="6" w:space="0" w:color="BFBFBF"/>
                    <w:bottom w:val="single" w:sz="6" w:space="0" w:color="BFBFBF"/>
                  </w:tcBorders>
                </w:tcPr>
                <w:p w14:paraId="10EED28A" w14:textId="77777777" w:rsidR="009501B0" w:rsidRDefault="009501B0" w:rsidP="00152C9B">
                  <w:pPr>
                    <w:pStyle w:val="TableColumnHeading"/>
                    <w:ind w:right="28"/>
                    <w:jc w:val="left"/>
                  </w:pPr>
                  <w:r>
                    <w:t>Expected data sources</w:t>
                  </w:r>
                </w:p>
              </w:tc>
            </w:tr>
            <w:tr w:rsidR="009501B0" w14:paraId="68ED23F8" w14:textId="77777777" w:rsidTr="00152C9B">
              <w:tc>
                <w:tcPr>
                  <w:tcW w:w="897" w:type="pct"/>
                  <w:tcBorders>
                    <w:top w:val="single" w:sz="6" w:space="0" w:color="BFBFBF"/>
                    <w:bottom w:val="single" w:sz="6" w:space="0" w:color="BFBFBF"/>
                  </w:tcBorders>
                  <w:shd w:val="clear" w:color="auto" w:fill="auto"/>
                </w:tcPr>
                <w:p w14:paraId="34DB557C" w14:textId="77777777" w:rsidR="009501B0" w:rsidRPr="0099519A" w:rsidRDefault="009501B0" w:rsidP="00152C9B">
                  <w:pPr>
                    <w:pStyle w:val="TableBodyText"/>
                    <w:spacing w:before="40"/>
                    <w:jc w:val="left"/>
                  </w:pPr>
                  <w:r>
                    <w:t xml:space="preserve">E12. </w:t>
                  </w:r>
                  <w:r w:rsidRPr="004971AA">
                    <w:t xml:space="preserve">Are the costs of insurance being minimised for </w:t>
                  </w:r>
                  <w:r>
                    <w:t>the</w:t>
                  </w:r>
                  <w:r w:rsidRPr="004971AA">
                    <w:t xml:space="preserve"> level and quality of cover?</w:t>
                  </w:r>
                </w:p>
              </w:tc>
              <w:tc>
                <w:tcPr>
                  <w:tcW w:w="2320" w:type="pct"/>
                  <w:tcBorders>
                    <w:top w:val="single" w:sz="6" w:space="0" w:color="BFBFBF"/>
                    <w:bottom w:val="single" w:sz="6" w:space="0" w:color="BFBFBF"/>
                  </w:tcBorders>
                  <w:shd w:val="clear" w:color="auto" w:fill="auto"/>
                </w:tcPr>
                <w:p w14:paraId="5D6B39DB" w14:textId="77777777" w:rsidR="009501B0" w:rsidRPr="008C11C9" w:rsidRDefault="009501B0" w:rsidP="00152C9B">
                  <w:pPr>
                    <w:pStyle w:val="TableBullet"/>
                    <w:spacing w:before="40"/>
                  </w:pPr>
                  <w:r w:rsidRPr="004971AA">
                    <w:t xml:space="preserve">Insurance premiums inside compared to outside superannuation for like policies </w:t>
                  </w:r>
                  <w:r>
                    <w:t>(output)</w:t>
                  </w:r>
                </w:p>
                <w:p w14:paraId="75976F28" w14:textId="77777777" w:rsidR="009501B0" w:rsidRPr="008C11C9" w:rsidRDefault="009501B0" w:rsidP="00152C9B">
                  <w:pPr>
                    <w:pStyle w:val="TableBullet"/>
                    <w:spacing w:before="40"/>
                  </w:pPr>
                  <w:r w:rsidRPr="008C11C9">
                    <w:t>Insurance expenses (incurred by funds) (input)</w:t>
                  </w:r>
                </w:p>
                <w:p w14:paraId="4D904140" w14:textId="77777777" w:rsidR="009501B0" w:rsidRPr="008C11C9" w:rsidRDefault="009501B0" w:rsidP="00152C9B">
                  <w:pPr>
                    <w:pStyle w:val="TableBullet"/>
                    <w:spacing w:before="40"/>
                  </w:pPr>
                  <w:r w:rsidRPr="00A80535">
                    <w:t xml:space="preserve">Insurance premiums paid by members as a percentage of Superannuation Guarantee contributions made by insured members </w:t>
                  </w:r>
                  <w:r w:rsidRPr="008C11C9">
                    <w:t>(output)</w:t>
                  </w:r>
                </w:p>
                <w:p w14:paraId="3224077F" w14:textId="77777777" w:rsidR="009501B0" w:rsidRPr="008C11C9" w:rsidRDefault="009501B0" w:rsidP="00152C9B">
                  <w:pPr>
                    <w:pStyle w:val="TableBullet"/>
                    <w:spacing w:before="40"/>
                  </w:pPr>
                  <w:r w:rsidRPr="008C11C9">
                    <w:t>Ratio of claims to premium revenue</w:t>
                  </w:r>
                  <w:r>
                    <w:t xml:space="preserve"> </w:t>
                  </w:r>
                  <w:r w:rsidRPr="008C11C9">
                    <w:t xml:space="preserve">(loss ratio) within superannuation over </w:t>
                  </w:r>
                  <w:r w:rsidRPr="008C11C9" w:rsidDel="00DF170A">
                    <w:t>5</w:t>
                  </w:r>
                  <w:r w:rsidRPr="008C11C9">
                    <w:t> and 10 year period</w:t>
                  </w:r>
                  <w:r>
                    <w:t>s</w:t>
                  </w:r>
                  <w:r w:rsidRPr="008C11C9">
                    <w:t xml:space="preserve"> (output)</w:t>
                  </w:r>
                </w:p>
                <w:p w14:paraId="2B406569" w14:textId="77777777" w:rsidR="009501B0" w:rsidRDefault="009501B0" w:rsidP="00152C9B">
                  <w:pPr>
                    <w:pStyle w:val="TableBullet"/>
                    <w:spacing w:before="40"/>
                  </w:pPr>
                  <w:r w:rsidRPr="008C11C9">
                    <w:t>Fee and premium differences from outsourcing insurance services to related versus unrelated parties (output)</w:t>
                  </w:r>
                </w:p>
                <w:p w14:paraId="607F318D" w14:textId="77777777" w:rsidR="009501B0" w:rsidRDefault="009501B0" w:rsidP="00152C9B">
                  <w:pPr>
                    <w:pStyle w:val="TableBullet"/>
                    <w:spacing w:before="40"/>
                  </w:pPr>
                  <w:r w:rsidRPr="00084F87">
                    <w:t>Proportion of APRA</w:t>
                  </w:r>
                  <w:r>
                    <w:noBreakHyphen/>
                  </w:r>
                  <w:r w:rsidRPr="00084F87">
                    <w:t>regulated</w:t>
                  </w:r>
                  <w:r>
                    <w:t xml:space="preserve"> institutional</w:t>
                  </w:r>
                  <w:r w:rsidRPr="00084F87">
                    <w:t xml:space="preserve"> funds switching their insurance provider</w:t>
                  </w:r>
                  <w:r>
                    <w:t xml:space="preserve"> </w:t>
                  </w:r>
                  <w:r w:rsidRPr="00084F87">
                    <w:t>(input)</w:t>
                  </w:r>
                </w:p>
                <w:p w14:paraId="0A9CE836" w14:textId="77777777" w:rsidR="009501B0" w:rsidRPr="008C11C9" w:rsidRDefault="009501B0" w:rsidP="00152C9B">
                  <w:pPr>
                    <w:pStyle w:val="TableBullet"/>
                    <w:spacing w:before="40"/>
                  </w:pPr>
                  <w:r w:rsidRPr="00A22130">
                    <w:t xml:space="preserve">Trailing adviser commissions embedded </w:t>
                  </w:r>
                  <w:r>
                    <w:t>in choice products and insurance</w:t>
                  </w:r>
                  <w:r w:rsidRPr="00B15864">
                    <w:rPr>
                      <w:vertAlign w:val="superscript"/>
                    </w:rPr>
                    <w:t>#</w:t>
                  </w:r>
                  <w:r w:rsidRPr="00A22130">
                    <w:t xml:space="preserve"> (output)</w:t>
                  </w:r>
                </w:p>
              </w:tc>
              <w:tc>
                <w:tcPr>
                  <w:tcW w:w="685" w:type="pct"/>
                  <w:tcBorders>
                    <w:top w:val="single" w:sz="6" w:space="0" w:color="BFBFBF"/>
                    <w:bottom w:val="single" w:sz="6" w:space="0" w:color="BFBFBF"/>
                  </w:tcBorders>
                  <w:shd w:val="clear" w:color="auto" w:fill="auto"/>
                </w:tcPr>
                <w:p w14:paraId="40850801" w14:textId="77777777" w:rsidR="009501B0" w:rsidRDefault="009501B0" w:rsidP="00152C9B">
                  <w:pPr>
                    <w:pStyle w:val="TableBullet"/>
                    <w:spacing w:before="40"/>
                  </w:pPr>
                  <w:r>
                    <w:t>Trend analysis</w:t>
                  </w:r>
                  <w:r>
                    <w:br/>
                  </w:r>
                </w:p>
                <w:p w14:paraId="4A90E488" w14:textId="77777777" w:rsidR="009501B0" w:rsidRDefault="009501B0" w:rsidP="00152C9B">
                  <w:pPr>
                    <w:pStyle w:val="TableBullet"/>
                    <w:spacing w:before="40"/>
                  </w:pPr>
                  <w:r>
                    <w:t>Trend analysis</w:t>
                  </w:r>
                </w:p>
                <w:p w14:paraId="339C0AE7" w14:textId="77777777" w:rsidR="009501B0" w:rsidRDefault="009501B0" w:rsidP="00152C9B">
                  <w:pPr>
                    <w:pStyle w:val="TableBullet"/>
                    <w:spacing w:before="40"/>
                  </w:pPr>
                  <w:r>
                    <w:t>Trend analysis</w:t>
                  </w:r>
                  <w:r>
                    <w:br/>
                  </w:r>
                </w:p>
                <w:p w14:paraId="045AFD10" w14:textId="77777777" w:rsidR="009501B0" w:rsidRDefault="009501B0" w:rsidP="00152C9B">
                  <w:pPr>
                    <w:pStyle w:val="TableBullet"/>
                    <w:spacing w:before="40"/>
                  </w:pPr>
                  <w:r>
                    <w:t>Trend analysis</w:t>
                  </w:r>
                  <w:r>
                    <w:br/>
                  </w:r>
                </w:p>
                <w:p w14:paraId="31AB0AAE" w14:textId="77777777" w:rsidR="009501B0" w:rsidRDefault="009501B0" w:rsidP="00152C9B">
                  <w:pPr>
                    <w:pStyle w:val="TableBullet"/>
                    <w:spacing w:before="40"/>
                  </w:pPr>
                  <w:r>
                    <w:t>Trend analysis</w:t>
                  </w:r>
                  <w:r>
                    <w:br/>
                  </w:r>
                </w:p>
                <w:p w14:paraId="09C59413" w14:textId="77777777" w:rsidR="009501B0" w:rsidRDefault="009501B0" w:rsidP="00152C9B">
                  <w:pPr>
                    <w:pStyle w:val="TableBullet"/>
                    <w:spacing w:before="40"/>
                  </w:pPr>
                  <w:r>
                    <w:t>Trend analysis</w:t>
                  </w:r>
                  <w:r>
                    <w:br/>
                  </w:r>
                </w:p>
                <w:p w14:paraId="7BCE4EBA" w14:textId="77777777" w:rsidR="009501B0" w:rsidRPr="00194560" w:rsidRDefault="009501B0" w:rsidP="00152C9B">
                  <w:pPr>
                    <w:pStyle w:val="TableBullet"/>
                    <w:spacing w:before="40"/>
                  </w:pPr>
                  <w:r>
                    <w:t>Trend analysis</w:t>
                  </w:r>
                </w:p>
              </w:tc>
              <w:tc>
                <w:tcPr>
                  <w:tcW w:w="1098" w:type="pct"/>
                  <w:tcBorders>
                    <w:top w:val="single" w:sz="6" w:space="0" w:color="BFBFBF"/>
                    <w:bottom w:val="single" w:sz="6" w:space="0" w:color="BFBFBF"/>
                  </w:tcBorders>
                  <w:shd w:val="clear" w:color="auto" w:fill="auto"/>
                </w:tcPr>
                <w:p w14:paraId="34AF2DC2" w14:textId="77777777" w:rsidR="009501B0" w:rsidRDefault="009501B0" w:rsidP="00152C9B">
                  <w:pPr>
                    <w:pStyle w:val="TableBullet"/>
                    <w:spacing w:before="40"/>
                  </w:pPr>
                  <w:r>
                    <w:t>Insurer disclosures; research firms</w:t>
                  </w:r>
                </w:p>
                <w:p w14:paraId="3F7B2C71" w14:textId="77777777" w:rsidR="009501B0" w:rsidRDefault="009501B0" w:rsidP="00152C9B">
                  <w:pPr>
                    <w:pStyle w:val="TableBullet"/>
                    <w:spacing w:before="40"/>
                  </w:pPr>
                  <w:r>
                    <w:t>Regulator data; fund surveys</w:t>
                  </w:r>
                </w:p>
                <w:p w14:paraId="7364B108" w14:textId="77777777" w:rsidR="009501B0" w:rsidRDefault="009501B0" w:rsidP="00152C9B">
                  <w:pPr>
                    <w:pStyle w:val="TableBullet"/>
                    <w:spacing w:before="40"/>
                  </w:pPr>
                  <w:r>
                    <w:t xml:space="preserve">Regulator data </w:t>
                  </w:r>
                  <w:r>
                    <w:br/>
                  </w:r>
                </w:p>
                <w:p w14:paraId="78E872C5" w14:textId="77777777" w:rsidR="009501B0" w:rsidRDefault="009501B0" w:rsidP="00152C9B">
                  <w:pPr>
                    <w:pStyle w:val="TableBullet"/>
                    <w:spacing w:before="40"/>
                  </w:pPr>
                  <w:r>
                    <w:t>Regulator data</w:t>
                  </w:r>
                  <w:r>
                    <w:br/>
                  </w:r>
                </w:p>
                <w:p w14:paraId="0887DAF1" w14:textId="77777777" w:rsidR="009501B0" w:rsidRDefault="009501B0" w:rsidP="00152C9B">
                  <w:pPr>
                    <w:pStyle w:val="TableBullet"/>
                    <w:spacing w:before="40"/>
                  </w:pPr>
                  <w:r>
                    <w:t>Fund surveys; regulator data; fund disclosures</w:t>
                  </w:r>
                </w:p>
                <w:p w14:paraId="5EE70E44" w14:textId="77777777" w:rsidR="009501B0" w:rsidRDefault="009501B0" w:rsidP="00152C9B">
                  <w:pPr>
                    <w:pStyle w:val="TableBullet"/>
                    <w:spacing w:before="40"/>
                  </w:pPr>
                  <w:r>
                    <w:t>Fund disclosures</w:t>
                  </w:r>
                  <w:r>
                    <w:br/>
                  </w:r>
                </w:p>
                <w:p w14:paraId="611B21D0" w14:textId="77777777" w:rsidR="009501B0" w:rsidRDefault="009501B0" w:rsidP="00152C9B">
                  <w:pPr>
                    <w:pStyle w:val="TableBullet"/>
                    <w:spacing w:before="40"/>
                  </w:pPr>
                  <w:r>
                    <w:t>Fund surveys</w:t>
                  </w:r>
                </w:p>
              </w:tc>
            </w:tr>
          </w:tbl>
          <w:p w14:paraId="6C89C126" w14:textId="77777777" w:rsidR="009501B0" w:rsidRDefault="009501B0" w:rsidP="00152C9B">
            <w:pPr>
              <w:pStyle w:val="Box"/>
            </w:pPr>
          </w:p>
        </w:tc>
      </w:tr>
      <w:tr w:rsidR="009501B0" w14:paraId="67A67B0B" w14:textId="77777777" w:rsidTr="00687440">
        <w:trPr>
          <w:cantSplit/>
        </w:trPr>
        <w:tc>
          <w:tcPr>
            <w:tcW w:w="5000" w:type="pct"/>
            <w:tcBorders>
              <w:top w:val="nil"/>
              <w:left w:val="nil"/>
              <w:bottom w:val="nil"/>
              <w:right w:val="nil"/>
            </w:tcBorders>
            <w:shd w:val="clear" w:color="auto" w:fill="auto"/>
          </w:tcPr>
          <w:p w14:paraId="21201A87" w14:textId="77777777" w:rsidR="009501B0" w:rsidRDefault="009501B0" w:rsidP="00152C9B">
            <w:pPr>
              <w:pStyle w:val="Note"/>
              <w:rPr>
                <w:i/>
              </w:rPr>
            </w:pPr>
            <w:r w:rsidRPr="004A6FA6">
              <w:rPr>
                <w:rStyle w:val="NoteLabel"/>
                <w:vertAlign w:val="superscript"/>
              </w:rPr>
              <w:t>#</w:t>
            </w:r>
            <w:r w:rsidRPr="00F45123">
              <w:t xml:space="preserve"> Repeated indicator within </w:t>
            </w:r>
            <w:r>
              <w:t>efficiency.</w:t>
            </w:r>
            <w:r w:rsidRPr="00F45123">
              <w:t xml:space="preserve"> </w:t>
            </w:r>
            <w:r>
              <w:rPr>
                <w:rStyle w:val="NoteLabel"/>
              </w:rPr>
              <w:t>*</w:t>
            </w:r>
            <w:r>
              <w:t xml:space="preserve"> Indicator is common to both competition and efficiency.</w:t>
            </w:r>
          </w:p>
        </w:tc>
      </w:tr>
      <w:tr w:rsidR="009501B0" w14:paraId="2651F399" w14:textId="77777777" w:rsidTr="00687440">
        <w:trPr>
          <w:cantSplit/>
        </w:trPr>
        <w:tc>
          <w:tcPr>
            <w:tcW w:w="5000" w:type="pct"/>
            <w:tcBorders>
              <w:top w:val="nil"/>
              <w:left w:val="nil"/>
              <w:bottom w:val="single" w:sz="6" w:space="0" w:color="78A22F"/>
              <w:right w:val="nil"/>
            </w:tcBorders>
            <w:shd w:val="clear" w:color="auto" w:fill="auto"/>
          </w:tcPr>
          <w:p w14:paraId="78CB3234" w14:textId="77777777" w:rsidR="009501B0" w:rsidRDefault="009501B0" w:rsidP="00152C9B">
            <w:pPr>
              <w:pStyle w:val="Box"/>
              <w:spacing w:before="0" w:line="120" w:lineRule="exact"/>
            </w:pPr>
          </w:p>
        </w:tc>
      </w:tr>
      <w:tr w:rsidR="009501B0" w:rsidRPr="000863A5" w14:paraId="258B4EC7" w14:textId="77777777" w:rsidTr="00687440">
        <w:tc>
          <w:tcPr>
            <w:tcW w:w="5000" w:type="pct"/>
            <w:tcBorders>
              <w:top w:val="single" w:sz="6" w:space="0" w:color="78A22F"/>
              <w:left w:val="nil"/>
              <w:bottom w:val="nil"/>
              <w:right w:val="nil"/>
            </w:tcBorders>
          </w:tcPr>
          <w:p w14:paraId="30FAEE0E" w14:textId="77777777" w:rsidR="009501B0" w:rsidRPr="00626D32" w:rsidRDefault="009501B0" w:rsidP="00152C9B">
            <w:pPr>
              <w:pStyle w:val="BoxSpaceBelow"/>
            </w:pPr>
          </w:p>
        </w:tc>
      </w:tr>
    </w:tbl>
    <w:p w14:paraId="6C59EAE7" w14:textId="77777777" w:rsidR="009501B0" w:rsidRDefault="009501B0" w:rsidP="009501B0">
      <w:pPr>
        <w:pStyle w:val="BodyText"/>
        <w:sectPr w:rsidR="009501B0" w:rsidSect="00DB6E0B">
          <w:headerReference w:type="even" r:id="rId39"/>
          <w:headerReference w:type="default" r:id="rId40"/>
          <w:footerReference w:type="even" r:id="rId41"/>
          <w:footerReference w:type="default" r:id="rId42"/>
          <w:type w:val="oddPage"/>
          <w:pgSz w:w="16840" w:h="11907" w:orient="landscape" w:code="9"/>
          <w:pgMar w:top="1814" w:right="1985" w:bottom="1304" w:left="1418" w:header="1701" w:footer="567" w:gutter="0"/>
          <w:pgNumType w:chapSep="period"/>
          <w:cols w:space="720"/>
          <w:docGrid w:linePitch="326"/>
        </w:sectPr>
      </w:pPr>
    </w:p>
    <w:p w14:paraId="16F75A5E" w14:textId="3CE2AA16" w:rsidR="0085728F" w:rsidRDefault="004C7E4B">
      <w:pPr>
        <w:pStyle w:val="Heading2"/>
        <w:spacing w:before="240"/>
      </w:pPr>
      <w:bookmarkStart w:id="18" w:name="_Toc487031381"/>
      <w:bookmarkStart w:id="19" w:name="_Toc487035881"/>
      <w:r>
        <w:lastRenderedPageBreak/>
        <w:t>A</w:t>
      </w:r>
      <w:r w:rsidR="00384CC9">
        <w:t>ttachment</w:t>
      </w:r>
      <w:r w:rsidR="00391500">
        <w:t xml:space="preserve"> </w:t>
      </w:r>
      <w:r w:rsidR="00F21F3E">
        <w:t>C</w:t>
      </w:r>
      <w:r w:rsidR="00862E51">
        <w:t xml:space="preserve">: </w:t>
      </w:r>
      <w:r w:rsidR="007168C6">
        <w:t>Standalone stage 2</w:t>
      </w:r>
      <w:r w:rsidR="001F240D">
        <w:t xml:space="preserve"> reforms and a c</w:t>
      </w:r>
      <w:r w:rsidR="00E07BFC">
        <w:t xml:space="preserve">ommon feature of alternative default models </w:t>
      </w:r>
      <w:r w:rsidR="00FC3FE9">
        <w:t>for</w:t>
      </w:r>
      <w:r w:rsidR="00E07BFC">
        <w:t xml:space="preserve"> further consideration</w:t>
      </w:r>
      <w:bookmarkEnd w:id="18"/>
      <w:bookmarkEnd w:id="19"/>
    </w:p>
    <w:p w14:paraId="3191745E" w14:textId="55FA9801" w:rsidR="004B3843" w:rsidRDefault="004B3843" w:rsidP="004B3843">
      <w:pPr>
        <w:pStyle w:val="BoxSpaceAbove"/>
      </w:pPr>
      <w:bookmarkStart w:id="20" w:name="_Toc487031382"/>
      <w:bookmarkStart w:id="21" w:name="_Toc487035882"/>
    </w:p>
    <w:tbl>
      <w:tblPr>
        <w:tblW w:w="4843" w:type="pct"/>
        <w:tblInd w:w="142"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8"/>
      </w:tblGrid>
      <w:tr w:rsidR="004B3843" w14:paraId="4B5F38D3" w14:textId="77777777" w:rsidTr="00B70CFE">
        <w:tc>
          <w:tcPr>
            <w:tcW w:w="5000" w:type="pct"/>
            <w:tcBorders>
              <w:top w:val="single" w:sz="6" w:space="0" w:color="78A22F"/>
              <w:left w:val="nil"/>
              <w:bottom w:val="nil"/>
              <w:right w:val="nil"/>
            </w:tcBorders>
            <w:shd w:val="clear" w:color="auto" w:fill="auto"/>
          </w:tcPr>
          <w:p w14:paraId="342A071A" w14:textId="77777777" w:rsidR="004B3843" w:rsidRPr="00784A05" w:rsidRDefault="004B3843" w:rsidP="00FD73D5">
            <w:pPr>
              <w:pStyle w:val="TableTitle"/>
            </w:pPr>
            <w:r>
              <w:rPr>
                <w:b w:val="0"/>
              </w:rPr>
              <w:t>Table 4</w:t>
            </w:r>
            <w:r>
              <w:tab/>
              <w:t>Comments by participants on selected features in stage 2</w:t>
            </w:r>
          </w:p>
        </w:tc>
      </w:tr>
      <w:tr w:rsidR="004B3843" w14:paraId="21C1B172" w14:textId="77777777" w:rsidTr="00B70CFE">
        <w:tc>
          <w:tcPr>
            <w:tcW w:w="5000" w:type="pct"/>
            <w:tcBorders>
              <w:top w:val="nil"/>
              <w:left w:val="nil"/>
              <w:bottom w:val="nil"/>
              <w:right w:val="nil"/>
            </w:tcBorders>
            <w:shd w:val="clear" w:color="auto" w:fill="auto"/>
          </w:tcPr>
          <w:tbl>
            <w:tblPr>
              <w:tblW w:w="8505" w:type="dxa"/>
              <w:tblLayout w:type="fixed"/>
              <w:tblCellMar>
                <w:top w:w="28" w:type="dxa"/>
                <w:left w:w="0" w:type="dxa"/>
                <w:right w:w="0" w:type="dxa"/>
              </w:tblCellMar>
              <w:tblLook w:val="0000" w:firstRow="0" w:lastRow="0" w:firstColumn="0" w:lastColumn="0" w:noHBand="0" w:noVBand="0"/>
            </w:tblPr>
            <w:tblGrid>
              <w:gridCol w:w="1842"/>
              <w:gridCol w:w="6663"/>
            </w:tblGrid>
            <w:tr w:rsidR="007168C6" w14:paraId="3D3F4E52" w14:textId="77777777" w:rsidTr="00731938">
              <w:trPr>
                <w:tblHeader/>
              </w:trPr>
              <w:tc>
                <w:tcPr>
                  <w:tcW w:w="1083" w:type="pct"/>
                  <w:tcBorders>
                    <w:top w:val="single" w:sz="6" w:space="0" w:color="BFBFBF"/>
                    <w:bottom w:val="single" w:sz="6" w:space="0" w:color="BFBFBF"/>
                  </w:tcBorders>
                  <w:shd w:val="clear" w:color="auto" w:fill="auto"/>
                  <w:tcMar>
                    <w:top w:w="28" w:type="dxa"/>
                  </w:tcMar>
                </w:tcPr>
                <w:p w14:paraId="1F13E254" w14:textId="77777777" w:rsidR="007168C6" w:rsidRDefault="007168C6" w:rsidP="00FD73D5">
                  <w:pPr>
                    <w:pStyle w:val="TableColumnHeading"/>
                    <w:jc w:val="left"/>
                  </w:pPr>
                  <w:r>
                    <w:t>Feature proposed</w:t>
                  </w:r>
                </w:p>
              </w:tc>
              <w:tc>
                <w:tcPr>
                  <w:tcW w:w="3917" w:type="pct"/>
                  <w:tcBorders>
                    <w:top w:val="single" w:sz="6" w:space="0" w:color="BFBFBF"/>
                    <w:bottom w:val="single" w:sz="6" w:space="0" w:color="BFBFBF"/>
                  </w:tcBorders>
                </w:tcPr>
                <w:p w14:paraId="58DE64AA" w14:textId="77777777" w:rsidR="007168C6" w:rsidRPr="00F92A2C" w:rsidRDefault="007168C6" w:rsidP="00FD73D5">
                  <w:pPr>
                    <w:pStyle w:val="TableColumnHeading"/>
                    <w:jc w:val="left"/>
                    <w:rPr>
                      <w:rStyle w:val="NoteLabel"/>
                    </w:rPr>
                  </w:pPr>
                  <w:r>
                    <w:t>Comments by participants</w:t>
                  </w:r>
                  <w:r>
                    <w:rPr>
                      <w:rStyle w:val="NoteLabel"/>
                    </w:rPr>
                    <w:t>a</w:t>
                  </w:r>
                </w:p>
              </w:tc>
            </w:tr>
            <w:tr w:rsidR="007168C6" w14:paraId="40FB297A" w14:textId="77777777" w:rsidTr="00731938">
              <w:tc>
                <w:tcPr>
                  <w:tcW w:w="1083" w:type="pct"/>
                  <w:tcBorders>
                    <w:top w:val="single" w:sz="6" w:space="0" w:color="BFBFBF"/>
                    <w:bottom w:val="single" w:sz="6" w:space="0" w:color="BFBFBF" w:themeColor="background2"/>
                  </w:tcBorders>
                </w:tcPr>
                <w:p w14:paraId="40AC7163" w14:textId="77777777" w:rsidR="007168C6" w:rsidRDefault="007168C6" w:rsidP="00437F99">
                  <w:pPr>
                    <w:pStyle w:val="Box"/>
                    <w:spacing w:before="0"/>
                    <w:jc w:val="left"/>
                  </w:pPr>
                  <w:r>
                    <w:t>First timer default mechanism</w:t>
                  </w:r>
                </w:p>
              </w:tc>
              <w:tc>
                <w:tcPr>
                  <w:tcW w:w="3917" w:type="pct"/>
                  <w:tcBorders>
                    <w:top w:val="single" w:sz="6" w:space="0" w:color="BFBFBF"/>
                    <w:bottom w:val="single" w:sz="6" w:space="0" w:color="BFBFBF" w:themeColor="background2"/>
                  </w:tcBorders>
                </w:tcPr>
                <w:p w14:paraId="3286B563" w14:textId="77777777" w:rsidR="007168C6" w:rsidRPr="00DB6440" w:rsidRDefault="007168C6" w:rsidP="00437F99">
                  <w:pPr>
                    <w:pStyle w:val="TableBullet"/>
                    <w:numPr>
                      <w:ilvl w:val="0"/>
                      <w:numId w:val="0"/>
                    </w:numPr>
                  </w:pPr>
                  <w:r>
                    <w:rPr>
                      <w:color w:val="597923" w:themeColor="accent1" w:themeShade="BF"/>
                    </w:rPr>
                    <w:sym w:font="Wingdings" w:char="F0DD"/>
                  </w:r>
                  <w:r>
                    <w:rPr>
                      <w:color w:val="597923" w:themeColor="accent1" w:themeShade="BF"/>
                    </w:rPr>
                    <w:t xml:space="preserve"> </w:t>
                  </w:r>
                  <w:r w:rsidRPr="00F92A2C">
                    <w:rPr>
                      <w:color w:val="597923" w:themeColor="accent1" w:themeShade="BF"/>
                    </w:rPr>
                    <w:t>Lifetime default would address account proliferation</w:t>
                  </w:r>
                </w:p>
                <w:p w14:paraId="74E9694F" w14:textId="77777777" w:rsidR="007168C6" w:rsidRPr="00F92A2C" w:rsidRDefault="007168C6" w:rsidP="00437F99">
                  <w:pPr>
                    <w:pStyle w:val="TableBullet"/>
                    <w:numPr>
                      <w:ilvl w:val="0"/>
                      <w:numId w:val="0"/>
                    </w:numPr>
                    <w:spacing w:before="120"/>
                    <w:rPr>
                      <w:color w:val="C00000"/>
                    </w:rPr>
                  </w:pPr>
                  <w:r w:rsidRPr="007C37B8">
                    <w:rPr>
                      <w:color w:val="C00000" w:themeColor="accent6"/>
                    </w:rPr>
                    <w:sym w:font="Wingdings" w:char="F0DE"/>
                  </w:r>
                  <w:r>
                    <w:rPr>
                      <w:color w:val="C00000" w:themeColor="accent6"/>
                    </w:rPr>
                    <w:t xml:space="preserve"> </w:t>
                  </w:r>
                  <w:r w:rsidRPr="00F92A2C">
                    <w:rPr>
                      <w:color w:val="C00000"/>
                    </w:rPr>
                    <w:t>A new job entrant’s initial default product may not always best suit their long term-needs</w:t>
                  </w:r>
                </w:p>
                <w:p w14:paraId="3979ED71" w14:textId="77777777" w:rsidR="007168C6" w:rsidRPr="00F92A2C" w:rsidRDefault="007168C6" w:rsidP="00437F99">
                  <w:pPr>
                    <w:pStyle w:val="TableBullet"/>
                    <w:numPr>
                      <w:ilvl w:val="0"/>
                      <w:numId w:val="0"/>
                    </w:numPr>
                    <w:spacing w:before="20"/>
                    <w:rPr>
                      <w:color w:val="C00000"/>
                    </w:rPr>
                  </w:pPr>
                  <w:r w:rsidRPr="007C37B8">
                    <w:rPr>
                      <w:color w:val="C00000" w:themeColor="accent6"/>
                    </w:rPr>
                    <w:sym w:font="Wingdings" w:char="F0DE"/>
                  </w:r>
                  <w:r>
                    <w:rPr>
                      <w:color w:val="C00000" w:themeColor="accent6"/>
                    </w:rPr>
                    <w:t xml:space="preserve"> </w:t>
                  </w:r>
                  <w:r w:rsidRPr="00F92A2C">
                    <w:rPr>
                      <w:color w:val="C00000"/>
                    </w:rPr>
                    <w:t xml:space="preserve">It could entrench member disengagement and lead to them being left stuck in inferior products </w:t>
                  </w:r>
                </w:p>
                <w:p w14:paraId="1596D7B4" w14:textId="77777777" w:rsidR="007168C6" w:rsidRPr="00F92A2C" w:rsidRDefault="007168C6" w:rsidP="00437F99">
                  <w:pPr>
                    <w:pStyle w:val="TableBullet"/>
                    <w:numPr>
                      <w:ilvl w:val="0"/>
                      <w:numId w:val="0"/>
                    </w:numPr>
                    <w:spacing w:before="20"/>
                    <w:rPr>
                      <w:color w:val="C00000"/>
                    </w:rPr>
                  </w:pPr>
                  <w:r w:rsidRPr="007C37B8">
                    <w:rPr>
                      <w:color w:val="C00000" w:themeColor="accent6"/>
                    </w:rPr>
                    <w:sym w:font="Wingdings" w:char="F0DE"/>
                  </w:r>
                  <w:r>
                    <w:rPr>
                      <w:color w:val="C00000" w:themeColor="accent6"/>
                    </w:rPr>
                    <w:t xml:space="preserve"> </w:t>
                  </w:r>
                  <w:r>
                    <w:rPr>
                      <w:color w:val="C00000"/>
                    </w:rPr>
                    <w:t>A sole focus on first timers</w:t>
                  </w:r>
                  <w:r w:rsidRPr="00F92A2C">
                    <w:rPr>
                      <w:color w:val="C00000"/>
                    </w:rPr>
                    <w:t xml:space="preserve"> would unnecessarily slow the benefits stemming from reform</w:t>
                  </w:r>
                  <w:r>
                    <w:rPr>
                      <w:color w:val="C00000"/>
                    </w:rPr>
                    <w:t xml:space="preserve"> of default arrangements</w:t>
                  </w:r>
                </w:p>
                <w:p w14:paraId="56DDCB16" w14:textId="77777777" w:rsidR="007168C6" w:rsidRPr="007C37B8" w:rsidRDefault="007168C6" w:rsidP="00437F99">
                  <w:pPr>
                    <w:pStyle w:val="TableBullet"/>
                    <w:numPr>
                      <w:ilvl w:val="0"/>
                      <w:numId w:val="0"/>
                    </w:numPr>
                    <w:rPr>
                      <w:color w:val="265A9A" w:themeColor="accent2"/>
                    </w:rPr>
                  </w:pPr>
                  <w:r w:rsidRPr="007C37B8">
                    <w:rPr>
                      <w:color w:val="265A9A" w:themeColor="accent2"/>
                    </w:rPr>
                    <w:sym w:font="Wingdings" w:char="F0DC"/>
                  </w:r>
                  <w:r>
                    <w:rPr>
                      <w:color w:val="265A9A" w:themeColor="accent2"/>
                    </w:rPr>
                    <w:t xml:space="preserve"> </w:t>
                  </w:r>
                  <w:r w:rsidRPr="00F92A2C">
                    <w:rPr>
                      <w:color w:val="265A9A" w:themeColor="accent2"/>
                    </w:rPr>
                    <w:t>Members should be regularly prompted to reassess their current product</w:t>
                  </w:r>
                </w:p>
              </w:tc>
            </w:tr>
            <w:tr w:rsidR="007168C6" w14:paraId="068E77F9" w14:textId="77777777" w:rsidTr="00731938">
              <w:tc>
                <w:tcPr>
                  <w:tcW w:w="1083" w:type="pct"/>
                  <w:tcBorders>
                    <w:top w:val="single" w:sz="6" w:space="0" w:color="BFBFBF" w:themeColor="background2"/>
                    <w:bottom w:val="single" w:sz="6" w:space="0" w:color="BFBFBF" w:themeColor="background2"/>
                  </w:tcBorders>
                </w:tcPr>
                <w:p w14:paraId="7E730BA7" w14:textId="77777777" w:rsidR="007168C6" w:rsidRDefault="007168C6" w:rsidP="00437F99">
                  <w:pPr>
                    <w:pStyle w:val="Box"/>
                    <w:spacing w:before="0"/>
                    <w:jc w:val="left"/>
                  </w:pPr>
                  <w:r>
                    <w:t>ATO Centralised Clearing House</w:t>
                  </w:r>
                </w:p>
              </w:tc>
              <w:tc>
                <w:tcPr>
                  <w:tcW w:w="3917" w:type="pct"/>
                  <w:tcBorders>
                    <w:top w:val="single" w:sz="6" w:space="0" w:color="BFBFBF" w:themeColor="background2"/>
                    <w:bottom w:val="single" w:sz="6" w:space="0" w:color="BFBFBF" w:themeColor="background2"/>
                  </w:tcBorders>
                </w:tcPr>
                <w:p w14:paraId="1E92F9CF" w14:textId="77777777" w:rsidR="007168C6" w:rsidRPr="00F92A2C" w:rsidRDefault="007168C6" w:rsidP="00437F99">
                  <w:pPr>
                    <w:pStyle w:val="TableBullet"/>
                    <w:numPr>
                      <w:ilvl w:val="0"/>
                      <w:numId w:val="0"/>
                    </w:numPr>
                    <w:rPr>
                      <w:color w:val="597923" w:themeColor="accent1" w:themeShade="BF"/>
                    </w:rPr>
                  </w:pPr>
                  <w:r>
                    <w:rPr>
                      <w:color w:val="597923" w:themeColor="accent1" w:themeShade="BF"/>
                    </w:rPr>
                    <w:sym w:font="Wingdings" w:char="F0DD"/>
                  </w:r>
                  <w:r>
                    <w:rPr>
                      <w:color w:val="597923" w:themeColor="accent1" w:themeShade="BF"/>
                    </w:rPr>
                    <w:t xml:space="preserve"> </w:t>
                  </w:r>
                  <w:r w:rsidRPr="00F92A2C">
                    <w:rPr>
                      <w:color w:val="597923" w:themeColor="accent1" w:themeShade="BF"/>
                    </w:rPr>
                    <w:t>Centralised clearing house is low cost to run and a key factor in encouraging new entry by funds in New Zealand</w:t>
                  </w:r>
                </w:p>
                <w:p w14:paraId="078642A9" w14:textId="77777777" w:rsidR="007168C6" w:rsidRPr="00F92A2C" w:rsidRDefault="007168C6" w:rsidP="00437F99">
                  <w:pPr>
                    <w:pStyle w:val="TableBullet"/>
                    <w:numPr>
                      <w:ilvl w:val="0"/>
                      <w:numId w:val="0"/>
                    </w:numPr>
                    <w:spacing w:before="120"/>
                    <w:rPr>
                      <w:color w:val="C00000"/>
                    </w:rPr>
                  </w:pPr>
                  <w:r w:rsidRPr="007C37B8">
                    <w:rPr>
                      <w:color w:val="C00000" w:themeColor="accent6"/>
                    </w:rPr>
                    <w:sym w:font="Wingdings" w:char="F0DE"/>
                  </w:r>
                  <w:r>
                    <w:rPr>
                      <w:color w:val="C00000" w:themeColor="accent6"/>
                    </w:rPr>
                    <w:t xml:space="preserve"> </w:t>
                  </w:r>
                  <w:r w:rsidRPr="00F92A2C">
                    <w:rPr>
                      <w:color w:val="C00000"/>
                    </w:rPr>
                    <w:t xml:space="preserve">It is unnecessary and wasteful given the introduction of SuperStream and Single Touch Payroll </w:t>
                  </w:r>
                </w:p>
                <w:p w14:paraId="44B7F34F" w14:textId="77777777" w:rsidR="007168C6" w:rsidRPr="00F92A2C" w:rsidRDefault="007168C6" w:rsidP="00437F99">
                  <w:pPr>
                    <w:pStyle w:val="TableBullet"/>
                    <w:numPr>
                      <w:ilvl w:val="0"/>
                      <w:numId w:val="0"/>
                    </w:numPr>
                    <w:spacing w:before="40"/>
                    <w:rPr>
                      <w:color w:val="C00000"/>
                    </w:rPr>
                  </w:pPr>
                  <w:r w:rsidRPr="007C37B8">
                    <w:rPr>
                      <w:color w:val="C00000" w:themeColor="accent6"/>
                    </w:rPr>
                    <w:sym w:font="Wingdings" w:char="F0DE"/>
                  </w:r>
                  <w:r>
                    <w:rPr>
                      <w:color w:val="C00000" w:themeColor="accent6"/>
                    </w:rPr>
                    <w:t xml:space="preserve"> </w:t>
                  </w:r>
                  <w:r w:rsidRPr="00F92A2C">
                    <w:rPr>
                      <w:color w:val="C00000"/>
                    </w:rPr>
                    <w:t xml:space="preserve">There would be high costs </w:t>
                  </w:r>
                  <w:r>
                    <w:rPr>
                      <w:color w:val="C00000"/>
                    </w:rPr>
                    <w:t>in</w:t>
                  </w:r>
                  <w:r w:rsidRPr="00F92A2C">
                    <w:rPr>
                      <w:color w:val="C00000"/>
                    </w:rPr>
                    <w:t xml:space="preserve"> shifting to a new model</w:t>
                  </w:r>
                </w:p>
                <w:p w14:paraId="5FFDF417" w14:textId="77777777" w:rsidR="007168C6" w:rsidRPr="00F92A2C" w:rsidRDefault="007168C6" w:rsidP="00437F99">
                  <w:pPr>
                    <w:pStyle w:val="TableBullet"/>
                    <w:numPr>
                      <w:ilvl w:val="0"/>
                      <w:numId w:val="0"/>
                    </w:numPr>
                    <w:spacing w:before="40"/>
                    <w:rPr>
                      <w:color w:val="C00000"/>
                    </w:rPr>
                  </w:pPr>
                  <w:r w:rsidRPr="00F92A2C">
                    <w:rPr>
                      <w:color w:val="C00000"/>
                    </w:rPr>
                    <w:t>It would introduce concentration and key person risk into the system</w:t>
                  </w:r>
                </w:p>
                <w:p w14:paraId="2C8A00C1" w14:textId="77777777" w:rsidR="007168C6" w:rsidRDefault="007168C6" w:rsidP="00437F99">
                  <w:pPr>
                    <w:pStyle w:val="TableBullet"/>
                    <w:numPr>
                      <w:ilvl w:val="0"/>
                      <w:numId w:val="0"/>
                    </w:numPr>
                  </w:pPr>
                  <w:r w:rsidRPr="007C37B8">
                    <w:rPr>
                      <w:color w:val="C00000" w:themeColor="accent6"/>
                    </w:rPr>
                    <w:sym w:font="Wingdings" w:char="F0DE"/>
                  </w:r>
                  <w:r>
                    <w:rPr>
                      <w:color w:val="C00000" w:themeColor="accent6"/>
                    </w:rPr>
                    <w:t xml:space="preserve"> </w:t>
                  </w:r>
                  <w:r w:rsidRPr="00F92A2C">
                    <w:rPr>
                      <w:color w:val="C00000"/>
                    </w:rPr>
                    <w:t xml:space="preserve">There are questions about </w:t>
                  </w:r>
                  <w:r>
                    <w:rPr>
                      <w:color w:val="C00000"/>
                    </w:rPr>
                    <w:t xml:space="preserve">whether the ATO is well placed or has the capacity to </w:t>
                  </w:r>
                  <w:r w:rsidRPr="00F92A2C">
                    <w:rPr>
                      <w:color w:val="C00000"/>
                    </w:rPr>
                    <w:t>perform this role</w:t>
                  </w:r>
                </w:p>
              </w:tc>
            </w:tr>
            <w:tr w:rsidR="007168C6" w14:paraId="627EB219" w14:textId="77777777" w:rsidTr="00731938">
              <w:trPr>
                <w:trHeight w:val="1945"/>
              </w:trPr>
              <w:tc>
                <w:tcPr>
                  <w:tcW w:w="1083" w:type="pct"/>
                  <w:tcBorders>
                    <w:top w:val="single" w:sz="6" w:space="0" w:color="BFBFBF" w:themeColor="background2"/>
                    <w:bottom w:val="single" w:sz="6" w:space="0" w:color="BFBFBF" w:themeColor="background2"/>
                  </w:tcBorders>
                  <w:shd w:val="clear" w:color="auto" w:fill="auto"/>
                </w:tcPr>
                <w:p w14:paraId="229D3964" w14:textId="77777777" w:rsidR="007168C6" w:rsidRDefault="007168C6" w:rsidP="00437F99">
                  <w:pPr>
                    <w:pStyle w:val="Box"/>
                    <w:spacing w:before="0"/>
                    <w:jc w:val="left"/>
                  </w:pPr>
                  <w:r>
                    <w:t>Merger transparency framework</w:t>
                  </w:r>
                </w:p>
              </w:tc>
              <w:tc>
                <w:tcPr>
                  <w:tcW w:w="3917" w:type="pct"/>
                  <w:tcBorders>
                    <w:top w:val="single" w:sz="6" w:space="0" w:color="BFBFBF" w:themeColor="background2"/>
                    <w:bottom w:val="single" w:sz="6" w:space="0" w:color="BFBFBF" w:themeColor="background2"/>
                  </w:tcBorders>
                </w:tcPr>
                <w:p w14:paraId="04AF7212" w14:textId="77777777" w:rsidR="007168C6" w:rsidRPr="007C37B8" w:rsidRDefault="007168C6" w:rsidP="00437F99">
                  <w:pPr>
                    <w:pStyle w:val="TableBullet"/>
                    <w:numPr>
                      <w:ilvl w:val="0"/>
                      <w:numId w:val="0"/>
                    </w:numPr>
                    <w:rPr>
                      <w:color w:val="C00000" w:themeColor="accent6"/>
                    </w:rPr>
                  </w:pPr>
                  <w:r w:rsidRPr="007C37B8">
                    <w:rPr>
                      <w:color w:val="C00000" w:themeColor="accent6"/>
                    </w:rPr>
                    <w:sym w:font="Wingdings" w:char="F0DE"/>
                  </w:r>
                  <w:r>
                    <w:rPr>
                      <w:color w:val="C00000" w:themeColor="accent6"/>
                    </w:rPr>
                    <w:t xml:space="preserve"> </w:t>
                  </w:r>
                  <w:r w:rsidRPr="00C31575">
                    <w:rPr>
                      <w:color w:val="C00000"/>
                    </w:rPr>
                    <w:t>Current arrangements are effective</w:t>
                  </w:r>
                  <w:r>
                    <w:rPr>
                      <w:color w:val="C00000"/>
                    </w:rPr>
                    <w:t xml:space="preserve"> and e</w:t>
                  </w:r>
                  <w:r w:rsidRPr="002570E9">
                    <w:rPr>
                      <w:color w:val="C00000"/>
                    </w:rPr>
                    <w:t>arly disclosure would discourage initial merger discussions between trustees</w:t>
                  </w:r>
                </w:p>
                <w:p w14:paraId="59B7CD9E" w14:textId="77777777" w:rsidR="007168C6" w:rsidRPr="007C37B8" w:rsidRDefault="007168C6" w:rsidP="00437F99">
                  <w:pPr>
                    <w:pStyle w:val="TableBullet"/>
                    <w:numPr>
                      <w:ilvl w:val="0"/>
                      <w:numId w:val="0"/>
                    </w:numPr>
                    <w:rPr>
                      <w:color w:val="265A9A" w:themeColor="accent2"/>
                    </w:rPr>
                  </w:pPr>
                  <w:r w:rsidRPr="007C37B8">
                    <w:rPr>
                      <w:color w:val="265A9A" w:themeColor="accent2"/>
                    </w:rPr>
                    <w:sym w:font="Wingdings" w:char="F0DC"/>
                  </w:r>
                  <w:r>
                    <w:rPr>
                      <w:color w:val="265A9A" w:themeColor="accent2"/>
                    </w:rPr>
                    <w:t xml:space="preserve"> </w:t>
                  </w:r>
                  <w:r w:rsidRPr="00441FF8">
                    <w:rPr>
                      <w:color w:val="265A9A" w:themeColor="accent2"/>
                    </w:rPr>
                    <w:t>Elevated disclosure of merger discussions to APRA once an MOU is agreed between the parties</w:t>
                  </w:r>
                </w:p>
                <w:p w14:paraId="7B57FF43" w14:textId="77777777" w:rsidR="007168C6" w:rsidRPr="007C37B8" w:rsidRDefault="007168C6" w:rsidP="00437F99">
                  <w:pPr>
                    <w:pStyle w:val="TableBullet"/>
                    <w:numPr>
                      <w:ilvl w:val="0"/>
                      <w:numId w:val="0"/>
                    </w:numPr>
                    <w:rPr>
                      <w:color w:val="265A9A" w:themeColor="accent2"/>
                    </w:rPr>
                  </w:pPr>
                  <w:r w:rsidRPr="007C37B8">
                    <w:rPr>
                      <w:color w:val="265A9A" w:themeColor="accent2"/>
                    </w:rPr>
                    <w:sym w:font="Wingdings" w:char="F0DC"/>
                  </w:r>
                  <w:r>
                    <w:rPr>
                      <w:color w:val="265A9A" w:themeColor="accent2"/>
                    </w:rPr>
                    <w:t xml:space="preserve"> All default products subject to independent verification of compliance with the scale test</w:t>
                  </w:r>
                </w:p>
                <w:p w14:paraId="79E89783" w14:textId="77777777" w:rsidR="007168C6" w:rsidRPr="007C37B8" w:rsidRDefault="007168C6" w:rsidP="00437F99">
                  <w:pPr>
                    <w:pStyle w:val="TableBullet"/>
                    <w:numPr>
                      <w:ilvl w:val="0"/>
                      <w:numId w:val="0"/>
                    </w:numPr>
                    <w:rPr>
                      <w:color w:val="265A9A" w:themeColor="accent2"/>
                    </w:rPr>
                  </w:pPr>
                  <w:r w:rsidRPr="007C37B8">
                    <w:rPr>
                      <w:color w:val="265A9A" w:themeColor="accent2"/>
                    </w:rPr>
                    <w:sym w:font="Wingdings" w:char="F0DC"/>
                  </w:r>
                  <w:r>
                    <w:rPr>
                      <w:color w:val="265A9A" w:themeColor="accent2"/>
                    </w:rPr>
                    <w:t xml:space="preserve"> </w:t>
                  </w:r>
                  <w:r w:rsidRPr="00F92A2C">
                    <w:rPr>
                      <w:color w:val="265A9A" w:themeColor="accent2"/>
                    </w:rPr>
                    <w:t xml:space="preserve">Disclosure </w:t>
                  </w:r>
                  <w:r>
                    <w:rPr>
                      <w:color w:val="265A9A" w:themeColor="accent2"/>
                    </w:rPr>
                    <w:t xml:space="preserve">to members of merger discussions that had proceeded past a specific point </w:t>
                  </w:r>
                  <w:r w:rsidRPr="00F92A2C">
                    <w:rPr>
                      <w:color w:val="265A9A" w:themeColor="accent2"/>
                    </w:rPr>
                    <w:t xml:space="preserve">should occur </w:t>
                  </w:r>
                  <w:r>
                    <w:rPr>
                      <w:color w:val="265A9A" w:themeColor="accent2"/>
                    </w:rPr>
                    <w:t xml:space="preserve">retrospectively </w:t>
                  </w:r>
                </w:p>
              </w:tc>
            </w:tr>
            <w:tr w:rsidR="007168C6" w14:paraId="1C1318A7" w14:textId="77777777" w:rsidTr="00731938">
              <w:tc>
                <w:tcPr>
                  <w:tcW w:w="1083" w:type="pct"/>
                  <w:tcBorders>
                    <w:top w:val="single" w:sz="6" w:space="0" w:color="BFBFBF" w:themeColor="background2"/>
                    <w:bottom w:val="single" w:sz="6" w:space="0" w:color="BFBFBF" w:themeColor="background2"/>
                  </w:tcBorders>
                  <w:shd w:val="clear" w:color="auto" w:fill="auto"/>
                </w:tcPr>
                <w:p w14:paraId="3183658A" w14:textId="77777777" w:rsidR="007168C6" w:rsidRDefault="007168C6" w:rsidP="00437F99">
                  <w:pPr>
                    <w:pStyle w:val="Box"/>
                    <w:spacing w:before="0"/>
                    <w:jc w:val="left"/>
                  </w:pPr>
                  <w:r>
                    <w:t>Selection body</w:t>
                  </w:r>
                </w:p>
              </w:tc>
              <w:tc>
                <w:tcPr>
                  <w:tcW w:w="3917" w:type="pct"/>
                  <w:tcBorders>
                    <w:top w:val="single" w:sz="6" w:space="0" w:color="BFBFBF" w:themeColor="background2"/>
                    <w:bottom w:val="single" w:sz="6" w:space="0" w:color="BFBFBF" w:themeColor="background2"/>
                  </w:tcBorders>
                </w:tcPr>
                <w:p w14:paraId="18DB2DA9" w14:textId="77777777" w:rsidR="007168C6" w:rsidRPr="00F92A2C" w:rsidRDefault="007168C6" w:rsidP="00437F99">
                  <w:pPr>
                    <w:pStyle w:val="TableBullet"/>
                    <w:numPr>
                      <w:ilvl w:val="0"/>
                      <w:numId w:val="0"/>
                    </w:numPr>
                    <w:rPr>
                      <w:color w:val="597923" w:themeColor="accent1" w:themeShade="BF"/>
                    </w:rPr>
                  </w:pPr>
                  <w:r>
                    <w:rPr>
                      <w:color w:val="597923" w:themeColor="accent1" w:themeShade="BF"/>
                    </w:rPr>
                    <w:sym w:font="Wingdings" w:char="F0DD"/>
                  </w:r>
                  <w:r>
                    <w:rPr>
                      <w:color w:val="597923" w:themeColor="accent1" w:themeShade="BF"/>
                    </w:rPr>
                    <w:t xml:space="preserve"> </w:t>
                  </w:r>
                  <w:r w:rsidRPr="00F92A2C">
                    <w:rPr>
                      <w:color w:val="597923" w:themeColor="accent1" w:themeShade="BF"/>
                    </w:rPr>
                    <w:t>Proposed principles for the body are generally sound</w:t>
                  </w:r>
                </w:p>
                <w:p w14:paraId="2B736DA9" w14:textId="5B1CF862" w:rsidR="007168C6" w:rsidRPr="007C37B8" w:rsidRDefault="007168C6" w:rsidP="00437F99">
                  <w:pPr>
                    <w:pStyle w:val="TableBullet"/>
                    <w:numPr>
                      <w:ilvl w:val="0"/>
                      <w:numId w:val="0"/>
                    </w:numPr>
                    <w:rPr>
                      <w:color w:val="C00000" w:themeColor="accent6"/>
                    </w:rPr>
                  </w:pPr>
                  <w:r w:rsidRPr="007C37B8">
                    <w:rPr>
                      <w:color w:val="C00000" w:themeColor="accent6"/>
                    </w:rPr>
                    <w:sym w:font="Wingdings" w:char="F0DE"/>
                  </w:r>
                  <w:r>
                    <w:rPr>
                      <w:color w:val="C00000" w:themeColor="accent6"/>
                    </w:rPr>
                    <w:t xml:space="preserve"> </w:t>
                  </w:r>
                  <w:r w:rsidRPr="00F92A2C">
                    <w:rPr>
                      <w:color w:val="C00000"/>
                    </w:rPr>
                    <w:t xml:space="preserve">The selection </w:t>
                  </w:r>
                  <w:r>
                    <w:rPr>
                      <w:color w:val="C00000"/>
                    </w:rPr>
                    <w:t>process</w:t>
                  </w:r>
                  <w:r w:rsidRPr="00F92A2C">
                    <w:rPr>
                      <w:color w:val="C00000"/>
                    </w:rPr>
                    <w:t xml:space="preserve"> would not</w:t>
                  </w:r>
                  <w:r>
                    <w:rPr>
                      <w:color w:val="C00000"/>
                    </w:rPr>
                    <w:t xml:space="preserve"> be independent from government — </w:t>
                  </w:r>
                  <w:r w:rsidRPr="00F92A2C">
                    <w:rPr>
                      <w:color w:val="C00000"/>
                    </w:rPr>
                    <w:t>risk that it would become politicised, conflicted or there would be a perception of bias</w:t>
                  </w:r>
                </w:p>
                <w:p w14:paraId="0642A7E4" w14:textId="77777777" w:rsidR="007168C6" w:rsidRPr="007C37B8" w:rsidRDefault="007168C6" w:rsidP="00437F99">
                  <w:pPr>
                    <w:pStyle w:val="TableBullet"/>
                    <w:numPr>
                      <w:ilvl w:val="0"/>
                      <w:numId w:val="0"/>
                    </w:numPr>
                    <w:rPr>
                      <w:color w:val="C00000" w:themeColor="accent6"/>
                    </w:rPr>
                  </w:pPr>
                  <w:r w:rsidRPr="007C37B8">
                    <w:rPr>
                      <w:color w:val="C00000" w:themeColor="accent6"/>
                    </w:rPr>
                    <w:sym w:font="Wingdings" w:char="F0DE"/>
                  </w:r>
                  <w:r>
                    <w:rPr>
                      <w:color w:val="C00000" w:themeColor="accent6"/>
                    </w:rPr>
                    <w:t xml:space="preserve"> </w:t>
                  </w:r>
                  <w:r w:rsidRPr="00F92A2C">
                    <w:rPr>
                      <w:color w:val="C00000"/>
                    </w:rPr>
                    <w:t>The FWC is a more appropriate body to determine the eligibility of default funds and this process should be retained in the industrial relations system</w:t>
                  </w:r>
                </w:p>
                <w:p w14:paraId="462F91D8" w14:textId="64E35752" w:rsidR="007168C6" w:rsidRPr="007C37B8" w:rsidRDefault="007168C6" w:rsidP="00437F99">
                  <w:pPr>
                    <w:pStyle w:val="TableBullet"/>
                    <w:numPr>
                      <w:ilvl w:val="0"/>
                      <w:numId w:val="0"/>
                    </w:numPr>
                    <w:rPr>
                      <w:color w:val="265A9A" w:themeColor="accent2"/>
                    </w:rPr>
                  </w:pPr>
                  <w:r w:rsidRPr="007C37B8">
                    <w:rPr>
                      <w:color w:val="265A9A" w:themeColor="accent2"/>
                    </w:rPr>
                    <w:sym w:font="Wingdings" w:char="F0DC"/>
                  </w:r>
                  <w:r>
                    <w:rPr>
                      <w:color w:val="265A9A" w:themeColor="accent2"/>
                    </w:rPr>
                    <w:t xml:space="preserve"> </w:t>
                  </w:r>
                  <w:r w:rsidRPr="00441FF8">
                    <w:rPr>
                      <w:color w:val="265A9A" w:themeColor="accent2"/>
                    </w:rPr>
                    <w:t>The selection body needs to have representatives from employee</w:t>
                  </w:r>
                  <w:r>
                    <w:rPr>
                      <w:color w:val="265A9A" w:themeColor="accent2"/>
                    </w:rPr>
                    <w:t>,</w:t>
                  </w:r>
                  <w:r w:rsidRPr="00441FF8">
                    <w:rPr>
                      <w:color w:val="265A9A" w:themeColor="accent2"/>
                    </w:rPr>
                    <w:t xml:space="preserve"> employer </w:t>
                  </w:r>
                  <w:r>
                    <w:rPr>
                      <w:color w:val="265A9A" w:themeColor="accent2"/>
                    </w:rPr>
                    <w:t xml:space="preserve">and consumer </w:t>
                  </w:r>
                  <w:r w:rsidRPr="00441FF8">
                    <w:rPr>
                      <w:color w:val="265A9A" w:themeColor="accent2"/>
                    </w:rPr>
                    <w:t>groups</w:t>
                  </w:r>
                </w:p>
              </w:tc>
            </w:tr>
          </w:tbl>
          <w:p w14:paraId="23A5913E" w14:textId="77777777" w:rsidR="004B3843" w:rsidRDefault="004B3843" w:rsidP="00FD73D5">
            <w:pPr>
              <w:pStyle w:val="Box"/>
            </w:pPr>
          </w:p>
        </w:tc>
      </w:tr>
      <w:tr w:rsidR="004B3843" w14:paraId="72CA6278" w14:textId="77777777" w:rsidTr="00B70CFE">
        <w:tc>
          <w:tcPr>
            <w:tcW w:w="5000" w:type="pct"/>
            <w:tcBorders>
              <w:top w:val="nil"/>
              <w:left w:val="nil"/>
              <w:bottom w:val="nil"/>
              <w:right w:val="nil"/>
            </w:tcBorders>
            <w:shd w:val="clear" w:color="auto" w:fill="auto"/>
          </w:tcPr>
          <w:p w14:paraId="1EC1258D" w14:textId="77777777" w:rsidR="004B3843" w:rsidRDefault="004B3843" w:rsidP="00FD73D5">
            <w:pPr>
              <w:pStyle w:val="Note"/>
              <w:rPr>
                <w:i/>
              </w:rPr>
            </w:pPr>
            <w:r w:rsidRPr="008E77FE">
              <w:rPr>
                <w:rStyle w:val="NoteLabel"/>
              </w:rPr>
              <w:t>a</w:t>
            </w:r>
            <w:r>
              <w:t xml:space="preserve"> The comments are colour-coded as follows: </w:t>
            </w:r>
            <w:r>
              <w:rPr>
                <w:color w:val="597923" w:themeColor="accent1" w:themeShade="BF"/>
              </w:rPr>
              <w:sym w:font="Wingdings" w:char="F0DD"/>
            </w:r>
            <w:r>
              <w:rPr>
                <w:color w:val="597923" w:themeColor="accent1" w:themeShade="BF"/>
              </w:rPr>
              <w:t xml:space="preserve"> support for the reform</w:t>
            </w:r>
            <w:r w:rsidRPr="00CA2255">
              <w:t>;</w:t>
            </w:r>
            <w:r>
              <w:t xml:space="preserve"> </w:t>
            </w:r>
            <w:r w:rsidRPr="007C37B8">
              <w:rPr>
                <w:color w:val="C00000" w:themeColor="accent6"/>
              </w:rPr>
              <w:sym w:font="Wingdings" w:char="F0DE"/>
            </w:r>
            <w:r>
              <w:rPr>
                <w:color w:val="C00000" w:themeColor="accent6"/>
              </w:rPr>
              <w:t xml:space="preserve"> </w:t>
            </w:r>
            <w:r>
              <w:rPr>
                <w:color w:val="C00000"/>
              </w:rPr>
              <w:t>concerns about the reform</w:t>
            </w:r>
            <w:r w:rsidRPr="00CA2255">
              <w:t>;</w:t>
            </w:r>
            <w:r>
              <w:t xml:space="preserve"> </w:t>
            </w:r>
            <w:r>
              <w:br/>
            </w:r>
            <w:r w:rsidRPr="007C37B8">
              <w:rPr>
                <w:color w:val="265A9A" w:themeColor="accent2"/>
              </w:rPr>
              <w:sym w:font="Wingdings" w:char="F0DC"/>
            </w:r>
            <w:r>
              <w:rPr>
                <w:color w:val="265A9A" w:themeColor="accent2"/>
              </w:rPr>
              <w:t xml:space="preserve"> </w:t>
            </w:r>
            <w:r w:rsidRPr="00F92A2C">
              <w:rPr>
                <w:color w:val="1C4373" w:themeColor="accent2" w:themeShade="BF"/>
              </w:rPr>
              <w:t xml:space="preserve">proposed amendments to the reform that </w:t>
            </w:r>
            <w:r>
              <w:rPr>
                <w:color w:val="1C4373" w:themeColor="accent2" w:themeShade="BF"/>
              </w:rPr>
              <w:t>could be reconciled</w:t>
            </w:r>
            <w:r w:rsidRPr="00F92A2C">
              <w:rPr>
                <w:color w:val="1C4373" w:themeColor="accent2" w:themeShade="BF"/>
              </w:rPr>
              <w:t xml:space="preserve"> with the Commission’s approach</w:t>
            </w:r>
            <w:r>
              <w:t>.</w:t>
            </w:r>
          </w:p>
        </w:tc>
      </w:tr>
      <w:tr w:rsidR="004B3843" w14:paraId="35464395" w14:textId="77777777" w:rsidTr="00B70CFE">
        <w:tc>
          <w:tcPr>
            <w:tcW w:w="5000" w:type="pct"/>
            <w:tcBorders>
              <w:top w:val="nil"/>
              <w:left w:val="nil"/>
              <w:bottom w:val="nil"/>
              <w:right w:val="nil"/>
            </w:tcBorders>
            <w:shd w:val="clear" w:color="auto" w:fill="auto"/>
          </w:tcPr>
          <w:p w14:paraId="59308409" w14:textId="20275087" w:rsidR="004B3843" w:rsidRDefault="004B3843" w:rsidP="0035282F">
            <w:pPr>
              <w:pStyle w:val="Source"/>
            </w:pPr>
            <w:r>
              <w:rPr>
                <w:i/>
              </w:rPr>
              <w:t>Sources</w:t>
            </w:r>
            <w:r w:rsidRPr="00167F06">
              <w:t xml:space="preserve">: </w:t>
            </w:r>
            <w:r>
              <w:t xml:space="preserve">ACCI, sub. DR79; ACTU, sub. DR71; AIST, sub. DR 90; ASFA, sub. DR96; Australian Super, sub. DR60; BT, sub. DR67; </w:t>
            </w:r>
            <w:r w:rsidR="0035282F">
              <w:t>CHOICE</w:t>
            </w:r>
            <w:r>
              <w:t>, sub. DR93; Deloitte, sub. DR61; First State Super, sub. DR84; FS</w:t>
            </w:r>
            <w:r w:rsidR="0035282F">
              <w:t>C</w:t>
            </w:r>
            <w:r>
              <w:t xml:space="preserve">, sub. DR88; Grattan Institute, sub. DR82; HESTA, sub. DR70; ISA, sub. DR78; Link Group, sub. DR92; Mercer, sub. DR73; PwC, sub. DR85; QNMU, sub. DR57; Rice Warner, sub. DR87; trans., Sydney, pp. 92-93; United Voice DR97; WSSA, sub. DR81. </w:t>
            </w:r>
          </w:p>
        </w:tc>
      </w:tr>
      <w:tr w:rsidR="004B3843" w14:paraId="5F321C4F" w14:textId="77777777" w:rsidTr="00B70CFE">
        <w:tc>
          <w:tcPr>
            <w:tcW w:w="5000" w:type="pct"/>
            <w:tcBorders>
              <w:top w:val="nil"/>
              <w:left w:val="nil"/>
              <w:bottom w:val="single" w:sz="6" w:space="0" w:color="78A22F"/>
              <w:right w:val="nil"/>
            </w:tcBorders>
            <w:shd w:val="clear" w:color="auto" w:fill="auto"/>
          </w:tcPr>
          <w:p w14:paraId="639B7DB3" w14:textId="77777777" w:rsidR="004B3843" w:rsidRDefault="004B3843" w:rsidP="00FD73D5">
            <w:pPr>
              <w:pStyle w:val="Box"/>
              <w:spacing w:before="0" w:line="120" w:lineRule="exact"/>
            </w:pPr>
          </w:p>
        </w:tc>
      </w:tr>
      <w:tr w:rsidR="004B3843" w:rsidRPr="000863A5" w14:paraId="409630C7" w14:textId="77777777" w:rsidTr="00B70CFE">
        <w:tc>
          <w:tcPr>
            <w:tcW w:w="5000" w:type="pct"/>
            <w:tcBorders>
              <w:top w:val="single" w:sz="6" w:space="0" w:color="78A22F"/>
              <w:left w:val="nil"/>
              <w:bottom w:val="nil"/>
              <w:right w:val="nil"/>
            </w:tcBorders>
          </w:tcPr>
          <w:p w14:paraId="2074EC33" w14:textId="09A65115" w:rsidR="004B3843" w:rsidRPr="00626D32" w:rsidRDefault="004B3843" w:rsidP="00FD73D5">
            <w:pPr>
              <w:pStyle w:val="BoxSpaceBelow"/>
            </w:pPr>
          </w:p>
        </w:tc>
      </w:tr>
    </w:tbl>
    <w:p w14:paraId="2BDF604E" w14:textId="1932E83A" w:rsidR="00391500" w:rsidRPr="00391500" w:rsidRDefault="004C7E4B" w:rsidP="0062349F">
      <w:pPr>
        <w:pStyle w:val="Heading2"/>
        <w:ind w:left="0" w:firstLine="0"/>
      </w:pPr>
      <w:r>
        <w:lastRenderedPageBreak/>
        <w:t>A</w:t>
      </w:r>
      <w:r w:rsidR="00384CC9">
        <w:t>ttachment</w:t>
      </w:r>
      <w:r w:rsidR="0085728F">
        <w:t xml:space="preserve"> </w:t>
      </w:r>
      <w:r w:rsidR="00F21F3E">
        <w:t>D</w:t>
      </w:r>
      <w:r w:rsidR="0085728F">
        <w:t xml:space="preserve">: </w:t>
      </w:r>
      <w:r w:rsidR="00862E51">
        <w:t xml:space="preserve">How to </w:t>
      </w:r>
      <w:r w:rsidR="00391500" w:rsidRPr="00391500">
        <w:t>make a submission</w:t>
      </w:r>
      <w:r w:rsidR="001F240D">
        <w:t xml:space="preserve"> or comment</w:t>
      </w:r>
      <w:bookmarkEnd w:id="20"/>
      <w:bookmarkEnd w:id="21"/>
      <w:r w:rsidR="001F240D">
        <w:t xml:space="preserve"> </w:t>
      </w:r>
    </w:p>
    <w:p w14:paraId="6AF79726" w14:textId="77777777" w:rsidR="001F240D" w:rsidRDefault="001F240D" w:rsidP="00862E51">
      <w:pPr>
        <w:pStyle w:val="Heading3"/>
      </w:pPr>
      <w:r>
        <w:t>How to make a short form comment</w:t>
      </w:r>
    </w:p>
    <w:p w14:paraId="254FCC7B" w14:textId="34D4ED01" w:rsidR="001F240D" w:rsidRDefault="00027582" w:rsidP="00027582">
      <w:pPr>
        <w:pStyle w:val="BodyText"/>
      </w:pPr>
      <w:r>
        <w:t xml:space="preserve">To assist members wishing to contribute to this Inquiry, the Commission has established an online short comment facility on the Inquiry web page. Such comments would not be considered formal submissions, but the Commission might use them to inform its conclusions. </w:t>
      </w:r>
    </w:p>
    <w:p w14:paraId="5BDDD056" w14:textId="0A8E3972" w:rsidR="00027582" w:rsidRDefault="00027582" w:rsidP="00027582">
      <w:pPr>
        <w:pStyle w:val="BodyText"/>
      </w:pPr>
      <w:r>
        <w:t xml:space="preserve">The comments will be published anonymously on the Inquiry web page, unless you indicate that you do not want the comment to be published. </w:t>
      </w:r>
      <w:r w:rsidRPr="00027582">
        <w:t>The Commission reserves the right to not publish material on its website that is offensive, potentially defamatory, or clearly out of scope for the inquiry in question.</w:t>
      </w:r>
    </w:p>
    <w:p w14:paraId="2BDF604F" w14:textId="77777777" w:rsidR="00862E51" w:rsidRDefault="00862E51" w:rsidP="00862E51">
      <w:pPr>
        <w:pStyle w:val="Heading3"/>
      </w:pPr>
      <w:r>
        <w:t>How to prepare a submission</w:t>
      </w:r>
    </w:p>
    <w:p w14:paraId="2BDF6050" w14:textId="77777777" w:rsidR="00862E51" w:rsidRDefault="00862E51" w:rsidP="00862E51">
      <w:pPr>
        <w:pStyle w:val="BodyText"/>
      </w:pPr>
      <w:r>
        <w:t>Submissions may range from a 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14:paraId="2BDF6051" w14:textId="77777777" w:rsidR="00862E51" w:rsidRDefault="00862E51" w:rsidP="00862E51">
      <w:pPr>
        <w:pStyle w:val="Heading4"/>
      </w:pPr>
      <w:r>
        <w:t>Generally</w:t>
      </w:r>
    </w:p>
    <w:p w14:paraId="2BDF6052" w14:textId="7FCD08D3" w:rsidR="00862E51" w:rsidRDefault="00862E51" w:rsidP="00862E51">
      <w:pPr>
        <w:pStyle w:val="ListBullet"/>
      </w:pPr>
      <w:r>
        <w:t xml:space="preserve">Each submission, except for any </w:t>
      </w:r>
      <w:r w:rsidR="00CD56E1">
        <w:t>attachment</w:t>
      </w:r>
      <w:r w:rsidR="001B340C">
        <w:t xml:space="preserve"> supplied in confidence</w:t>
      </w:r>
      <w:r>
        <w:t>, will be published on the Commission’s website shortly after receipt, and will remain there indefinitely as a public document.</w:t>
      </w:r>
    </w:p>
    <w:p w14:paraId="2BDF6053" w14:textId="77777777" w:rsidR="00862E51" w:rsidRDefault="00862E51" w:rsidP="00862E51">
      <w:pPr>
        <w:pStyle w:val="ListBullet"/>
      </w:pPr>
      <w:r>
        <w:t>The Commission reserves the right to not publish material on its website that is offensive, potentially defamatory, or clearly out of scope for the inquiry or study in question.</w:t>
      </w:r>
    </w:p>
    <w:p w14:paraId="2BDF6054" w14:textId="77777777" w:rsidR="00862E51" w:rsidRDefault="00862E51" w:rsidP="00862E51">
      <w:pPr>
        <w:pStyle w:val="Heading4"/>
      </w:pPr>
      <w:r>
        <w:t>Copyright</w:t>
      </w:r>
    </w:p>
    <w:p w14:paraId="2BDF6055" w14:textId="77777777" w:rsidR="00862E51" w:rsidRDefault="00862E51" w:rsidP="00862E51">
      <w:pPr>
        <w:pStyle w:val="ListBullet"/>
      </w:pPr>
      <w:r>
        <w:t>Copyright in submissions sent to the Commission resides with the author(s), not with the Commission.</w:t>
      </w:r>
    </w:p>
    <w:p w14:paraId="2BDF6056" w14:textId="77777777" w:rsidR="00862E51" w:rsidRDefault="00862E51" w:rsidP="00862E51">
      <w:pPr>
        <w:pStyle w:val="ListBullet"/>
      </w:pPr>
      <w:r>
        <w:t>Do not send us material for which you are not the copyright owner — such as newspaper articles — you should just reference or link to this material in your submission.</w:t>
      </w:r>
    </w:p>
    <w:p w14:paraId="2BDF6057" w14:textId="77777777" w:rsidR="00862E51" w:rsidRDefault="00862E51" w:rsidP="00862E51">
      <w:pPr>
        <w:pStyle w:val="Heading4"/>
      </w:pPr>
      <w:r>
        <w:t>In confidence material</w:t>
      </w:r>
    </w:p>
    <w:p w14:paraId="2BDF6058" w14:textId="77777777" w:rsidR="00862E51" w:rsidRPr="009D6440" w:rsidRDefault="00862E51" w:rsidP="00862E51">
      <w:pPr>
        <w:pStyle w:val="ListBullet"/>
      </w:pPr>
      <w:r w:rsidRPr="009D6440">
        <w:t>This is a public review and all submissions should be provided as public documents that can be placed on the Commission</w:t>
      </w:r>
      <w:r>
        <w:t>’</w:t>
      </w:r>
      <w:r w:rsidRPr="009D6440">
        <w:t xml:space="preserve">s website for others to read and comment on. However, information which is of a confidential nature or which is submitted in </w:t>
      </w:r>
      <w:r w:rsidRPr="009D6440">
        <w:lastRenderedPageBreak/>
        <w:t>confidence can be treated as such by the Commission, provided the cause for such treatment is shown.</w:t>
      </w:r>
    </w:p>
    <w:p w14:paraId="2BDF6059" w14:textId="77777777" w:rsidR="00862E51" w:rsidRDefault="00862E51" w:rsidP="00862E51">
      <w:pPr>
        <w:pStyle w:val="ListBullet"/>
      </w:pPr>
      <w:r w:rsidRPr="009D6440">
        <w:t>The Commission may also request a non</w:t>
      </w:r>
      <w:r>
        <w:noBreakHyphen/>
      </w:r>
      <w:r w:rsidRPr="009D6440">
        <w:t>confidential summary of the confidential material it is given, or the reasons why a summary cannot be provided.</w:t>
      </w:r>
    </w:p>
    <w:p w14:paraId="2BDF605A" w14:textId="459E1534" w:rsidR="00862E51" w:rsidRDefault="00862E51" w:rsidP="00862E51">
      <w:pPr>
        <w:pStyle w:val="ListBullet"/>
      </w:pPr>
      <w:r w:rsidRPr="009D6440">
        <w:t xml:space="preserve">Material supplied in confidence should be clearly marked </w:t>
      </w:r>
      <w:r>
        <w:t>‘</w:t>
      </w:r>
      <w:r w:rsidRPr="009D6440">
        <w:t>IN CONFIDENCE</w:t>
      </w:r>
      <w:r>
        <w:t>’</w:t>
      </w:r>
      <w:r w:rsidRPr="009D6440">
        <w:t xml:space="preserve"> and be in a separate </w:t>
      </w:r>
      <w:r w:rsidR="00CD56E1">
        <w:t>attachment</w:t>
      </w:r>
      <w:r w:rsidRPr="009D6440">
        <w:t xml:space="preserve"> to non</w:t>
      </w:r>
      <w:r>
        <w:noBreakHyphen/>
      </w:r>
      <w:r w:rsidRPr="009D6440">
        <w:t>confidential material.</w:t>
      </w:r>
    </w:p>
    <w:p w14:paraId="2BDF605B" w14:textId="77777777" w:rsidR="00862E51" w:rsidRPr="009D6440" w:rsidRDefault="00862E51" w:rsidP="00862E51">
      <w:pPr>
        <w:pStyle w:val="ListBullet"/>
      </w:pPr>
      <w:r w:rsidRPr="009D6440">
        <w:t>You are encouraged to contact the Commission for further information and advice before submitting such material.</w:t>
      </w:r>
    </w:p>
    <w:p w14:paraId="2BDF605C" w14:textId="77777777" w:rsidR="00862E51" w:rsidRDefault="00862E51" w:rsidP="00862E51">
      <w:pPr>
        <w:pStyle w:val="Heading4"/>
      </w:pPr>
      <w:r>
        <w:t>Privacy</w:t>
      </w:r>
    </w:p>
    <w:p w14:paraId="2BDF605D" w14:textId="6C8C1B00" w:rsidR="00862E51" w:rsidRDefault="00862E51" w:rsidP="00862E51">
      <w:pPr>
        <w:pStyle w:val="ListBullet"/>
      </w:pPr>
      <w:r>
        <w:t xml:space="preserve">For privacy reasons, all </w:t>
      </w:r>
      <w:r w:rsidRPr="009D6440">
        <w:rPr>
          <w:b/>
        </w:rPr>
        <w:t>personal</w:t>
      </w:r>
      <w:r>
        <w:t xml:space="preserve"> details (e.g. home and email address, signatures, phone, mobile and fax numbers) will be removed before they are published on the website. Please do not provide these details unless necessary.</w:t>
      </w:r>
    </w:p>
    <w:p w14:paraId="2BDF605E" w14:textId="77777777" w:rsidR="00862E51" w:rsidRDefault="00862E51" w:rsidP="00862E51">
      <w:pPr>
        <w:pStyle w:val="ListBullet"/>
      </w:pPr>
      <w:r>
        <w:t>You may wish to remain anonymous or use a pseudonym. Please note that, if you choose to remain anonymous or use a pseudonym, the Commission may place less weight on your submission.</w:t>
      </w:r>
    </w:p>
    <w:p w14:paraId="2BDF605F" w14:textId="77777777" w:rsidR="00862E51" w:rsidRDefault="00862E51" w:rsidP="00862E51">
      <w:pPr>
        <w:pStyle w:val="Heading4"/>
      </w:pPr>
      <w:r>
        <w:t>Technical tips</w:t>
      </w:r>
    </w:p>
    <w:p w14:paraId="2BDF6060" w14:textId="389693F3" w:rsidR="00862E51" w:rsidRPr="009D6440" w:rsidRDefault="00862E51" w:rsidP="00862E51">
      <w:pPr>
        <w:pStyle w:val="ListBullet"/>
      </w:pPr>
      <w:r w:rsidRPr="009D6440">
        <w:t>The Commission prefers to receive submissions as a Microsoft Word (.docx) file. PDF files are acceptable if produced from a Word document or similar text based software. You may wish to research the Internet on how to make your documents more accessible or for the more technical, follow advice from Web Content Accessibility Guidelines (WCAG) 2.0</w:t>
      </w:r>
      <w:r>
        <w:t>&lt;</w:t>
      </w:r>
      <w:r w:rsidRPr="00C738C7">
        <w:t>http://www.w3.org/TR/WCAG20/</w:t>
      </w:r>
      <w:r>
        <w:t>&gt;.</w:t>
      </w:r>
    </w:p>
    <w:p w14:paraId="2BDF6061" w14:textId="77777777" w:rsidR="00862E51" w:rsidRPr="009D6440" w:rsidRDefault="00862E51" w:rsidP="00862E51">
      <w:pPr>
        <w:pStyle w:val="ListBullet"/>
      </w:pPr>
      <w:r w:rsidRPr="009D6440">
        <w:t>Do not send password protected files.</w:t>
      </w:r>
    </w:p>
    <w:p w14:paraId="2BDF6062" w14:textId="77777777" w:rsidR="00862E51" w:rsidRPr="009D6440" w:rsidRDefault="00862E51" w:rsidP="00862E51">
      <w:pPr>
        <w:pStyle w:val="ListBullet"/>
      </w:pPr>
      <w:r w:rsidRPr="009D6440">
        <w:t>Track changes, editing marks, hidden text and internal links should be removed from submissions.</w:t>
      </w:r>
    </w:p>
    <w:p w14:paraId="2BDF6063" w14:textId="77777777" w:rsidR="00862E51" w:rsidRDefault="00862E51" w:rsidP="00862E51">
      <w:pPr>
        <w:pStyle w:val="ListBullet"/>
      </w:pPr>
      <w:r w:rsidRPr="009D6440">
        <w:t>To minimise linking problems, type the full web address (for example, http://www.referred</w:t>
      </w:r>
      <w:r>
        <w:noBreakHyphen/>
      </w:r>
      <w:r w:rsidRPr="009D6440">
        <w:t>website.com/folder/file</w:t>
      </w:r>
      <w:r>
        <w:noBreakHyphen/>
      </w:r>
      <w:r w:rsidRPr="009D6440">
        <w:t>name.html).</w:t>
      </w:r>
    </w:p>
    <w:p w14:paraId="2BDF6064" w14:textId="77777777" w:rsidR="00862E51" w:rsidRDefault="00862E51" w:rsidP="00862E51">
      <w:pPr>
        <w:pStyle w:val="Heading3"/>
      </w:pPr>
      <w:r>
        <w:t>How to lodge a submission</w:t>
      </w:r>
    </w:p>
    <w:p w14:paraId="2BDF6065" w14:textId="77777777" w:rsidR="00862E51" w:rsidRDefault="00862E51" w:rsidP="00862E51">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621"/>
      </w:tblGrid>
      <w:tr w:rsidR="00AA4178" w14:paraId="2BDF6068" w14:textId="77777777" w:rsidTr="00687440">
        <w:tc>
          <w:tcPr>
            <w:tcW w:w="1384" w:type="dxa"/>
          </w:tcPr>
          <w:p w14:paraId="2BDF6066" w14:textId="77777777" w:rsidR="00AA4178" w:rsidRDefault="00862E51" w:rsidP="00AA4178">
            <w:pPr>
              <w:pStyle w:val="BodyText"/>
              <w:tabs>
                <w:tab w:val="left" w:pos="1701"/>
              </w:tabs>
              <w:spacing w:before="120"/>
            </w:pPr>
            <w:r>
              <w:t>Online</w:t>
            </w:r>
            <w:r w:rsidR="00AA4178">
              <w:t>*</w:t>
            </w:r>
          </w:p>
        </w:tc>
        <w:tc>
          <w:tcPr>
            <w:tcW w:w="7621" w:type="dxa"/>
          </w:tcPr>
          <w:p w14:paraId="2BDF6067" w14:textId="52A6EC09" w:rsidR="00AA4178" w:rsidRDefault="00E27EF6" w:rsidP="00862E51">
            <w:pPr>
              <w:pStyle w:val="BodyText"/>
              <w:tabs>
                <w:tab w:val="left" w:pos="1701"/>
              </w:tabs>
              <w:spacing w:before="120"/>
            </w:pPr>
            <w:r w:rsidRPr="00BC390A">
              <w:t>http://www.pc.gov.au/inquiries/current/superannuation/assessment</w:t>
            </w:r>
            <w:r w:rsidDel="00E27EF6">
              <w:t xml:space="preserve"> </w:t>
            </w:r>
          </w:p>
        </w:tc>
      </w:tr>
      <w:tr w:rsidR="00AA4178" w14:paraId="2BDF606B" w14:textId="77777777" w:rsidTr="00687440">
        <w:tc>
          <w:tcPr>
            <w:tcW w:w="1384" w:type="dxa"/>
          </w:tcPr>
          <w:p w14:paraId="2BDF6069" w14:textId="77777777" w:rsidR="00AA4178" w:rsidRDefault="00AA4178" w:rsidP="00AA4178">
            <w:pPr>
              <w:pStyle w:val="BodyText"/>
              <w:tabs>
                <w:tab w:val="left" w:pos="1701"/>
              </w:tabs>
              <w:spacing w:before="120"/>
            </w:pPr>
            <w:r>
              <w:t>Post</w:t>
            </w:r>
            <w:r w:rsidR="00862E51">
              <w:t>*</w:t>
            </w:r>
          </w:p>
        </w:tc>
        <w:tc>
          <w:tcPr>
            <w:tcW w:w="7621" w:type="dxa"/>
          </w:tcPr>
          <w:p w14:paraId="05AB18FB" w14:textId="77777777" w:rsidR="00E27EF6" w:rsidRPr="00E27EF6" w:rsidRDefault="00E27EF6" w:rsidP="00E27EF6">
            <w:pPr>
              <w:pStyle w:val="Box"/>
              <w:spacing w:before="60"/>
              <w:jc w:val="left"/>
              <w:rPr>
                <w:rFonts w:ascii="Times New Roman" w:hAnsi="Times New Roman"/>
                <w:sz w:val="24"/>
                <w:szCs w:val="24"/>
              </w:rPr>
            </w:pPr>
            <w:r w:rsidRPr="00E27EF6">
              <w:rPr>
                <w:rFonts w:ascii="Times New Roman" w:hAnsi="Times New Roman"/>
                <w:sz w:val="24"/>
                <w:szCs w:val="24"/>
              </w:rPr>
              <w:t>Superannuation</w:t>
            </w:r>
            <w:r w:rsidRPr="00E27EF6">
              <w:rPr>
                <w:rFonts w:ascii="Times New Roman" w:hAnsi="Times New Roman"/>
                <w:sz w:val="24"/>
                <w:szCs w:val="24"/>
              </w:rPr>
              <w:br/>
              <w:t>Productivity Commission</w:t>
            </w:r>
          </w:p>
          <w:p w14:paraId="6999C24D" w14:textId="77777777" w:rsidR="00E27EF6" w:rsidRPr="00875699" w:rsidRDefault="00E27EF6">
            <w:pPr>
              <w:pStyle w:val="Box"/>
              <w:spacing w:before="0"/>
              <w:jc w:val="left"/>
              <w:rPr>
                <w:szCs w:val="24"/>
              </w:rPr>
            </w:pPr>
            <w:r w:rsidRPr="00E27EF6">
              <w:rPr>
                <w:rFonts w:ascii="Times New Roman" w:hAnsi="Times New Roman"/>
                <w:sz w:val="24"/>
                <w:szCs w:val="24"/>
              </w:rPr>
              <w:t>Locked Bag 2, Collins St East</w:t>
            </w:r>
          </w:p>
          <w:p w14:paraId="2BDF606A" w14:textId="68B9EE35" w:rsidR="00AA4178" w:rsidRDefault="00E27EF6">
            <w:pPr>
              <w:pStyle w:val="Box"/>
              <w:spacing w:before="0"/>
              <w:jc w:val="left"/>
            </w:pPr>
            <w:r w:rsidRPr="00191CB3">
              <w:rPr>
                <w:rFonts w:ascii="Times New Roman" w:hAnsi="Times New Roman"/>
                <w:sz w:val="24"/>
                <w:szCs w:val="24"/>
              </w:rPr>
              <w:t>Melbourne VIC 8003</w:t>
            </w:r>
          </w:p>
        </w:tc>
      </w:tr>
    </w:tbl>
    <w:p w14:paraId="2BDF606C" w14:textId="77777777" w:rsidR="00862E51" w:rsidRDefault="00862E51" w:rsidP="00862E51">
      <w:pPr>
        <w:pStyle w:val="BodyText"/>
      </w:pPr>
      <w:r>
        <w:lastRenderedPageBreak/>
        <w:t>*</w:t>
      </w:r>
      <w:r w:rsidRPr="007354B8">
        <w:t xml:space="preserve"> </w:t>
      </w:r>
      <w:r>
        <w:t>If you do not receive notification of receipt of your submission to the Commission, please co</w:t>
      </w:r>
      <w:smartTag w:uri="urn:schemas-microsoft-com:office:smarttags" w:element="PersonName">
        <w:r>
          <w:t>nt</w:t>
        </w:r>
      </w:smartTag>
      <w:r>
        <w:t>act the Administrative Officer.</w:t>
      </w:r>
    </w:p>
    <w:p w14:paraId="2BDF606D" w14:textId="77777777" w:rsidR="00391500" w:rsidRPr="00391500" w:rsidRDefault="00391500" w:rsidP="00391500">
      <w:pPr>
        <w:pStyle w:val="Heading4"/>
      </w:pPr>
      <w:r w:rsidRPr="00391500">
        <w:t xml:space="preserve">Due date for </w:t>
      </w:r>
      <w:r w:rsidR="001F240D">
        <w:t xml:space="preserve">initial </w:t>
      </w:r>
      <w:r w:rsidRPr="00391500">
        <w:t>submissions</w:t>
      </w:r>
      <w:r w:rsidR="001F240D">
        <w:t xml:space="preserve"> and comments</w:t>
      </w:r>
    </w:p>
    <w:p w14:paraId="2BDF606E" w14:textId="3FF45865" w:rsidR="00391500" w:rsidRDefault="00391500" w:rsidP="00391500">
      <w:pPr>
        <w:pStyle w:val="BodyText"/>
      </w:pPr>
      <w:r>
        <w:t xml:space="preserve">Please send submissions to the Commission by </w:t>
      </w:r>
      <w:r w:rsidR="008C5438">
        <w:t>21 August 2017</w:t>
      </w:r>
      <w:r w:rsidRPr="00A516A2">
        <w:t>.</w:t>
      </w:r>
    </w:p>
    <w:sectPr w:rsidR="00391500" w:rsidSect="00DB6E0B">
      <w:headerReference w:type="even" r:id="rId43"/>
      <w:headerReference w:type="default" r:id="rId44"/>
      <w:footerReference w:type="even" r:id="rId45"/>
      <w:footerReference w:type="default" r:id="rId46"/>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A28DE" w14:textId="77777777" w:rsidR="00052A51" w:rsidRDefault="00052A51">
      <w:r>
        <w:separator/>
      </w:r>
    </w:p>
  </w:endnote>
  <w:endnote w:type="continuationSeparator" w:id="0">
    <w:p w14:paraId="20086A16" w14:textId="77777777" w:rsidR="00052A51" w:rsidRDefault="00052A51">
      <w:r>
        <w:continuationSeparator/>
      </w:r>
    </w:p>
  </w:endnote>
  <w:endnote w:type="continuationNotice" w:id="1">
    <w:p w14:paraId="453ACC85" w14:textId="77777777" w:rsidR="00052A51" w:rsidRDefault="00052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383E0" w14:textId="77777777" w:rsidR="008A12E5" w:rsidRDefault="008A12E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3B8DD" w14:textId="77777777" w:rsidR="00052A51" w:rsidRDefault="00052A5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620DA">
      <w:rPr>
        <w:rStyle w:val="PageNumber"/>
        <w:noProof/>
      </w:rPr>
      <w:t>6</w:t>
    </w:r>
    <w:r>
      <w:rPr>
        <w:rStyle w:val="PageNumber"/>
      </w:rPr>
      <w:fldChar w:fldCharType="end"/>
    </w:r>
  </w:p>
  <w:p w14:paraId="2687BDD8" w14:textId="77777777" w:rsidR="00052A51" w:rsidRDefault="00052A51">
    <w:pPr>
      <w:pStyle w:val="FooterEnd"/>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1A8AE" w14:textId="77777777" w:rsidR="00052A51" w:rsidRDefault="00052A5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A8401B">
      <w:rPr>
        <w:rStyle w:val="PageNumber"/>
        <w:noProof/>
      </w:rPr>
      <w:t>5</w:t>
    </w:r>
    <w:r>
      <w:rPr>
        <w:rStyle w:val="PageNumber"/>
      </w:rPr>
      <w:fldChar w:fldCharType="end"/>
    </w:r>
  </w:p>
  <w:p w14:paraId="1710DAC1" w14:textId="77777777" w:rsidR="00052A51" w:rsidRDefault="00052A51">
    <w:pPr>
      <w:pStyle w:val="Footer"/>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2A51" w14:paraId="49013577" w14:textId="77777777" w:rsidTr="005F48ED">
      <w:trPr>
        <w:trHeight w:hRule="exact" w:val="567"/>
      </w:trPr>
      <w:tc>
        <w:tcPr>
          <w:tcW w:w="510" w:type="dxa"/>
        </w:tcPr>
        <w:p w14:paraId="36698C23" w14:textId="77777777" w:rsidR="00052A51" w:rsidRPr="00A24443" w:rsidRDefault="00052A5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8401B">
            <w:rPr>
              <w:rStyle w:val="PageNumber"/>
              <w:caps w:val="0"/>
              <w:noProof/>
            </w:rPr>
            <w:t>10</w:t>
          </w:r>
          <w:r w:rsidRPr="00A24443">
            <w:rPr>
              <w:rStyle w:val="PageNumber"/>
              <w:caps w:val="0"/>
            </w:rPr>
            <w:fldChar w:fldCharType="end"/>
          </w:r>
        </w:p>
      </w:tc>
      <w:tc>
        <w:tcPr>
          <w:tcW w:w="7767" w:type="dxa"/>
        </w:tcPr>
        <w:p w14:paraId="0A31FD66" w14:textId="48FDB681" w:rsidR="00052A51" w:rsidRPr="0013739A" w:rsidRDefault="00052A51" w:rsidP="0013739A">
          <w:pPr>
            <w:pStyle w:val="Footer"/>
            <w:rPr>
              <w:rFonts w:cs="Arial"/>
            </w:rPr>
          </w:pPr>
          <w:bookmarkStart w:id="15" w:name="DraftReportEven"/>
          <w:bookmarkEnd w:id="15"/>
          <w:r>
            <w:rPr>
              <w:rFonts w:cs="Arial"/>
            </w:rPr>
            <w:t>ASSESSING COMPETITIVENESS AND EFFICIENCY OF THE SUPERANNUATION SYSTEM</w:t>
          </w:r>
        </w:p>
      </w:tc>
      <w:tc>
        <w:tcPr>
          <w:tcW w:w="510" w:type="dxa"/>
        </w:tcPr>
        <w:p w14:paraId="3AD2EDFF" w14:textId="77777777" w:rsidR="00052A51" w:rsidRDefault="00052A51" w:rsidP="0019293B">
          <w:pPr>
            <w:pStyle w:val="Footer"/>
          </w:pPr>
        </w:p>
      </w:tc>
    </w:tr>
  </w:tbl>
  <w:p w14:paraId="4E6CEA4D" w14:textId="77777777" w:rsidR="00052A51" w:rsidRDefault="00052A51" w:rsidP="0019293B">
    <w:pPr>
      <w:pStyle w:val="FooterEnd"/>
    </w:pPr>
  </w:p>
  <w:p w14:paraId="37978AC8" w14:textId="77777777" w:rsidR="00052A51" w:rsidRDefault="00052A51">
    <w:pPr>
      <w:pStyle w:val="FooterEnd"/>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2A51" w14:paraId="057E7780" w14:textId="77777777" w:rsidTr="005F48ED">
      <w:trPr>
        <w:trHeight w:hRule="exact" w:val="567"/>
      </w:trPr>
      <w:tc>
        <w:tcPr>
          <w:tcW w:w="510" w:type="dxa"/>
        </w:tcPr>
        <w:p w14:paraId="16112EE0" w14:textId="77777777" w:rsidR="00052A51" w:rsidRDefault="00052A51">
          <w:pPr>
            <w:pStyle w:val="Footer"/>
            <w:ind w:right="360" w:firstLine="360"/>
          </w:pPr>
        </w:p>
      </w:tc>
      <w:tc>
        <w:tcPr>
          <w:tcW w:w="7767" w:type="dxa"/>
        </w:tcPr>
        <w:p w14:paraId="2C4004D1" w14:textId="77E6F95F" w:rsidR="00052A51" w:rsidRPr="00BA5B14" w:rsidRDefault="00052A51" w:rsidP="00A072BF">
          <w:pPr>
            <w:pStyle w:val="Footer"/>
            <w:jc w:val="right"/>
            <w:rPr>
              <w:rFonts w:cs="Arial"/>
            </w:rPr>
          </w:pPr>
          <w:r>
            <w:rPr>
              <w:rFonts w:cs="Arial"/>
            </w:rPr>
            <w:t>Issues Paper</w:t>
          </w:r>
        </w:p>
      </w:tc>
      <w:tc>
        <w:tcPr>
          <w:tcW w:w="510" w:type="dxa"/>
        </w:tcPr>
        <w:p w14:paraId="2F059DAB" w14:textId="77777777" w:rsidR="00052A51" w:rsidRPr="00A24443" w:rsidRDefault="00052A5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8401B">
            <w:rPr>
              <w:rStyle w:val="PageNumber"/>
              <w:caps w:val="0"/>
              <w:noProof/>
            </w:rPr>
            <w:t>11</w:t>
          </w:r>
          <w:r w:rsidRPr="00A24443">
            <w:rPr>
              <w:rStyle w:val="PageNumber"/>
              <w:caps w:val="0"/>
            </w:rPr>
            <w:fldChar w:fldCharType="end"/>
          </w:r>
        </w:p>
      </w:tc>
    </w:tr>
  </w:tbl>
  <w:p w14:paraId="5FBB1CD3" w14:textId="77777777" w:rsidR="00052A51" w:rsidRDefault="00052A51">
    <w:pPr>
      <w:pStyle w:val="FooterEnd"/>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7E17C" w14:textId="371215BA" w:rsidR="00052A51" w:rsidRPr="00B25015" w:rsidRDefault="00052A51" w:rsidP="00152C9B">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8401B">
      <w:rPr>
        <w:rStyle w:val="PageNumber"/>
        <w:noProof/>
      </w:rPr>
      <w:t>36</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F7209" w14:textId="1C83E7C4" w:rsidR="00052A51" w:rsidRPr="00B25015" w:rsidRDefault="00052A51" w:rsidP="00152C9B">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8401B">
      <w:rPr>
        <w:rStyle w:val="PageNumber"/>
        <w:noProof/>
      </w:rPr>
      <w:t>35</w:t>
    </w:r>
    <w:r>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2A51" w14:paraId="2BDF60B9" w14:textId="77777777" w:rsidTr="005F48ED">
      <w:trPr>
        <w:trHeight w:hRule="exact" w:val="567"/>
      </w:trPr>
      <w:tc>
        <w:tcPr>
          <w:tcW w:w="510" w:type="dxa"/>
        </w:tcPr>
        <w:p w14:paraId="2BDF60B6" w14:textId="5761B194" w:rsidR="00052A51" w:rsidRPr="00A24443" w:rsidRDefault="00052A5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8401B">
            <w:rPr>
              <w:rStyle w:val="PageNumber"/>
              <w:caps w:val="0"/>
              <w:noProof/>
            </w:rPr>
            <w:t>40</w:t>
          </w:r>
          <w:r w:rsidRPr="00A24443">
            <w:rPr>
              <w:rStyle w:val="PageNumber"/>
              <w:caps w:val="0"/>
            </w:rPr>
            <w:fldChar w:fldCharType="end"/>
          </w:r>
        </w:p>
      </w:tc>
      <w:tc>
        <w:tcPr>
          <w:tcW w:w="7767" w:type="dxa"/>
        </w:tcPr>
        <w:p w14:paraId="2BDF60B7" w14:textId="561BE0F6" w:rsidR="00052A51" w:rsidRPr="0013739A" w:rsidRDefault="00052A51" w:rsidP="0013739A">
          <w:pPr>
            <w:pStyle w:val="Footer"/>
            <w:rPr>
              <w:rFonts w:cs="Arial"/>
            </w:rPr>
          </w:pPr>
          <w:r>
            <w:rPr>
              <w:rFonts w:cs="Arial"/>
            </w:rPr>
            <w:t>ASSESSING COMPETITIVENESS AND EFFICIENCY OF THE SUPERANNUATION SYSTEM</w:t>
          </w:r>
        </w:p>
      </w:tc>
      <w:tc>
        <w:tcPr>
          <w:tcW w:w="510" w:type="dxa"/>
        </w:tcPr>
        <w:p w14:paraId="2BDF60B8" w14:textId="77777777" w:rsidR="00052A51" w:rsidRDefault="00052A51" w:rsidP="0019293B">
          <w:pPr>
            <w:pStyle w:val="Footer"/>
          </w:pPr>
        </w:p>
      </w:tc>
    </w:tr>
  </w:tbl>
  <w:p w14:paraId="2BDF60BA" w14:textId="77777777" w:rsidR="00052A51" w:rsidRDefault="00052A51" w:rsidP="0019293B">
    <w:pPr>
      <w:pStyle w:val="FooterEnd"/>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2A51" w14:paraId="2BDF60BE" w14:textId="77777777" w:rsidTr="005F48ED">
      <w:trPr>
        <w:trHeight w:hRule="exact" w:val="567"/>
      </w:trPr>
      <w:tc>
        <w:tcPr>
          <w:tcW w:w="510" w:type="dxa"/>
        </w:tcPr>
        <w:p w14:paraId="2BDF60BB" w14:textId="77777777" w:rsidR="00052A51" w:rsidRDefault="00052A51">
          <w:pPr>
            <w:pStyle w:val="Footer"/>
            <w:ind w:right="360" w:firstLine="360"/>
          </w:pPr>
        </w:p>
      </w:tc>
      <w:tc>
        <w:tcPr>
          <w:tcW w:w="7767" w:type="dxa"/>
        </w:tcPr>
        <w:p w14:paraId="2BDF60BC" w14:textId="70BEC43E" w:rsidR="00052A51" w:rsidRPr="00BA5B14" w:rsidRDefault="00052A51" w:rsidP="0013739A">
          <w:pPr>
            <w:pStyle w:val="Footer"/>
            <w:jc w:val="right"/>
            <w:rPr>
              <w:rFonts w:cs="Arial"/>
            </w:rPr>
          </w:pPr>
          <w:r>
            <w:rPr>
              <w:rFonts w:cs="Arial"/>
            </w:rPr>
            <w:t>Issues Paper</w:t>
          </w:r>
        </w:p>
      </w:tc>
      <w:tc>
        <w:tcPr>
          <w:tcW w:w="510" w:type="dxa"/>
        </w:tcPr>
        <w:p w14:paraId="2BDF60BD" w14:textId="5BB5FEC3" w:rsidR="00052A51" w:rsidRPr="00A24443" w:rsidRDefault="00052A5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8401B">
            <w:rPr>
              <w:rStyle w:val="PageNumber"/>
              <w:caps w:val="0"/>
              <w:noProof/>
            </w:rPr>
            <w:t>37</w:t>
          </w:r>
          <w:r w:rsidRPr="00A24443">
            <w:rPr>
              <w:rStyle w:val="PageNumber"/>
              <w:caps w:val="0"/>
            </w:rPr>
            <w:fldChar w:fldCharType="end"/>
          </w:r>
        </w:p>
      </w:tc>
    </w:tr>
  </w:tbl>
  <w:p w14:paraId="2BDF60BF" w14:textId="77777777" w:rsidR="00052A51" w:rsidRDefault="00052A51">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2A51" w14:paraId="2BDF607A" w14:textId="77777777" w:rsidTr="005F48ED">
      <w:trPr>
        <w:trHeight w:hRule="exact" w:val="567"/>
      </w:trPr>
      <w:tc>
        <w:tcPr>
          <w:tcW w:w="510" w:type="dxa"/>
        </w:tcPr>
        <w:p w14:paraId="2BDF6077" w14:textId="77777777" w:rsidR="00052A51" w:rsidRDefault="00052A51">
          <w:pPr>
            <w:pStyle w:val="Footer"/>
            <w:ind w:right="360" w:firstLine="360"/>
          </w:pPr>
        </w:p>
      </w:tc>
      <w:tc>
        <w:tcPr>
          <w:tcW w:w="7767" w:type="dxa"/>
        </w:tcPr>
        <w:p w14:paraId="2BDF6078" w14:textId="77777777" w:rsidR="00052A51" w:rsidRPr="00BA5B14" w:rsidRDefault="00052A51"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 xml:space="preserve">Stage 3 Issues paper </w:t>
          </w:r>
          <w:r w:rsidRPr="00BA5B14">
            <w:rPr>
              <w:rFonts w:cs="Arial"/>
            </w:rPr>
            <w:fldChar w:fldCharType="end"/>
          </w:r>
        </w:p>
      </w:tc>
      <w:tc>
        <w:tcPr>
          <w:tcW w:w="510" w:type="dxa"/>
        </w:tcPr>
        <w:p w14:paraId="2BDF6079" w14:textId="4C09CD99" w:rsidR="00052A51" w:rsidRPr="00A24443" w:rsidRDefault="00052A51">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14:paraId="2BDF607B" w14:textId="77777777" w:rsidR="00052A51" w:rsidRDefault="00052A51">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47A7" w14:textId="77777777" w:rsidR="008A12E5" w:rsidRDefault="008A12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2A51" w14:paraId="2BDF6087" w14:textId="77777777" w:rsidTr="00152C9B">
      <w:trPr>
        <w:trHeight w:hRule="exact" w:val="567"/>
      </w:trPr>
      <w:tc>
        <w:tcPr>
          <w:tcW w:w="510" w:type="dxa"/>
        </w:tcPr>
        <w:p w14:paraId="2BDF6084" w14:textId="77777777" w:rsidR="00052A51" w:rsidRPr="00A24443" w:rsidRDefault="00052A51" w:rsidP="00152C9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8401B">
            <w:rPr>
              <w:rStyle w:val="PageNumber"/>
              <w:caps w:val="0"/>
              <w:noProof/>
            </w:rPr>
            <w:t>iv</w:t>
          </w:r>
          <w:r w:rsidRPr="00A24443">
            <w:rPr>
              <w:rStyle w:val="PageNumber"/>
              <w:caps w:val="0"/>
            </w:rPr>
            <w:fldChar w:fldCharType="end"/>
          </w:r>
        </w:p>
      </w:tc>
      <w:tc>
        <w:tcPr>
          <w:tcW w:w="7767" w:type="dxa"/>
        </w:tcPr>
        <w:p w14:paraId="2BDF6085" w14:textId="3936FBA8" w:rsidR="00052A51" w:rsidRPr="0013739A" w:rsidRDefault="008A12E5" w:rsidP="00152C9B">
          <w:pPr>
            <w:pStyle w:val="Footer"/>
            <w:rPr>
              <w:rFonts w:cs="Arial"/>
            </w:rPr>
          </w:pPr>
          <w:r>
            <w:rPr>
              <w:rFonts w:cs="Arial"/>
            </w:rPr>
            <w:fldChar w:fldCharType="begin"/>
          </w:r>
          <w:r>
            <w:rPr>
              <w:rFonts w:cs="Arial"/>
            </w:rPr>
            <w:instrText xml:space="preserve"> TITLE   \* MERGEFORMAT </w:instrText>
          </w:r>
          <w:r>
            <w:rPr>
              <w:rFonts w:cs="Arial"/>
            </w:rPr>
            <w:fldChar w:fldCharType="separate"/>
          </w:r>
          <w:r>
            <w:rPr>
              <w:rFonts w:cs="Arial"/>
            </w:rPr>
            <w:t>ASSESSING COMPETITIVENESS AND EFFICIENCY OF THE SUPERANNUATION SYSTEM</w:t>
          </w:r>
          <w:r>
            <w:rPr>
              <w:rFonts w:cs="Arial"/>
            </w:rPr>
            <w:fldChar w:fldCharType="end"/>
          </w:r>
        </w:p>
      </w:tc>
      <w:tc>
        <w:tcPr>
          <w:tcW w:w="510" w:type="dxa"/>
        </w:tcPr>
        <w:p w14:paraId="2BDF6086" w14:textId="77777777" w:rsidR="00052A51" w:rsidRDefault="00052A51" w:rsidP="00152C9B">
          <w:pPr>
            <w:pStyle w:val="Footer"/>
          </w:pPr>
        </w:p>
      </w:tc>
    </w:tr>
  </w:tbl>
  <w:p w14:paraId="2BDF6088" w14:textId="77777777" w:rsidR="00052A51" w:rsidRDefault="00052A51" w:rsidP="009F6FCD">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2A51" w14:paraId="2BDF608C" w14:textId="77777777" w:rsidTr="005F48ED">
      <w:trPr>
        <w:trHeight w:hRule="exact" w:val="567"/>
      </w:trPr>
      <w:tc>
        <w:tcPr>
          <w:tcW w:w="510" w:type="dxa"/>
        </w:tcPr>
        <w:p w14:paraId="2BDF6089" w14:textId="77777777" w:rsidR="00052A51" w:rsidRDefault="00052A51">
          <w:pPr>
            <w:pStyle w:val="Footer"/>
            <w:ind w:right="360" w:firstLine="360"/>
          </w:pPr>
        </w:p>
      </w:tc>
      <w:tc>
        <w:tcPr>
          <w:tcW w:w="7767" w:type="dxa"/>
        </w:tcPr>
        <w:p w14:paraId="2BDF608A" w14:textId="11E164DB" w:rsidR="00052A51" w:rsidRPr="00BA5B14" w:rsidRDefault="008A12E5" w:rsidP="00A67D89">
          <w:pPr>
            <w:pStyle w:val="Footer"/>
            <w:jc w:val="right"/>
            <w:rPr>
              <w:rFonts w:cs="Arial"/>
            </w:rPr>
          </w:pPr>
          <w:r>
            <w:rPr>
              <w:rFonts w:cs="Arial"/>
            </w:rPr>
            <w:t>Issues Paper</w:t>
          </w:r>
        </w:p>
      </w:tc>
      <w:tc>
        <w:tcPr>
          <w:tcW w:w="510" w:type="dxa"/>
        </w:tcPr>
        <w:p w14:paraId="2BDF608B" w14:textId="5F40ED2B" w:rsidR="00052A51" w:rsidRPr="00A24443" w:rsidRDefault="00052A51">
          <w:pPr>
            <w:pStyle w:val="Footer"/>
            <w:jc w:val="right"/>
            <w:rPr>
              <w:caps w:val="0"/>
            </w:rPr>
          </w:pPr>
          <w:r>
            <w:rPr>
              <w:rStyle w:val="PageNumber"/>
              <w:caps w:val="0"/>
            </w:rPr>
            <w:fldChar w:fldCharType="begin"/>
          </w:r>
          <w:r>
            <w:rPr>
              <w:rStyle w:val="PageNumber"/>
              <w:caps w:val="0"/>
            </w:rPr>
            <w:instrText xml:space="preserve"> PAGE  \* roman </w:instrText>
          </w:r>
          <w:r>
            <w:rPr>
              <w:rStyle w:val="PageNumber"/>
              <w:caps w:val="0"/>
            </w:rPr>
            <w:fldChar w:fldCharType="separate"/>
          </w:r>
          <w:r w:rsidR="00A8401B">
            <w:rPr>
              <w:rStyle w:val="PageNumber"/>
              <w:caps w:val="0"/>
              <w:noProof/>
            </w:rPr>
            <w:t>v</w:t>
          </w:r>
          <w:r>
            <w:rPr>
              <w:rStyle w:val="PageNumber"/>
              <w:caps w:val="0"/>
            </w:rPr>
            <w:fldChar w:fldCharType="end"/>
          </w:r>
        </w:p>
      </w:tc>
    </w:tr>
  </w:tbl>
  <w:p w14:paraId="2BDF608D" w14:textId="77777777" w:rsidR="00052A51" w:rsidRDefault="00052A51">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2A51" w14:paraId="2BDF6099" w14:textId="77777777" w:rsidTr="005F48ED">
      <w:trPr>
        <w:trHeight w:hRule="exact" w:val="567"/>
      </w:trPr>
      <w:tc>
        <w:tcPr>
          <w:tcW w:w="510" w:type="dxa"/>
        </w:tcPr>
        <w:p w14:paraId="2BDF6096" w14:textId="00305BDC" w:rsidR="00052A51" w:rsidRPr="00A24443" w:rsidRDefault="00052A5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8401B">
            <w:rPr>
              <w:rStyle w:val="PageNumber"/>
              <w:caps w:val="0"/>
              <w:noProof/>
            </w:rPr>
            <w:t>vi</w:t>
          </w:r>
          <w:r w:rsidRPr="00A24443">
            <w:rPr>
              <w:rStyle w:val="PageNumber"/>
              <w:caps w:val="0"/>
            </w:rPr>
            <w:fldChar w:fldCharType="end"/>
          </w:r>
        </w:p>
      </w:tc>
      <w:tc>
        <w:tcPr>
          <w:tcW w:w="7767" w:type="dxa"/>
        </w:tcPr>
        <w:p w14:paraId="2BDF6097" w14:textId="4BE23AC9" w:rsidR="00052A51" w:rsidRPr="0013739A" w:rsidRDefault="00052A51" w:rsidP="0013739A">
          <w:pPr>
            <w:pStyle w:val="Footer"/>
            <w:rPr>
              <w:rFonts w:cs="Arial"/>
            </w:rPr>
          </w:pPr>
          <w:r>
            <w:rPr>
              <w:rFonts w:cs="Arial"/>
            </w:rPr>
            <w:t>Assessing Competitiveness and Efficiency of the SUperannuation System</w:t>
          </w:r>
        </w:p>
      </w:tc>
      <w:tc>
        <w:tcPr>
          <w:tcW w:w="510" w:type="dxa"/>
        </w:tcPr>
        <w:p w14:paraId="2BDF6098" w14:textId="77777777" w:rsidR="00052A51" w:rsidRDefault="00052A51" w:rsidP="0019293B">
          <w:pPr>
            <w:pStyle w:val="Footer"/>
          </w:pPr>
        </w:p>
      </w:tc>
    </w:tr>
  </w:tbl>
  <w:p w14:paraId="2BDF609A" w14:textId="77777777" w:rsidR="00052A51" w:rsidRDefault="00052A51"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2A51" w14:paraId="2BDF609E" w14:textId="77777777" w:rsidTr="005F48ED">
      <w:trPr>
        <w:trHeight w:hRule="exact" w:val="567"/>
      </w:trPr>
      <w:tc>
        <w:tcPr>
          <w:tcW w:w="510" w:type="dxa"/>
        </w:tcPr>
        <w:p w14:paraId="2BDF609B" w14:textId="77777777" w:rsidR="00052A51" w:rsidRDefault="00052A51">
          <w:pPr>
            <w:pStyle w:val="Footer"/>
            <w:ind w:right="360" w:firstLine="360"/>
          </w:pPr>
        </w:p>
      </w:tc>
      <w:tc>
        <w:tcPr>
          <w:tcW w:w="7767" w:type="dxa"/>
        </w:tcPr>
        <w:p w14:paraId="2BDF609C" w14:textId="40F604B7" w:rsidR="00052A51" w:rsidRPr="00BA5B14" w:rsidRDefault="00052A51" w:rsidP="00A072BF">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 xml:space="preserve">Stage 3 Issues paper </w:t>
          </w:r>
          <w:r w:rsidRPr="00BA5B14">
            <w:rPr>
              <w:rFonts w:cs="Arial"/>
            </w:rPr>
            <w:fldChar w:fldCharType="end"/>
          </w:r>
        </w:p>
      </w:tc>
      <w:tc>
        <w:tcPr>
          <w:tcW w:w="510" w:type="dxa"/>
        </w:tcPr>
        <w:p w14:paraId="2BDF609D" w14:textId="68E411D5" w:rsidR="00052A51" w:rsidRPr="00A24443" w:rsidRDefault="00052A5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9</w:t>
          </w:r>
          <w:r w:rsidRPr="00A24443">
            <w:rPr>
              <w:rStyle w:val="PageNumber"/>
              <w:caps w:val="0"/>
            </w:rPr>
            <w:fldChar w:fldCharType="end"/>
          </w:r>
        </w:p>
      </w:tc>
    </w:tr>
  </w:tbl>
  <w:p w14:paraId="2BDF609F" w14:textId="77777777" w:rsidR="00052A51" w:rsidRDefault="00052A51">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2A51" w14:paraId="3EA3CA99" w14:textId="77777777" w:rsidTr="005F48ED">
      <w:trPr>
        <w:trHeight w:hRule="exact" w:val="567"/>
      </w:trPr>
      <w:tc>
        <w:tcPr>
          <w:tcW w:w="510" w:type="dxa"/>
        </w:tcPr>
        <w:p w14:paraId="590EC8F4" w14:textId="77777777" w:rsidR="00052A51" w:rsidRPr="00A24443" w:rsidRDefault="00052A5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8401B">
            <w:rPr>
              <w:rStyle w:val="PageNumber"/>
              <w:caps w:val="0"/>
              <w:noProof/>
            </w:rPr>
            <w:t>4</w:t>
          </w:r>
          <w:r w:rsidRPr="00A24443">
            <w:rPr>
              <w:rStyle w:val="PageNumber"/>
              <w:caps w:val="0"/>
            </w:rPr>
            <w:fldChar w:fldCharType="end"/>
          </w:r>
        </w:p>
      </w:tc>
      <w:tc>
        <w:tcPr>
          <w:tcW w:w="7767" w:type="dxa"/>
        </w:tcPr>
        <w:p w14:paraId="274026F0" w14:textId="1CB4FF1D" w:rsidR="00052A51" w:rsidRPr="0013739A" w:rsidRDefault="00052A51" w:rsidP="0013739A">
          <w:pPr>
            <w:pStyle w:val="Footer"/>
            <w:rPr>
              <w:rFonts w:cs="Arial"/>
            </w:rPr>
          </w:pPr>
          <w:r>
            <w:rPr>
              <w:rFonts w:cs="Arial"/>
            </w:rPr>
            <w:t>ASSESSING COMPETITIVENESS AND EFFICIENCY OF THE SUPERANNUATION SYSTEM</w:t>
          </w:r>
        </w:p>
      </w:tc>
      <w:tc>
        <w:tcPr>
          <w:tcW w:w="510" w:type="dxa"/>
        </w:tcPr>
        <w:p w14:paraId="6322870C" w14:textId="77777777" w:rsidR="00052A51" w:rsidRDefault="00052A51" w:rsidP="0019293B">
          <w:pPr>
            <w:pStyle w:val="Footer"/>
          </w:pPr>
        </w:p>
      </w:tc>
    </w:tr>
  </w:tbl>
  <w:p w14:paraId="2CA0375C" w14:textId="77777777" w:rsidR="00052A51" w:rsidRDefault="00052A51" w:rsidP="0019293B">
    <w:pPr>
      <w:pStyle w:val="FooterEnd"/>
    </w:pPr>
  </w:p>
  <w:p w14:paraId="19788DDB" w14:textId="77777777" w:rsidR="00052A51" w:rsidRDefault="00052A51">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52A51" w14:paraId="2B515065" w14:textId="77777777" w:rsidTr="005F48ED">
      <w:trPr>
        <w:trHeight w:hRule="exact" w:val="567"/>
      </w:trPr>
      <w:tc>
        <w:tcPr>
          <w:tcW w:w="510" w:type="dxa"/>
        </w:tcPr>
        <w:p w14:paraId="6F20B06C" w14:textId="77777777" w:rsidR="00052A51" w:rsidRDefault="00052A51">
          <w:pPr>
            <w:pStyle w:val="Footer"/>
            <w:ind w:right="360" w:firstLine="360"/>
          </w:pPr>
        </w:p>
      </w:tc>
      <w:tc>
        <w:tcPr>
          <w:tcW w:w="7767" w:type="dxa"/>
        </w:tcPr>
        <w:p w14:paraId="541D0E81" w14:textId="5F7CE0DD" w:rsidR="00052A51" w:rsidRPr="00BA5B14" w:rsidRDefault="00052A51" w:rsidP="0013739A">
          <w:pPr>
            <w:pStyle w:val="Footer"/>
            <w:jc w:val="right"/>
            <w:rPr>
              <w:rFonts w:cs="Arial"/>
            </w:rPr>
          </w:pPr>
          <w:r>
            <w:rPr>
              <w:rFonts w:cs="Arial"/>
            </w:rPr>
            <w:t>Issues Paper</w:t>
          </w:r>
        </w:p>
      </w:tc>
      <w:tc>
        <w:tcPr>
          <w:tcW w:w="510" w:type="dxa"/>
        </w:tcPr>
        <w:p w14:paraId="79C23AA9" w14:textId="77777777" w:rsidR="00052A51" w:rsidRPr="00A24443" w:rsidRDefault="00052A5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8401B">
            <w:rPr>
              <w:rStyle w:val="PageNumber"/>
              <w:caps w:val="0"/>
              <w:noProof/>
            </w:rPr>
            <w:t>3</w:t>
          </w:r>
          <w:r w:rsidRPr="00A24443">
            <w:rPr>
              <w:rStyle w:val="PageNumber"/>
              <w:caps w:val="0"/>
            </w:rPr>
            <w:fldChar w:fldCharType="end"/>
          </w:r>
        </w:p>
      </w:tc>
    </w:tr>
  </w:tbl>
  <w:p w14:paraId="6985F4DA" w14:textId="77777777" w:rsidR="00052A51" w:rsidRDefault="00052A51">
    <w:pPr>
      <w:pStyle w:val="FooterEnd"/>
    </w:pPr>
  </w:p>
  <w:p w14:paraId="530F37F2" w14:textId="77777777" w:rsidR="00052A51" w:rsidRDefault="00052A51">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524E0" w14:textId="77777777" w:rsidR="00052A51" w:rsidRDefault="00052A51">
      <w:r>
        <w:separator/>
      </w:r>
    </w:p>
  </w:footnote>
  <w:footnote w:type="continuationSeparator" w:id="0">
    <w:p w14:paraId="19F9CE04" w14:textId="77777777" w:rsidR="00052A51" w:rsidRDefault="00052A51">
      <w:r>
        <w:continuationSeparator/>
      </w:r>
    </w:p>
  </w:footnote>
  <w:footnote w:type="continuationNotice" w:id="1">
    <w:p w14:paraId="6E37E29A" w14:textId="77777777" w:rsidR="00052A51" w:rsidRDefault="00052A51"/>
  </w:footnote>
  <w:footnote w:id="2">
    <w:p w14:paraId="15B5742F" w14:textId="77777777" w:rsidR="00052A51" w:rsidRDefault="00052A51" w:rsidP="00052A51">
      <w:pPr>
        <w:pStyle w:val="FootnoteText"/>
      </w:pPr>
      <w:r w:rsidRPr="00FC3FE9">
        <w:rPr>
          <w:rStyle w:val="FootnoteReference"/>
        </w:rPr>
        <w:footnoteRef/>
      </w:r>
      <w:r>
        <w:tab/>
        <w:t>In its draft report, the Commission also flagged that it was undertaking an experimental survey of members to add to its evidence base to inform the assessment and refinement of the alternative models. The results from that survey have now been published on the Commission’s website.</w:t>
      </w:r>
    </w:p>
  </w:footnote>
  <w:footnote w:id="3">
    <w:p w14:paraId="0B2637AA" w14:textId="6F55852E" w:rsidR="00052A51" w:rsidRDefault="00052A51" w:rsidP="0025238E">
      <w:pPr>
        <w:pStyle w:val="FootnoteText"/>
      </w:pPr>
      <w:r w:rsidRPr="00FC3FE9">
        <w:rPr>
          <w:rStyle w:val="FootnoteReference"/>
        </w:rPr>
        <w:footnoteRef/>
      </w:r>
      <w:r>
        <w:tab/>
        <w:t xml:space="preserve">For example, the Commission is monitoring the implementation and effect of the RG97 disclosure standards and the ongoing work and consultation of the Insurance in Superannuation Working Group to develop a Code of Practice for insurance. The Commission will also draw on the work recently undertaken by ASIC </w:t>
      </w:r>
      <w:r>
        <w:fldChar w:fldCharType="begin"/>
      </w:r>
      <w:r>
        <w:instrText xml:space="preserve"> ADDIN ZOTERO_ITEM CSL_CITATION {"citationID":"ojecvk1nk","properties":{"formattedCitation":"(2017)","plainCitation":"(2017)"},"citationItems":[{"id":4191,"uris":["http://zotero.org/groups/447740/items/U739CATM"],"uri":["http://zotero.org/groups/447740/items/U739CATM"],"itemData":{"id":4191,"type":"report","title":"Member experience of superannuation","publisher-place":"Sydney","event-place":"Sydney","number":"529","author":[{"literal":"Australian Securities and Investments Commission"}],"issued":{"date-parts":[["2017"]]}},"suppress-author":true}],"schema":"https://github.com/citation-style-language/schema/raw/master/csl-citation.json"} </w:instrText>
      </w:r>
      <w:r>
        <w:fldChar w:fldCharType="separate"/>
      </w:r>
      <w:r w:rsidRPr="009D28E9">
        <w:t>(2017)</w:t>
      </w:r>
      <w:r>
        <w:fldChar w:fldCharType="end"/>
      </w:r>
      <w:r>
        <w:t xml:space="preserve"> on member experience in superannuation.</w:t>
      </w:r>
    </w:p>
  </w:footnote>
  <w:footnote w:id="4">
    <w:p w14:paraId="0817CE66" w14:textId="43B1345B" w:rsidR="00052A51" w:rsidRDefault="00052A51">
      <w:pPr>
        <w:pStyle w:val="FootnoteText"/>
      </w:pPr>
      <w:r w:rsidRPr="00FC3FE9">
        <w:rPr>
          <w:rStyle w:val="FootnoteReference"/>
        </w:rPr>
        <w:footnoteRef/>
      </w:r>
      <w:r>
        <w:tab/>
        <w:t xml:space="preserve">The stage 1 report also discussed several approaches used in the literature to estimate scale economies.  </w:t>
      </w:r>
    </w:p>
  </w:footnote>
  <w:footnote w:id="5">
    <w:p w14:paraId="67DC0426" w14:textId="04F7616B" w:rsidR="00052A51" w:rsidRDefault="00052A51">
      <w:pPr>
        <w:pStyle w:val="FootnoteText"/>
      </w:pPr>
      <w:r w:rsidRPr="00FC3FE9">
        <w:rPr>
          <w:rStyle w:val="FootnoteReference"/>
        </w:rPr>
        <w:footnoteRef/>
      </w:r>
      <w:r>
        <w:tab/>
        <w:t>In its stage 2 report, the Commission recommended that members are defaulted into a product once, on joining the workforce and remain in that product unless they actively choose to switch — a first-timer defaulting approach.</w:t>
      </w:r>
    </w:p>
  </w:footnote>
  <w:footnote w:id="6">
    <w:p w14:paraId="4F070BDF" w14:textId="2AA8B27D" w:rsidR="00052A51" w:rsidRDefault="00052A51" w:rsidP="001C5DCF">
      <w:pPr>
        <w:pStyle w:val="FootnoteText"/>
        <w:spacing w:before="40"/>
      </w:pPr>
      <w:r w:rsidRPr="00FC3FE9">
        <w:rPr>
          <w:rStyle w:val="FootnoteReference"/>
        </w:rPr>
        <w:footnoteRef/>
      </w:r>
      <w:r>
        <w:tab/>
        <w:t xml:space="preserve">This assessment framework is a direct and unchanged excerpt from the stage 1 final report </w:t>
      </w:r>
      <w:r>
        <w:fldChar w:fldCharType="begin"/>
      </w:r>
      <w:r>
        <w:instrText xml:space="preserve"> ADDIN ZOTERO_ITEM CSL_CITATION {"citationID":"29l5b6amhd","properties":{"formattedCitation":"{\\rtf (PC\\uc0\\u160{}2016)}","plainCitation":"(PC 2016)"},"citationItems":[{"id":3917,"uris":["http://zotero.org/groups/164861/items/A4FS4NWV"],"uri":["http://zotero.org/groups/164861/items/A4FS4NWV"],"itemData":{"id":3917,"type":"report","title":"How to Assess the Competitiveness and Efficiency of the Superannuation System","publisher-place":"Canberra","genre":"Research Report","event-place":"Canberra","author":[{"literal":"Productivity Commission"}],"translator":[{"literal":"PC"}],"issued":{"date-parts":[["2016"]]}}}],"schema":"https://github.com/citation-style-language/schema/raw/master/csl-citation.json"} </w:instrText>
      </w:r>
      <w:r>
        <w:fldChar w:fldCharType="separate"/>
      </w:r>
      <w:r w:rsidRPr="00687440">
        <w:rPr>
          <w:szCs w:val="24"/>
        </w:rPr>
        <w:t>(PC 2016)</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3AC5F" w14:textId="77777777" w:rsidR="008A12E5" w:rsidRDefault="008A12E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ABA2F" w14:textId="77777777" w:rsidR="00052A51" w:rsidRDefault="00052A51">
    <w:pPr>
      <w:pStyle w:val="HeaderEn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ED87A" w14:textId="77777777" w:rsidR="00052A51" w:rsidRDefault="00052A51">
    <w:pPr>
      <w:pStyle w:val="HeaderEn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052A51" w14:paraId="355BFC40" w14:textId="77777777">
      <w:tc>
        <w:tcPr>
          <w:tcW w:w="2155" w:type="dxa"/>
          <w:tcBorders>
            <w:top w:val="single" w:sz="24" w:space="0" w:color="auto"/>
          </w:tcBorders>
        </w:tcPr>
        <w:p w14:paraId="48615122" w14:textId="77777777" w:rsidR="00052A51" w:rsidRDefault="00052A51" w:rsidP="0019293B">
          <w:pPr>
            <w:pStyle w:val="HeaderEven"/>
          </w:pPr>
        </w:p>
      </w:tc>
      <w:tc>
        <w:tcPr>
          <w:tcW w:w="6634" w:type="dxa"/>
          <w:tcBorders>
            <w:top w:val="single" w:sz="6" w:space="0" w:color="auto"/>
          </w:tcBorders>
        </w:tcPr>
        <w:p w14:paraId="5872560C" w14:textId="46601DE6" w:rsidR="00052A51" w:rsidRDefault="00052A51" w:rsidP="0019293B">
          <w:pPr>
            <w:pStyle w:val="HeaderEven"/>
          </w:pPr>
        </w:p>
      </w:tc>
    </w:tr>
  </w:tbl>
  <w:p w14:paraId="24E900B0" w14:textId="77777777" w:rsidR="00052A51" w:rsidRDefault="00052A51" w:rsidP="0019293B">
    <w:pPr>
      <w:pStyle w:val="HeaderEnd"/>
    </w:pPr>
  </w:p>
  <w:p w14:paraId="5F9C69B0" w14:textId="77777777" w:rsidR="00052A51" w:rsidRDefault="00052A51">
    <w:pPr>
      <w:pStyle w:val="HeaderEnd"/>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52A51" w14:paraId="122B8088" w14:textId="77777777" w:rsidTr="00FD73D5">
      <w:tc>
        <w:tcPr>
          <w:tcW w:w="6634" w:type="dxa"/>
          <w:tcBorders>
            <w:top w:val="single" w:sz="6" w:space="0" w:color="auto"/>
            <w:bottom w:val="nil"/>
          </w:tcBorders>
        </w:tcPr>
        <w:p w14:paraId="77018608" w14:textId="7DAF36B0" w:rsidR="00052A51" w:rsidRDefault="00052A51" w:rsidP="001C5DCF">
          <w:pPr>
            <w:pStyle w:val="HeaderOdd"/>
          </w:pPr>
        </w:p>
      </w:tc>
      <w:tc>
        <w:tcPr>
          <w:tcW w:w="2155" w:type="dxa"/>
          <w:tcBorders>
            <w:top w:val="single" w:sz="24" w:space="0" w:color="auto"/>
            <w:bottom w:val="nil"/>
          </w:tcBorders>
        </w:tcPr>
        <w:p w14:paraId="107FCEC1" w14:textId="77777777" w:rsidR="00052A51" w:rsidRDefault="00052A51" w:rsidP="00687440">
          <w:pPr>
            <w:pStyle w:val="HeaderOdd"/>
          </w:pPr>
        </w:p>
      </w:tc>
    </w:tr>
  </w:tbl>
  <w:p w14:paraId="29EEA0A6" w14:textId="77777777" w:rsidR="00052A51" w:rsidRDefault="00052A51" w:rsidP="00E669E2">
    <w:pPr>
      <w:pStyle w:val="HeaderEn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58C1D" w14:textId="77777777" w:rsidR="00052A51" w:rsidRPr="00B25015" w:rsidRDefault="00052A51" w:rsidP="00152C9B">
    <w:pPr>
      <w:pStyle w:val="Header"/>
      <w:spacing w:line="20"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6B769" w14:textId="77777777" w:rsidR="00052A51" w:rsidRPr="00B25015" w:rsidRDefault="00052A51" w:rsidP="00152C9B">
    <w:pPr>
      <w:pStyle w:val="Header"/>
      <w:spacing w:line="20"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052A51" w14:paraId="2BDF60B0" w14:textId="77777777">
      <w:tc>
        <w:tcPr>
          <w:tcW w:w="2155" w:type="dxa"/>
          <w:tcBorders>
            <w:top w:val="single" w:sz="24" w:space="0" w:color="auto"/>
          </w:tcBorders>
        </w:tcPr>
        <w:p w14:paraId="2BDF60AE" w14:textId="77777777" w:rsidR="00052A51" w:rsidRDefault="00052A51" w:rsidP="0019293B">
          <w:pPr>
            <w:pStyle w:val="HeaderEven"/>
          </w:pPr>
        </w:p>
      </w:tc>
      <w:tc>
        <w:tcPr>
          <w:tcW w:w="6634" w:type="dxa"/>
          <w:tcBorders>
            <w:top w:val="single" w:sz="6" w:space="0" w:color="auto"/>
          </w:tcBorders>
        </w:tcPr>
        <w:p w14:paraId="2BDF60AF" w14:textId="77777777" w:rsidR="00052A51" w:rsidRDefault="00052A51" w:rsidP="0019293B">
          <w:pPr>
            <w:pStyle w:val="HeaderEven"/>
          </w:pPr>
        </w:p>
      </w:tc>
    </w:tr>
  </w:tbl>
  <w:p w14:paraId="2BDF60B1" w14:textId="77777777" w:rsidR="00052A51" w:rsidRDefault="00052A51" w:rsidP="0019293B">
    <w:pPr>
      <w:pStyle w:val="HeaderEnd"/>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52A51" w14:paraId="2BDF60B4" w14:textId="77777777">
      <w:tc>
        <w:tcPr>
          <w:tcW w:w="6634" w:type="dxa"/>
          <w:tcBorders>
            <w:top w:val="single" w:sz="6" w:space="0" w:color="auto"/>
          </w:tcBorders>
        </w:tcPr>
        <w:p w14:paraId="2BDF60B2" w14:textId="77777777" w:rsidR="00052A51" w:rsidRDefault="00052A51" w:rsidP="00E669E2">
          <w:pPr>
            <w:pStyle w:val="HeaderOdd"/>
          </w:pPr>
        </w:p>
      </w:tc>
      <w:tc>
        <w:tcPr>
          <w:tcW w:w="2155" w:type="dxa"/>
          <w:tcBorders>
            <w:top w:val="single" w:sz="24" w:space="0" w:color="auto"/>
          </w:tcBorders>
        </w:tcPr>
        <w:p w14:paraId="2BDF60B3" w14:textId="77777777" w:rsidR="00052A51" w:rsidRDefault="00052A51" w:rsidP="00E669E2">
          <w:pPr>
            <w:pStyle w:val="HeaderOdd"/>
          </w:pPr>
        </w:p>
      </w:tc>
    </w:tr>
  </w:tbl>
  <w:p w14:paraId="2BDF60B5" w14:textId="77777777" w:rsidR="00052A51" w:rsidRDefault="00052A51"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52A51" w14:paraId="2BDF6075" w14:textId="77777777">
      <w:tc>
        <w:tcPr>
          <w:tcW w:w="6634" w:type="dxa"/>
          <w:tcBorders>
            <w:top w:val="single" w:sz="6" w:space="0" w:color="auto"/>
          </w:tcBorders>
        </w:tcPr>
        <w:p w14:paraId="2BDF6073" w14:textId="77777777" w:rsidR="00052A51" w:rsidRDefault="00052A51" w:rsidP="00E669E2">
          <w:pPr>
            <w:pStyle w:val="HeaderOdd"/>
          </w:pPr>
        </w:p>
      </w:tc>
      <w:tc>
        <w:tcPr>
          <w:tcW w:w="2155" w:type="dxa"/>
          <w:tcBorders>
            <w:top w:val="single" w:sz="24" w:space="0" w:color="auto"/>
          </w:tcBorders>
        </w:tcPr>
        <w:p w14:paraId="2BDF6074" w14:textId="77777777" w:rsidR="00052A51" w:rsidRDefault="00052A51" w:rsidP="00E669E2">
          <w:pPr>
            <w:pStyle w:val="HeaderOdd"/>
          </w:pPr>
        </w:p>
      </w:tc>
    </w:tr>
  </w:tbl>
  <w:p w14:paraId="2BDF6076" w14:textId="77777777" w:rsidR="00052A51" w:rsidRDefault="00052A51"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48550" w14:textId="77777777" w:rsidR="008A12E5" w:rsidRDefault="008A12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052A51" w14:paraId="2BDF607E" w14:textId="77777777" w:rsidTr="00152C9B">
      <w:tc>
        <w:tcPr>
          <w:tcW w:w="2155" w:type="dxa"/>
          <w:tcBorders>
            <w:top w:val="single" w:sz="24" w:space="0" w:color="auto"/>
          </w:tcBorders>
        </w:tcPr>
        <w:p w14:paraId="2BDF607C" w14:textId="77777777" w:rsidR="00052A51" w:rsidRDefault="00052A51" w:rsidP="00152C9B">
          <w:pPr>
            <w:pStyle w:val="HeaderEven"/>
          </w:pPr>
        </w:p>
      </w:tc>
      <w:tc>
        <w:tcPr>
          <w:tcW w:w="6634" w:type="dxa"/>
          <w:tcBorders>
            <w:top w:val="single" w:sz="6" w:space="0" w:color="auto"/>
          </w:tcBorders>
        </w:tcPr>
        <w:p w14:paraId="2BDF607D" w14:textId="77777777" w:rsidR="00052A51" w:rsidRDefault="00052A51" w:rsidP="00152C9B">
          <w:pPr>
            <w:pStyle w:val="HeaderEven"/>
          </w:pPr>
        </w:p>
      </w:tc>
    </w:tr>
  </w:tbl>
  <w:p w14:paraId="2BDF607F" w14:textId="77777777" w:rsidR="00052A51" w:rsidRDefault="00052A51" w:rsidP="009F6FCD">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52A51" w14:paraId="2BDF6082" w14:textId="77777777">
      <w:tc>
        <w:tcPr>
          <w:tcW w:w="6634" w:type="dxa"/>
          <w:tcBorders>
            <w:top w:val="single" w:sz="6" w:space="0" w:color="auto"/>
          </w:tcBorders>
        </w:tcPr>
        <w:p w14:paraId="2BDF6080" w14:textId="77777777" w:rsidR="00052A51" w:rsidRDefault="00052A51" w:rsidP="00E669E2">
          <w:pPr>
            <w:pStyle w:val="HeaderOdd"/>
          </w:pPr>
        </w:p>
      </w:tc>
      <w:tc>
        <w:tcPr>
          <w:tcW w:w="2155" w:type="dxa"/>
          <w:tcBorders>
            <w:top w:val="single" w:sz="24" w:space="0" w:color="auto"/>
          </w:tcBorders>
        </w:tcPr>
        <w:p w14:paraId="2BDF6081" w14:textId="77777777" w:rsidR="00052A51" w:rsidRDefault="00052A51" w:rsidP="00E669E2">
          <w:pPr>
            <w:pStyle w:val="HeaderOdd"/>
          </w:pPr>
        </w:p>
      </w:tc>
    </w:tr>
  </w:tbl>
  <w:p w14:paraId="2BDF6083" w14:textId="77777777" w:rsidR="00052A51" w:rsidRDefault="00052A51"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052A51" w14:paraId="2BDF6090" w14:textId="77777777">
      <w:tc>
        <w:tcPr>
          <w:tcW w:w="2155" w:type="dxa"/>
          <w:tcBorders>
            <w:top w:val="single" w:sz="24" w:space="0" w:color="auto"/>
          </w:tcBorders>
        </w:tcPr>
        <w:p w14:paraId="2BDF608E" w14:textId="77777777" w:rsidR="00052A51" w:rsidRDefault="00052A51" w:rsidP="0019293B">
          <w:pPr>
            <w:pStyle w:val="HeaderEven"/>
          </w:pPr>
        </w:p>
      </w:tc>
      <w:tc>
        <w:tcPr>
          <w:tcW w:w="6634" w:type="dxa"/>
          <w:tcBorders>
            <w:top w:val="single" w:sz="6" w:space="0" w:color="auto"/>
          </w:tcBorders>
        </w:tcPr>
        <w:p w14:paraId="2BDF608F" w14:textId="7A1B471C" w:rsidR="00052A51" w:rsidRDefault="00052A51" w:rsidP="0019293B">
          <w:pPr>
            <w:pStyle w:val="HeaderEven"/>
          </w:pPr>
        </w:p>
      </w:tc>
    </w:tr>
  </w:tbl>
  <w:p w14:paraId="2BDF6091" w14:textId="77777777" w:rsidR="00052A51" w:rsidRDefault="00052A51"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52A51" w14:paraId="40E6F899" w14:textId="77777777" w:rsidTr="00500214">
      <w:tc>
        <w:tcPr>
          <w:tcW w:w="6634" w:type="dxa"/>
          <w:tcBorders>
            <w:top w:val="single" w:sz="6" w:space="0" w:color="auto"/>
            <w:bottom w:val="single" w:sz="6" w:space="0" w:color="auto"/>
          </w:tcBorders>
        </w:tcPr>
        <w:p w14:paraId="2221F9EB" w14:textId="77777777" w:rsidR="00052A51" w:rsidRDefault="00052A51" w:rsidP="00687440">
          <w:pPr>
            <w:pStyle w:val="HeaderOdd"/>
          </w:pPr>
          <w:r>
            <w:t>draft not for citation</w:t>
          </w:r>
        </w:p>
      </w:tc>
      <w:tc>
        <w:tcPr>
          <w:tcW w:w="2155" w:type="dxa"/>
          <w:tcBorders>
            <w:top w:val="single" w:sz="24" w:space="0" w:color="auto"/>
            <w:bottom w:val="nil"/>
          </w:tcBorders>
        </w:tcPr>
        <w:p w14:paraId="0C7D6060" w14:textId="77777777" w:rsidR="00052A51" w:rsidRDefault="00052A51" w:rsidP="00687440">
          <w:pPr>
            <w:pStyle w:val="HeaderOdd"/>
          </w:pPr>
        </w:p>
      </w:tc>
    </w:tr>
  </w:tbl>
  <w:p w14:paraId="2BDF6095" w14:textId="77777777" w:rsidR="00052A51" w:rsidRDefault="00052A51" w:rsidP="00E669E2">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052A51" w14:paraId="74DD81DE" w14:textId="77777777">
      <w:tc>
        <w:tcPr>
          <w:tcW w:w="2155" w:type="dxa"/>
          <w:tcBorders>
            <w:top w:val="single" w:sz="24" w:space="0" w:color="auto"/>
          </w:tcBorders>
        </w:tcPr>
        <w:p w14:paraId="2BA7E1E0" w14:textId="77777777" w:rsidR="00052A51" w:rsidRDefault="00052A51">
          <w:pPr>
            <w:pStyle w:val="HeaderEven"/>
          </w:pPr>
        </w:p>
      </w:tc>
      <w:tc>
        <w:tcPr>
          <w:tcW w:w="6634" w:type="dxa"/>
          <w:tcBorders>
            <w:top w:val="single" w:sz="6" w:space="0" w:color="auto"/>
          </w:tcBorders>
        </w:tcPr>
        <w:p w14:paraId="6291224B" w14:textId="676FC832" w:rsidR="00052A51" w:rsidRDefault="00052A51">
          <w:pPr>
            <w:pStyle w:val="HeaderEven"/>
          </w:pPr>
        </w:p>
      </w:tc>
    </w:tr>
  </w:tbl>
  <w:p w14:paraId="70CC0DB1" w14:textId="77777777" w:rsidR="00052A51" w:rsidRDefault="00052A51">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52A51" w14:paraId="681EC34E" w14:textId="77777777">
      <w:tc>
        <w:tcPr>
          <w:tcW w:w="6634" w:type="dxa"/>
          <w:tcBorders>
            <w:top w:val="single" w:sz="6" w:space="0" w:color="auto"/>
          </w:tcBorders>
        </w:tcPr>
        <w:p w14:paraId="3EC1CE86" w14:textId="48A7C650" w:rsidR="00052A51" w:rsidRDefault="00052A51">
          <w:pPr>
            <w:pStyle w:val="HeaderOdd"/>
          </w:pPr>
        </w:p>
      </w:tc>
      <w:tc>
        <w:tcPr>
          <w:tcW w:w="2155" w:type="dxa"/>
          <w:tcBorders>
            <w:top w:val="single" w:sz="24" w:space="0" w:color="auto"/>
          </w:tcBorders>
        </w:tcPr>
        <w:p w14:paraId="2C1CCE30" w14:textId="77777777" w:rsidR="00052A51" w:rsidRDefault="00052A51">
          <w:pPr>
            <w:pStyle w:val="HeaderOdd"/>
          </w:pPr>
        </w:p>
      </w:tc>
    </w:tr>
  </w:tbl>
  <w:p w14:paraId="7F376631" w14:textId="77777777" w:rsidR="00052A51" w:rsidRDefault="00052A51">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EC6F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443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64917AC"/>
    <w:multiLevelType w:val="hybridMultilevel"/>
    <w:tmpl w:val="7ABCE2D4"/>
    <w:lvl w:ilvl="0" w:tplc="7AF22A86">
      <w:start w:val="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F93CF7"/>
    <w:multiLevelType w:val="multilevel"/>
    <w:tmpl w:val="29865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7"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2E790CA0"/>
    <w:multiLevelType w:val="hybridMultilevel"/>
    <w:tmpl w:val="1CE4C344"/>
    <w:lvl w:ilvl="0" w:tplc="EC02A82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586036"/>
    <w:multiLevelType w:val="hybridMultilevel"/>
    <w:tmpl w:val="185ABC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15:restartNumberingAfterBreak="0">
    <w:nsid w:val="32232024"/>
    <w:multiLevelType w:val="hybridMultilevel"/>
    <w:tmpl w:val="D9F2AE7C"/>
    <w:lvl w:ilvl="0" w:tplc="DA70B1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915FEE"/>
    <w:multiLevelType w:val="hybridMultilevel"/>
    <w:tmpl w:val="5602DD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DF38F1"/>
    <w:multiLevelType w:val="hybridMultilevel"/>
    <w:tmpl w:val="2C9A64F4"/>
    <w:lvl w:ilvl="0" w:tplc="5F06D926">
      <w:start w:val="1"/>
      <w:numFmt w:val="bullet"/>
      <w:lvlText w:val="-"/>
      <w:lvlJc w:val="left"/>
      <w:pPr>
        <w:ind w:left="720" w:hanging="360"/>
      </w:pPr>
      <w:rPr>
        <w:rFonts w:ascii="Times New Roman" w:eastAsia="Times New Roman" w:hAnsi="Times New Roman" w:cs="Times New Roman"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0F09C1"/>
    <w:multiLevelType w:val="hybridMultilevel"/>
    <w:tmpl w:val="198463E6"/>
    <w:lvl w:ilvl="0" w:tplc="F1FCEF32">
      <w:start w:val="1"/>
      <w:numFmt w:val="bullet"/>
      <w:lvlText w:val="-"/>
      <w:lvlJc w:val="left"/>
      <w:pPr>
        <w:ind w:left="700" w:hanging="360"/>
      </w:pPr>
      <w:rPr>
        <w:rFonts w:ascii="Times New Roman" w:eastAsia="Times New Roman" w:hAnsi="Times New Roman" w:cs="Times New Roman"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940CCF"/>
    <w:multiLevelType w:val="hybridMultilevel"/>
    <w:tmpl w:val="DFA8A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8"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9"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0" w15:restartNumberingAfterBreak="0">
    <w:nsid w:val="58EC2C53"/>
    <w:multiLevelType w:val="multilevel"/>
    <w:tmpl w:val="03B697C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5A780262"/>
    <w:multiLevelType w:val="hybridMultilevel"/>
    <w:tmpl w:val="08F603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490A65"/>
    <w:multiLevelType w:val="hybridMultilevel"/>
    <w:tmpl w:val="F4E0C8B4"/>
    <w:lvl w:ilvl="0" w:tplc="3D904BCA">
      <w:start w:val="1"/>
      <w:numFmt w:val="bullet"/>
      <w:lvlText w:val="-"/>
      <w:lvlJc w:val="left"/>
      <w:pPr>
        <w:ind w:left="700" w:hanging="360"/>
      </w:pPr>
      <w:rPr>
        <w:rFonts w:ascii="Times New Roman" w:eastAsia="Times New Roman" w:hAnsi="Times New Roman" w:cs="Times New Roman"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5"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6" w15:restartNumberingAfterBreak="0">
    <w:nsid w:val="66550618"/>
    <w:multiLevelType w:val="hybridMultilevel"/>
    <w:tmpl w:val="8BFA8B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7992CEF"/>
    <w:multiLevelType w:val="hybridMultilevel"/>
    <w:tmpl w:val="0DD05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9" w15:restartNumberingAfterBreak="0">
    <w:nsid w:val="7A8A58FA"/>
    <w:multiLevelType w:val="hybridMultilevel"/>
    <w:tmpl w:val="ABE884DC"/>
    <w:lvl w:ilvl="0" w:tplc="EFBE05C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1" w15:restartNumberingAfterBreak="0">
    <w:nsid w:val="7F274B1B"/>
    <w:multiLevelType w:val="hybridMultilevel"/>
    <w:tmpl w:val="36C6B67C"/>
    <w:lvl w:ilvl="0" w:tplc="50AEB00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27"/>
  </w:num>
  <w:num w:numId="4">
    <w:abstractNumId w:val="8"/>
  </w:num>
  <w:num w:numId="5">
    <w:abstractNumId w:val="35"/>
  </w:num>
  <w:num w:numId="6">
    <w:abstractNumId w:val="29"/>
  </w:num>
  <w:num w:numId="7">
    <w:abstractNumId w:val="12"/>
  </w:num>
  <w:num w:numId="8">
    <w:abstractNumId w:val="28"/>
  </w:num>
  <w:num w:numId="9">
    <w:abstractNumId w:val="11"/>
  </w:num>
  <w:num w:numId="10">
    <w:abstractNumId w:val="10"/>
  </w:num>
  <w:num w:numId="11">
    <w:abstractNumId w:val="16"/>
  </w:num>
  <w:num w:numId="12">
    <w:abstractNumId w:val="17"/>
  </w:num>
  <w:num w:numId="13">
    <w:abstractNumId w:val="9"/>
  </w:num>
  <w:num w:numId="14">
    <w:abstractNumId w:val="31"/>
  </w:num>
  <w:num w:numId="15">
    <w:abstractNumId w:val="38"/>
  </w:num>
  <w:num w:numId="16">
    <w:abstractNumId w:val="25"/>
  </w:num>
  <w:num w:numId="17">
    <w:abstractNumId w:val="40"/>
  </w:num>
  <w:num w:numId="18">
    <w:abstractNumId w:val="4"/>
  </w:num>
  <w:num w:numId="19">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33"/>
  </w:num>
  <w:num w:numId="21">
    <w:abstractNumId w:val="13"/>
  </w:num>
  <w:num w:numId="22">
    <w:abstractNumId w:val="3"/>
  </w:num>
  <w:num w:numId="23">
    <w:abstractNumId w:val="2"/>
  </w:num>
  <w:num w:numId="24">
    <w:abstractNumId w:val="1"/>
  </w:num>
  <w:num w:numId="25">
    <w:abstractNumId w:val="0"/>
  </w:num>
  <w:num w:numId="26">
    <w:abstractNumId w:val="14"/>
  </w:num>
  <w:num w:numId="27">
    <w:abstractNumId w:val="8"/>
  </w:num>
  <w:num w:numId="28">
    <w:abstractNumId w:val="37"/>
  </w:num>
  <w:num w:numId="29">
    <w:abstractNumId w:val="26"/>
  </w:num>
  <w:num w:numId="30">
    <w:abstractNumId w:val="27"/>
  </w:num>
  <w:num w:numId="31">
    <w:abstractNumId w:val="27"/>
  </w:num>
  <w:num w:numId="32">
    <w:abstractNumId w:val="39"/>
  </w:num>
  <w:num w:numId="33">
    <w:abstractNumId w:val="39"/>
  </w:num>
  <w:num w:numId="34">
    <w:abstractNumId w:val="23"/>
  </w:num>
  <w:num w:numId="35">
    <w:abstractNumId w:val="21"/>
  </w:num>
  <w:num w:numId="36">
    <w:abstractNumId w:val="27"/>
  </w:num>
  <w:num w:numId="37">
    <w:abstractNumId w:val="27"/>
  </w:num>
  <w:num w:numId="38">
    <w:abstractNumId w:val="41"/>
  </w:num>
  <w:num w:numId="39">
    <w:abstractNumId w:val="22"/>
  </w:num>
  <w:num w:numId="40">
    <w:abstractNumId w:val="20"/>
  </w:num>
  <w:num w:numId="41">
    <w:abstractNumId w:val="20"/>
  </w:num>
  <w:num w:numId="42">
    <w:abstractNumId w:val="24"/>
  </w:num>
  <w:num w:numId="43">
    <w:abstractNumId w:val="34"/>
  </w:num>
  <w:num w:numId="44">
    <w:abstractNumId w:val="19"/>
  </w:num>
  <w:num w:numId="45">
    <w:abstractNumId w:val="15"/>
  </w:num>
  <w:num w:numId="46">
    <w:abstractNumId w:val="36"/>
  </w:num>
  <w:num w:numId="47">
    <w:abstractNumId w:val="18"/>
  </w:num>
  <w:num w:numId="48">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CA4FCE"/>
    <w:rsid w:val="000014CF"/>
    <w:rsid w:val="00004254"/>
    <w:rsid w:val="000059FD"/>
    <w:rsid w:val="00006696"/>
    <w:rsid w:val="0000672C"/>
    <w:rsid w:val="00007BE2"/>
    <w:rsid w:val="00007D36"/>
    <w:rsid w:val="00010269"/>
    <w:rsid w:val="00011E85"/>
    <w:rsid w:val="00013734"/>
    <w:rsid w:val="00013BEE"/>
    <w:rsid w:val="0001441E"/>
    <w:rsid w:val="00014848"/>
    <w:rsid w:val="000205E8"/>
    <w:rsid w:val="0002129B"/>
    <w:rsid w:val="000215A2"/>
    <w:rsid w:val="00021DC5"/>
    <w:rsid w:val="000227D5"/>
    <w:rsid w:val="00023B4C"/>
    <w:rsid w:val="000245AA"/>
    <w:rsid w:val="000247D1"/>
    <w:rsid w:val="000260CD"/>
    <w:rsid w:val="0002615C"/>
    <w:rsid w:val="00026C30"/>
    <w:rsid w:val="00026E0F"/>
    <w:rsid w:val="00027582"/>
    <w:rsid w:val="0003129A"/>
    <w:rsid w:val="000328DD"/>
    <w:rsid w:val="00032DE7"/>
    <w:rsid w:val="00033E5B"/>
    <w:rsid w:val="0003664B"/>
    <w:rsid w:val="000375A1"/>
    <w:rsid w:val="000402EA"/>
    <w:rsid w:val="000404F7"/>
    <w:rsid w:val="00040969"/>
    <w:rsid w:val="00040F44"/>
    <w:rsid w:val="0004111F"/>
    <w:rsid w:val="00041886"/>
    <w:rsid w:val="0004274B"/>
    <w:rsid w:val="00042E28"/>
    <w:rsid w:val="00042ECD"/>
    <w:rsid w:val="000445BE"/>
    <w:rsid w:val="00045220"/>
    <w:rsid w:val="0004632A"/>
    <w:rsid w:val="00046DBF"/>
    <w:rsid w:val="00047516"/>
    <w:rsid w:val="000526C0"/>
    <w:rsid w:val="00052A51"/>
    <w:rsid w:val="00055077"/>
    <w:rsid w:val="00056436"/>
    <w:rsid w:val="000565B3"/>
    <w:rsid w:val="0005744D"/>
    <w:rsid w:val="00060955"/>
    <w:rsid w:val="00061F13"/>
    <w:rsid w:val="000629F5"/>
    <w:rsid w:val="00062DC0"/>
    <w:rsid w:val="00063770"/>
    <w:rsid w:val="000645DA"/>
    <w:rsid w:val="000672F0"/>
    <w:rsid w:val="0007150B"/>
    <w:rsid w:val="00071CAD"/>
    <w:rsid w:val="00072783"/>
    <w:rsid w:val="00073A27"/>
    <w:rsid w:val="00075E01"/>
    <w:rsid w:val="00075E62"/>
    <w:rsid w:val="00077898"/>
    <w:rsid w:val="0008007C"/>
    <w:rsid w:val="00081528"/>
    <w:rsid w:val="00082F7A"/>
    <w:rsid w:val="000844DF"/>
    <w:rsid w:val="00084BC4"/>
    <w:rsid w:val="000852C7"/>
    <w:rsid w:val="00085909"/>
    <w:rsid w:val="0008733A"/>
    <w:rsid w:val="00090D92"/>
    <w:rsid w:val="00092773"/>
    <w:rsid w:val="00093581"/>
    <w:rsid w:val="000938F5"/>
    <w:rsid w:val="000945BE"/>
    <w:rsid w:val="00095663"/>
    <w:rsid w:val="00095713"/>
    <w:rsid w:val="00096E55"/>
    <w:rsid w:val="0009783E"/>
    <w:rsid w:val="000A0951"/>
    <w:rsid w:val="000A1E6D"/>
    <w:rsid w:val="000A26B1"/>
    <w:rsid w:val="000A6132"/>
    <w:rsid w:val="000A7CEB"/>
    <w:rsid w:val="000A7DEE"/>
    <w:rsid w:val="000B04A2"/>
    <w:rsid w:val="000B1022"/>
    <w:rsid w:val="000B1E35"/>
    <w:rsid w:val="000B2920"/>
    <w:rsid w:val="000B3DB0"/>
    <w:rsid w:val="000B45F0"/>
    <w:rsid w:val="000B601B"/>
    <w:rsid w:val="000B71CB"/>
    <w:rsid w:val="000C02CE"/>
    <w:rsid w:val="000C093A"/>
    <w:rsid w:val="000C13DF"/>
    <w:rsid w:val="000C1CA7"/>
    <w:rsid w:val="000C207E"/>
    <w:rsid w:val="000C2630"/>
    <w:rsid w:val="000C3A0B"/>
    <w:rsid w:val="000C5A55"/>
    <w:rsid w:val="000C7EBA"/>
    <w:rsid w:val="000D2898"/>
    <w:rsid w:val="000D2B9E"/>
    <w:rsid w:val="000D41E9"/>
    <w:rsid w:val="000D4CA6"/>
    <w:rsid w:val="000D571B"/>
    <w:rsid w:val="000D5BBC"/>
    <w:rsid w:val="000D5D3B"/>
    <w:rsid w:val="000D5E39"/>
    <w:rsid w:val="000E0A75"/>
    <w:rsid w:val="000E1D1D"/>
    <w:rsid w:val="000E2E69"/>
    <w:rsid w:val="000E379E"/>
    <w:rsid w:val="000E5097"/>
    <w:rsid w:val="000E5F34"/>
    <w:rsid w:val="000E6440"/>
    <w:rsid w:val="000E7E37"/>
    <w:rsid w:val="000F0035"/>
    <w:rsid w:val="000F1E2A"/>
    <w:rsid w:val="000F420B"/>
    <w:rsid w:val="000F6883"/>
    <w:rsid w:val="000F71EA"/>
    <w:rsid w:val="000F76B7"/>
    <w:rsid w:val="000F7C90"/>
    <w:rsid w:val="0010080B"/>
    <w:rsid w:val="001013C7"/>
    <w:rsid w:val="00101A97"/>
    <w:rsid w:val="00102ED7"/>
    <w:rsid w:val="00104031"/>
    <w:rsid w:val="00104A47"/>
    <w:rsid w:val="00105C70"/>
    <w:rsid w:val="0010733A"/>
    <w:rsid w:val="00110116"/>
    <w:rsid w:val="00110CAF"/>
    <w:rsid w:val="001124FF"/>
    <w:rsid w:val="00115BAE"/>
    <w:rsid w:val="00115C84"/>
    <w:rsid w:val="00120072"/>
    <w:rsid w:val="001200EE"/>
    <w:rsid w:val="00120942"/>
    <w:rsid w:val="00122144"/>
    <w:rsid w:val="00122CEC"/>
    <w:rsid w:val="00122F16"/>
    <w:rsid w:val="00123FFF"/>
    <w:rsid w:val="00124C0B"/>
    <w:rsid w:val="0012513B"/>
    <w:rsid w:val="00126EB8"/>
    <w:rsid w:val="001274D4"/>
    <w:rsid w:val="00130335"/>
    <w:rsid w:val="00130C55"/>
    <w:rsid w:val="00130E03"/>
    <w:rsid w:val="00131B52"/>
    <w:rsid w:val="00132C29"/>
    <w:rsid w:val="0013326E"/>
    <w:rsid w:val="0013368F"/>
    <w:rsid w:val="00134A3C"/>
    <w:rsid w:val="00134D59"/>
    <w:rsid w:val="001363AA"/>
    <w:rsid w:val="00136C9F"/>
    <w:rsid w:val="00136DF7"/>
    <w:rsid w:val="0013739A"/>
    <w:rsid w:val="00140B2F"/>
    <w:rsid w:val="00141A19"/>
    <w:rsid w:val="00142465"/>
    <w:rsid w:val="001435B9"/>
    <w:rsid w:val="001443F6"/>
    <w:rsid w:val="0014444A"/>
    <w:rsid w:val="00144832"/>
    <w:rsid w:val="00146EB2"/>
    <w:rsid w:val="00146EE4"/>
    <w:rsid w:val="00147103"/>
    <w:rsid w:val="001471F4"/>
    <w:rsid w:val="001510FE"/>
    <w:rsid w:val="001513C2"/>
    <w:rsid w:val="00152982"/>
    <w:rsid w:val="00152C9B"/>
    <w:rsid w:val="00152E49"/>
    <w:rsid w:val="00154D15"/>
    <w:rsid w:val="00155F9E"/>
    <w:rsid w:val="00156459"/>
    <w:rsid w:val="001575C2"/>
    <w:rsid w:val="00157623"/>
    <w:rsid w:val="00160F49"/>
    <w:rsid w:val="001628C1"/>
    <w:rsid w:val="0016309B"/>
    <w:rsid w:val="001638E9"/>
    <w:rsid w:val="00163C3E"/>
    <w:rsid w:val="00165ABD"/>
    <w:rsid w:val="00165B0C"/>
    <w:rsid w:val="0017014F"/>
    <w:rsid w:val="001704A3"/>
    <w:rsid w:val="001715E7"/>
    <w:rsid w:val="00171902"/>
    <w:rsid w:val="00171F26"/>
    <w:rsid w:val="00177356"/>
    <w:rsid w:val="0018050A"/>
    <w:rsid w:val="001805D2"/>
    <w:rsid w:val="00182B9F"/>
    <w:rsid w:val="00183230"/>
    <w:rsid w:val="00183713"/>
    <w:rsid w:val="00183778"/>
    <w:rsid w:val="00183E82"/>
    <w:rsid w:val="0018453A"/>
    <w:rsid w:val="00185ACF"/>
    <w:rsid w:val="001878BB"/>
    <w:rsid w:val="00187A84"/>
    <w:rsid w:val="00190F47"/>
    <w:rsid w:val="001913B0"/>
    <w:rsid w:val="00191AE0"/>
    <w:rsid w:val="00191B74"/>
    <w:rsid w:val="00191CB3"/>
    <w:rsid w:val="00191DD2"/>
    <w:rsid w:val="001923A9"/>
    <w:rsid w:val="0019274C"/>
    <w:rsid w:val="0019293B"/>
    <w:rsid w:val="001930E0"/>
    <w:rsid w:val="0019426B"/>
    <w:rsid w:val="00194440"/>
    <w:rsid w:val="0019484B"/>
    <w:rsid w:val="00194F4D"/>
    <w:rsid w:val="001969F7"/>
    <w:rsid w:val="001A131C"/>
    <w:rsid w:val="001A1320"/>
    <w:rsid w:val="001A16D0"/>
    <w:rsid w:val="001A18D3"/>
    <w:rsid w:val="001A1F74"/>
    <w:rsid w:val="001A27FA"/>
    <w:rsid w:val="001A2B05"/>
    <w:rsid w:val="001A3A3D"/>
    <w:rsid w:val="001A3C7C"/>
    <w:rsid w:val="001A50D7"/>
    <w:rsid w:val="001A52EA"/>
    <w:rsid w:val="001A57A4"/>
    <w:rsid w:val="001A6C01"/>
    <w:rsid w:val="001B119A"/>
    <w:rsid w:val="001B1543"/>
    <w:rsid w:val="001B1CAE"/>
    <w:rsid w:val="001B1DE6"/>
    <w:rsid w:val="001B28A4"/>
    <w:rsid w:val="001B29EA"/>
    <w:rsid w:val="001B340C"/>
    <w:rsid w:val="001B4889"/>
    <w:rsid w:val="001B5844"/>
    <w:rsid w:val="001B7906"/>
    <w:rsid w:val="001B7D21"/>
    <w:rsid w:val="001C07C6"/>
    <w:rsid w:val="001C0865"/>
    <w:rsid w:val="001C1295"/>
    <w:rsid w:val="001C19C9"/>
    <w:rsid w:val="001C28D2"/>
    <w:rsid w:val="001C3ABA"/>
    <w:rsid w:val="001C44D4"/>
    <w:rsid w:val="001C4C5F"/>
    <w:rsid w:val="001C5111"/>
    <w:rsid w:val="001C5DCF"/>
    <w:rsid w:val="001D0FD2"/>
    <w:rsid w:val="001D1ABB"/>
    <w:rsid w:val="001D2682"/>
    <w:rsid w:val="001D3F6F"/>
    <w:rsid w:val="001D5E76"/>
    <w:rsid w:val="001E03D0"/>
    <w:rsid w:val="001E04AB"/>
    <w:rsid w:val="001E0D16"/>
    <w:rsid w:val="001E0E29"/>
    <w:rsid w:val="001E2C1E"/>
    <w:rsid w:val="001E3666"/>
    <w:rsid w:val="001E42A2"/>
    <w:rsid w:val="001E4D46"/>
    <w:rsid w:val="001E6EE2"/>
    <w:rsid w:val="001E78D8"/>
    <w:rsid w:val="001E7BE8"/>
    <w:rsid w:val="001F0248"/>
    <w:rsid w:val="001F0E27"/>
    <w:rsid w:val="001F1940"/>
    <w:rsid w:val="001F240D"/>
    <w:rsid w:val="001F2474"/>
    <w:rsid w:val="001F24EE"/>
    <w:rsid w:val="001F3EB3"/>
    <w:rsid w:val="001F49AE"/>
    <w:rsid w:val="001F4F86"/>
    <w:rsid w:val="001F582B"/>
    <w:rsid w:val="001F7966"/>
    <w:rsid w:val="001F7EEF"/>
    <w:rsid w:val="002007A5"/>
    <w:rsid w:val="00202C2C"/>
    <w:rsid w:val="002049D3"/>
    <w:rsid w:val="00205274"/>
    <w:rsid w:val="00205B29"/>
    <w:rsid w:val="0020692B"/>
    <w:rsid w:val="00206A83"/>
    <w:rsid w:val="002077F8"/>
    <w:rsid w:val="00211008"/>
    <w:rsid w:val="002118F4"/>
    <w:rsid w:val="00211937"/>
    <w:rsid w:val="00212EBF"/>
    <w:rsid w:val="0021314B"/>
    <w:rsid w:val="002135AB"/>
    <w:rsid w:val="002144BE"/>
    <w:rsid w:val="0021477D"/>
    <w:rsid w:val="00214CDB"/>
    <w:rsid w:val="002152A9"/>
    <w:rsid w:val="00220082"/>
    <w:rsid w:val="0022060E"/>
    <w:rsid w:val="0022091C"/>
    <w:rsid w:val="002242CF"/>
    <w:rsid w:val="00224F7F"/>
    <w:rsid w:val="00225AE4"/>
    <w:rsid w:val="002306F8"/>
    <w:rsid w:val="00230D0C"/>
    <w:rsid w:val="00234B1B"/>
    <w:rsid w:val="00235E45"/>
    <w:rsid w:val="00240E55"/>
    <w:rsid w:val="00240F43"/>
    <w:rsid w:val="00241499"/>
    <w:rsid w:val="002421C1"/>
    <w:rsid w:val="00242279"/>
    <w:rsid w:val="002431A1"/>
    <w:rsid w:val="00243997"/>
    <w:rsid w:val="00244578"/>
    <w:rsid w:val="0024516C"/>
    <w:rsid w:val="002456DD"/>
    <w:rsid w:val="00245C82"/>
    <w:rsid w:val="002460C3"/>
    <w:rsid w:val="0024702E"/>
    <w:rsid w:val="00247C4D"/>
    <w:rsid w:val="00251FD4"/>
    <w:rsid w:val="0025238E"/>
    <w:rsid w:val="002527D4"/>
    <w:rsid w:val="00254716"/>
    <w:rsid w:val="00255114"/>
    <w:rsid w:val="00255128"/>
    <w:rsid w:val="002570E9"/>
    <w:rsid w:val="00261169"/>
    <w:rsid w:val="002614C8"/>
    <w:rsid w:val="00262911"/>
    <w:rsid w:val="00262F69"/>
    <w:rsid w:val="002630AA"/>
    <w:rsid w:val="00263602"/>
    <w:rsid w:val="00263605"/>
    <w:rsid w:val="00265B63"/>
    <w:rsid w:val="0026713E"/>
    <w:rsid w:val="00267259"/>
    <w:rsid w:val="002673B7"/>
    <w:rsid w:val="00267BE3"/>
    <w:rsid w:val="002724BA"/>
    <w:rsid w:val="0027254E"/>
    <w:rsid w:val="00273BFE"/>
    <w:rsid w:val="00273F13"/>
    <w:rsid w:val="0027401A"/>
    <w:rsid w:val="002748A7"/>
    <w:rsid w:val="002762AA"/>
    <w:rsid w:val="002762B4"/>
    <w:rsid w:val="00277C36"/>
    <w:rsid w:val="00280EBA"/>
    <w:rsid w:val="00281750"/>
    <w:rsid w:val="00281BB2"/>
    <w:rsid w:val="00282D6C"/>
    <w:rsid w:val="00284D8E"/>
    <w:rsid w:val="0028589D"/>
    <w:rsid w:val="00285DF1"/>
    <w:rsid w:val="002861FA"/>
    <w:rsid w:val="00286478"/>
    <w:rsid w:val="002906B3"/>
    <w:rsid w:val="002918D3"/>
    <w:rsid w:val="00291A26"/>
    <w:rsid w:val="00291AD5"/>
    <w:rsid w:val="00291B40"/>
    <w:rsid w:val="00292F7E"/>
    <w:rsid w:val="00294D91"/>
    <w:rsid w:val="002961F8"/>
    <w:rsid w:val="002A00B9"/>
    <w:rsid w:val="002A07A2"/>
    <w:rsid w:val="002A14B9"/>
    <w:rsid w:val="002A23CF"/>
    <w:rsid w:val="002A42B3"/>
    <w:rsid w:val="002A53BF"/>
    <w:rsid w:val="002A56E6"/>
    <w:rsid w:val="002B3B18"/>
    <w:rsid w:val="002B4008"/>
    <w:rsid w:val="002B581F"/>
    <w:rsid w:val="002B5A75"/>
    <w:rsid w:val="002B6E5A"/>
    <w:rsid w:val="002B7FC4"/>
    <w:rsid w:val="002C0890"/>
    <w:rsid w:val="002C157D"/>
    <w:rsid w:val="002C16AF"/>
    <w:rsid w:val="002C439F"/>
    <w:rsid w:val="002C755F"/>
    <w:rsid w:val="002C7CAB"/>
    <w:rsid w:val="002D0E8E"/>
    <w:rsid w:val="002D26A3"/>
    <w:rsid w:val="002D31CB"/>
    <w:rsid w:val="002D3BC9"/>
    <w:rsid w:val="002D513E"/>
    <w:rsid w:val="002D61C8"/>
    <w:rsid w:val="002D7BA4"/>
    <w:rsid w:val="002D7F48"/>
    <w:rsid w:val="002E00E3"/>
    <w:rsid w:val="002E03D5"/>
    <w:rsid w:val="002E1FAB"/>
    <w:rsid w:val="002E240C"/>
    <w:rsid w:val="002E3F25"/>
    <w:rsid w:val="002E4B56"/>
    <w:rsid w:val="002E4E7F"/>
    <w:rsid w:val="002E5E3B"/>
    <w:rsid w:val="002E6626"/>
    <w:rsid w:val="002E6E2D"/>
    <w:rsid w:val="002F0616"/>
    <w:rsid w:val="002F0D5D"/>
    <w:rsid w:val="002F2512"/>
    <w:rsid w:val="002F3118"/>
    <w:rsid w:val="002F3AAF"/>
    <w:rsid w:val="002F4994"/>
    <w:rsid w:val="002F4D53"/>
    <w:rsid w:val="002F543F"/>
    <w:rsid w:val="002F6D0A"/>
    <w:rsid w:val="00301189"/>
    <w:rsid w:val="00301E4A"/>
    <w:rsid w:val="00303933"/>
    <w:rsid w:val="0030588F"/>
    <w:rsid w:val="00305ADF"/>
    <w:rsid w:val="00307700"/>
    <w:rsid w:val="00310777"/>
    <w:rsid w:val="00311310"/>
    <w:rsid w:val="0031143A"/>
    <w:rsid w:val="00312E88"/>
    <w:rsid w:val="0031394E"/>
    <w:rsid w:val="00313C87"/>
    <w:rsid w:val="00314024"/>
    <w:rsid w:val="003168B8"/>
    <w:rsid w:val="00316F75"/>
    <w:rsid w:val="0032013F"/>
    <w:rsid w:val="003208DA"/>
    <w:rsid w:val="0032321D"/>
    <w:rsid w:val="00323E09"/>
    <w:rsid w:val="0032444A"/>
    <w:rsid w:val="00326C6E"/>
    <w:rsid w:val="0033002C"/>
    <w:rsid w:val="00330B1F"/>
    <w:rsid w:val="00330B23"/>
    <w:rsid w:val="00330C9F"/>
    <w:rsid w:val="00331EEF"/>
    <w:rsid w:val="00333932"/>
    <w:rsid w:val="00334486"/>
    <w:rsid w:val="00334A10"/>
    <w:rsid w:val="00334BEE"/>
    <w:rsid w:val="0033515B"/>
    <w:rsid w:val="0033537B"/>
    <w:rsid w:val="00337E8D"/>
    <w:rsid w:val="00340D6E"/>
    <w:rsid w:val="0034191E"/>
    <w:rsid w:val="00342173"/>
    <w:rsid w:val="00342EA5"/>
    <w:rsid w:val="00342F68"/>
    <w:rsid w:val="00345B31"/>
    <w:rsid w:val="00346AD6"/>
    <w:rsid w:val="00346BE8"/>
    <w:rsid w:val="00347851"/>
    <w:rsid w:val="003518AA"/>
    <w:rsid w:val="00352165"/>
    <w:rsid w:val="0035282F"/>
    <w:rsid w:val="00353182"/>
    <w:rsid w:val="00354BC5"/>
    <w:rsid w:val="003559B1"/>
    <w:rsid w:val="003565D9"/>
    <w:rsid w:val="00356CAC"/>
    <w:rsid w:val="00357124"/>
    <w:rsid w:val="003602E1"/>
    <w:rsid w:val="00360DF8"/>
    <w:rsid w:val="00360FB0"/>
    <w:rsid w:val="0036139D"/>
    <w:rsid w:val="0036226D"/>
    <w:rsid w:val="00362A88"/>
    <w:rsid w:val="00363861"/>
    <w:rsid w:val="003638B2"/>
    <w:rsid w:val="00363CB3"/>
    <w:rsid w:val="00363EB4"/>
    <w:rsid w:val="00364050"/>
    <w:rsid w:val="00364F76"/>
    <w:rsid w:val="0036557D"/>
    <w:rsid w:val="00365631"/>
    <w:rsid w:val="00366D59"/>
    <w:rsid w:val="0036701A"/>
    <w:rsid w:val="003679B0"/>
    <w:rsid w:val="0037026F"/>
    <w:rsid w:val="00370457"/>
    <w:rsid w:val="00371240"/>
    <w:rsid w:val="003721C1"/>
    <w:rsid w:val="00372774"/>
    <w:rsid w:val="00372DBC"/>
    <w:rsid w:val="00372E30"/>
    <w:rsid w:val="00372FB1"/>
    <w:rsid w:val="00373D0F"/>
    <w:rsid w:val="00374488"/>
    <w:rsid w:val="00374731"/>
    <w:rsid w:val="00374E98"/>
    <w:rsid w:val="00375287"/>
    <w:rsid w:val="00376E59"/>
    <w:rsid w:val="00376FAD"/>
    <w:rsid w:val="00380340"/>
    <w:rsid w:val="00380673"/>
    <w:rsid w:val="003806DD"/>
    <w:rsid w:val="00383801"/>
    <w:rsid w:val="00384CC9"/>
    <w:rsid w:val="003850BB"/>
    <w:rsid w:val="00385892"/>
    <w:rsid w:val="003860C3"/>
    <w:rsid w:val="0038774F"/>
    <w:rsid w:val="00391500"/>
    <w:rsid w:val="003919F9"/>
    <w:rsid w:val="00392718"/>
    <w:rsid w:val="00393314"/>
    <w:rsid w:val="00393AFC"/>
    <w:rsid w:val="00393E9F"/>
    <w:rsid w:val="00394B06"/>
    <w:rsid w:val="00395AA1"/>
    <w:rsid w:val="003A1A72"/>
    <w:rsid w:val="003A3B36"/>
    <w:rsid w:val="003A49F0"/>
    <w:rsid w:val="003A627F"/>
    <w:rsid w:val="003A6324"/>
    <w:rsid w:val="003A6820"/>
    <w:rsid w:val="003A75A9"/>
    <w:rsid w:val="003A7631"/>
    <w:rsid w:val="003B12D7"/>
    <w:rsid w:val="003B192D"/>
    <w:rsid w:val="003B23C2"/>
    <w:rsid w:val="003B2D5F"/>
    <w:rsid w:val="003B3828"/>
    <w:rsid w:val="003B3C14"/>
    <w:rsid w:val="003B4210"/>
    <w:rsid w:val="003B5E86"/>
    <w:rsid w:val="003B6D5A"/>
    <w:rsid w:val="003B7123"/>
    <w:rsid w:val="003C0862"/>
    <w:rsid w:val="003C38B5"/>
    <w:rsid w:val="003C57AE"/>
    <w:rsid w:val="003C5D99"/>
    <w:rsid w:val="003C72D2"/>
    <w:rsid w:val="003C7ABB"/>
    <w:rsid w:val="003D0BE8"/>
    <w:rsid w:val="003D1087"/>
    <w:rsid w:val="003D376C"/>
    <w:rsid w:val="003D3B76"/>
    <w:rsid w:val="003D41F5"/>
    <w:rsid w:val="003D58A3"/>
    <w:rsid w:val="003D6775"/>
    <w:rsid w:val="003D7131"/>
    <w:rsid w:val="003D756E"/>
    <w:rsid w:val="003E044B"/>
    <w:rsid w:val="003E0C10"/>
    <w:rsid w:val="003E107D"/>
    <w:rsid w:val="003E1266"/>
    <w:rsid w:val="003E2F59"/>
    <w:rsid w:val="003E4443"/>
    <w:rsid w:val="003E53E2"/>
    <w:rsid w:val="003E5EA8"/>
    <w:rsid w:val="003E72FA"/>
    <w:rsid w:val="003E746B"/>
    <w:rsid w:val="003F0789"/>
    <w:rsid w:val="003F1B7E"/>
    <w:rsid w:val="003F26A6"/>
    <w:rsid w:val="003F70CD"/>
    <w:rsid w:val="003F7D78"/>
    <w:rsid w:val="00400496"/>
    <w:rsid w:val="00401882"/>
    <w:rsid w:val="004037CF"/>
    <w:rsid w:val="00403F0A"/>
    <w:rsid w:val="004043D9"/>
    <w:rsid w:val="004046F1"/>
    <w:rsid w:val="00404FA4"/>
    <w:rsid w:val="004055B2"/>
    <w:rsid w:val="00406F69"/>
    <w:rsid w:val="004100C8"/>
    <w:rsid w:val="00410D3C"/>
    <w:rsid w:val="00411DBD"/>
    <w:rsid w:val="00412496"/>
    <w:rsid w:val="00412ACE"/>
    <w:rsid w:val="00413120"/>
    <w:rsid w:val="004145D2"/>
    <w:rsid w:val="00414AED"/>
    <w:rsid w:val="00415252"/>
    <w:rsid w:val="004155F8"/>
    <w:rsid w:val="00415F39"/>
    <w:rsid w:val="00416A16"/>
    <w:rsid w:val="004170B9"/>
    <w:rsid w:val="004170C7"/>
    <w:rsid w:val="00417F54"/>
    <w:rsid w:val="0042175A"/>
    <w:rsid w:val="0042284B"/>
    <w:rsid w:val="004236E7"/>
    <w:rsid w:val="004247F6"/>
    <w:rsid w:val="004255DE"/>
    <w:rsid w:val="004256A6"/>
    <w:rsid w:val="00426CB4"/>
    <w:rsid w:val="004273AB"/>
    <w:rsid w:val="00427EBB"/>
    <w:rsid w:val="004306D6"/>
    <w:rsid w:val="00430876"/>
    <w:rsid w:val="00430CC4"/>
    <w:rsid w:val="00431249"/>
    <w:rsid w:val="00431639"/>
    <w:rsid w:val="00431C30"/>
    <w:rsid w:val="00432790"/>
    <w:rsid w:val="00433C40"/>
    <w:rsid w:val="00434BD3"/>
    <w:rsid w:val="00434C19"/>
    <w:rsid w:val="004361A9"/>
    <w:rsid w:val="0043622F"/>
    <w:rsid w:val="0043623F"/>
    <w:rsid w:val="004364BB"/>
    <w:rsid w:val="00437EF4"/>
    <w:rsid w:val="00437F99"/>
    <w:rsid w:val="00440BDD"/>
    <w:rsid w:val="00441FF8"/>
    <w:rsid w:val="0044253B"/>
    <w:rsid w:val="00442FD3"/>
    <w:rsid w:val="00444F0E"/>
    <w:rsid w:val="004453DE"/>
    <w:rsid w:val="0044556C"/>
    <w:rsid w:val="00445A8E"/>
    <w:rsid w:val="00445D1B"/>
    <w:rsid w:val="00446638"/>
    <w:rsid w:val="00446689"/>
    <w:rsid w:val="0044697E"/>
    <w:rsid w:val="00446DC2"/>
    <w:rsid w:val="00450574"/>
    <w:rsid w:val="00450810"/>
    <w:rsid w:val="0045125C"/>
    <w:rsid w:val="0045182B"/>
    <w:rsid w:val="0045244F"/>
    <w:rsid w:val="00452557"/>
    <w:rsid w:val="00453080"/>
    <w:rsid w:val="00453BB7"/>
    <w:rsid w:val="00454559"/>
    <w:rsid w:val="004556EC"/>
    <w:rsid w:val="00455E50"/>
    <w:rsid w:val="004562FD"/>
    <w:rsid w:val="004569F1"/>
    <w:rsid w:val="00456A78"/>
    <w:rsid w:val="00466367"/>
    <w:rsid w:val="00467907"/>
    <w:rsid w:val="00467948"/>
    <w:rsid w:val="00470737"/>
    <w:rsid w:val="00471EAD"/>
    <w:rsid w:val="004733CF"/>
    <w:rsid w:val="00477144"/>
    <w:rsid w:val="00477B2B"/>
    <w:rsid w:val="00482061"/>
    <w:rsid w:val="00483161"/>
    <w:rsid w:val="00484EC7"/>
    <w:rsid w:val="0049040B"/>
    <w:rsid w:val="00491001"/>
    <w:rsid w:val="0049110A"/>
    <w:rsid w:val="00491380"/>
    <w:rsid w:val="004924CE"/>
    <w:rsid w:val="00492772"/>
    <w:rsid w:val="00493906"/>
    <w:rsid w:val="0049459F"/>
    <w:rsid w:val="00494B41"/>
    <w:rsid w:val="004960B5"/>
    <w:rsid w:val="00497F2E"/>
    <w:rsid w:val="004A21D7"/>
    <w:rsid w:val="004A24DF"/>
    <w:rsid w:val="004A2CD2"/>
    <w:rsid w:val="004A3029"/>
    <w:rsid w:val="004A38DD"/>
    <w:rsid w:val="004A4717"/>
    <w:rsid w:val="004A4868"/>
    <w:rsid w:val="004A5A10"/>
    <w:rsid w:val="004A5CD4"/>
    <w:rsid w:val="004A6FD7"/>
    <w:rsid w:val="004B17B0"/>
    <w:rsid w:val="004B2324"/>
    <w:rsid w:val="004B3387"/>
    <w:rsid w:val="004B35D5"/>
    <w:rsid w:val="004B3843"/>
    <w:rsid w:val="004B43AE"/>
    <w:rsid w:val="004B445C"/>
    <w:rsid w:val="004B462B"/>
    <w:rsid w:val="004B48CB"/>
    <w:rsid w:val="004B4941"/>
    <w:rsid w:val="004C0C8F"/>
    <w:rsid w:val="004C12BD"/>
    <w:rsid w:val="004C30C4"/>
    <w:rsid w:val="004C30ED"/>
    <w:rsid w:val="004C4B76"/>
    <w:rsid w:val="004C5121"/>
    <w:rsid w:val="004C53CA"/>
    <w:rsid w:val="004C59FC"/>
    <w:rsid w:val="004C5D96"/>
    <w:rsid w:val="004C6DB9"/>
    <w:rsid w:val="004C7E4B"/>
    <w:rsid w:val="004D0798"/>
    <w:rsid w:val="004D0CDD"/>
    <w:rsid w:val="004D1781"/>
    <w:rsid w:val="004D1F55"/>
    <w:rsid w:val="004D1F6B"/>
    <w:rsid w:val="004D2022"/>
    <w:rsid w:val="004D29E3"/>
    <w:rsid w:val="004D381F"/>
    <w:rsid w:val="004D510E"/>
    <w:rsid w:val="004D5675"/>
    <w:rsid w:val="004D5784"/>
    <w:rsid w:val="004D6122"/>
    <w:rsid w:val="004D6217"/>
    <w:rsid w:val="004D67BB"/>
    <w:rsid w:val="004D7E43"/>
    <w:rsid w:val="004E0A50"/>
    <w:rsid w:val="004E1022"/>
    <w:rsid w:val="004E18C1"/>
    <w:rsid w:val="004E1EAA"/>
    <w:rsid w:val="004E2177"/>
    <w:rsid w:val="004E2918"/>
    <w:rsid w:val="004E3A08"/>
    <w:rsid w:val="004E526B"/>
    <w:rsid w:val="004E6DB3"/>
    <w:rsid w:val="004F05C3"/>
    <w:rsid w:val="004F17E3"/>
    <w:rsid w:val="004F1C87"/>
    <w:rsid w:val="004F1FD7"/>
    <w:rsid w:val="004F2C1A"/>
    <w:rsid w:val="004F4B89"/>
    <w:rsid w:val="004F5A28"/>
    <w:rsid w:val="004F7B19"/>
    <w:rsid w:val="00500214"/>
    <w:rsid w:val="00506A42"/>
    <w:rsid w:val="005073F3"/>
    <w:rsid w:val="0050753A"/>
    <w:rsid w:val="00510052"/>
    <w:rsid w:val="0051210A"/>
    <w:rsid w:val="00513D25"/>
    <w:rsid w:val="00515FD7"/>
    <w:rsid w:val="005168A3"/>
    <w:rsid w:val="00517017"/>
    <w:rsid w:val="00517795"/>
    <w:rsid w:val="00520318"/>
    <w:rsid w:val="00520A60"/>
    <w:rsid w:val="005213BA"/>
    <w:rsid w:val="0052207B"/>
    <w:rsid w:val="00522A83"/>
    <w:rsid w:val="00523608"/>
    <w:rsid w:val="00523639"/>
    <w:rsid w:val="00524C5A"/>
    <w:rsid w:val="00524E9A"/>
    <w:rsid w:val="0052574A"/>
    <w:rsid w:val="00526931"/>
    <w:rsid w:val="00527232"/>
    <w:rsid w:val="0053156B"/>
    <w:rsid w:val="00531FE5"/>
    <w:rsid w:val="00532A06"/>
    <w:rsid w:val="00533B8A"/>
    <w:rsid w:val="00533BC3"/>
    <w:rsid w:val="005357BD"/>
    <w:rsid w:val="005362DD"/>
    <w:rsid w:val="0053755B"/>
    <w:rsid w:val="005402FA"/>
    <w:rsid w:val="0054055A"/>
    <w:rsid w:val="00540601"/>
    <w:rsid w:val="00541F7F"/>
    <w:rsid w:val="0054290B"/>
    <w:rsid w:val="00542D87"/>
    <w:rsid w:val="00543DBB"/>
    <w:rsid w:val="00545248"/>
    <w:rsid w:val="0054726D"/>
    <w:rsid w:val="00547ACF"/>
    <w:rsid w:val="00551346"/>
    <w:rsid w:val="0055777B"/>
    <w:rsid w:val="0056061C"/>
    <w:rsid w:val="00561F94"/>
    <w:rsid w:val="00564C42"/>
    <w:rsid w:val="0056507E"/>
    <w:rsid w:val="00565C5F"/>
    <w:rsid w:val="005672D6"/>
    <w:rsid w:val="00570153"/>
    <w:rsid w:val="005703D3"/>
    <w:rsid w:val="0057056E"/>
    <w:rsid w:val="00570F77"/>
    <w:rsid w:val="00571873"/>
    <w:rsid w:val="005729BD"/>
    <w:rsid w:val="00574AD8"/>
    <w:rsid w:val="00574FB9"/>
    <w:rsid w:val="00575E51"/>
    <w:rsid w:val="005766EA"/>
    <w:rsid w:val="00580C16"/>
    <w:rsid w:val="00580FEF"/>
    <w:rsid w:val="00582631"/>
    <w:rsid w:val="0058333D"/>
    <w:rsid w:val="00583B08"/>
    <w:rsid w:val="00583C39"/>
    <w:rsid w:val="00583E77"/>
    <w:rsid w:val="00585785"/>
    <w:rsid w:val="00585B1E"/>
    <w:rsid w:val="00587211"/>
    <w:rsid w:val="00587F28"/>
    <w:rsid w:val="005905A0"/>
    <w:rsid w:val="005909CF"/>
    <w:rsid w:val="00591E71"/>
    <w:rsid w:val="0059272C"/>
    <w:rsid w:val="00592823"/>
    <w:rsid w:val="0059362F"/>
    <w:rsid w:val="00594478"/>
    <w:rsid w:val="00595818"/>
    <w:rsid w:val="0059619B"/>
    <w:rsid w:val="00597022"/>
    <w:rsid w:val="005A0D41"/>
    <w:rsid w:val="005A1BCD"/>
    <w:rsid w:val="005A1F5A"/>
    <w:rsid w:val="005A2868"/>
    <w:rsid w:val="005A4FC9"/>
    <w:rsid w:val="005A50BE"/>
    <w:rsid w:val="005A52B4"/>
    <w:rsid w:val="005A60FF"/>
    <w:rsid w:val="005B005A"/>
    <w:rsid w:val="005B0314"/>
    <w:rsid w:val="005B0E02"/>
    <w:rsid w:val="005B1646"/>
    <w:rsid w:val="005B33EB"/>
    <w:rsid w:val="005B3CC0"/>
    <w:rsid w:val="005B5B5D"/>
    <w:rsid w:val="005B5CE8"/>
    <w:rsid w:val="005B6EE1"/>
    <w:rsid w:val="005C1D31"/>
    <w:rsid w:val="005C2825"/>
    <w:rsid w:val="005C38BE"/>
    <w:rsid w:val="005C3915"/>
    <w:rsid w:val="005C4983"/>
    <w:rsid w:val="005C50F9"/>
    <w:rsid w:val="005C5E19"/>
    <w:rsid w:val="005C6957"/>
    <w:rsid w:val="005D1066"/>
    <w:rsid w:val="005D229A"/>
    <w:rsid w:val="005D2B44"/>
    <w:rsid w:val="005D2CB1"/>
    <w:rsid w:val="005D491F"/>
    <w:rsid w:val="005D4A5C"/>
    <w:rsid w:val="005D4CAA"/>
    <w:rsid w:val="005D6670"/>
    <w:rsid w:val="005D7548"/>
    <w:rsid w:val="005D7CB0"/>
    <w:rsid w:val="005E018C"/>
    <w:rsid w:val="005E1355"/>
    <w:rsid w:val="005E1B84"/>
    <w:rsid w:val="005E1E38"/>
    <w:rsid w:val="005E2486"/>
    <w:rsid w:val="005E2A66"/>
    <w:rsid w:val="005E2F37"/>
    <w:rsid w:val="005E3277"/>
    <w:rsid w:val="005E34EE"/>
    <w:rsid w:val="005E3615"/>
    <w:rsid w:val="005E4231"/>
    <w:rsid w:val="005E42FA"/>
    <w:rsid w:val="005E6B37"/>
    <w:rsid w:val="005E7534"/>
    <w:rsid w:val="005E7CC4"/>
    <w:rsid w:val="005E7DA6"/>
    <w:rsid w:val="005F4132"/>
    <w:rsid w:val="005F48ED"/>
    <w:rsid w:val="005F4BB3"/>
    <w:rsid w:val="005F5434"/>
    <w:rsid w:val="005F59C0"/>
    <w:rsid w:val="005F7650"/>
    <w:rsid w:val="00600463"/>
    <w:rsid w:val="006006F9"/>
    <w:rsid w:val="00601355"/>
    <w:rsid w:val="00601400"/>
    <w:rsid w:val="0060198D"/>
    <w:rsid w:val="00603174"/>
    <w:rsid w:val="006035C9"/>
    <w:rsid w:val="006041C7"/>
    <w:rsid w:val="006047BF"/>
    <w:rsid w:val="00605167"/>
    <w:rsid w:val="006054CB"/>
    <w:rsid w:val="00605AAB"/>
    <w:rsid w:val="00606E78"/>
    <w:rsid w:val="00607130"/>
    <w:rsid w:val="00607BF1"/>
    <w:rsid w:val="00610BFF"/>
    <w:rsid w:val="00610CEA"/>
    <w:rsid w:val="00611E24"/>
    <w:rsid w:val="00611ED0"/>
    <w:rsid w:val="00612A03"/>
    <w:rsid w:val="006158E4"/>
    <w:rsid w:val="006158FC"/>
    <w:rsid w:val="00616F92"/>
    <w:rsid w:val="00617670"/>
    <w:rsid w:val="00621741"/>
    <w:rsid w:val="00622B96"/>
    <w:rsid w:val="0062349F"/>
    <w:rsid w:val="00625D4A"/>
    <w:rsid w:val="0062659C"/>
    <w:rsid w:val="00627E56"/>
    <w:rsid w:val="00630D4D"/>
    <w:rsid w:val="00632A74"/>
    <w:rsid w:val="00632AE0"/>
    <w:rsid w:val="00632DFE"/>
    <w:rsid w:val="00633277"/>
    <w:rsid w:val="00633B9C"/>
    <w:rsid w:val="00634943"/>
    <w:rsid w:val="0063594F"/>
    <w:rsid w:val="00635E4F"/>
    <w:rsid w:val="00636EC2"/>
    <w:rsid w:val="006371F5"/>
    <w:rsid w:val="006413A4"/>
    <w:rsid w:val="0064180C"/>
    <w:rsid w:val="00642114"/>
    <w:rsid w:val="006422DA"/>
    <w:rsid w:val="00643F17"/>
    <w:rsid w:val="00645345"/>
    <w:rsid w:val="00646691"/>
    <w:rsid w:val="00646FED"/>
    <w:rsid w:val="006503A8"/>
    <w:rsid w:val="006513B2"/>
    <w:rsid w:val="006522E4"/>
    <w:rsid w:val="006532E7"/>
    <w:rsid w:val="00653343"/>
    <w:rsid w:val="0065346D"/>
    <w:rsid w:val="00654B9A"/>
    <w:rsid w:val="00654C8A"/>
    <w:rsid w:val="00654D42"/>
    <w:rsid w:val="006556F1"/>
    <w:rsid w:val="00655754"/>
    <w:rsid w:val="00656243"/>
    <w:rsid w:val="00656FFD"/>
    <w:rsid w:val="00660BE5"/>
    <w:rsid w:val="00661B42"/>
    <w:rsid w:val="006632CB"/>
    <w:rsid w:val="006640CA"/>
    <w:rsid w:val="006650C5"/>
    <w:rsid w:val="006671DC"/>
    <w:rsid w:val="00670F3D"/>
    <w:rsid w:val="0067222F"/>
    <w:rsid w:val="006727FA"/>
    <w:rsid w:val="00676DA7"/>
    <w:rsid w:val="00676FCE"/>
    <w:rsid w:val="00677552"/>
    <w:rsid w:val="00677B16"/>
    <w:rsid w:val="00681FC1"/>
    <w:rsid w:val="00682AE7"/>
    <w:rsid w:val="00683DAF"/>
    <w:rsid w:val="00684B7A"/>
    <w:rsid w:val="006857F2"/>
    <w:rsid w:val="00686081"/>
    <w:rsid w:val="006865FF"/>
    <w:rsid w:val="00686844"/>
    <w:rsid w:val="00686AAD"/>
    <w:rsid w:val="00687440"/>
    <w:rsid w:val="00687B94"/>
    <w:rsid w:val="00690161"/>
    <w:rsid w:val="006908E4"/>
    <w:rsid w:val="00692864"/>
    <w:rsid w:val="006931F1"/>
    <w:rsid w:val="006932EA"/>
    <w:rsid w:val="006932F3"/>
    <w:rsid w:val="0069400A"/>
    <w:rsid w:val="006958B7"/>
    <w:rsid w:val="006A058E"/>
    <w:rsid w:val="006A2F08"/>
    <w:rsid w:val="006A3C24"/>
    <w:rsid w:val="006A4655"/>
    <w:rsid w:val="006A582C"/>
    <w:rsid w:val="006A693C"/>
    <w:rsid w:val="006A752F"/>
    <w:rsid w:val="006A7914"/>
    <w:rsid w:val="006B1E91"/>
    <w:rsid w:val="006B2B3C"/>
    <w:rsid w:val="006B3FC2"/>
    <w:rsid w:val="006B435A"/>
    <w:rsid w:val="006B5970"/>
    <w:rsid w:val="006B6C85"/>
    <w:rsid w:val="006B75A3"/>
    <w:rsid w:val="006B7E0D"/>
    <w:rsid w:val="006C068C"/>
    <w:rsid w:val="006C09A6"/>
    <w:rsid w:val="006C1688"/>
    <w:rsid w:val="006C1D81"/>
    <w:rsid w:val="006C234D"/>
    <w:rsid w:val="006C487E"/>
    <w:rsid w:val="006C4CF2"/>
    <w:rsid w:val="006C62FB"/>
    <w:rsid w:val="006C7038"/>
    <w:rsid w:val="006C7A30"/>
    <w:rsid w:val="006D0290"/>
    <w:rsid w:val="006D0AD9"/>
    <w:rsid w:val="006D0F0D"/>
    <w:rsid w:val="006D19C3"/>
    <w:rsid w:val="006D528F"/>
    <w:rsid w:val="006D6D2B"/>
    <w:rsid w:val="006D7675"/>
    <w:rsid w:val="006E1FDC"/>
    <w:rsid w:val="006E31F8"/>
    <w:rsid w:val="006E515D"/>
    <w:rsid w:val="006E5E3A"/>
    <w:rsid w:val="006E5FEB"/>
    <w:rsid w:val="006E6261"/>
    <w:rsid w:val="006E6F33"/>
    <w:rsid w:val="006E6FCC"/>
    <w:rsid w:val="006E73EF"/>
    <w:rsid w:val="006E79A1"/>
    <w:rsid w:val="006E7B97"/>
    <w:rsid w:val="006F083B"/>
    <w:rsid w:val="006F4366"/>
    <w:rsid w:val="006F44C4"/>
    <w:rsid w:val="006F4580"/>
    <w:rsid w:val="006F58F9"/>
    <w:rsid w:val="006F6440"/>
    <w:rsid w:val="007000DA"/>
    <w:rsid w:val="00703053"/>
    <w:rsid w:val="007037C3"/>
    <w:rsid w:val="00703974"/>
    <w:rsid w:val="00703B18"/>
    <w:rsid w:val="007053E3"/>
    <w:rsid w:val="00705431"/>
    <w:rsid w:val="007056FC"/>
    <w:rsid w:val="007079C9"/>
    <w:rsid w:val="00707A81"/>
    <w:rsid w:val="007128F1"/>
    <w:rsid w:val="00714D4D"/>
    <w:rsid w:val="00715677"/>
    <w:rsid w:val="007168C6"/>
    <w:rsid w:val="00716DAF"/>
    <w:rsid w:val="00721B64"/>
    <w:rsid w:val="0072201E"/>
    <w:rsid w:val="00724C74"/>
    <w:rsid w:val="00725027"/>
    <w:rsid w:val="00725221"/>
    <w:rsid w:val="00725B4A"/>
    <w:rsid w:val="00725B8E"/>
    <w:rsid w:val="00725CDB"/>
    <w:rsid w:val="0072604E"/>
    <w:rsid w:val="00726161"/>
    <w:rsid w:val="007266D3"/>
    <w:rsid w:val="0072688C"/>
    <w:rsid w:val="00727892"/>
    <w:rsid w:val="00727F6D"/>
    <w:rsid w:val="00730630"/>
    <w:rsid w:val="00731938"/>
    <w:rsid w:val="00732029"/>
    <w:rsid w:val="00732CB1"/>
    <w:rsid w:val="0073622F"/>
    <w:rsid w:val="00737344"/>
    <w:rsid w:val="00737838"/>
    <w:rsid w:val="007400DF"/>
    <w:rsid w:val="00743D1F"/>
    <w:rsid w:val="0074424E"/>
    <w:rsid w:val="00745846"/>
    <w:rsid w:val="00746172"/>
    <w:rsid w:val="00746B32"/>
    <w:rsid w:val="00750B17"/>
    <w:rsid w:val="00750C47"/>
    <w:rsid w:val="007518FF"/>
    <w:rsid w:val="007520A7"/>
    <w:rsid w:val="00752E9C"/>
    <w:rsid w:val="00753F6A"/>
    <w:rsid w:val="007541B4"/>
    <w:rsid w:val="00755749"/>
    <w:rsid w:val="0075629E"/>
    <w:rsid w:val="00756B39"/>
    <w:rsid w:val="00757E2A"/>
    <w:rsid w:val="0076002C"/>
    <w:rsid w:val="0076033A"/>
    <w:rsid w:val="007604BB"/>
    <w:rsid w:val="00760EEB"/>
    <w:rsid w:val="00763126"/>
    <w:rsid w:val="007640F5"/>
    <w:rsid w:val="00764394"/>
    <w:rsid w:val="00764D10"/>
    <w:rsid w:val="00765D4E"/>
    <w:rsid w:val="0077152A"/>
    <w:rsid w:val="00773810"/>
    <w:rsid w:val="00774FBF"/>
    <w:rsid w:val="0077601F"/>
    <w:rsid w:val="007769DE"/>
    <w:rsid w:val="00776BBD"/>
    <w:rsid w:val="0077725A"/>
    <w:rsid w:val="00780E98"/>
    <w:rsid w:val="0078303E"/>
    <w:rsid w:val="00784C06"/>
    <w:rsid w:val="00784E43"/>
    <w:rsid w:val="007851F8"/>
    <w:rsid w:val="00785232"/>
    <w:rsid w:val="00785B0E"/>
    <w:rsid w:val="00787C96"/>
    <w:rsid w:val="00790317"/>
    <w:rsid w:val="00791604"/>
    <w:rsid w:val="00791EB9"/>
    <w:rsid w:val="00792D8A"/>
    <w:rsid w:val="007933C5"/>
    <w:rsid w:val="00794C53"/>
    <w:rsid w:val="007954CD"/>
    <w:rsid w:val="00795DDF"/>
    <w:rsid w:val="0079618A"/>
    <w:rsid w:val="0079701E"/>
    <w:rsid w:val="00797879"/>
    <w:rsid w:val="007A0816"/>
    <w:rsid w:val="007A08DC"/>
    <w:rsid w:val="007A104D"/>
    <w:rsid w:val="007A19FF"/>
    <w:rsid w:val="007A21EB"/>
    <w:rsid w:val="007A294E"/>
    <w:rsid w:val="007A3512"/>
    <w:rsid w:val="007A6749"/>
    <w:rsid w:val="007A7384"/>
    <w:rsid w:val="007A7921"/>
    <w:rsid w:val="007A7A3B"/>
    <w:rsid w:val="007A7F8A"/>
    <w:rsid w:val="007B01B6"/>
    <w:rsid w:val="007B06AA"/>
    <w:rsid w:val="007B08CF"/>
    <w:rsid w:val="007B1A93"/>
    <w:rsid w:val="007B2024"/>
    <w:rsid w:val="007B2233"/>
    <w:rsid w:val="007B3703"/>
    <w:rsid w:val="007B4C0B"/>
    <w:rsid w:val="007B54A3"/>
    <w:rsid w:val="007B58B5"/>
    <w:rsid w:val="007B58DE"/>
    <w:rsid w:val="007B6F75"/>
    <w:rsid w:val="007B71B9"/>
    <w:rsid w:val="007B773D"/>
    <w:rsid w:val="007C0106"/>
    <w:rsid w:val="007C0A0B"/>
    <w:rsid w:val="007C156F"/>
    <w:rsid w:val="007C19DE"/>
    <w:rsid w:val="007C1C98"/>
    <w:rsid w:val="007C258B"/>
    <w:rsid w:val="007C26A3"/>
    <w:rsid w:val="007C312F"/>
    <w:rsid w:val="007C36C9"/>
    <w:rsid w:val="007C3F7A"/>
    <w:rsid w:val="007C5A6F"/>
    <w:rsid w:val="007C5B85"/>
    <w:rsid w:val="007C632D"/>
    <w:rsid w:val="007C6886"/>
    <w:rsid w:val="007C6986"/>
    <w:rsid w:val="007C6F6E"/>
    <w:rsid w:val="007D0627"/>
    <w:rsid w:val="007D255D"/>
    <w:rsid w:val="007D4E3D"/>
    <w:rsid w:val="007D6401"/>
    <w:rsid w:val="007D6BCB"/>
    <w:rsid w:val="007D6F9F"/>
    <w:rsid w:val="007E01E4"/>
    <w:rsid w:val="007E1332"/>
    <w:rsid w:val="007E141C"/>
    <w:rsid w:val="007E1526"/>
    <w:rsid w:val="007E1F8F"/>
    <w:rsid w:val="007E2D05"/>
    <w:rsid w:val="007E3645"/>
    <w:rsid w:val="007E38DA"/>
    <w:rsid w:val="007E428D"/>
    <w:rsid w:val="007E571B"/>
    <w:rsid w:val="007E5892"/>
    <w:rsid w:val="007E61C4"/>
    <w:rsid w:val="007E6231"/>
    <w:rsid w:val="007E75DE"/>
    <w:rsid w:val="007E7853"/>
    <w:rsid w:val="007E7925"/>
    <w:rsid w:val="007E7A12"/>
    <w:rsid w:val="007F03E9"/>
    <w:rsid w:val="007F0DF9"/>
    <w:rsid w:val="007F11AE"/>
    <w:rsid w:val="007F1242"/>
    <w:rsid w:val="007F1723"/>
    <w:rsid w:val="007F1B7D"/>
    <w:rsid w:val="007F20E2"/>
    <w:rsid w:val="007F27AE"/>
    <w:rsid w:val="007F2A0D"/>
    <w:rsid w:val="007F30C2"/>
    <w:rsid w:val="007F3436"/>
    <w:rsid w:val="007F6F88"/>
    <w:rsid w:val="007F7107"/>
    <w:rsid w:val="00800D4C"/>
    <w:rsid w:val="00805C58"/>
    <w:rsid w:val="00807290"/>
    <w:rsid w:val="00807EB5"/>
    <w:rsid w:val="0081030F"/>
    <w:rsid w:val="0081211C"/>
    <w:rsid w:val="00812F4A"/>
    <w:rsid w:val="00813D72"/>
    <w:rsid w:val="00814CB8"/>
    <w:rsid w:val="00815215"/>
    <w:rsid w:val="0081684A"/>
    <w:rsid w:val="0082087D"/>
    <w:rsid w:val="00820A33"/>
    <w:rsid w:val="0082116B"/>
    <w:rsid w:val="00821AB8"/>
    <w:rsid w:val="0082215A"/>
    <w:rsid w:val="00822EE3"/>
    <w:rsid w:val="00823D9C"/>
    <w:rsid w:val="008241D0"/>
    <w:rsid w:val="008249D8"/>
    <w:rsid w:val="008254AF"/>
    <w:rsid w:val="008260D4"/>
    <w:rsid w:val="00826553"/>
    <w:rsid w:val="00826695"/>
    <w:rsid w:val="00826748"/>
    <w:rsid w:val="0082797A"/>
    <w:rsid w:val="00830FA6"/>
    <w:rsid w:val="008310AD"/>
    <w:rsid w:val="008350F9"/>
    <w:rsid w:val="00835771"/>
    <w:rsid w:val="008357CC"/>
    <w:rsid w:val="0083715D"/>
    <w:rsid w:val="00837561"/>
    <w:rsid w:val="0084018A"/>
    <w:rsid w:val="00840A98"/>
    <w:rsid w:val="00840AB3"/>
    <w:rsid w:val="00840E8C"/>
    <w:rsid w:val="00841CA8"/>
    <w:rsid w:val="00842933"/>
    <w:rsid w:val="00843285"/>
    <w:rsid w:val="008434E4"/>
    <w:rsid w:val="008437E7"/>
    <w:rsid w:val="00843BCB"/>
    <w:rsid w:val="00844378"/>
    <w:rsid w:val="00846BEA"/>
    <w:rsid w:val="00846DB4"/>
    <w:rsid w:val="008508EF"/>
    <w:rsid w:val="008535EF"/>
    <w:rsid w:val="00853EA2"/>
    <w:rsid w:val="00854004"/>
    <w:rsid w:val="0085489A"/>
    <w:rsid w:val="00855715"/>
    <w:rsid w:val="008558DC"/>
    <w:rsid w:val="0085728F"/>
    <w:rsid w:val="00857F3E"/>
    <w:rsid w:val="00860624"/>
    <w:rsid w:val="0086082C"/>
    <w:rsid w:val="008612B6"/>
    <w:rsid w:val="00861CAD"/>
    <w:rsid w:val="00862E51"/>
    <w:rsid w:val="008631AD"/>
    <w:rsid w:val="00863A3C"/>
    <w:rsid w:val="008641BC"/>
    <w:rsid w:val="00864ADC"/>
    <w:rsid w:val="00866809"/>
    <w:rsid w:val="008702DB"/>
    <w:rsid w:val="008704E1"/>
    <w:rsid w:val="00871FC8"/>
    <w:rsid w:val="008726AF"/>
    <w:rsid w:val="008727DC"/>
    <w:rsid w:val="00872E20"/>
    <w:rsid w:val="0087326C"/>
    <w:rsid w:val="008740D2"/>
    <w:rsid w:val="00875362"/>
    <w:rsid w:val="00875699"/>
    <w:rsid w:val="00880151"/>
    <w:rsid w:val="00880153"/>
    <w:rsid w:val="00880CFA"/>
    <w:rsid w:val="00880F97"/>
    <w:rsid w:val="0088133A"/>
    <w:rsid w:val="0088221B"/>
    <w:rsid w:val="00882C04"/>
    <w:rsid w:val="008843B6"/>
    <w:rsid w:val="008843BD"/>
    <w:rsid w:val="00885305"/>
    <w:rsid w:val="0088548E"/>
    <w:rsid w:val="00886B4E"/>
    <w:rsid w:val="00886FA3"/>
    <w:rsid w:val="008908FB"/>
    <w:rsid w:val="00890BF5"/>
    <w:rsid w:val="00891B6E"/>
    <w:rsid w:val="0089285E"/>
    <w:rsid w:val="008935CF"/>
    <w:rsid w:val="0089436C"/>
    <w:rsid w:val="00895905"/>
    <w:rsid w:val="00896B12"/>
    <w:rsid w:val="008972A8"/>
    <w:rsid w:val="008A00FD"/>
    <w:rsid w:val="008A0A44"/>
    <w:rsid w:val="008A12E5"/>
    <w:rsid w:val="008A1C15"/>
    <w:rsid w:val="008A44F1"/>
    <w:rsid w:val="008A519A"/>
    <w:rsid w:val="008B0243"/>
    <w:rsid w:val="008B1ACF"/>
    <w:rsid w:val="008B20AF"/>
    <w:rsid w:val="008B4399"/>
    <w:rsid w:val="008B5EEF"/>
    <w:rsid w:val="008B5F2B"/>
    <w:rsid w:val="008B736A"/>
    <w:rsid w:val="008B773C"/>
    <w:rsid w:val="008C0253"/>
    <w:rsid w:val="008C1294"/>
    <w:rsid w:val="008C155D"/>
    <w:rsid w:val="008C155F"/>
    <w:rsid w:val="008C16EE"/>
    <w:rsid w:val="008C2B02"/>
    <w:rsid w:val="008C2EB2"/>
    <w:rsid w:val="008C4D17"/>
    <w:rsid w:val="008C5438"/>
    <w:rsid w:val="008C5CFA"/>
    <w:rsid w:val="008C6225"/>
    <w:rsid w:val="008C74EB"/>
    <w:rsid w:val="008C7F17"/>
    <w:rsid w:val="008D04A2"/>
    <w:rsid w:val="008D04BB"/>
    <w:rsid w:val="008D132D"/>
    <w:rsid w:val="008D19A0"/>
    <w:rsid w:val="008D365C"/>
    <w:rsid w:val="008D4822"/>
    <w:rsid w:val="008D4A0C"/>
    <w:rsid w:val="008D61CA"/>
    <w:rsid w:val="008D6292"/>
    <w:rsid w:val="008D6644"/>
    <w:rsid w:val="008D67A4"/>
    <w:rsid w:val="008D7429"/>
    <w:rsid w:val="008E0A4C"/>
    <w:rsid w:val="008E1CA4"/>
    <w:rsid w:val="008E2078"/>
    <w:rsid w:val="008E451A"/>
    <w:rsid w:val="008E69EB"/>
    <w:rsid w:val="008E7834"/>
    <w:rsid w:val="008E7F5A"/>
    <w:rsid w:val="008F15E8"/>
    <w:rsid w:val="008F1849"/>
    <w:rsid w:val="008F1ADF"/>
    <w:rsid w:val="008F21B7"/>
    <w:rsid w:val="008F24A0"/>
    <w:rsid w:val="008F3E11"/>
    <w:rsid w:val="008F4628"/>
    <w:rsid w:val="008F4C5B"/>
    <w:rsid w:val="008F4DA0"/>
    <w:rsid w:val="008F5D95"/>
    <w:rsid w:val="00900D41"/>
    <w:rsid w:val="00900E32"/>
    <w:rsid w:val="009014AB"/>
    <w:rsid w:val="00901C9B"/>
    <w:rsid w:val="009023D6"/>
    <w:rsid w:val="009029D7"/>
    <w:rsid w:val="009030BF"/>
    <w:rsid w:val="009035E1"/>
    <w:rsid w:val="009036B5"/>
    <w:rsid w:val="00903702"/>
    <w:rsid w:val="0090390B"/>
    <w:rsid w:val="00903AF8"/>
    <w:rsid w:val="00903B52"/>
    <w:rsid w:val="00904652"/>
    <w:rsid w:val="009047E6"/>
    <w:rsid w:val="009065D6"/>
    <w:rsid w:val="009066B2"/>
    <w:rsid w:val="00906908"/>
    <w:rsid w:val="00906C53"/>
    <w:rsid w:val="009078B8"/>
    <w:rsid w:val="009078C2"/>
    <w:rsid w:val="0091032F"/>
    <w:rsid w:val="00912B87"/>
    <w:rsid w:val="00913826"/>
    <w:rsid w:val="00913BF0"/>
    <w:rsid w:val="00914368"/>
    <w:rsid w:val="00914D6E"/>
    <w:rsid w:val="00914D83"/>
    <w:rsid w:val="00916586"/>
    <w:rsid w:val="00916C94"/>
    <w:rsid w:val="0092147A"/>
    <w:rsid w:val="00923064"/>
    <w:rsid w:val="00925808"/>
    <w:rsid w:val="00926D85"/>
    <w:rsid w:val="009270CD"/>
    <w:rsid w:val="0092779E"/>
    <w:rsid w:val="00931076"/>
    <w:rsid w:val="009343D3"/>
    <w:rsid w:val="009345D9"/>
    <w:rsid w:val="00934B15"/>
    <w:rsid w:val="00936B8B"/>
    <w:rsid w:val="00937F96"/>
    <w:rsid w:val="00940563"/>
    <w:rsid w:val="0094075F"/>
    <w:rsid w:val="00940C87"/>
    <w:rsid w:val="009429BF"/>
    <w:rsid w:val="00942B62"/>
    <w:rsid w:val="00942FD7"/>
    <w:rsid w:val="009432D0"/>
    <w:rsid w:val="00943B0D"/>
    <w:rsid w:val="00943E73"/>
    <w:rsid w:val="0094466F"/>
    <w:rsid w:val="00946E08"/>
    <w:rsid w:val="009501B0"/>
    <w:rsid w:val="009505D6"/>
    <w:rsid w:val="00950729"/>
    <w:rsid w:val="00951737"/>
    <w:rsid w:val="00952438"/>
    <w:rsid w:val="0095310B"/>
    <w:rsid w:val="0095323B"/>
    <w:rsid w:val="00954B1B"/>
    <w:rsid w:val="00956134"/>
    <w:rsid w:val="0095618E"/>
    <w:rsid w:val="00956A0C"/>
    <w:rsid w:val="00956B30"/>
    <w:rsid w:val="00956BD9"/>
    <w:rsid w:val="00957A47"/>
    <w:rsid w:val="00961C5B"/>
    <w:rsid w:val="00961E3F"/>
    <w:rsid w:val="00961F1E"/>
    <w:rsid w:val="009620DA"/>
    <w:rsid w:val="00962489"/>
    <w:rsid w:val="009635DC"/>
    <w:rsid w:val="009641E9"/>
    <w:rsid w:val="00964506"/>
    <w:rsid w:val="0096539E"/>
    <w:rsid w:val="00965B60"/>
    <w:rsid w:val="00966213"/>
    <w:rsid w:val="00967CD3"/>
    <w:rsid w:val="009715D9"/>
    <w:rsid w:val="0097367D"/>
    <w:rsid w:val="00975B8B"/>
    <w:rsid w:val="00976CC9"/>
    <w:rsid w:val="009777E2"/>
    <w:rsid w:val="00977D9A"/>
    <w:rsid w:val="0098084D"/>
    <w:rsid w:val="00980D5B"/>
    <w:rsid w:val="00986B49"/>
    <w:rsid w:val="00987468"/>
    <w:rsid w:val="00990079"/>
    <w:rsid w:val="00990744"/>
    <w:rsid w:val="00990C2C"/>
    <w:rsid w:val="009916AD"/>
    <w:rsid w:val="00991F40"/>
    <w:rsid w:val="00992CF2"/>
    <w:rsid w:val="00992F53"/>
    <w:rsid w:val="0099301E"/>
    <w:rsid w:val="0099350C"/>
    <w:rsid w:val="00994536"/>
    <w:rsid w:val="009949A0"/>
    <w:rsid w:val="00996503"/>
    <w:rsid w:val="0099651D"/>
    <w:rsid w:val="00997F53"/>
    <w:rsid w:val="009A05DF"/>
    <w:rsid w:val="009A0AAA"/>
    <w:rsid w:val="009A0C62"/>
    <w:rsid w:val="009A1093"/>
    <w:rsid w:val="009A1BC6"/>
    <w:rsid w:val="009A1D0D"/>
    <w:rsid w:val="009A276D"/>
    <w:rsid w:val="009A44C6"/>
    <w:rsid w:val="009A6151"/>
    <w:rsid w:val="009A6460"/>
    <w:rsid w:val="009A7863"/>
    <w:rsid w:val="009B29BF"/>
    <w:rsid w:val="009B39C7"/>
    <w:rsid w:val="009B4194"/>
    <w:rsid w:val="009B4BA5"/>
    <w:rsid w:val="009B5814"/>
    <w:rsid w:val="009B5835"/>
    <w:rsid w:val="009B6991"/>
    <w:rsid w:val="009B7167"/>
    <w:rsid w:val="009B7C52"/>
    <w:rsid w:val="009B7C64"/>
    <w:rsid w:val="009B7D00"/>
    <w:rsid w:val="009C00D4"/>
    <w:rsid w:val="009C1103"/>
    <w:rsid w:val="009C1DBA"/>
    <w:rsid w:val="009C4CA7"/>
    <w:rsid w:val="009C6947"/>
    <w:rsid w:val="009C7C43"/>
    <w:rsid w:val="009D0582"/>
    <w:rsid w:val="009D0F60"/>
    <w:rsid w:val="009D1790"/>
    <w:rsid w:val="009D1E32"/>
    <w:rsid w:val="009D28E9"/>
    <w:rsid w:val="009D2B4E"/>
    <w:rsid w:val="009D415E"/>
    <w:rsid w:val="009D4BF6"/>
    <w:rsid w:val="009D5947"/>
    <w:rsid w:val="009D5C47"/>
    <w:rsid w:val="009D5EA8"/>
    <w:rsid w:val="009D68A9"/>
    <w:rsid w:val="009D7179"/>
    <w:rsid w:val="009E014C"/>
    <w:rsid w:val="009E1844"/>
    <w:rsid w:val="009E1B8A"/>
    <w:rsid w:val="009E215C"/>
    <w:rsid w:val="009E21D2"/>
    <w:rsid w:val="009E2389"/>
    <w:rsid w:val="009E3531"/>
    <w:rsid w:val="009E3E96"/>
    <w:rsid w:val="009E4B3B"/>
    <w:rsid w:val="009E5C1B"/>
    <w:rsid w:val="009E6314"/>
    <w:rsid w:val="009F0137"/>
    <w:rsid w:val="009F042E"/>
    <w:rsid w:val="009F09A8"/>
    <w:rsid w:val="009F0D1B"/>
    <w:rsid w:val="009F152D"/>
    <w:rsid w:val="009F183A"/>
    <w:rsid w:val="009F3DA6"/>
    <w:rsid w:val="009F3E26"/>
    <w:rsid w:val="009F40A5"/>
    <w:rsid w:val="009F5BBD"/>
    <w:rsid w:val="009F696D"/>
    <w:rsid w:val="009F6BC6"/>
    <w:rsid w:val="009F6FCD"/>
    <w:rsid w:val="009F74EF"/>
    <w:rsid w:val="009F77A2"/>
    <w:rsid w:val="00A01FF5"/>
    <w:rsid w:val="00A02FC6"/>
    <w:rsid w:val="00A0409C"/>
    <w:rsid w:val="00A04578"/>
    <w:rsid w:val="00A04DF1"/>
    <w:rsid w:val="00A072BF"/>
    <w:rsid w:val="00A11762"/>
    <w:rsid w:val="00A11CC8"/>
    <w:rsid w:val="00A121D9"/>
    <w:rsid w:val="00A13E6E"/>
    <w:rsid w:val="00A14BD4"/>
    <w:rsid w:val="00A15D5A"/>
    <w:rsid w:val="00A17328"/>
    <w:rsid w:val="00A17AE7"/>
    <w:rsid w:val="00A21DFA"/>
    <w:rsid w:val="00A21EB0"/>
    <w:rsid w:val="00A2353B"/>
    <w:rsid w:val="00A23A20"/>
    <w:rsid w:val="00A243AA"/>
    <w:rsid w:val="00A24443"/>
    <w:rsid w:val="00A24D70"/>
    <w:rsid w:val="00A268B9"/>
    <w:rsid w:val="00A26C31"/>
    <w:rsid w:val="00A26F21"/>
    <w:rsid w:val="00A2703A"/>
    <w:rsid w:val="00A3047A"/>
    <w:rsid w:val="00A3081B"/>
    <w:rsid w:val="00A30BBA"/>
    <w:rsid w:val="00A31C1C"/>
    <w:rsid w:val="00A3231E"/>
    <w:rsid w:val="00A333F0"/>
    <w:rsid w:val="00A33DAE"/>
    <w:rsid w:val="00A33DFF"/>
    <w:rsid w:val="00A344D6"/>
    <w:rsid w:val="00A35115"/>
    <w:rsid w:val="00A352E9"/>
    <w:rsid w:val="00A3676E"/>
    <w:rsid w:val="00A36817"/>
    <w:rsid w:val="00A36D9A"/>
    <w:rsid w:val="00A374AA"/>
    <w:rsid w:val="00A37E9D"/>
    <w:rsid w:val="00A40EC6"/>
    <w:rsid w:val="00A41BC7"/>
    <w:rsid w:val="00A459A0"/>
    <w:rsid w:val="00A4607B"/>
    <w:rsid w:val="00A46746"/>
    <w:rsid w:val="00A469CF"/>
    <w:rsid w:val="00A469FB"/>
    <w:rsid w:val="00A47BB9"/>
    <w:rsid w:val="00A51012"/>
    <w:rsid w:val="00A534EA"/>
    <w:rsid w:val="00A554AB"/>
    <w:rsid w:val="00A56FA8"/>
    <w:rsid w:val="00A57062"/>
    <w:rsid w:val="00A57C19"/>
    <w:rsid w:val="00A6019F"/>
    <w:rsid w:val="00A62178"/>
    <w:rsid w:val="00A627A8"/>
    <w:rsid w:val="00A62A38"/>
    <w:rsid w:val="00A62F33"/>
    <w:rsid w:val="00A64161"/>
    <w:rsid w:val="00A64CC3"/>
    <w:rsid w:val="00A654C0"/>
    <w:rsid w:val="00A65E2D"/>
    <w:rsid w:val="00A6619B"/>
    <w:rsid w:val="00A66A38"/>
    <w:rsid w:val="00A67181"/>
    <w:rsid w:val="00A6718F"/>
    <w:rsid w:val="00A67781"/>
    <w:rsid w:val="00A67D89"/>
    <w:rsid w:val="00A73480"/>
    <w:rsid w:val="00A74516"/>
    <w:rsid w:val="00A74EDE"/>
    <w:rsid w:val="00A761F9"/>
    <w:rsid w:val="00A76526"/>
    <w:rsid w:val="00A76A9C"/>
    <w:rsid w:val="00A80CC1"/>
    <w:rsid w:val="00A81665"/>
    <w:rsid w:val="00A81F44"/>
    <w:rsid w:val="00A82135"/>
    <w:rsid w:val="00A8401B"/>
    <w:rsid w:val="00A84990"/>
    <w:rsid w:val="00A85221"/>
    <w:rsid w:val="00A856A3"/>
    <w:rsid w:val="00A86019"/>
    <w:rsid w:val="00A90D38"/>
    <w:rsid w:val="00A923A7"/>
    <w:rsid w:val="00A92B53"/>
    <w:rsid w:val="00A92C6A"/>
    <w:rsid w:val="00A94100"/>
    <w:rsid w:val="00A94FA6"/>
    <w:rsid w:val="00A95120"/>
    <w:rsid w:val="00A95A20"/>
    <w:rsid w:val="00A9664B"/>
    <w:rsid w:val="00A974CD"/>
    <w:rsid w:val="00A9788C"/>
    <w:rsid w:val="00A97C55"/>
    <w:rsid w:val="00AA166F"/>
    <w:rsid w:val="00AA214F"/>
    <w:rsid w:val="00AA39D5"/>
    <w:rsid w:val="00AA4178"/>
    <w:rsid w:val="00AA4928"/>
    <w:rsid w:val="00AA49A0"/>
    <w:rsid w:val="00AA5382"/>
    <w:rsid w:val="00AA6710"/>
    <w:rsid w:val="00AA6F0E"/>
    <w:rsid w:val="00AA73B8"/>
    <w:rsid w:val="00AB0681"/>
    <w:rsid w:val="00AB0A16"/>
    <w:rsid w:val="00AB429D"/>
    <w:rsid w:val="00AB44DF"/>
    <w:rsid w:val="00AB46A5"/>
    <w:rsid w:val="00AB487A"/>
    <w:rsid w:val="00AB4E0B"/>
    <w:rsid w:val="00AB64D5"/>
    <w:rsid w:val="00AB6BE9"/>
    <w:rsid w:val="00AB7E54"/>
    <w:rsid w:val="00AC0965"/>
    <w:rsid w:val="00AC0A71"/>
    <w:rsid w:val="00AC1812"/>
    <w:rsid w:val="00AC25B9"/>
    <w:rsid w:val="00AC40BF"/>
    <w:rsid w:val="00AC4B9C"/>
    <w:rsid w:val="00AC612C"/>
    <w:rsid w:val="00AC715E"/>
    <w:rsid w:val="00AD1070"/>
    <w:rsid w:val="00AD14AB"/>
    <w:rsid w:val="00AD3A70"/>
    <w:rsid w:val="00AD3ED1"/>
    <w:rsid w:val="00AD50C5"/>
    <w:rsid w:val="00AD520B"/>
    <w:rsid w:val="00AD5ECA"/>
    <w:rsid w:val="00AD6120"/>
    <w:rsid w:val="00AD64B2"/>
    <w:rsid w:val="00AD6669"/>
    <w:rsid w:val="00AD7D41"/>
    <w:rsid w:val="00AE0DCA"/>
    <w:rsid w:val="00AE1C7F"/>
    <w:rsid w:val="00AE24B7"/>
    <w:rsid w:val="00AE2E63"/>
    <w:rsid w:val="00AE3BCC"/>
    <w:rsid w:val="00AE4242"/>
    <w:rsid w:val="00AE562D"/>
    <w:rsid w:val="00AE571A"/>
    <w:rsid w:val="00AE59DD"/>
    <w:rsid w:val="00AE5FBA"/>
    <w:rsid w:val="00AE5FD9"/>
    <w:rsid w:val="00AE6FDD"/>
    <w:rsid w:val="00AF1E77"/>
    <w:rsid w:val="00AF3AD0"/>
    <w:rsid w:val="00AF632B"/>
    <w:rsid w:val="00AF6D6B"/>
    <w:rsid w:val="00B010E4"/>
    <w:rsid w:val="00B013E2"/>
    <w:rsid w:val="00B038A9"/>
    <w:rsid w:val="00B03ECA"/>
    <w:rsid w:val="00B03F43"/>
    <w:rsid w:val="00B05549"/>
    <w:rsid w:val="00B05F1E"/>
    <w:rsid w:val="00B068B4"/>
    <w:rsid w:val="00B06EA0"/>
    <w:rsid w:val="00B10632"/>
    <w:rsid w:val="00B13E7B"/>
    <w:rsid w:val="00B13E80"/>
    <w:rsid w:val="00B14F67"/>
    <w:rsid w:val="00B2009E"/>
    <w:rsid w:val="00B2181F"/>
    <w:rsid w:val="00B21B63"/>
    <w:rsid w:val="00B22245"/>
    <w:rsid w:val="00B262FC"/>
    <w:rsid w:val="00B2651B"/>
    <w:rsid w:val="00B3259B"/>
    <w:rsid w:val="00B328E1"/>
    <w:rsid w:val="00B333E0"/>
    <w:rsid w:val="00B3410A"/>
    <w:rsid w:val="00B34121"/>
    <w:rsid w:val="00B360C7"/>
    <w:rsid w:val="00B36836"/>
    <w:rsid w:val="00B36E30"/>
    <w:rsid w:val="00B41300"/>
    <w:rsid w:val="00B425C3"/>
    <w:rsid w:val="00B440AD"/>
    <w:rsid w:val="00B45A7C"/>
    <w:rsid w:val="00B46945"/>
    <w:rsid w:val="00B46978"/>
    <w:rsid w:val="00B46B23"/>
    <w:rsid w:val="00B46EE3"/>
    <w:rsid w:val="00B4734B"/>
    <w:rsid w:val="00B475EF"/>
    <w:rsid w:val="00B479BB"/>
    <w:rsid w:val="00B51F3E"/>
    <w:rsid w:val="00B5365E"/>
    <w:rsid w:val="00B53E7E"/>
    <w:rsid w:val="00B55A4F"/>
    <w:rsid w:val="00B57BC7"/>
    <w:rsid w:val="00B60BD3"/>
    <w:rsid w:val="00B61C88"/>
    <w:rsid w:val="00B628F1"/>
    <w:rsid w:val="00B62D41"/>
    <w:rsid w:val="00B6342E"/>
    <w:rsid w:val="00B63FF9"/>
    <w:rsid w:val="00B64E1F"/>
    <w:rsid w:val="00B650E8"/>
    <w:rsid w:val="00B6516B"/>
    <w:rsid w:val="00B663F6"/>
    <w:rsid w:val="00B66633"/>
    <w:rsid w:val="00B67F32"/>
    <w:rsid w:val="00B7031A"/>
    <w:rsid w:val="00B70695"/>
    <w:rsid w:val="00B70CFE"/>
    <w:rsid w:val="00B7113F"/>
    <w:rsid w:val="00B719B2"/>
    <w:rsid w:val="00B73DE6"/>
    <w:rsid w:val="00B7414A"/>
    <w:rsid w:val="00B7584A"/>
    <w:rsid w:val="00B76DD6"/>
    <w:rsid w:val="00B80568"/>
    <w:rsid w:val="00B805B2"/>
    <w:rsid w:val="00B81C1A"/>
    <w:rsid w:val="00B82E70"/>
    <w:rsid w:val="00B83BBE"/>
    <w:rsid w:val="00B843AF"/>
    <w:rsid w:val="00B85062"/>
    <w:rsid w:val="00B856D2"/>
    <w:rsid w:val="00B87305"/>
    <w:rsid w:val="00B91DAE"/>
    <w:rsid w:val="00B94C11"/>
    <w:rsid w:val="00B95053"/>
    <w:rsid w:val="00B950C7"/>
    <w:rsid w:val="00B95E85"/>
    <w:rsid w:val="00B9700C"/>
    <w:rsid w:val="00BA00AD"/>
    <w:rsid w:val="00BA1360"/>
    <w:rsid w:val="00BA2B2F"/>
    <w:rsid w:val="00BA2BCF"/>
    <w:rsid w:val="00BA336C"/>
    <w:rsid w:val="00BA367A"/>
    <w:rsid w:val="00BA4226"/>
    <w:rsid w:val="00BA58D9"/>
    <w:rsid w:val="00BA5B14"/>
    <w:rsid w:val="00BA5CE5"/>
    <w:rsid w:val="00BA69D6"/>
    <w:rsid w:val="00BA73B6"/>
    <w:rsid w:val="00BA7E27"/>
    <w:rsid w:val="00BB0C88"/>
    <w:rsid w:val="00BB11E5"/>
    <w:rsid w:val="00BB1F8A"/>
    <w:rsid w:val="00BB2603"/>
    <w:rsid w:val="00BB36BF"/>
    <w:rsid w:val="00BB3EC9"/>
    <w:rsid w:val="00BB4559"/>
    <w:rsid w:val="00BB46E2"/>
    <w:rsid w:val="00BB4FCD"/>
    <w:rsid w:val="00BB6AEB"/>
    <w:rsid w:val="00BB75B0"/>
    <w:rsid w:val="00BC04E9"/>
    <w:rsid w:val="00BC0C69"/>
    <w:rsid w:val="00BC2E91"/>
    <w:rsid w:val="00BC390A"/>
    <w:rsid w:val="00BC3BC0"/>
    <w:rsid w:val="00BC3EC3"/>
    <w:rsid w:val="00BC52D3"/>
    <w:rsid w:val="00BC5F64"/>
    <w:rsid w:val="00BC72E1"/>
    <w:rsid w:val="00BC7711"/>
    <w:rsid w:val="00BD0197"/>
    <w:rsid w:val="00BD13EA"/>
    <w:rsid w:val="00BD308D"/>
    <w:rsid w:val="00BD5807"/>
    <w:rsid w:val="00BE092F"/>
    <w:rsid w:val="00BE0B50"/>
    <w:rsid w:val="00BE0D93"/>
    <w:rsid w:val="00BE201F"/>
    <w:rsid w:val="00BE2455"/>
    <w:rsid w:val="00BE3674"/>
    <w:rsid w:val="00BE3808"/>
    <w:rsid w:val="00BE3FCD"/>
    <w:rsid w:val="00BE5293"/>
    <w:rsid w:val="00BE52A9"/>
    <w:rsid w:val="00BE58BE"/>
    <w:rsid w:val="00BE733A"/>
    <w:rsid w:val="00BF0818"/>
    <w:rsid w:val="00BF169C"/>
    <w:rsid w:val="00BF4184"/>
    <w:rsid w:val="00BF4D73"/>
    <w:rsid w:val="00BF54AC"/>
    <w:rsid w:val="00C0061A"/>
    <w:rsid w:val="00C02B2B"/>
    <w:rsid w:val="00C02E8B"/>
    <w:rsid w:val="00C02F16"/>
    <w:rsid w:val="00C03189"/>
    <w:rsid w:val="00C03861"/>
    <w:rsid w:val="00C03BC8"/>
    <w:rsid w:val="00C03FC3"/>
    <w:rsid w:val="00C04051"/>
    <w:rsid w:val="00C04CFE"/>
    <w:rsid w:val="00C05FC3"/>
    <w:rsid w:val="00C062E9"/>
    <w:rsid w:val="00C07B64"/>
    <w:rsid w:val="00C11340"/>
    <w:rsid w:val="00C11366"/>
    <w:rsid w:val="00C11D30"/>
    <w:rsid w:val="00C12D2C"/>
    <w:rsid w:val="00C13721"/>
    <w:rsid w:val="00C148AC"/>
    <w:rsid w:val="00C14FE4"/>
    <w:rsid w:val="00C15747"/>
    <w:rsid w:val="00C16310"/>
    <w:rsid w:val="00C211DD"/>
    <w:rsid w:val="00C21582"/>
    <w:rsid w:val="00C21DAB"/>
    <w:rsid w:val="00C2260A"/>
    <w:rsid w:val="00C22855"/>
    <w:rsid w:val="00C23D61"/>
    <w:rsid w:val="00C243B6"/>
    <w:rsid w:val="00C24525"/>
    <w:rsid w:val="00C251F4"/>
    <w:rsid w:val="00C3066D"/>
    <w:rsid w:val="00C31575"/>
    <w:rsid w:val="00C326C8"/>
    <w:rsid w:val="00C347EA"/>
    <w:rsid w:val="00C34D0D"/>
    <w:rsid w:val="00C350C4"/>
    <w:rsid w:val="00C37A9B"/>
    <w:rsid w:val="00C404A8"/>
    <w:rsid w:val="00C41BB7"/>
    <w:rsid w:val="00C42014"/>
    <w:rsid w:val="00C43A33"/>
    <w:rsid w:val="00C463CC"/>
    <w:rsid w:val="00C4642A"/>
    <w:rsid w:val="00C46483"/>
    <w:rsid w:val="00C47345"/>
    <w:rsid w:val="00C50663"/>
    <w:rsid w:val="00C518B9"/>
    <w:rsid w:val="00C52416"/>
    <w:rsid w:val="00C52A08"/>
    <w:rsid w:val="00C530A1"/>
    <w:rsid w:val="00C543F4"/>
    <w:rsid w:val="00C578BD"/>
    <w:rsid w:val="00C60902"/>
    <w:rsid w:val="00C6291C"/>
    <w:rsid w:val="00C631AA"/>
    <w:rsid w:val="00C633CB"/>
    <w:rsid w:val="00C64477"/>
    <w:rsid w:val="00C664CD"/>
    <w:rsid w:val="00C66549"/>
    <w:rsid w:val="00C66C35"/>
    <w:rsid w:val="00C66F30"/>
    <w:rsid w:val="00C67235"/>
    <w:rsid w:val="00C705FF"/>
    <w:rsid w:val="00C71E04"/>
    <w:rsid w:val="00C72C28"/>
    <w:rsid w:val="00C736B7"/>
    <w:rsid w:val="00C738C7"/>
    <w:rsid w:val="00C740A4"/>
    <w:rsid w:val="00C7497F"/>
    <w:rsid w:val="00C7525A"/>
    <w:rsid w:val="00C7541E"/>
    <w:rsid w:val="00C7624C"/>
    <w:rsid w:val="00C76561"/>
    <w:rsid w:val="00C815C2"/>
    <w:rsid w:val="00C81D4A"/>
    <w:rsid w:val="00C8244F"/>
    <w:rsid w:val="00C83358"/>
    <w:rsid w:val="00C84378"/>
    <w:rsid w:val="00C8549E"/>
    <w:rsid w:val="00C85648"/>
    <w:rsid w:val="00C86F01"/>
    <w:rsid w:val="00C8762C"/>
    <w:rsid w:val="00C877CA"/>
    <w:rsid w:val="00C9133B"/>
    <w:rsid w:val="00C922D1"/>
    <w:rsid w:val="00C93214"/>
    <w:rsid w:val="00C935CF"/>
    <w:rsid w:val="00C93707"/>
    <w:rsid w:val="00C94436"/>
    <w:rsid w:val="00C94642"/>
    <w:rsid w:val="00C94BF1"/>
    <w:rsid w:val="00C97044"/>
    <w:rsid w:val="00C97CB4"/>
    <w:rsid w:val="00CA00F9"/>
    <w:rsid w:val="00CA08F5"/>
    <w:rsid w:val="00CA0B82"/>
    <w:rsid w:val="00CA111E"/>
    <w:rsid w:val="00CA2085"/>
    <w:rsid w:val="00CA222D"/>
    <w:rsid w:val="00CA2255"/>
    <w:rsid w:val="00CA24A2"/>
    <w:rsid w:val="00CA2961"/>
    <w:rsid w:val="00CA3553"/>
    <w:rsid w:val="00CA3B75"/>
    <w:rsid w:val="00CA4FCE"/>
    <w:rsid w:val="00CA5FCE"/>
    <w:rsid w:val="00CA7D57"/>
    <w:rsid w:val="00CB1EE2"/>
    <w:rsid w:val="00CB232A"/>
    <w:rsid w:val="00CB2717"/>
    <w:rsid w:val="00CB4A60"/>
    <w:rsid w:val="00CB50D7"/>
    <w:rsid w:val="00CB7177"/>
    <w:rsid w:val="00CB7542"/>
    <w:rsid w:val="00CB7CED"/>
    <w:rsid w:val="00CC070F"/>
    <w:rsid w:val="00CC176A"/>
    <w:rsid w:val="00CC1998"/>
    <w:rsid w:val="00CC224E"/>
    <w:rsid w:val="00CC38BA"/>
    <w:rsid w:val="00CC4946"/>
    <w:rsid w:val="00CC64A1"/>
    <w:rsid w:val="00CC77AB"/>
    <w:rsid w:val="00CD4BEC"/>
    <w:rsid w:val="00CD5486"/>
    <w:rsid w:val="00CD56D1"/>
    <w:rsid w:val="00CD56E1"/>
    <w:rsid w:val="00CD737E"/>
    <w:rsid w:val="00CD77A3"/>
    <w:rsid w:val="00CE37C6"/>
    <w:rsid w:val="00CE3B7F"/>
    <w:rsid w:val="00CE57EC"/>
    <w:rsid w:val="00CE580D"/>
    <w:rsid w:val="00CE587D"/>
    <w:rsid w:val="00CE5943"/>
    <w:rsid w:val="00CE638E"/>
    <w:rsid w:val="00CF06AC"/>
    <w:rsid w:val="00CF0A6F"/>
    <w:rsid w:val="00CF344D"/>
    <w:rsid w:val="00CF3B11"/>
    <w:rsid w:val="00CF3CB4"/>
    <w:rsid w:val="00CF3F83"/>
    <w:rsid w:val="00CF417C"/>
    <w:rsid w:val="00CF5726"/>
    <w:rsid w:val="00CF5F07"/>
    <w:rsid w:val="00CF6032"/>
    <w:rsid w:val="00CF6210"/>
    <w:rsid w:val="00CF644F"/>
    <w:rsid w:val="00CF701E"/>
    <w:rsid w:val="00D01B30"/>
    <w:rsid w:val="00D02B2D"/>
    <w:rsid w:val="00D02E44"/>
    <w:rsid w:val="00D0347A"/>
    <w:rsid w:val="00D050E8"/>
    <w:rsid w:val="00D07BE3"/>
    <w:rsid w:val="00D1037C"/>
    <w:rsid w:val="00D10817"/>
    <w:rsid w:val="00D121D8"/>
    <w:rsid w:val="00D12675"/>
    <w:rsid w:val="00D13D1B"/>
    <w:rsid w:val="00D13FA1"/>
    <w:rsid w:val="00D1560D"/>
    <w:rsid w:val="00D17216"/>
    <w:rsid w:val="00D20B03"/>
    <w:rsid w:val="00D213C8"/>
    <w:rsid w:val="00D219FC"/>
    <w:rsid w:val="00D21D3B"/>
    <w:rsid w:val="00D24D7B"/>
    <w:rsid w:val="00D24FDE"/>
    <w:rsid w:val="00D25A56"/>
    <w:rsid w:val="00D261BB"/>
    <w:rsid w:val="00D270A4"/>
    <w:rsid w:val="00D27DB8"/>
    <w:rsid w:val="00D30B13"/>
    <w:rsid w:val="00D31FE9"/>
    <w:rsid w:val="00D32AF6"/>
    <w:rsid w:val="00D33496"/>
    <w:rsid w:val="00D33AB3"/>
    <w:rsid w:val="00D34870"/>
    <w:rsid w:val="00D34E1B"/>
    <w:rsid w:val="00D375D4"/>
    <w:rsid w:val="00D376BA"/>
    <w:rsid w:val="00D415B5"/>
    <w:rsid w:val="00D43385"/>
    <w:rsid w:val="00D44C06"/>
    <w:rsid w:val="00D44F5D"/>
    <w:rsid w:val="00D45634"/>
    <w:rsid w:val="00D46406"/>
    <w:rsid w:val="00D46A9C"/>
    <w:rsid w:val="00D46D4D"/>
    <w:rsid w:val="00D4771C"/>
    <w:rsid w:val="00D47C32"/>
    <w:rsid w:val="00D50988"/>
    <w:rsid w:val="00D50CBA"/>
    <w:rsid w:val="00D521CA"/>
    <w:rsid w:val="00D53FE7"/>
    <w:rsid w:val="00D5568A"/>
    <w:rsid w:val="00D578CB"/>
    <w:rsid w:val="00D60D33"/>
    <w:rsid w:val="00D62B31"/>
    <w:rsid w:val="00D6312C"/>
    <w:rsid w:val="00D632F9"/>
    <w:rsid w:val="00D63D73"/>
    <w:rsid w:val="00D64452"/>
    <w:rsid w:val="00D6594A"/>
    <w:rsid w:val="00D66CEA"/>
    <w:rsid w:val="00D66E1E"/>
    <w:rsid w:val="00D67564"/>
    <w:rsid w:val="00D70696"/>
    <w:rsid w:val="00D71032"/>
    <w:rsid w:val="00D712D3"/>
    <w:rsid w:val="00D72180"/>
    <w:rsid w:val="00D721B1"/>
    <w:rsid w:val="00D72F43"/>
    <w:rsid w:val="00D72F80"/>
    <w:rsid w:val="00D732EA"/>
    <w:rsid w:val="00D73ED7"/>
    <w:rsid w:val="00D7486F"/>
    <w:rsid w:val="00D75722"/>
    <w:rsid w:val="00D75A7D"/>
    <w:rsid w:val="00D762D7"/>
    <w:rsid w:val="00D76736"/>
    <w:rsid w:val="00D76A99"/>
    <w:rsid w:val="00D80CF5"/>
    <w:rsid w:val="00D81209"/>
    <w:rsid w:val="00D8130A"/>
    <w:rsid w:val="00D817D8"/>
    <w:rsid w:val="00D82111"/>
    <w:rsid w:val="00D8435A"/>
    <w:rsid w:val="00D84521"/>
    <w:rsid w:val="00D84F7E"/>
    <w:rsid w:val="00D852A3"/>
    <w:rsid w:val="00D8751D"/>
    <w:rsid w:val="00D9122A"/>
    <w:rsid w:val="00D9128D"/>
    <w:rsid w:val="00D92579"/>
    <w:rsid w:val="00D927FC"/>
    <w:rsid w:val="00D92F4F"/>
    <w:rsid w:val="00D93AA2"/>
    <w:rsid w:val="00D93C69"/>
    <w:rsid w:val="00D94037"/>
    <w:rsid w:val="00D942FC"/>
    <w:rsid w:val="00D95602"/>
    <w:rsid w:val="00D9685C"/>
    <w:rsid w:val="00D96DE3"/>
    <w:rsid w:val="00D970E2"/>
    <w:rsid w:val="00D97E87"/>
    <w:rsid w:val="00DA0D7D"/>
    <w:rsid w:val="00DA14C1"/>
    <w:rsid w:val="00DA3C7B"/>
    <w:rsid w:val="00DA3EB4"/>
    <w:rsid w:val="00DA4D6A"/>
    <w:rsid w:val="00DA5BBA"/>
    <w:rsid w:val="00DA5FE0"/>
    <w:rsid w:val="00DA6182"/>
    <w:rsid w:val="00DA67DA"/>
    <w:rsid w:val="00DA7381"/>
    <w:rsid w:val="00DA73EE"/>
    <w:rsid w:val="00DB0167"/>
    <w:rsid w:val="00DB05B8"/>
    <w:rsid w:val="00DB07BD"/>
    <w:rsid w:val="00DB08F6"/>
    <w:rsid w:val="00DB0EC3"/>
    <w:rsid w:val="00DB26D2"/>
    <w:rsid w:val="00DB2AE0"/>
    <w:rsid w:val="00DB2B96"/>
    <w:rsid w:val="00DB34DA"/>
    <w:rsid w:val="00DB4151"/>
    <w:rsid w:val="00DB460C"/>
    <w:rsid w:val="00DB6440"/>
    <w:rsid w:val="00DB67C9"/>
    <w:rsid w:val="00DB6E0B"/>
    <w:rsid w:val="00DB7BEE"/>
    <w:rsid w:val="00DC042C"/>
    <w:rsid w:val="00DC0C95"/>
    <w:rsid w:val="00DC1326"/>
    <w:rsid w:val="00DC3362"/>
    <w:rsid w:val="00DC40D2"/>
    <w:rsid w:val="00DC5B6D"/>
    <w:rsid w:val="00DC67E2"/>
    <w:rsid w:val="00DD04D7"/>
    <w:rsid w:val="00DD4355"/>
    <w:rsid w:val="00DD436A"/>
    <w:rsid w:val="00DD4723"/>
    <w:rsid w:val="00DD57B9"/>
    <w:rsid w:val="00DD6580"/>
    <w:rsid w:val="00DD6986"/>
    <w:rsid w:val="00DD6D2E"/>
    <w:rsid w:val="00DD7BD4"/>
    <w:rsid w:val="00DE1DF4"/>
    <w:rsid w:val="00DE41F8"/>
    <w:rsid w:val="00DE6341"/>
    <w:rsid w:val="00DE66EA"/>
    <w:rsid w:val="00DE7B9B"/>
    <w:rsid w:val="00DE7F1B"/>
    <w:rsid w:val="00DE7FD8"/>
    <w:rsid w:val="00DF0C5E"/>
    <w:rsid w:val="00DF1025"/>
    <w:rsid w:val="00DF29E1"/>
    <w:rsid w:val="00DF3B63"/>
    <w:rsid w:val="00DF505D"/>
    <w:rsid w:val="00DF56DE"/>
    <w:rsid w:val="00DF6320"/>
    <w:rsid w:val="00DF6E06"/>
    <w:rsid w:val="00DF6EB2"/>
    <w:rsid w:val="00DF773F"/>
    <w:rsid w:val="00E01C8F"/>
    <w:rsid w:val="00E01D7F"/>
    <w:rsid w:val="00E01DE0"/>
    <w:rsid w:val="00E023B9"/>
    <w:rsid w:val="00E03241"/>
    <w:rsid w:val="00E04136"/>
    <w:rsid w:val="00E05739"/>
    <w:rsid w:val="00E07374"/>
    <w:rsid w:val="00E07BFC"/>
    <w:rsid w:val="00E1028C"/>
    <w:rsid w:val="00E10400"/>
    <w:rsid w:val="00E11381"/>
    <w:rsid w:val="00E11571"/>
    <w:rsid w:val="00E118F6"/>
    <w:rsid w:val="00E11E78"/>
    <w:rsid w:val="00E11F0D"/>
    <w:rsid w:val="00E12102"/>
    <w:rsid w:val="00E1267F"/>
    <w:rsid w:val="00E138AA"/>
    <w:rsid w:val="00E17C72"/>
    <w:rsid w:val="00E20170"/>
    <w:rsid w:val="00E20F3C"/>
    <w:rsid w:val="00E21FC6"/>
    <w:rsid w:val="00E222D1"/>
    <w:rsid w:val="00E22678"/>
    <w:rsid w:val="00E22B62"/>
    <w:rsid w:val="00E23476"/>
    <w:rsid w:val="00E23E2B"/>
    <w:rsid w:val="00E24900"/>
    <w:rsid w:val="00E256B6"/>
    <w:rsid w:val="00E25E24"/>
    <w:rsid w:val="00E27EF6"/>
    <w:rsid w:val="00E33F2B"/>
    <w:rsid w:val="00E35550"/>
    <w:rsid w:val="00E36605"/>
    <w:rsid w:val="00E36A55"/>
    <w:rsid w:val="00E374AD"/>
    <w:rsid w:val="00E37FDE"/>
    <w:rsid w:val="00E431A9"/>
    <w:rsid w:val="00E454B1"/>
    <w:rsid w:val="00E46969"/>
    <w:rsid w:val="00E47DCA"/>
    <w:rsid w:val="00E5141B"/>
    <w:rsid w:val="00E52E84"/>
    <w:rsid w:val="00E53A23"/>
    <w:rsid w:val="00E53FB4"/>
    <w:rsid w:val="00E55154"/>
    <w:rsid w:val="00E56027"/>
    <w:rsid w:val="00E56472"/>
    <w:rsid w:val="00E56E83"/>
    <w:rsid w:val="00E60A2C"/>
    <w:rsid w:val="00E60EDC"/>
    <w:rsid w:val="00E61CF9"/>
    <w:rsid w:val="00E627B6"/>
    <w:rsid w:val="00E645AC"/>
    <w:rsid w:val="00E64FD8"/>
    <w:rsid w:val="00E66276"/>
    <w:rsid w:val="00E669E2"/>
    <w:rsid w:val="00E66AEA"/>
    <w:rsid w:val="00E66D22"/>
    <w:rsid w:val="00E67033"/>
    <w:rsid w:val="00E67F9A"/>
    <w:rsid w:val="00E713B7"/>
    <w:rsid w:val="00E729A3"/>
    <w:rsid w:val="00E73265"/>
    <w:rsid w:val="00E73432"/>
    <w:rsid w:val="00E73527"/>
    <w:rsid w:val="00E738C5"/>
    <w:rsid w:val="00E753F9"/>
    <w:rsid w:val="00E7541C"/>
    <w:rsid w:val="00E75C65"/>
    <w:rsid w:val="00E76135"/>
    <w:rsid w:val="00E762D9"/>
    <w:rsid w:val="00E77CEA"/>
    <w:rsid w:val="00E80217"/>
    <w:rsid w:val="00E80B81"/>
    <w:rsid w:val="00E819FD"/>
    <w:rsid w:val="00E82924"/>
    <w:rsid w:val="00E82F4F"/>
    <w:rsid w:val="00E864DF"/>
    <w:rsid w:val="00E86CC1"/>
    <w:rsid w:val="00E87FF3"/>
    <w:rsid w:val="00E9027F"/>
    <w:rsid w:val="00E90B0A"/>
    <w:rsid w:val="00E91243"/>
    <w:rsid w:val="00E915AF"/>
    <w:rsid w:val="00E9210C"/>
    <w:rsid w:val="00E949B6"/>
    <w:rsid w:val="00E96C70"/>
    <w:rsid w:val="00E96DBC"/>
    <w:rsid w:val="00E97639"/>
    <w:rsid w:val="00EA014A"/>
    <w:rsid w:val="00EA2DBC"/>
    <w:rsid w:val="00EA344D"/>
    <w:rsid w:val="00EA3755"/>
    <w:rsid w:val="00EA37A5"/>
    <w:rsid w:val="00EA37EE"/>
    <w:rsid w:val="00EA3EFD"/>
    <w:rsid w:val="00EA4081"/>
    <w:rsid w:val="00EA5826"/>
    <w:rsid w:val="00EA7FDC"/>
    <w:rsid w:val="00EB146A"/>
    <w:rsid w:val="00EB4D8F"/>
    <w:rsid w:val="00EB599D"/>
    <w:rsid w:val="00EB67DA"/>
    <w:rsid w:val="00EB6914"/>
    <w:rsid w:val="00EB6F67"/>
    <w:rsid w:val="00EB74D3"/>
    <w:rsid w:val="00EC0A05"/>
    <w:rsid w:val="00EC1057"/>
    <w:rsid w:val="00EC2844"/>
    <w:rsid w:val="00EC33B9"/>
    <w:rsid w:val="00EC35C8"/>
    <w:rsid w:val="00EC5500"/>
    <w:rsid w:val="00EC5653"/>
    <w:rsid w:val="00EC623D"/>
    <w:rsid w:val="00EC6F2C"/>
    <w:rsid w:val="00EC72CC"/>
    <w:rsid w:val="00EC7371"/>
    <w:rsid w:val="00EC73B3"/>
    <w:rsid w:val="00EC7DF9"/>
    <w:rsid w:val="00ED18F8"/>
    <w:rsid w:val="00ED2B98"/>
    <w:rsid w:val="00ED5091"/>
    <w:rsid w:val="00ED59E6"/>
    <w:rsid w:val="00ED5AC3"/>
    <w:rsid w:val="00ED6B8D"/>
    <w:rsid w:val="00ED71CB"/>
    <w:rsid w:val="00ED7B94"/>
    <w:rsid w:val="00EE18B7"/>
    <w:rsid w:val="00EE2C1F"/>
    <w:rsid w:val="00EE3683"/>
    <w:rsid w:val="00EE391A"/>
    <w:rsid w:val="00EE3BF6"/>
    <w:rsid w:val="00EE3C36"/>
    <w:rsid w:val="00EE3EB3"/>
    <w:rsid w:val="00EE5389"/>
    <w:rsid w:val="00EE6EDA"/>
    <w:rsid w:val="00EE73DC"/>
    <w:rsid w:val="00EF075B"/>
    <w:rsid w:val="00EF1B08"/>
    <w:rsid w:val="00EF200D"/>
    <w:rsid w:val="00EF2381"/>
    <w:rsid w:val="00EF3439"/>
    <w:rsid w:val="00EF348B"/>
    <w:rsid w:val="00EF3971"/>
    <w:rsid w:val="00EF4194"/>
    <w:rsid w:val="00EF6C6C"/>
    <w:rsid w:val="00EF6E5C"/>
    <w:rsid w:val="00EF7FB3"/>
    <w:rsid w:val="00F01441"/>
    <w:rsid w:val="00F038B6"/>
    <w:rsid w:val="00F03E59"/>
    <w:rsid w:val="00F04E61"/>
    <w:rsid w:val="00F052DC"/>
    <w:rsid w:val="00F056FC"/>
    <w:rsid w:val="00F0632F"/>
    <w:rsid w:val="00F069AE"/>
    <w:rsid w:val="00F073EF"/>
    <w:rsid w:val="00F10096"/>
    <w:rsid w:val="00F10476"/>
    <w:rsid w:val="00F12087"/>
    <w:rsid w:val="00F131A2"/>
    <w:rsid w:val="00F135D8"/>
    <w:rsid w:val="00F136A6"/>
    <w:rsid w:val="00F1398E"/>
    <w:rsid w:val="00F15A1C"/>
    <w:rsid w:val="00F16490"/>
    <w:rsid w:val="00F2023A"/>
    <w:rsid w:val="00F207AC"/>
    <w:rsid w:val="00F20C06"/>
    <w:rsid w:val="00F21F3E"/>
    <w:rsid w:val="00F2257A"/>
    <w:rsid w:val="00F237D5"/>
    <w:rsid w:val="00F24C0C"/>
    <w:rsid w:val="00F24D51"/>
    <w:rsid w:val="00F258B9"/>
    <w:rsid w:val="00F27E24"/>
    <w:rsid w:val="00F30428"/>
    <w:rsid w:val="00F31299"/>
    <w:rsid w:val="00F31A77"/>
    <w:rsid w:val="00F31B36"/>
    <w:rsid w:val="00F32340"/>
    <w:rsid w:val="00F32BE4"/>
    <w:rsid w:val="00F337C3"/>
    <w:rsid w:val="00F33AF8"/>
    <w:rsid w:val="00F3534A"/>
    <w:rsid w:val="00F35AC1"/>
    <w:rsid w:val="00F3662F"/>
    <w:rsid w:val="00F4282D"/>
    <w:rsid w:val="00F428DA"/>
    <w:rsid w:val="00F508CC"/>
    <w:rsid w:val="00F51609"/>
    <w:rsid w:val="00F53A05"/>
    <w:rsid w:val="00F55C25"/>
    <w:rsid w:val="00F564FB"/>
    <w:rsid w:val="00F6016F"/>
    <w:rsid w:val="00F60AAC"/>
    <w:rsid w:val="00F62D3D"/>
    <w:rsid w:val="00F63708"/>
    <w:rsid w:val="00F64F74"/>
    <w:rsid w:val="00F65103"/>
    <w:rsid w:val="00F65855"/>
    <w:rsid w:val="00F65F0D"/>
    <w:rsid w:val="00F666AC"/>
    <w:rsid w:val="00F66B6B"/>
    <w:rsid w:val="00F706D0"/>
    <w:rsid w:val="00F72E50"/>
    <w:rsid w:val="00F73114"/>
    <w:rsid w:val="00F739B2"/>
    <w:rsid w:val="00F73D04"/>
    <w:rsid w:val="00F74DED"/>
    <w:rsid w:val="00F751A5"/>
    <w:rsid w:val="00F766A7"/>
    <w:rsid w:val="00F7694A"/>
    <w:rsid w:val="00F7730A"/>
    <w:rsid w:val="00F81006"/>
    <w:rsid w:val="00F844E6"/>
    <w:rsid w:val="00F85325"/>
    <w:rsid w:val="00F85D4B"/>
    <w:rsid w:val="00F8639A"/>
    <w:rsid w:val="00F87BDF"/>
    <w:rsid w:val="00F90AB9"/>
    <w:rsid w:val="00F9169B"/>
    <w:rsid w:val="00F918EA"/>
    <w:rsid w:val="00F92A2C"/>
    <w:rsid w:val="00F92EC8"/>
    <w:rsid w:val="00F939E0"/>
    <w:rsid w:val="00F956AE"/>
    <w:rsid w:val="00F968FC"/>
    <w:rsid w:val="00FA045E"/>
    <w:rsid w:val="00FA0DDF"/>
    <w:rsid w:val="00FA1F5D"/>
    <w:rsid w:val="00FA2981"/>
    <w:rsid w:val="00FA2CEA"/>
    <w:rsid w:val="00FA38E0"/>
    <w:rsid w:val="00FA6131"/>
    <w:rsid w:val="00FA6E18"/>
    <w:rsid w:val="00FB0F8B"/>
    <w:rsid w:val="00FB16B3"/>
    <w:rsid w:val="00FB20A0"/>
    <w:rsid w:val="00FB35EB"/>
    <w:rsid w:val="00FB5426"/>
    <w:rsid w:val="00FB6BED"/>
    <w:rsid w:val="00FB7348"/>
    <w:rsid w:val="00FC0A01"/>
    <w:rsid w:val="00FC1E61"/>
    <w:rsid w:val="00FC3FE9"/>
    <w:rsid w:val="00FC4B83"/>
    <w:rsid w:val="00FC4F2F"/>
    <w:rsid w:val="00FC578B"/>
    <w:rsid w:val="00FC58A2"/>
    <w:rsid w:val="00FC7216"/>
    <w:rsid w:val="00FD0DFB"/>
    <w:rsid w:val="00FD1195"/>
    <w:rsid w:val="00FD1B4A"/>
    <w:rsid w:val="00FD22B1"/>
    <w:rsid w:val="00FD33F1"/>
    <w:rsid w:val="00FD3566"/>
    <w:rsid w:val="00FD41A4"/>
    <w:rsid w:val="00FD4D99"/>
    <w:rsid w:val="00FD68D9"/>
    <w:rsid w:val="00FD6F70"/>
    <w:rsid w:val="00FD7342"/>
    <w:rsid w:val="00FD73D5"/>
    <w:rsid w:val="00FE06C8"/>
    <w:rsid w:val="00FE0B87"/>
    <w:rsid w:val="00FE16FE"/>
    <w:rsid w:val="00FE1EA5"/>
    <w:rsid w:val="00FE46AB"/>
    <w:rsid w:val="00FE46E6"/>
    <w:rsid w:val="00FE4EB8"/>
    <w:rsid w:val="00FE522C"/>
    <w:rsid w:val="00FE5397"/>
    <w:rsid w:val="00FE5B60"/>
    <w:rsid w:val="00FE643A"/>
    <w:rsid w:val="00FE69E2"/>
    <w:rsid w:val="00FE753E"/>
    <w:rsid w:val="00FF0AA0"/>
    <w:rsid w:val="00FF0DDA"/>
    <w:rsid w:val="00FF0F8F"/>
    <w:rsid w:val="00FF1EF7"/>
    <w:rsid w:val="00FF2335"/>
    <w:rsid w:val="00FF2AC9"/>
    <w:rsid w:val="00FF3863"/>
    <w:rsid w:val="00FF3FA8"/>
    <w:rsid w:val="00FF5307"/>
    <w:rsid w:val="00FF69CE"/>
    <w:rsid w:val="00FF7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5777"/>
    <o:shapelayout v:ext="edit">
      <o:idmap v:ext="edit" data="1"/>
    </o:shapelayout>
  </w:shapeDefaults>
  <w:decimalSymbol w:val="."/>
  <w:listSeparator w:val=","/>
  <w14:docId w14:val="2BDF5FED"/>
  <w15:docId w15:val="{1661E684-FB69-4D99-94E3-3D298DC7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8401B"/>
    <w:rPr>
      <w:sz w:val="24"/>
      <w:szCs w:val="24"/>
    </w:rPr>
  </w:style>
  <w:style w:type="paragraph" w:styleId="Heading1">
    <w:name w:val="heading 1"/>
    <w:basedOn w:val="BodyText"/>
    <w:next w:val="BodyText"/>
    <w:rsid w:val="00A8401B"/>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8401B"/>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8401B"/>
    <w:pPr>
      <w:spacing w:before="560" w:line="320" w:lineRule="exact"/>
      <w:ind w:left="0" w:firstLine="0"/>
      <w:outlineLvl w:val="2"/>
    </w:pPr>
    <w:rPr>
      <w:sz w:val="26"/>
    </w:rPr>
  </w:style>
  <w:style w:type="paragraph" w:styleId="Heading4">
    <w:name w:val="heading 4"/>
    <w:basedOn w:val="Heading3"/>
    <w:next w:val="BodyText"/>
    <w:qFormat/>
    <w:rsid w:val="00A8401B"/>
    <w:pPr>
      <w:spacing w:before="480"/>
      <w:outlineLvl w:val="3"/>
    </w:pPr>
    <w:rPr>
      <w:b w:val="0"/>
      <w:sz w:val="24"/>
    </w:rPr>
  </w:style>
  <w:style w:type="paragraph" w:styleId="Heading5">
    <w:name w:val="heading 5"/>
    <w:basedOn w:val="Heading4"/>
    <w:next w:val="BodyText"/>
    <w:link w:val="Heading5Char"/>
    <w:qFormat/>
    <w:rsid w:val="00A8401B"/>
    <w:pPr>
      <w:outlineLvl w:val="4"/>
    </w:pPr>
    <w:rPr>
      <w:i/>
      <w:sz w:val="22"/>
    </w:rPr>
  </w:style>
  <w:style w:type="paragraph" w:styleId="Heading6">
    <w:name w:val="heading 6"/>
    <w:basedOn w:val="BodyText"/>
    <w:next w:val="BodyText"/>
    <w:semiHidden/>
    <w:rsid w:val="00A8401B"/>
    <w:pPr>
      <w:spacing w:after="60"/>
      <w:jc w:val="left"/>
      <w:outlineLvl w:val="5"/>
    </w:pPr>
    <w:rPr>
      <w:i/>
      <w:sz w:val="22"/>
    </w:rPr>
  </w:style>
  <w:style w:type="paragraph" w:styleId="Heading7">
    <w:name w:val="heading 7"/>
    <w:basedOn w:val="BodyText"/>
    <w:next w:val="BodyText"/>
    <w:semiHidden/>
    <w:rsid w:val="00A8401B"/>
    <w:pPr>
      <w:spacing w:after="60" w:line="240" w:lineRule="auto"/>
      <w:jc w:val="left"/>
      <w:outlineLvl w:val="6"/>
    </w:pPr>
    <w:rPr>
      <w:rFonts w:ascii="Arial" w:hAnsi="Arial"/>
      <w:sz w:val="20"/>
    </w:rPr>
  </w:style>
  <w:style w:type="paragraph" w:styleId="Heading8">
    <w:name w:val="heading 8"/>
    <w:basedOn w:val="BodyText"/>
    <w:next w:val="BodyText"/>
    <w:semiHidden/>
    <w:rsid w:val="00A8401B"/>
    <w:pPr>
      <w:spacing w:after="60" w:line="240" w:lineRule="auto"/>
      <w:jc w:val="left"/>
      <w:outlineLvl w:val="7"/>
    </w:pPr>
    <w:rPr>
      <w:rFonts w:ascii="Arial" w:hAnsi="Arial"/>
      <w:i/>
      <w:sz w:val="20"/>
    </w:rPr>
  </w:style>
  <w:style w:type="paragraph" w:styleId="Heading9">
    <w:name w:val="heading 9"/>
    <w:basedOn w:val="BodyText"/>
    <w:next w:val="BodyText"/>
    <w:semiHidden/>
    <w:rsid w:val="00A8401B"/>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A840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401B"/>
  </w:style>
  <w:style w:type="paragraph" w:styleId="BodyText">
    <w:name w:val="Body Text"/>
    <w:link w:val="BodyTextChar"/>
    <w:qFormat/>
    <w:rsid w:val="00A8401B"/>
    <w:pPr>
      <w:spacing w:before="240" w:line="300" w:lineRule="atLeast"/>
      <w:jc w:val="both"/>
    </w:pPr>
    <w:rPr>
      <w:sz w:val="24"/>
    </w:rPr>
  </w:style>
  <w:style w:type="paragraph" w:styleId="Footer">
    <w:name w:val="footer"/>
    <w:basedOn w:val="BodyText"/>
    <w:link w:val="FooterChar"/>
    <w:rsid w:val="00A8401B"/>
    <w:pPr>
      <w:spacing w:before="80" w:line="200" w:lineRule="exact"/>
      <w:ind w:right="6"/>
      <w:jc w:val="left"/>
    </w:pPr>
    <w:rPr>
      <w:rFonts w:ascii="Arial" w:hAnsi="Arial"/>
      <w:caps/>
      <w:spacing w:val="-4"/>
      <w:sz w:val="16"/>
    </w:rPr>
  </w:style>
  <w:style w:type="paragraph" w:customStyle="1" w:styleId="FooterEnd">
    <w:name w:val="Footer End"/>
    <w:basedOn w:val="Footer"/>
    <w:rsid w:val="00A8401B"/>
    <w:pPr>
      <w:spacing w:before="0" w:line="20" w:lineRule="exact"/>
    </w:pPr>
  </w:style>
  <w:style w:type="paragraph" w:styleId="Header">
    <w:name w:val="header"/>
    <w:basedOn w:val="BodyText"/>
    <w:rsid w:val="00A8401B"/>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A8401B"/>
    <w:pPr>
      <w:spacing w:line="20" w:lineRule="exact"/>
    </w:pPr>
    <w:rPr>
      <w:sz w:val="16"/>
    </w:rPr>
  </w:style>
  <w:style w:type="paragraph" w:customStyle="1" w:styleId="HeaderEven">
    <w:name w:val="Header Even"/>
    <w:basedOn w:val="Header"/>
    <w:rsid w:val="00A8401B"/>
  </w:style>
  <w:style w:type="paragraph" w:customStyle="1" w:styleId="HeaderOdd">
    <w:name w:val="Header Odd"/>
    <w:basedOn w:val="Header"/>
    <w:rsid w:val="00A8401B"/>
  </w:style>
  <w:style w:type="character" w:styleId="PageNumber">
    <w:name w:val="page number"/>
    <w:basedOn w:val="DefaultParagraphFont"/>
    <w:rsid w:val="00A8401B"/>
    <w:rPr>
      <w:rFonts w:ascii="Arial" w:hAnsi="Arial"/>
      <w:b/>
      <w:sz w:val="16"/>
    </w:rPr>
  </w:style>
  <w:style w:type="paragraph" w:customStyle="1" w:styleId="Abbreviation">
    <w:name w:val="Abbreviation"/>
    <w:basedOn w:val="BodyText"/>
    <w:rsid w:val="00A8401B"/>
    <w:pPr>
      <w:spacing w:before="120"/>
      <w:ind w:left="2381" w:hanging="2381"/>
      <w:jc w:val="left"/>
    </w:pPr>
  </w:style>
  <w:style w:type="paragraph" w:customStyle="1" w:styleId="Box">
    <w:name w:val="Box"/>
    <w:basedOn w:val="BodyText"/>
    <w:qFormat/>
    <w:rsid w:val="00A8401B"/>
    <w:pPr>
      <w:keepNext/>
      <w:spacing w:before="120" w:line="260" w:lineRule="atLeast"/>
    </w:pPr>
    <w:rPr>
      <w:rFonts w:ascii="Arial" w:hAnsi="Arial"/>
      <w:sz w:val="20"/>
    </w:rPr>
  </w:style>
  <w:style w:type="paragraph" w:customStyle="1" w:styleId="BoxContinued">
    <w:name w:val="Box Continued"/>
    <w:basedOn w:val="BodyText"/>
    <w:next w:val="BodyText"/>
    <w:semiHidden/>
    <w:rsid w:val="00A8401B"/>
    <w:pPr>
      <w:spacing w:before="180" w:line="220" w:lineRule="exact"/>
      <w:jc w:val="right"/>
    </w:pPr>
    <w:rPr>
      <w:rFonts w:ascii="Arial" w:hAnsi="Arial"/>
      <w:sz w:val="18"/>
    </w:rPr>
  </w:style>
  <w:style w:type="paragraph" w:customStyle="1" w:styleId="BoxHeading1">
    <w:name w:val="Box Heading 1"/>
    <w:basedOn w:val="BodyText"/>
    <w:next w:val="Box"/>
    <w:rsid w:val="00A8401B"/>
    <w:pPr>
      <w:keepNext/>
      <w:spacing w:before="200" w:line="280" w:lineRule="atLeast"/>
    </w:pPr>
    <w:rPr>
      <w:rFonts w:ascii="Arial" w:hAnsi="Arial"/>
      <w:b/>
      <w:sz w:val="22"/>
    </w:rPr>
  </w:style>
  <w:style w:type="paragraph" w:customStyle="1" w:styleId="BoxHeading2">
    <w:name w:val="Box Heading 2"/>
    <w:basedOn w:val="BoxHeading1"/>
    <w:next w:val="Normal"/>
    <w:rsid w:val="00A8401B"/>
    <w:rPr>
      <w:b w:val="0"/>
      <w:i/>
    </w:rPr>
  </w:style>
  <w:style w:type="paragraph" w:customStyle="1" w:styleId="BoxListBullet">
    <w:name w:val="Box List Bullet"/>
    <w:basedOn w:val="BodyText"/>
    <w:rsid w:val="00A8401B"/>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A8401B"/>
    <w:pPr>
      <w:numPr>
        <w:numId w:val="13"/>
      </w:numPr>
      <w:ind w:left="568" w:hanging="284"/>
    </w:pPr>
  </w:style>
  <w:style w:type="paragraph" w:customStyle="1" w:styleId="BoxListNumber">
    <w:name w:val="Box List Number"/>
    <w:basedOn w:val="BodyText"/>
    <w:rsid w:val="00A8401B"/>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A8401B"/>
    <w:pPr>
      <w:numPr>
        <w:ilvl w:val="1"/>
      </w:numPr>
      <w:ind w:left="681" w:hanging="397"/>
    </w:pPr>
  </w:style>
  <w:style w:type="paragraph" w:customStyle="1" w:styleId="BoxQuote">
    <w:name w:val="Box Quote"/>
    <w:basedOn w:val="BodyText"/>
    <w:next w:val="Box"/>
    <w:qFormat/>
    <w:rsid w:val="00A8401B"/>
    <w:pPr>
      <w:keepNext/>
      <w:spacing w:before="60" w:line="240" w:lineRule="exact"/>
      <w:ind w:left="284"/>
    </w:pPr>
    <w:rPr>
      <w:rFonts w:ascii="Arial" w:hAnsi="Arial"/>
      <w:sz w:val="18"/>
    </w:rPr>
  </w:style>
  <w:style w:type="paragraph" w:customStyle="1" w:styleId="Note">
    <w:name w:val="Note"/>
    <w:basedOn w:val="BodyText"/>
    <w:next w:val="BodyText"/>
    <w:rsid w:val="00A8401B"/>
    <w:pPr>
      <w:keepLines/>
      <w:spacing w:before="80" w:line="220" w:lineRule="exact"/>
    </w:pPr>
    <w:rPr>
      <w:rFonts w:ascii="Arial" w:hAnsi="Arial"/>
      <w:sz w:val="18"/>
    </w:rPr>
  </w:style>
  <w:style w:type="paragraph" w:customStyle="1" w:styleId="Source">
    <w:name w:val="Source"/>
    <w:basedOn w:val="Normal"/>
    <w:next w:val="BodyText"/>
    <w:rsid w:val="00A8401B"/>
    <w:pPr>
      <w:keepLines/>
      <w:spacing w:before="80" w:line="220" w:lineRule="exact"/>
      <w:jc w:val="both"/>
    </w:pPr>
    <w:rPr>
      <w:rFonts w:ascii="Arial" w:hAnsi="Arial"/>
      <w:sz w:val="18"/>
      <w:szCs w:val="20"/>
    </w:rPr>
  </w:style>
  <w:style w:type="paragraph" w:customStyle="1" w:styleId="BoxSource">
    <w:name w:val="Box Source"/>
    <w:basedOn w:val="Source"/>
    <w:next w:val="BodyText"/>
    <w:rsid w:val="00A8401B"/>
    <w:pPr>
      <w:spacing w:before="120"/>
    </w:pPr>
  </w:style>
  <w:style w:type="paragraph" w:customStyle="1" w:styleId="BoxSpaceAbove">
    <w:name w:val="Box Space Above"/>
    <w:basedOn w:val="BodyText"/>
    <w:rsid w:val="00A8401B"/>
    <w:pPr>
      <w:keepNext/>
      <w:spacing w:before="360" w:line="80" w:lineRule="exact"/>
      <w:jc w:val="left"/>
    </w:pPr>
  </w:style>
  <w:style w:type="paragraph" w:styleId="Caption">
    <w:name w:val="caption"/>
    <w:basedOn w:val="Normal"/>
    <w:next w:val="BodyText"/>
    <w:rsid w:val="00A8401B"/>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A8401B"/>
    <w:pPr>
      <w:spacing w:before="120" w:after="0"/>
    </w:pPr>
  </w:style>
  <w:style w:type="paragraph" w:customStyle="1" w:styleId="BoxSubtitle">
    <w:name w:val="Box Subtitle"/>
    <w:basedOn w:val="BoxTitle"/>
    <w:next w:val="Normal"/>
    <w:rsid w:val="00A8401B"/>
    <w:pPr>
      <w:spacing w:after="80" w:line="200" w:lineRule="exact"/>
      <w:ind w:firstLine="0"/>
    </w:pPr>
    <w:rPr>
      <w:b w:val="0"/>
      <w:sz w:val="20"/>
    </w:rPr>
  </w:style>
  <w:style w:type="paragraph" w:customStyle="1" w:styleId="Chapter">
    <w:name w:val="Chapter"/>
    <w:basedOn w:val="Heading1"/>
    <w:next w:val="BodyText"/>
    <w:semiHidden/>
    <w:rsid w:val="00A8401B"/>
    <w:pPr>
      <w:ind w:left="0" w:firstLine="0"/>
      <w:outlineLvl w:val="9"/>
    </w:pPr>
  </w:style>
  <w:style w:type="paragraph" w:customStyle="1" w:styleId="ChapterSummary">
    <w:name w:val="Chapter Summary"/>
    <w:basedOn w:val="BodyText"/>
    <w:rsid w:val="00A8401B"/>
    <w:pPr>
      <w:spacing w:line="280" w:lineRule="atLeast"/>
      <w:ind w:left="907"/>
    </w:pPr>
    <w:rPr>
      <w:rFonts w:ascii="Arial" w:hAnsi="Arial"/>
      <w:b/>
      <w:sz w:val="20"/>
    </w:rPr>
  </w:style>
  <w:style w:type="character" w:styleId="CommentReference">
    <w:name w:val="annotation reference"/>
    <w:basedOn w:val="DefaultParagraphFont"/>
    <w:semiHidden/>
    <w:rsid w:val="00A8401B"/>
    <w:rPr>
      <w:b/>
      <w:vanish/>
      <w:color w:val="FF00FF"/>
      <w:sz w:val="20"/>
    </w:rPr>
  </w:style>
  <w:style w:type="paragraph" w:styleId="CommentText">
    <w:name w:val="annotation text"/>
    <w:basedOn w:val="Normal"/>
    <w:link w:val="CommentTextChar"/>
    <w:semiHidden/>
    <w:rsid w:val="00A8401B"/>
    <w:pPr>
      <w:spacing w:before="120" w:line="240" w:lineRule="atLeast"/>
      <w:ind w:left="567" w:hanging="567"/>
    </w:pPr>
    <w:rPr>
      <w:sz w:val="20"/>
    </w:rPr>
  </w:style>
  <w:style w:type="paragraph" w:customStyle="1" w:styleId="Continued">
    <w:name w:val="Continued"/>
    <w:basedOn w:val="BoxContinued"/>
    <w:next w:val="BodyText"/>
    <w:rsid w:val="00A8401B"/>
  </w:style>
  <w:style w:type="character" w:customStyle="1" w:styleId="DocumentInfo">
    <w:name w:val="Document Info"/>
    <w:basedOn w:val="DefaultParagraphFont"/>
    <w:semiHidden/>
    <w:rsid w:val="00A8401B"/>
    <w:rPr>
      <w:rFonts w:ascii="Arial" w:hAnsi="Arial"/>
      <w:sz w:val="14"/>
    </w:rPr>
  </w:style>
  <w:style w:type="character" w:customStyle="1" w:styleId="DraftingNote">
    <w:name w:val="Drafting Note"/>
    <w:basedOn w:val="DefaultParagraphFont"/>
    <w:rsid w:val="00A8401B"/>
    <w:rPr>
      <w:b/>
      <w:color w:val="FF0000"/>
      <w:sz w:val="24"/>
      <w:u w:val="dotted"/>
    </w:rPr>
  </w:style>
  <w:style w:type="paragraph" w:customStyle="1" w:styleId="Figure">
    <w:name w:val="Figure"/>
    <w:basedOn w:val="BodyText"/>
    <w:rsid w:val="00A8401B"/>
    <w:pPr>
      <w:keepNext/>
      <w:spacing w:before="120" w:after="120" w:line="240" w:lineRule="atLeast"/>
      <w:jc w:val="center"/>
    </w:pPr>
  </w:style>
  <w:style w:type="paragraph" w:customStyle="1" w:styleId="FigureTitle">
    <w:name w:val="Figure Title"/>
    <w:basedOn w:val="Caption"/>
    <w:next w:val="Subtitle"/>
    <w:rsid w:val="00A8401B"/>
    <w:pPr>
      <w:spacing w:before="120"/>
    </w:pPr>
  </w:style>
  <w:style w:type="paragraph" w:styleId="Subtitle">
    <w:name w:val="Subtitle"/>
    <w:basedOn w:val="Caption"/>
    <w:link w:val="SubtitleChar"/>
    <w:qFormat/>
    <w:rsid w:val="00A8401B"/>
    <w:pPr>
      <w:spacing w:before="0" w:line="200" w:lineRule="exact"/>
      <w:ind w:firstLine="0"/>
    </w:pPr>
    <w:rPr>
      <w:b w:val="0"/>
      <w:sz w:val="20"/>
    </w:rPr>
  </w:style>
  <w:style w:type="paragraph" w:customStyle="1" w:styleId="Finding">
    <w:name w:val="Finding"/>
    <w:basedOn w:val="BodyText"/>
    <w:rsid w:val="00A8401B"/>
    <w:pPr>
      <w:keepLines/>
      <w:spacing w:before="120" w:line="280" w:lineRule="atLeast"/>
    </w:pPr>
    <w:rPr>
      <w:rFonts w:ascii="Arial" w:hAnsi="Arial"/>
      <w:sz w:val="22"/>
    </w:rPr>
  </w:style>
  <w:style w:type="paragraph" w:customStyle="1" w:styleId="FindingBullet">
    <w:name w:val="Finding Bullet"/>
    <w:basedOn w:val="Finding"/>
    <w:rsid w:val="00A8401B"/>
    <w:pPr>
      <w:numPr>
        <w:numId w:val="15"/>
      </w:numPr>
      <w:spacing w:before="80"/>
    </w:pPr>
  </w:style>
  <w:style w:type="paragraph" w:customStyle="1" w:styleId="FindingNoTitle">
    <w:name w:val="Finding NoTitle"/>
    <w:basedOn w:val="Finding"/>
    <w:semiHidden/>
    <w:rsid w:val="00A8401B"/>
    <w:pPr>
      <w:spacing w:before="240"/>
    </w:pPr>
  </w:style>
  <w:style w:type="paragraph" w:customStyle="1" w:styleId="RecTitle">
    <w:name w:val="Rec Title"/>
    <w:basedOn w:val="BodyText"/>
    <w:next w:val="Rec"/>
    <w:qFormat/>
    <w:rsid w:val="00A8401B"/>
    <w:pPr>
      <w:keepNext/>
      <w:keepLines/>
      <w:spacing w:line="280" w:lineRule="atLeast"/>
    </w:pPr>
    <w:rPr>
      <w:rFonts w:ascii="Arial" w:hAnsi="Arial"/>
      <w:caps/>
      <w:sz w:val="18"/>
    </w:rPr>
  </w:style>
  <w:style w:type="paragraph" w:customStyle="1" w:styleId="FindingTitle">
    <w:name w:val="Finding Title"/>
    <w:basedOn w:val="RecTitle"/>
    <w:next w:val="Finding"/>
    <w:rsid w:val="00A8401B"/>
  </w:style>
  <w:style w:type="character" w:styleId="FootnoteReference">
    <w:name w:val="footnote reference"/>
    <w:basedOn w:val="DefaultParagraphFont"/>
    <w:semiHidden/>
    <w:rsid w:val="00A8401B"/>
    <w:rPr>
      <w:rFonts w:ascii="Times New Roman" w:hAnsi="Times New Roman"/>
      <w:position w:val="6"/>
      <w:sz w:val="20"/>
      <w:vertAlign w:val="baseline"/>
    </w:rPr>
  </w:style>
  <w:style w:type="paragraph" w:styleId="FootnoteText">
    <w:name w:val="footnote text"/>
    <w:basedOn w:val="BodyText"/>
    <w:rsid w:val="00A8401B"/>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A8401B"/>
    <w:rPr>
      <w:i/>
    </w:rPr>
  </w:style>
  <w:style w:type="paragraph" w:customStyle="1" w:styleId="Jurisdictioncommentsbodytext">
    <w:name w:val="Jurisdiction comments body text"/>
    <w:rsid w:val="00A8401B"/>
    <w:pPr>
      <w:spacing w:after="140"/>
      <w:jc w:val="both"/>
    </w:pPr>
    <w:rPr>
      <w:rFonts w:ascii="Arial" w:hAnsi="Arial"/>
      <w:sz w:val="24"/>
      <w:lang w:eastAsia="en-US"/>
    </w:rPr>
  </w:style>
  <w:style w:type="paragraph" w:customStyle="1" w:styleId="Jurisdictioncommentsheading">
    <w:name w:val="Jurisdiction comments heading"/>
    <w:rsid w:val="00A8401B"/>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8401B"/>
    <w:pPr>
      <w:numPr>
        <w:numId w:val="2"/>
      </w:numPr>
      <w:spacing w:after="140"/>
      <w:jc w:val="both"/>
    </w:pPr>
    <w:rPr>
      <w:rFonts w:ascii="Arial" w:hAnsi="Arial"/>
      <w:sz w:val="24"/>
      <w:lang w:eastAsia="en-US"/>
    </w:rPr>
  </w:style>
  <w:style w:type="paragraph" w:styleId="ListBullet">
    <w:name w:val="List Bullet"/>
    <w:basedOn w:val="BodyText"/>
    <w:rsid w:val="00A8401B"/>
    <w:pPr>
      <w:numPr>
        <w:numId w:val="3"/>
      </w:numPr>
      <w:spacing w:before="120"/>
    </w:pPr>
  </w:style>
  <w:style w:type="paragraph" w:styleId="ListBullet2">
    <w:name w:val="List Bullet 2"/>
    <w:basedOn w:val="BodyText"/>
    <w:rsid w:val="00A8401B"/>
    <w:pPr>
      <w:numPr>
        <w:numId w:val="4"/>
      </w:numPr>
      <w:spacing w:before="120"/>
    </w:pPr>
  </w:style>
  <w:style w:type="paragraph" w:styleId="ListBullet3">
    <w:name w:val="List Bullet 3"/>
    <w:basedOn w:val="BodyText"/>
    <w:rsid w:val="00A8401B"/>
    <w:pPr>
      <w:numPr>
        <w:numId w:val="5"/>
      </w:numPr>
      <w:spacing w:before="120"/>
      <w:ind w:left="1020" w:hanging="340"/>
    </w:pPr>
  </w:style>
  <w:style w:type="paragraph" w:styleId="ListNumber">
    <w:name w:val="List Number"/>
    <w:basedOn w:val="BodyText"/>
    <w:rsid w:val="00A8401B"/>
    <w:pPr>
      <w:numPr>
        <w:numId w:val="9"/>
      </w:numPr>
      <w:spacing w:before="120"/>
    </w:pPr>
  </w:style>
  <w:style w:type="paragraph" w:styleId="ListNumber2">
    <w:name w:val="List Number 2"/>
    <w:basedOn w:val="ListNumber"/>
    <w:rsid w:val="00A8401B"/>
    <w:pPr>
      <w:numPr>
        <w:ilvl w:val="1"/>
      </w:numPr>
    </w:pPr>
  </w:style>
  <w:style w:type="paragraph" w:styleId="ListNumber3">
    <w:name w:val="List Number 3"/>
    <w:basedOn w:val="ListNumber2"/>
    <w:rsid w:val="00A8401B"/>
    <w:pPr>
      <w:numPr>
        <w:ilvl w:val="2"/>
      </w:numPr>
    </w:pPr>
  </w:style>
  <w:style w:type="character" w:customStyle="1" w:styleId="NoteLabel">
    <w:name w:val="Note Label"/>
    <w:basedOn w:val="DefaultParagraphFont"/>
    <w:rsid w:val="00A8401B"/>
    <w:rPr>
      <w:rFonts w:ascii="Arial" w:hAnsi="Arial"/>
      <w:b/>
      <w:position w:val="6"/>
      <w:sz w:val="18"/>
    </w:rPr>
  </w:style>
  <w:style w:type="paragraph" w:customStyle="1" w:styleId="PartDivider">
    <w:name w:val="Part Divider"/>
    <w:basedOn w:val="BodyText"/>
    <w:next w:val="BodyText"/>
    <w:semiHidden/>
    <w:rsid w:val="00A8401B"/>
    <w:pPr>
      <w:spacing w:before="0" w:line="40" w:lineRule="exact"/>
      <w:jc w:val="right"/>
    </w:pPr>
    <w:rPr>
      <w:smallCaps/>
      <w:sz w:val="16"/>
    </w:rPr>
  </w:style>
  <w:style w:type="paragraph" w:customStyle="1" w:styleId="PartNumber">
    <w:name w:val="Part Number"/>
    <w:basedOn w:val="BodyText"/>
    <w:next w:val="BodyText"/>
    <w:semiHidden/>
    <w:rsid w:val="00A8401B"/>
    <w:pPr>
      <w:spacing w:before="4000" w:line="320" w:lineRule="exact"/>
      <w:ind w:left="6634"/>
      <w:jc w:val="right"/>
    </w:pPr>
    <w:rPr>
      <w:smallCaps/>
      <w:spacing w:val="60"/>
      <w:sz w:val="32"/>
    </w:rPr>
  </w:style>
  <w:style w:type="paragraph" w:customStyle="1" w:styleId="PartTitle">
    <w:name w:val="Part Title"/>
    <w:basedOn w:val="BodyText"/>
    <w:semiHidden/>
    <w:rsid w:val="00A8401B"/>
    <w:pPr>
      <w:spacing w:before="160" w:after="1360" w:line="520" w:lineRule="exact"/>
      <w:ind w:right="2381"/>
      <w:jc w:val="right"/>
    </w:pPr>
    <w:rPr>
      <w:smallCaps/>
      <w:sz w:val="52"/>
    </w:rPr>
  </w:style>
  <w:style w:type="paragraph" w:styleId="Quote">
    <w:name w:val="Quote"/>
    <w:basedOn w:val="BodyText"/>
    <w:next w:val="BodyText"/>
    <w:qFormat/>
    <w:rsid w:val="00A8401B"/>
    <w:pPr>
      <w:spacing w:before="120" w:line="280" w:lineRule="exact"/>
      <w:ind w:left="340"/>
    </w:pPr>
    <w:rPr>
      <w:sz w:val="22"/>
    </w:rPr>
  </w:style>
  <w:style w:type="paragraph" w:customStyle="1" w:styleId="QuoteBullet">
    <w:name w:val="Quote Bullet"/>
    <w:basedOn w:val="Quote"/>
    <w:rsid w:val="00A8401B"/>
    <w:pPr>
      <w:numPr>
        <w:numId w:val="6"/>
      </w:numPr>
    </w:pPr>
  </w:style>
  <w:style w:type="paragraph" w:customStyle="1" w:styleId="Rec">
    <w:name w:val="Rec"/>
    <w:basedOn w:val="BodyText"/>
    <w:qFormat/>
    <w:rsid w:val="00A8401B"/>
    <w:pPr>
      <w:keepLines/>
      <w:spacing w:before="120" w:line="280" w:lineRule="atLeast"/>
    </w:pPr>
    <w:rPr>
      <w:rFonts w:ascii="Arial" w:hAnsi="Arial"/>
      <w:sz w:val="22"/>
    </w:rPr>
  </w:style>
  <w:style w:type="paragraph" w:customStyle="1" w:styleId="RecBullet">
    <w:name w:val="Rec Bullet"/>
    <w:basedOn w:val="Rec"/>
    <w:rsid w:val="00A8401B"/>
    <w:pPr>
      <w:numPr>
        <w:numId w:val="17"/>
      </w:numPr>
      <w:spacing w:before="80"/>
    </w:pPr>
  </w:style>
  <w:style w:type="paragraph" w:customStyle="1" w:styleId="RecB">
    <w:name w:val="RecB"/>
    <w:basedOn w:val="Normal"/>
    <w:semiHidden/>
    <w:rsid w:val="00A8401B"/>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A8401B"/>
    <w:pPr>
      <w:numPr>
        <w:numId w:val="11"/>
      </w:numPr>
      <w:spacing w:before="80"/>
    </w:pPr>
  </w:style>
  <w:style w:type="paragraph" w:customStyle="1" w:styleId="RecBNoTitle">
    <w:name w:val="RecB NoTitle"/>
    <w:basedOn w:val="RecB"/>
    <w:semiHidden/>
    <w:rsid w:val="00A8401B"/>
    <w:pPr>
      <w:spacing w:before="240"/>
    </w:pPr>
  </w:style>
  <w:style w:type="paragraph" w:customStyle="1" w:styleId="Reference">
    <w:name w:val="Reference"/>
    <w:basedOn w:val="BodyText"/>
    <w:rsid w:val="00A8401B"/>
    <w:pPr>
      <w:spacing w:before="120"/>
      <w:ind w:left="340" w:hanging="340"/>
    </w:pPr>
  </w:style>
  <w:style w:type="paragraph" w:customStyle="1" w:styleId="SequenceInfo">
    <w:name w:val="Sequence Info"/>
    <w:basedOn w:val="BodyText"/>
    <w:semiHidden/>
    <w:rsid w:val="00A8401B"/>
    <w:rPr>
      <w:vanish/>
      <w:sz w:val="16"/>
    </w:rPr>
  </w:style>
  <w:style w:type="paragraph" w:customStyle="1" w:styleId="SideNote">
    <w:name w:val="Side Note"/>
    <w:basedOn w:val="BodyText"/>
    <w:next w:val="BodyText"/>
    <w:semiHidden/>
    <w:rsid w:val="00A8401B"/>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8401B"/>
    <w:pPr>
      <w:framePr w:wrap="around"/>
      <w:numPr>
        <w:numId w:val="7"/>
      </w:numPr>
      <w:tabs>
        <w:tab w:val="left" w:pos="227"/>
      </w:tabs>
    </w:pPr>
  </w:style>
  <w:style w:type="paragraph" w:customStyle="1" w:styleId="SideNoteGraphic">
    <w:name w:val="Side Note Graphic"/>
    <w:basedOn w:val="SideNote"/>
    <w:next w:val="BodyText"/>
    <w:semiHidden/>
    <w:rsid w:val="00A8401B"/>
    <w:pPr>
      <w:framePr w:wrap="around"/>
    </w:pPr>
  </w:style>
  <w:style w:type="paragraph" w:customStyle="1" w:styleId="TableBodyText">
    <w:name w:val="Table Body Text"/>
    <w:basedOn w:val="BodyText"/>
    <w:rsid w:val="00A8401B"/>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A8401B"/>
    <w:pPr>
      <w:numPr>
        <w:numId w:val="8"/>
      </w:numPr>
      <w:jc w:val="left"/>
    </w:pPr>
  </w:style>
  <w:style w:type="paragraph" w:customStyle="1" w:styleId="TableColumnHeading">
    <w:name w:val="Table Column Heading"/>
    <w:basedOn w:val="TableBodyText"/>
    <w:rsid w:val="00A8401B"/>
    <w:pPr>
      <w:spacing w:before="80" w:after="80"/>
    </w:pPr>
    <w:rPr>
      <w:i/>
    </w:rPr>
  </w:style>
  <w:style w:type="paragraph" w:styleId="TOC2">
    <w:name w:val="toc 2"/>
    <w:basedOn w:val="TOC1"/>
    <w:rsid w:val="00A8401B"/>
    <w:pPr>
      <w:ind w:left="1134" w:hanging="624"/>
    </w:pPr>
    <w:rPr>
      <w:b w:val="0"/>
    </w:rPr>
  </w:style>
  <w:style w:type="paragraph" w:styleId="TOC3">
    <w:name w:val="toc 3"/>
    <w:basedOn w:val="TOC2"/>
    <w:rsid w:val="00A8401B"/>
    <w:pPr>
      <w:spacing w:before="60"/>
      <w:ind w:left="1190" w:hanging="680"/>
    </w:pPr>
  </w:style>
  <w:style w:type="paragraph" w:styleId="TableofFigures">
    <w:name w:val="table of figures"/>
    <w:basedOn w:val="TOC3"/>
    <w:next w:val="BodyText"/>
    <w:semiHidden/>
    <w:rsid w:val="00A8401B"/>
    <w:pPr>
      <w:ind w:left="737" w:hanging="737"/>
    </w:pPr>
  </w:style>
  <w:style w:type="paragraph" w:customStyle="1" w:styleId="TableTitle">
    <w:name w:val="Table Title"/>
    <w:basedOn w:val="Caption"/>
    <w:next w:val="Subtitle"/>
    <w:link w:val="TableTitleChar"/>
    <w:qFormat/>
    <w:rsid w:val="00A8401B"/>
    <w:pPr>
      <w:spacing w:before="120"/>
    </w:pPr>
  </w:style>
  <w:style w:type="paragraph" w:customStyle="1" w:styleId="TableUnitsRow">
    <w:name w:val="Table Units Row"/>
    <w:basedOn w:val="TableBodyText"/>
    <w:rsid w:val="00A8401B"/>
    <w:pPr>
      <w:spacing w:before="40"/>
    </w:pPr>
  </w:style>
  <w:style w:type="paragraph" w:styleId="TOC1">
    <w:name w:val="toc 1"/>
    <w:basedOn w:val="Normal"/>
    <w:next w:val="TOC2"/>
    <w:link w:val="TOC1Char"/>
    <w:rsid w:val="00A8401B"/>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8401B"/>
    <w:pPr>
      <w:ind w:left="1191" w:firstLine="0"/>
    </w:pPr>
  </w:style>
  <w:style w:type="paragraph" w:customStyle="1" w:styleId="RecBBullet2">
    <w:name w:val="RecB Bullet 2"/>
    <w:basedOn w:val="ListBullet2"/>
    <w:semiHidden/>
    <w:rsid w:val="00A8401B"/>
    <w:pPr>
      <w:pBdr>
        <w:left w:val="single" w:sz="24" w:space="29" w:color="C0C0C0"/>
      </w:pBdr>
    </w:pPr>
    <w:rPr>
      <w:b/>
      <w:i/>
    </w:rPr>
  </w:style>
  <w:style w:type="paragraph" w:styleId="BalloonText">
    <w:name w:val="Balloon Text"/>
    <w:basedOn w:val="Normal"/>
    <w:link w:val="BalloonTextChar"/>
    <w:rsid w:val="00A8401B"/>
    <w:rPr>
      <w:rFonts w:ascii="Tahoma" w:hAnsi="Tahoma" w:cs="Tahoma"/>
      <w:sz w:val="16"/>
      <w:szCs w:val="16"/>
    </w:rPr>
  </w:style>
  <w:style w:type="character" w:customStyle="1" w:styleId="BalloonTextChar">
    <w:name w:val="Balloon Text Char"/>
    <w:basedOn w:val="DefaultParagraphFont"/>
    <w:link w:val="BalloonText"/>
    <w:rsid w:val="00A8401B"/>
    <w:rPr>
      <w:rFonts w:ascii="Tahoma" w:hAnsi="Tahoma" w:cs="Tahoma"/>
      <w:sz w:val="16"/>
      <w:szCs w:val="16"/>
    </w:rPr>
  </w:style>
  <w:style w:type="character" w:customStyle="1" w:styleId="SubtitleChar">
    <w:name w:val="Subtitle Char"/>
    <w:basedOn w:val="DefaultParagraphFont"/>
    <w:link w:val="Subtitle"/>
    <w:rsid w:val="00A8401B"/>
    <w:rPr>
      <w:rFonts w:ascii="Arial" w:hAnsi="Arial"/>
      <w:szCs w:val="24"/>
    </w:rPr>
  </w:style>
  <w:style w:type="paragraph" w:customStyle="1" w:styleId="BoxListBullet3">
    <w:name w:val="Box List Bullet 3"/>
    <w:basedOn w:val="ListBullet3"/>
    <w:rsid w:val="00A8401B"/>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A8401B"/>
    <w:rPr>
      <w:i/>
      <w:iCs/>
    </w:rPr>
  </w:style>
  <w:style w:type="paragraph" w:customStyle="1" w:styleId="BoxQuoteBullet">
    <w:name w:val="Box Quote Bullet"/>
    <w:basedOn w:val="BoxQuote"/>
    <w:next w:val="Box"/>
    <w:rsid w:val="00A8401B"/>
    <w:pPr>
      <w:numPr>
        <w:numId w:val="12"/>
      </w:numPr>
      <w:ind w:left="568" w:hanging="284"/>
    </w:pPr>
  </w:style>
  <w:style w:type="paragraph" w:customStyle="1" w:styleId="InformationRequestBullet">
    <w:name w:val="Information Request Bullet"/>
    <w:basedOn w:val="ListBullet"/>
    <w:next w:val="BodyText"/>
    <w:rsid w:val="00A8401B"/>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A8401B"/>
    <w:pPr>
      <w:keepNext w:val="0"/>
      <w:spacing w:before="60" w:after="60" w:line="80" w:lineRule="exact"/>
    </w:pPr>
    <w:rPr>
      <w:sz w:val="14"/>
    </w:rPr>
  </w:style>
  <w:style w:type="paragraph" w:customStyle="1" w:styleId="KeyPointsListBullet">
    <w:name w:val="Key Points List Bullet"/>
    <w:basedOn w:val="Normal"/>
    <w:qFormat/>
    <w:rsid w:val="00A8401B"/>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A8401B"/>
    <w:pPr>
      <w:numPr>
        <w:numId w:val="21"/>
      </w:numPr>
      <w:ind w:left="568" w:hanging="284"/>
    </w:pPr>
  </w:style>
  <w:style w:type="paragraph" w:customStyle="1" w:styleId="InformationRequestTitle">
    <w:name w:val="Information Request Title"/>
    <w:basedOn w:val="FindingTitle"/>
    <w:next w:val="InformationRequest"/>
    <w:rsid w:val="00A8401B"/>
    <w:rPr>
      <w:i/>
    </w:rPr>
  </w:style>
  <w:style w:type="paragraph" w:customStyle="1" w:styleId="Space">
    <w:name w:val="Space"/>
    <w:basedOn w:val="Normal"/>
    <w:rsid w:val="00A8401B"/>
    <w:pPr>
      <w:keepNext/>
      <w:spacing w:line="120" w:lineRule="exact"/>
      <w:jc w:val="both"/>
    </w:pPr>
    <w:rPr>
      <w:rFonts w:ascii="Arial" w:hAnsi="Arial"/>
      <w:sz w:val="20"/>
      <w:szCs w:val="20"/>
    </w:rPr>
  </w:style>
  <w:style w:type="paragraph" w:customStyle="1" w:styleId="Heading1nochapterno">
    <w:name w:val="Heading 1 (no chapter no.)"/>
    <w:basedOn w:val="Heading1"/>
    <w:rsid w:val="00A8401B"/>
    <w:pPr>
      <w:spacing w:before="0"/>
      <w:ind w:left="0" w:firstLine="0"/>
    </w:pPr>
  </w:style>
  <w:style w:type="paragraph" w:customStyle="1" w:styleId="Heading2nosectionno">
    <w:name w:val="Heading 2 (no section no.)"/>
    <w:basedOn w:val="Heading2"/>
    <w:rsid w:val="00A8401B"/>
    <w:pPr>
      <w:ind w:left="0" w:firstLine="0"/>
    </w:pPr>
  </w:style>
  <w:style w:type="character" w:customStyle="1" w:styleId="Heading5Char">
    <w:name w:val="Heading 5 Char"/>
    <w:basedOn w:val="DefaultParagraphFont"/>
    <w:link w:val="Heading5"/>
    <w:rsid w:val="00A8401B"/>
    <w:rPr>
      <w:rFonts w:ascii="Arial" w:hAnsi="Arial"/>
      <w:i/>
      <w:sz w:val="22"/>
    </w:rPr>
  </w:style>
  <w:style w:type="paragraph" w:customStyle="1" w:styleId="Figurespace">
    <w:name w:val="Figure space"/>
    <w:basedOn w:val="Box"/>
    <w:rsid w:val="00A8401B"/>
    <w:pPr>
      <w:spacing w:before="0" w:line="120" w:lineRule="exact"/>
    </w:pPr>
  </w:style>
  <w:style w:type="paragraph" w:customStyle="1" w:styleId="FooterDraftReport">
    <w:name w:val="FooterDraftReport"/>
    <w:basedOn w:val="Footer"/>
    <w:link w:val="FooterDraftReportChar"/>
    <w:rsid w:val="00A8401B"/>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A84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BodyTextChar"/>
    <w:link w:val="Footer"/>
    <w:rsid w:val="00A8401B"/>
    <w:rPr>
      <w:rFonts w:ascii="Arial" w:hAnsi="Arial"/>
      <w:caps/>
      <w:spacing w:val="-4"/>
      <w:sz w:val="16"/>
    </w:rPr>
  </w:style>
  <w:style w:type="character" w:customStyle="1" w:styleId="BodyTextChar">
    <w:name w:val="Body Text Char"/>
    <w:basedOn w:val="DefaultParagraphFont"/>
    <w:link w:val="BodyText"/>
    <w:rsid w:val="00A8401B"/>
    <w:rPr>
      <w:sz w:val="24"/>
    </w:rPr>
  </w:style>
  <w:style w:type="character" w:customStyle="1" w:styleId="CommentTextChar">
    <w:name w:val="Comment Text Char"/>
    <w:basedOn w:val="DefaultParagraphFont"/>
    <w:link w:val="CommentText"/>
    <w:semiHidden/>
    <w:rsid w:val="001F49AE"/>
    <w:rPr>
      <w:szCs w:val="24"/>
    </w:rPr>
  </w:style>
  <w:style w:type="paragraph" w:customStyle="1" w:styleId="SuperObjectiveBullet">
    <w:name w:val="SuperObjectiveBullet"/>
    <w:basedOn w:val="TableBullet"/>
    <w:rsid w:val="009501B0"/>
    <w:pPr>
      <w:spacing w:before="40"/>
      <w:ind w:left="283"/>
    </w:pPr>
    <w:rPr>
      <w:b/>
    </w:rPr>
  </w:style>
  <w:style w:type="paragraph" w:customStyle="1" w:styleId="TableBullet-level2">
    <w:name w:val="Table Bullet - level 2"/>
    <w:basedOn w:val="TableBullet"/>
    <w:rsid w:val="009501B0"/>
    <w:pPr>
      <w:tabs>
        <w:tab w:val="clear" w:pos="170"/>
      </w:tabs>
      <w:ind w:left="567" w:hanging="340"/>
    </w:pPr>
  </w:style>
  <w:style w:type="paragraph" w:customStyle="1" w:styleId="SuperObjective">
    <w:name w:val="SuperObjective"/>
    <w:basedOn w:val="TableBodyText"/>
    <w:rsid w:val="009501B0"/>
    <w:pPr>
      <w:spacing w:before="40"/>
      <w:ind w:left="113"/>
      <w:jc w:val="left"/>
    </w:pPr>
    <w:rPr>
      <w:b/>
    </w:rPr>
  </w:style>
  <w:style w:type="character" w:customStyle="1" w:styleId="TableTitleChar">
    <w:name w:val="Table Title Char"/>
    <w:basedOn w:val="DefaultParagraphFont"/>
    <w:link w:val="TableTitle"/>
    <w:rsid w:val="00D9122A"/>
    <w:rPr>
      <w:rFonts w:ascii="Arial" w:hAnsi="Arial"/>
      <w:b/>
      <w:sz w:val="24"/>
      <w:szCs w:val="24"/>
    </w:rPr>
  </w:style>
  <w:style w:type="character" w:customStyle="1" w:styleId="FooterDraftReportChar">
    <w:name w:val="FooterDraftReport Char"/>
    <w:basedOn w:val="FooterChar"/>
    <w:link w:val="FooterDraftReport"/>
    <w:rsid w:val="00A8401B"/>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A8401B"/>
    <w:rPr>
      <w:rFonts w:ascii="Arial" w:hAnsi="Arial"/>
      <w:b/>
      <w:sz w:val="26"/>
      <w:szCs w:val="26"/>
      <w:lang w:eastAsia="en-US"/>
    </w:rPr>
  </w:style>
  <w:style w:type="character" w:customStyle="1" w:styleId="Continuedintitle">
    <w:name w:val="Continued (in title)"/>
    <w:basedOn w:val="DefaultParagraphFont"/>
    <w:rsid w:val="00A8401B"/>
    <w:rPr>
      <w:rFonts w:ascii="Arial" w:hAnsi="Arial"/>
      <w:b/>
      <w:sz w:val="18"/>
    </w:rPr>
  </w:style>
  <w:style w:type="paragraph" w:customStyle="1" w:styleId="BoxSpaceAboveElement">
    <w:name w:val="Box Space Above Element"/>
    <w:basedOn w:val="BoxSpaceAbove"/>
    <w:link w:val="BoxSpaceAboveElementChar"/>
    <w:qFormat/>
    <w:rsid w:val="00784E43"/>
    <w:pPr>
      <w:spacing w:before="240"/>
    </w:pPr>
    <w:rPr>
      <w:b/>
      <w:vanish/>
      <w:color w:val="FF00FF"/>
      <w:sz w:val="14"/>
    </w:rPr>
  </w:style>
  <w:style w:type="character" w:customStyle="1" w:styleId="BoxSpaceAboveElementChar">
    <w:name w:val="Box Space Above Element Char"/>
    <w:basedOn w:val="DefaultParagraphFont"/>
    <w:link w:val="BoxSpaceAboveElement"/>
    <w:rsid w:val="00784E43"/>
    <w:rPr>
      <w:b/>
      <w:vanish/>
      <w:color w:val="FF00FF"/>
      <w:sz w:val="14"/>
    </w:rPr>
  </w:style>
  <w:style w:type="paragraph" w:styleId="CommentSubject">
    <w:name w:val="annotation subject"/>
    <w:basedOn w:val="CommentText"/>
    <w:next w:val="CommentText"/>
    <w:link w:val="CommentSubjectChar"/>
    <w:semiHidden/>
    <w:unhideWhenUsed/>
    <w:rsid w:val="009A05DF"/>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9A05DF"/>
    <w:rPr>
      <w:b/>
      <w:bCs/>
      <w:szCs w:val="24"/>
    </w:rPr>
  </w:style>
  <w:style w:type="paragraph" w:styleId="Revision">
    <w:name w:val="Revision"/>
    <w:hidden/>
    <w:uiPriority w:val="99"/>
    <w:semiHidden/>
    <w:rsid w:val="00190F47"/>
    <w:rPr>
      <w:sz w:val="24"/>
      <w:szCs w:val="24"/>
    </w:rPr>
  </w:style>
  <w:style w:type="paragraph" w:customStyle="1" w:styleId="Default">
    <w:name w:val="Default"/>
    <w:rsid w:val="00EA3755"/>
    <w:pPr>
      <w:autoSpaceDE w:val="0"/>
      <w:autoSpaceDN w:val="0"/>
      <w:adjustRightInd w:val="0"/>
    </w:pPr>
    <w:rPr>
      <w:rFonts w:ascii="Calibri" w:hAnsi="Calibri" w:cs="Calibri"/>
      <w:color w:val="000000"/>
      <w:sz w:val="24"/>
      <w:szCs w:val="24"/>
    </w:rPr>
  </w:style>
  <w:style w:type="paragraph" w:styleId="Bibliography">
    <w:name w:val="Bibliography"/>
    <w:basedOn w:val="Normal"/>
    <w:next w:val="Normal"/>
    <w:uiPriority w:val="37"/>
    <w:unhideWhenUsed/>
    <w:rsid w:val="0090390B"/>
    <w:pPr>
      <w:spacing w:after="240"/>
      <w:ind w:left="720" w:hanging="720"/>
    </w:pPr>
  </w:style>
  <w:style w:type="paragraph" w:customStyle="1" w:styleId="Heading1NotTOC">
    <w:name w:val="Heading 1 Not TOC"/>
    <w:basedOn w:val="Heading1"/>
    <w:next w:val="BodyText"/>
    <w:rsid w:val="009D0582"/>
    <w:rPr>
      <w:kern w:val="28"/>
      <w:szCs w:val="26"/>
      <w:lang w:eastAsia="en-US"/>
    </w:rPr>
  </w:style>
  <w:style w:type="character" w:styleId="EndnoteReference">
    <w:name w:val="endnote reference"/>
    <w:basedOn w:val="DefaultParagraphFont"/>
    <w:semiHidden/>
    <w:unhideWhenUsed/>
    <w:rsid w:val="00FC3F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435752358">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image" Target="media/image5.emf"/><Relationship Id="rId42" Type="http://schemas.openxmlformats.org/officeDocument/2006/relationships/footer" Target="footer15.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4.emf"/><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5.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emf"/><Relationship Id="rId28" Type="http://schemas.openxmlformats.org/officeDocument/2006/relationships/footer" Target="footer9.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45823-AEC9-41E0-BF81-C5078B391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26</TotalTime>
  <Pages>46</Pages>
  <Words>12696</Words>
  <Characters>72368</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ASSESSING COMPETITIVENESS AND EFFICIENCY OF THE SUPERANNUATION SYSTEM</vt:lpstr>
    </vt:vector>
  </TitlesOfParts>
  <Company>Productivity Commission</Company>
  <LinksUpToDate>false</LinksUpToDate>
  <CharactersWithSpaces>84895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COMPETITIVENESS AND EFFICIENCY OF THE SUPERANNUATION SYSTEM</dc:title>
  <dc:subject>Issues Paper</dc:subject>
  <dc:creator/>
  <dc:description>1.</dc:description>
  <cp:lastModifiedBy>Pimperl, Mark</cp:lastModifiedBy>
  <cp:revision>12</cp:revision>
  <cp:lastPrinted>2017-06-28T00:13:00Z</cp:lastPrinted>
  <dcterms:created xsi:type="dcterms:W3CDTF">2017-07-06T06:55:00Z</dcterms:created>
  <dcterms:modified xsi:type="dcterms:W3CDTF">2017-07-07T05:09:00Z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0x0101007916246811615643A710C6FEAFF56A87110100EEFE548D9549EA4098E3A65339C068F300BA1D7A25FB5C9548AD8F7D9D296E6E88</vt:lpwstr>
  </property>
  <property fmtid="{D5CDD505-2E9C-101B-9397-08002B2CF9AE}" pid="3" name="Record Tag">
    <vt:lpwstr>249;#Issues Papers|3f58d8d8-eba3-4f69-b92f-42d45f1952c5</vt:lpwstr>
  </property>
  <property fmtid="{D5CDD505-2E9C-101B-9397-08002B2CF9AE}" pid="4" name="TaxKeyword">
    <vt:lpwstr/>
  </property>
  <property fmtid="{D5CDD505-2E9C-101B-9397-08002B2CF9AE}" pid="5" name="Lvl2">
    <vt:lpwstr>4924;#Stage 3 preparation|ffe9992a-401e-4e57-8154-8c8a8068dbd7</vt:lpwstr>
  </property>
  <property fmtid="{D5CDD505-2E9C-101B-9397-08002B2CF9AE}" pid="6" name="Lvl1">
    <vt:lpwstr>2429;#Background Research|dc195ad9-573c-424c-a8a0-3517cd6aea60</vt:lpwstr>
  </property>
  <property fmtid="{D5CDD505-2E9C-101B-9397-08002B2CF9AE}" pid="7" name="ZOTERO_PREF_2">
    <vt:lpwstr> value="true"/&gt;&lt;pref name="automaticJournalAbbreviations" value="true"/&gt;&lt;pref name="noteType" value=""/&gt;&lt;/prefs&gt;&lt;/data&gt;</vt:lpwstr>
  </property>
  <property fmtid="{D5CDD505-2E9C-101B-9397-08002B2CF9AE}" pid="8" name="ZOTERO_PREF_1">
    <vt:lpwstr>&lt;data data-version="3" zotero-version="4.0.29.10"&gt;&lt;session id="281HyNEw"/&gt;&lt;style id="http://www.zotero.org/styles/unisa-harvard" hasBibliography="1" bibliographyStyleHasBeenSet="1"/&gt;&lt;prefs&gt;&lt;pref name="fieldType" value="Field"/&gt;&lt;pref name="storeReferences"</vt:lpwstr>
  </property>
</Properties>
</file>