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AAC60" w14:textId="267B152B" w:rsidR="00B22D55" w:rsidRPr="00131ECD" w:rsidRDefault="00131ECD" w:rsidP="00B22D55">
      <w:pPr>
        <w:pStyle w:val="Heading1"/>
        <w:rPr>
          <w:color w:val="FFFFFF" w:themeColor="background1"/>
          <w:sz w:val="16"/>
          <w:szCs w:val="16"/>
        </w:rPr>
      </w:pPr>
      <w:bookmarkStart w:id="0" w:name="ChapterTitle"/>
      <w:r>
        <w:rPr>
          <w:noProof/>
          <w:color w:val="FFFFFF" w:themeColor="background1"/>
          <w:sz w:val="16"/>
          <w:szCs w:val="16"/>
        </w:rPr>
        <w:drawing>
          <wp:anchor distT="0" distB="0" distL="114300" distR="114300" simplePos="0" relativeHeight="251658240" behindDoc="0" locked="0" layoutInCell="1" allowOverlap="1" wp14:anchorId="5007078C" wp14:editId="758FC128">
            <wp:simplePos x="0" y="0"/>
            <wp:positionH relativeFrom="column">
              <wp:posOffset>-1139959</wp:posOffset>
            </wp:positionH>
            <wp:positionV relativeFrom="page">
              <wp:posOffset>635</wp:posOffset>
            </wp:positionV>
            <wp:extent cx="7560000" cy="106920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hnical-supplements-superannuation4.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0D1CCE" w:rsidRPr="00131ECD">
        <w:rPr>
          <w:color w:val="FFFFFF" w:themeColor="background1"/>
          <w:sz w:val="16"/>
          <w:szCs w:val="16"/>
        </w:rPr>
        <w:t>Investment performance methodology and analysis</w:t>
      </w:r>
    </w:p>
    <w:p w14:paraId="194E1204" w14:textId="20018ACC" w:rsidR="00B22D55" w:rsidRPr="00131ECD" w:rsidRDefault="00B22D55" w:rsidP="00B22D55">
      <w:pPr>
        <w:pStyle w:val="BodyText"/>
        <w:rPr>
          <w:sz w:val="16"/>
          <w:szCs w:val="16"/>
        </w:rPr>
      </w:pPr>
      <w:r w:rsidRPr="00131ECD">
        <w:rPr>
          <w:color w:val="FFFFFF" w:themeColor="background1"/>
          <w:sz w:val="16"/>
          <w:szCs w:val="16"/>
        </w:rPr>
        <w:t xml:space="preserve">Technical Supplement </w:t>
      </w:r>
      <w:r w:rsidR="000D1CCE" w:rsidRPr="00131ECD">
        <w:rPr>
          <w:color w:val="FFFFFF" w:themeColor="background1"/>
          <w:sz w:val="16"/>
          <w:szCs w:val="16"/>
        </w:rPr>
        <w:t>4</w:t>
      </w:r>
      <w:r w:rsidRPr="00131ECD">
        <w:rPr>
          <w:color w:val="FFFFFF" w:themeColor="background1"/>
          <w:sz w:val="16"/>
          <w:szCs w:val="16"/>
        </w:rPr>
        <w:t>, Superannuation: Assessing Efficiency and Competitiveness, Productiv</w:t>
      </w:r>
      <w:r w:rsidR="00131ECD" w:rsidRPr="00131ECD">
        <w:rPr>
          <w:color w:val="FFFFFF" w:themeColor="background1"/>
          <w:sz w:val="16"/>
          <w:szCs w:val="16"/>
        </w:rPr>
        <w:t>ity Commission Inquiry Report</w:t>
      </w:r>
      <w:r w:rsidRPr="00131ECD">
        <w:br w:type="page"/>
      </w:r>
    </w:p>
    <w:p w14:paraId="6315EC35" w14:textId="77777777" w:rsidR="00B22D55" w:rsidRDefault="00B22D55" w:rsidP="00B22D55">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B139567" w14:textId="77777777" w:rsidR="00B22D55" w:rsidRDefault="00B22D55" w:rsidP="00B22D55">
      <w:pPr>
        <w:pStyle w:val="BodyText"/>
        <w:spacing w:after="120"/>
      </w:pPr>
      <w:bookmarkStart w:id="1" w:name="ISSN"/>
      <w:bookmarkEnd w:id="1"/>
      <w:r w:rsidRPr="00862D8F">
        <w:rPr>
          <w:noProof/>
          <w:sz w:val="22"/>
          <w:szCs w:val="22"/>
        </w:rPr>
        <w:drawing>
          <wp:inline distT="0" distB="0" distL="0" distR="0" wp14:anchorId="3E681099" wp14:editId="395194F3">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19577CB1" w14:textId="77777777" w:rsidR="00B22D55" w:rsidRPr="00F20664" w:rsidRDefault="00B22D55" w:rsidP="00B22D55">
      <w:pPr>
        <w:pStyle w:val="Copyrightbodytext"/>
        <w:rPr>
          <w:sz w:val="20"/>
        </w:rPr>
      </w:pPr>
      <w:r w:rsidRPr="00F20664">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F20664">
            <w:rPr>
              <w:sz w:val="20"/>
            </w:rPr>
            <w:t>http://creativecommons.org/licenses/by/3.0/au</w:t>
          </w:r>
        </w:hyperlink>
      </w:hyperlink>
      <w:r w:rsidRPr="00F20664">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4C5757D5" w14:textId="77777777" w:rsidR="00B22D55" w:rsidRPr="008A3857" w:rsidRDefault="00B22D55" w:rsidP="00B22D55">
      <w:pPr>
        <w:pStyle w:val="Copyrightsubtitle"/>
      </w:pPr>
      <w:r w:rsidRPr="008A3857">
        <w:t>Use of the Commonwealth Coat of Arms</w:t>
      </w:r>
    </w:p>
    <w:p w14:paraId="4DD175CC" w14:textId="77777777" w:rsidR="00B22D55" w:rsidRPr="00F20664" w:rsidRDefault="00B22D55" w:rsidP="00B22D55">
      <w:pPr>
        <w:pStyle w:val="Copyrightbodytext"/>
        <w:rPr>
          <w:sz w:val="20"/>
        </w:rPr>
      </w:pPr>
      <w:r w:rsidRPr="00F20664">
        <w:rPr>
          <w:sz w:val="20"/>
        </w:rPr>
        <w:t>Terms of use for the Coat of Arms are available from the Department of the Prime Minister and Cabinet’s website:</w:t>
      </w:r>
      <w:r w:rsidRPr="00F20664">
        <w:rPr>
          <w:spacing w:val="-6"/>
          <w:sz w:val="20"/>
        </w:rPr>
        <w:t xml:space="preserve"> </w:t>
      </w:r>
      <w:hyperlink r:id="rId12" w:history="1">
        <w:r w:rsidRPr="00F20664">
          <w:rPr>
            <w:rStyle w:val="Hyperlink"/>
            <w:sz w:val="20"/>
          </w:rPr>
          <w:t>https://www.pmc.gov.au/government/commonwealth-coat-arms</w:t>
        </w:r>
      </w:hyperlink>
    </w:p>
    <w:p w14:paraId="77A0F0C4" w14:textId="77777777" w:rsidR="00B22D55" w:rsidRPr="008A3857" w:rsidRDefault="00B22D55" w:rsidP="00B22D55">
      <w:pPr>
        <w:pStyle w:val="Copyrightsubtitle"/>
      </w:pPr>
      <w:r w:rsidRPr="008A3857">
        <w:t>Third party copyright</w:t>
      </w:r>
    </w:p>
    <w:p w14:paraId="7441915A" w14:textId="77777777" w:rsidR="00B22D55" w:rsidRPr="00F20664" w:rsidRDefault="00B22D55" w:rsidP="00B22D55">
      <w:pPr>
        <w:pStyle w:val="Copyrightbodytext"/>
        <w:rPr>
          <w:sz w:val="20"/>
        </w:rPr>
      </w:pPr>
      <w:r w:rsidRPr="00F20664">
        <w:rPr>
          <w:sz w:val="20"/>
        </w:rPr>
        <w:t>Wherever a third party holds copyright in this material, the copyright remains with that party. Their permission may be required to use the material, please contact them directly.</w:t>
      </w:r>
    </w:p>
    <w:p w14:paraId="1272172B" w14:textId="77777777" w:rsidR="00B22D55" w:rsidRPr="008A3857" w:rsidRDefault="00B22D55" w:rsidP="00B22D55">
      <w:pPr>
        <w:pStyle w:val="Copyrightsubtitle"/>
      </w:pPr>
      <w:r w:rsidRPr="008A3857">
        <w:t>Attribution</w:t>
      </w:r>
    </w:p>
    <w:p w14:paraId="3DEF8EA2" w14:textId="2A0E777D" w:rsidR="00B22D55" w:rsidRPr="00F20664" w:rsidRDefault="00B22D55" w:rsidP="00B22D55">
      <w:pPr>
        <w:pStyle w:val="Copyrightbodytext"/>
        <w:rPr>
          <w:sz w:val="20"/>
        </w:rPr>
      </w:pPr>
      <w:r w:rsidRPr="00F20664">
        <w:rPr>
          <w:sz w:val="20"/>
        </w:rPr>
        <w:t xml:space="preserve">This work should be attributed as follows, </w:t>
      </w:r>
      <w:r w:rsidRPr="00F20664">
        <w:rPr>
          <w:i/>
          <w:sz w:val="20"/>
        </w:rPr>
        <w:t xml:space="preserve">Source: Productivity Commission, </w:t>
      </w:r>
      <w:r w:rsidR="000D1CCE" w:rsidRPr="00F20664">
        <w:rPr>
          <w:i/>
          <w:sz w:val="20"/>
        </w:rPr>
        <w:t>Investment performance methodology and analysis</w:t>
      </w:r>
      <w:r w:rsidRPr="00F20664">
        <w:rPr>
          <w:i/>
          <w:sz w:val="20"/>
        </w:rPr>
        <w:t xml:space="preserve">, Technical Supplement </w:t>
      </w:r>
      <w:r w:rsidR="000D1CCE" w:rsidRPr="00F20664">
        <w:rPr>
          <w:i/>
          <w:sz w:val="20"/>
        </w:rPr>
        <w:t>4</w:t>
      </w:r>
      <w:r w:rsidRPr="00F20664">
        <w:rPr>
          <w:sz w:val="20"/>
        </w:rPr>
        <w:t>.</w:t>
      </w:r>
    </w:p>
    <w:p w14:paraId="2A3FB7AB" w14:textId="78209EA0" w:rsidR="00B22D55" w:rsidRPr="00F20664" w:rsidRDefault="00B22D55" w:rsidP="00B22D55">
      <w:pPr>
        <w:pStyle w:val="Copyrightbodytext"/>
        <w:spacing w:before="120"/>
        <w:rPr>
          <w:spacing w:val="-4"/>
          <w:sz w:val="20"/>
        </w:rPr>
      </w:pPr>
      <w:r w:rsidRPr="00F20664">
        <w:rPr>
          <w:spacing w:val="-4"/>
          <w:sz w:val="20"/>
        </w:rPr>
        <w:t xml:space="preserve">If you have adapted, modified or transformed this work in anyway, please use the following, </w:t>
      </w:r>
      <w:r w:rsidRPr="00F20664">
        <w:rPr>
          <w:i/>
          <w:spacing w:val="-4"/>
          <w:sz w:val="20"/>
        </w:rPr>
        <w:t xml:space="preserve">Source: based on Productivity Commission data, </w:t>
      </w:r>
      <w:r w:rsidR="000D1CCE" w:rsidRPr="00F20664">
        <w:rPr>
          <w:i/>
          <w:spacing w:val="-4"/>
          <w:sz w:val="20"/>
        </w:rPr>
        <w:t>Investment performance methodology and analysis</w:t>
      </w:r>
      <w:r w:rsidRPr="00F20664">
        <w:rPr>
          <w:i/>
          <w:spacing w:val="-4"/>
          <w:sz w:val="20"/>
        </w:rPr>
        <w:t xml:space="preserve">, Technical Supplement </w:t>
      </w:r>
      <w:r w:rsidR="000D1CCE" w:rsidRPr="00F20664">
        <w:rPr>
          <w:i/>
          <w:spacing w:val="-4"/>
          <w:sz w:val="20"/>
        </w:rPr>
        <w:t>4</w:t>
      </w:r>
      <w:r w:rsidRPr="00F20664">
        <w:rPr>
          <w:spacing w:val="-4"/>
          <w:sz w:val="20"/>
        </w:rPr>
        <w:t>.</w:t>
      </w:r>
    </w:p>
    <w:p w14:paraId="6975D44A" w14:textId="77777777" w:rsidR="00B22D55" w:rsidRPr="008A3857" w:rsidRDefault="00B22D55" w:rsidP="00B22D55">
      <w:pPr>
        <w:pStyle w:val="Copyrightsubtitle"/>
      </w:pPr>
      <w:r w:rsidRPr="008A3857">
        <w:t xml:space="preserve">An appropriate </w:t>
      </w:r>
      <w:r>
        <w:t>reference</w:t>
      </w:r>
      <w:r w:rsidRPr="008A3857">
        <w:t xml:space="preserve"> for this publication is:</w:t>
      </w:r>
    </w:p>
    <w:p w14:paraId="685E0B6C" w14:textId="21AB4B91" w:rsidR="00B22D55" w:rsidRPr="00F20664" w:rsidRDefault="00B22D55" w:rsidP="00B22D55">
      <w:pPr>
        <w:pStyle w:val="Copyrightbodytext"/>
        <w:rPr>
          <w:sz w:val="20"/>
        </w:rPr>
      </w:pPr>
      <w:r w:rsidRPr="00F20664">
        <w:rPr>
          <w:sz w:val="20"/>
        </w:rPr>
        <w:t>Productivity Commission 2018</w:t>
      </w:r>
      <w:r w:rsidR="000D1CCE" w:rsidRPr="00F20664">
        <w:rPr>
          <w:sz w:val="20"/>
        </w:rPr>
        <w:t>, Investment performance methodology and analysis</w:t>
      </w:r>
      <w:r w:rsidRPr="00F20664">
        <w:rPr>
          <w:sz w:val="20"/>
        </w:rPr>
        <w:t xml:space="preserve">’, Technical Supplement </w:t>
      </w:r>
      <w:r w:rsidR="000D1CCE" w:rsidRPr="00F20664">
        <w:rPr>
          <w:sz w:val="20"/>
        </w:rPr>
        <w:t>4</w:t>
      </w:r>
      <w:r w:rsidRPr="00F20664">
        <w:rPr>
          <w:sz w:val="20"/>
        </w:rPr>
        <w:t xml:space="preserve"> to the </w:t>
      </w:r>
      <w:r w:rsidR="0036719B" w:rsidRPr="00F20664">
        <w:rPr>
          <w:sz w:val="20"/>
        </w:rPr>
        <w:t>Inquiry</w:t>
      </w:r>
      <w:r w:rsidRPr="00F20664">
        <w:rPr>
          <w:sz w:val="20"/>
        </w:rPr>
        <w:t xml:space="preserve"> Report </w:t>
      </w:r>
      <w:r w:rsidRPr="00F20664">
        <w:rPr>
          <w:i/>
          <w:sz w:val="20"/>
        </w:rPr>
        <w:t>Superannuation: Assessing Efficiency and Competitiveness</w:t>
      </w:r>
      <w:r w:rsidRPr="00F20664">
        <w:rPr>
          <w:sz w:val="20"/>
        </w:rPr>
        <w:t xml:space="preserve">, Canberra, </w:t>
      </w:r>
      <w:r w:rsidR="0036719B" w:rsidRPr="00F20664">
        <w:rPr>
          <w:sz w:val="20"/>
        </w:rPr>
        <w:t>December</w:t>
      </w:r>
      <w:r w:rsidRPr="00F20664">
        <w:rPr>
          <w:sz w:val="20"/>
        </w:rPr>
        <w:t>.</w:t>
      </w:r>
    </w:p>
    <w:p w14:paraId="7AE927B1" w14:textId="77777777" w:rsidR="00B22D55" w:rsidRPr="008A3857" w:rsidRDefault="00B22D55" w:rsidP="00B22D55">
      <w:pPr>
        <w:pStyle w:val="Copyrightsubtitle"/>
      </w:pPr>
      <w:bookmarkStart w:id="2" w:name="JEL"/>
      <w:bookmarkEnd w:id="2"/>
      <w:r w:rsidRPr="008A3857">
        <w:t>Publications enquiries</w:t>
      </w:r>
    </w:p>
    <w:p w14:paraId="5DA49BFF" w14:textId="77777777" w:rsidR="00B22D55" w:rsidRPr="00F20664" w:rsidRDefault="00B22D55" w:rsidP="00B22D55">
      <w:pPr>
        <w:pStyle w:val="Copyrightbodytext"/>
        <w:rPr>
          <w:sz w:val="20"/>
        </w:rPr>
      </w:pPr>
      <w:r w:rsidRPr="00F20664">
        <w:rPr>
          <w:sz w:val="20"/>
        </w:rPr>
        <w:t>Media, Publications and Web, phone: (03) 9653 2244 or email: mpw@pc.gov.au</w:t>
      </w:r>
    </w:p>
    <w:p w14:paraId="0F0178A8" w14:textId="77777777" w:rsidR="00B22D55" w:rsidRDefault="00B22D55" w:rsidP="00B22D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22D55" w14:paraId="7BD690EC" w14:textId="77777777" w:rsidTr="00945B7D">
        <w:trPr>
          <w:tblHeader/>
        </w:trPr>
        <w:tc>
          <w:tcPr>
            <w:tcW w:w="5000" w:type="pct"/>
            <w:tcBorders>
              <w:top w:val="single" w:sz="6" w:space="0" w:color="78A22F"/>
              <w:left w:val="nil"/>
              <w:bottom w:val="nil"/>
              <w:right w:val="nil"/>
            </w:tcBorders>
            <w:shd w:val="clear" w:color="auto" w:fill="F2F2F2" w:themeFill="background1" w:themeFillShade="F2"/>
          </w:tcPr>
          <w:p w14:paraId="467E718A" w14:textId="77777777" w:rsidR="00B22D55" w:rsidRPr="008A3857" w:rsidRDefault="00B22D55" w:rsidP="00945B7D">
            <w:pPr>
              <w:pStyle w:val="BoxTitle"/>
              <w:rPr>
                <w:sz w:val="22"/>
              </w:rPr>
            </w:pPr>
            <w:r w:rsidRPr="008A3857">
              <w:rPr>
                <w:sz w:val="22"/>
              </w:rPr>
              <w:t>The Productivity Commission</w:t>
            </w:r>
          </w:p>
        </w:tc>
      </w:tr>
      <w:tr w:rsidR="00B22D55" w14:paraId="1E298EEE" w14:textId="77777777" w:rsidTr="00945B7D">
        <w:tc>
          <w:tcPr>
            <w:tcW w:w="5000" w:type="pct"/>
            <w:tcBorders>
              <w:top w:val="nil"/>
              <w:left w:val="nil"/>
              <w:bottom w:val="nil"/>
              <w:right w:val="nil"/>
            </w:tcBorders>
            <w:shd w:val="clear" w:color="auto" w:fill="F2F2F2" w:themeFill="background1" w:themeFillShade="F2"/>
          </w:tcPr>
          <w:p w14:paraId="7182AD1C" w14:textId="77777777" w:rsidR="00B22D55" w:rsidRDefault="00B22D55"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D380348" w14:textId="77777777" w:rsidR="00B22D55" w:rsidRDefault="00B22D55" w:rsidP="00945B7D">
            <w:pPr>
              <w:pStyle w:val="Box"/>
            </w:pPr>
            <w:r w:rsidRPr="00BB5DCF">
              <w:t>The Commission’s independence is underpinned by an Act of Parliament. Its processes and outputs are open to public scrutiny and are driven by concern for the wellbeing of the community as a whole.</w:t>
            </w:r>
          </w:p>
          <w:p w14:paraId="28E2C197" w14:textId="77777777" w:rsidR="00B22D55" w:rsidRDefault="00B22D55" w:rsidP="00945B7D">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B22D55" w14:paraId="7B1AAC6C" w14:textId="77777777" w:rsidTr="00945B7D">
        <w:tc>
          <w:tcPr>
            <w:tcW w:w="5000" w:type="pct"/>
            <w:tcBorders>
              <w:top w:val="nil"/>
              <w:left w:val="nil"/>
              <w:bottom w:val="single" w:sz="6" w:space="0" w:color="78A22F"/>
              <w:right w:val="nil"/>
            </w:tcBorders>
            <w:shd w:val="clear" w:color="auto" w:fill="F2F2F2" w:themeFill="background1" w:themeFillShade="F2"/>
          </w:tcPr>
          <w:p w14:paraId="3B5D0878" w14:textId="77777777" w:rsidR="00B22D55" w:rsidRDefault="00B22D55" w:rsidP="00945B7D">
            <w:pPr>
              <w:pStyle w:val="Box"/>
              <w:spacing w:before="0" w:line="120" w:lineRule="exact"/>
            </w:pPr>
          </w:p>
        </w:tc>
      </w:tr>
    </w:tbl>
    <w:p w14:paraId="49559A5A" w14:textId="77777777" w:rsidR="00B22D55" w:rsidRDefault="00B22D55" w:rsidP="00B22D55">
      <w:pPr>
        <w:pStyle w:val="BodyText"/>
        <w:sectPr w:rsidR="00B22D55" w:rsidSect="00B22D55">
          <w:pgSz w:w="11907" w:h="16840" w:code="9"/>
          <w:pgMar w:top="1304" w:right="1304" w:bottom="567" w:left="1814" w:header="1701" w:footer="397" w:gutter="0"/>
          <w:pgNumType w:fmt="lowerRoman" w:start="1"/>
          <w:cols w:space="720"/>
          <w:titlePg/>
        </w:sectPr>
      </w:pPr>
      <w:bookmarkStart w:id="3" w:name="cov"/>
      <w:bookmarkEnd w:id="3"/>
    </w:p>
    <w:p w14:paraId="68637B64" w14:textId="77777777" w:rsidR="00FC14FC" w:rsidRDefault="00FC14FC" w:rsidP="00FC14FC">
      <w:pPr>
        <w:pStyle w:val="Heading1"/>
      </w:pPr>
      <w:bookmarkStart w:id="4" w:name="_Toc532997256"/>
      <w:bookmarkStart w:id="5" w:name="_Toc534642275"/>
      <w:bookmarkEnd w:id="0"/>
      <w:r>
        <w:lastRenderedPageBreak/>
        <w:t>4</w:t>
      </w:r>
      <w:r>
        <w:tab/>
        <w:t>Technical supplement: investment performance methodology and analysis</w:t>
      </w:r>
      <w:bookmarkEnd w:id="4"/>
      <w:bookmarkEnd w:id="5"/>
    </w:p>
    <w:p w14:paraId="4B81A9E2" w14:textId="77777777" w:rsidR="00FC14FC" w:rsidRDefault="00FC14FC" w:rsidP="00FC14FC">
      <w:pPr>
        <w:pStyle w:val="BodyText"/>
      </w:pPr>
      <w:r>
        <w:t>This technical supplement expands on analysis presented in chapter 2 (investment performance). It covers three areas. First, it details the different data sources used, including their strengths and weaknesses (section 4.1). Second, it provides detail on the methods and assumptions adopted (the construction of benchmark portfolios (BPs) in particular) (section 4.2). And third, it presents supporting analysis (section 4.3). This includes sensitivity tests flagged in chapter 2, including:</w:t>
      </w:r>
    </w:p>
    <w:p w14:paraId="485F14EC" w14:textId="77777777" w:rsidR="00FC14FC" w:rsidRDefault="00FC14FC" w:rsidP="00FC14FC">
      <w:pPr>
        <w:pStyle w:val="ListBullet"/>
      </w:pPr>
      <w:r>
        <w:t>results over different time periods</w:t>
      </w:r>
    </w:p>
    <w:p w14:paraId="02B28911" w14:textId="77777777" w:rsidR="00FC14FC" w:rsidRDefault="00FC14FC" w:rsidP="00FC14FC">
      <w:pPr>
        <w:pStyle w:val="ListBullet"/>
      </w:pPr>
      <w:r>
        <w:t>alternative assumptions about administration fees applied to BPs</w:t>
      </w:r>
    </w:p>
    <w:p w14:paraId="1640F0CC" w14:textId="77777777" w:rsidR="00FC14FC" w:rsidRDefault="00FC14FC" w:rsidP="00FC14FC">
      <w:pPr>
        <w:pStyle w:val="ListBullet"/>
      </w:pPr>
      <w:r>
        <w:t>alternative assumptions about tax applied to BPs</w:t>
      </w:r>
    </w:p>
    <w:p w14:paraId="54628E9D" w14:textId="77777777" w:rsidR="00FC14FC" w:rsidRDefault="00FC14FC" w:rsidP="00FC14FC">
      <w:pPr>
        <w:pStyle w:val="ListBullet"/>
      </w:pPr>
      <w:r>
        <w:t>alternative assumptions about asset allocation (including hedging ratios).</w:t>
      </w:r>
    </w:p>
    <w:p w14:paraId="6405F8F8" w14:textId="77777777" w:rsidR="00FC14FC" w:rsidRDefault="00FC14FC" w:rsidP="00FC14FC">
      <w:pPr>
        <w:pStyle w:val="BodyText"/>
      </w:pPr>
      <w:r>
        <w:t>The supporting analysis is structured in the same order as the analysis in chapter 2. The assumptions and data underlying all investment performance analyses relative to the benchmarks presented in the main report and this supplement are summarised in table 4.1. Broadly, the results were most sensitive to the time period analysed, somewhat sensitive to the hedging ratio used, and less sensitive to asset allocation and tax adjustments.</w:t>
      </w:r>
    </w:p>
    <w:p w14:paraId="542D3D6D" w14:textId="77777777" w:rsidR="00FC14FC" w:rsidRDefault="00FC14FC" w:rsidP="00FC14FC">
      <w:pPr>
        <w:pStyle w:val="BodyText"/>
      </w:pPr>
      <w:r>
        <w:t>The data selected, and methods, assumptions and analysis employed by the Commission are the result of extensive consultation processes from stage 1 and stage 3. These processes included two technical workshops during the stage 1 study, submissions following the publication of the draft report and the subsequent supplementary paper, and much consultation with industry experts.</w:t>
      </w:r>
      <w:r w:rsidRPr="00B93747">
        <w:t xml:space="preserve"> </w:t>
      </w:r>
    </w:p>
    <w:p w14:paraId="669A57AF" w14:textId="77777777" w:rsidR="00FC14FC" w:rsidRPr="00940C5A" w:rsidRDefault="00FC14FC" w:rsidP="00FC14FC">
      <w:pPr>
        <w:pStyle w:val="Heading2"/>
      </w:pPr>
      <w:bookmarkStart w:id="6" w:name="_Toc532997257"/>
      <w:bookmarkStart w:id="7" w:name="_Toc534642276"/>
      <w:r w:rsidRPr="00940C5A">
        <w:t>4.</w:t>
      </w:r>
      <w:r>
        <w:rPr>
          <w:noProof/>
        </w:rPr>
        <w:t>1</w:t>
      </w:r>
      <w:r w:rsidRPr="00940C5A">
        <w:tab/>
        <w:t>Data</w:t>
      </w:r>
      <w:bookmarkEnd w:id="6"/>
      <w:bookmarkEnd w:id="7"/>
    </w:p>
    <w:p w14:paraId="4A22D3A7" w14:textId="77777777" w:rsidR="00FC14FC" w:rsidRPr="00210B02" w:rsidRDefault="00FC14FC" w:rsidP="00FC14FC">
      <w:pPr>
        <w:pStyle w:val="BodyText"/>
      </w:pPr>
      <w:r>
        <w:t>The Commission’s analysis of investment performance made use of data from regulators and private research firms. More information on all the data used by the Commission can be found in appendix B.</w:t>
      </w:r>
    </w:p>
    <w:p w14:paraId="351E89E8" w14:textId="77777777" w:rsidR="00FC14FC" w:rsidRDefault="00FC14FC" w:rsidP="00FC14FC">
      <w:pPr>
        <w:pStyle w:val="Heading3"/>
      </w:pPr>
      <w:r>
        <w:lastRenderedPageBreak/>
        <w:t>Regulator data</w:t>
      </w:r>
    </w:p>
    <w:p w14:paraId="6F9D53C2" w14:textId="77777777" w:rsidR="00FC14FC" w:rsidRDefault="00FC14FC" w:rsidP="00FC14FC">
      <w:pPr>
        <w:pStyle w:val="BodyText"/>
      </w:pPr>
      <w:r>
        <w:t>Australian Prudential Regulation Authority (APRA) data offer the most comprehensive view of the system as large APRA</w:t>
      </w:r>
      <w:r>
        <w:noBreakHyphen/>
        <w:t>regulated funds (those with four or more members) — hereafter ‘APRA</w:t>
      </w:r>
      <w:r>
        <w:noBreakHyphen/>
        <w:t>regulated funds’ — make up a substantial portion of the superannuation system. System</w:t>
      </w:r>
      <w:r>
        <w:noBreakHyphen/>
        <w:t xml:space="preserve"> and fund</w:t>
      </w:r>
      <w:r>
        <w:noBreakHyphen/>
        <w:t>level data are available back to 1997</w:t>
      </w:r>
      <w:r w:rsidRPr="00CF15EF">
        <w:rPr>
          <w:rStyle w:val="FootnoteReference"/>
        </w:rPr>
        <w:footnoteReference w:id="2"/>
      </w:r>
      <w:r>
        <w:t xml:space="preserve"> (although the data are only in a usable form for the Commission’s analyses from 2004 because different calculation and collection methods were used prior to 2004). Eligible rollover funds and insurance</w:t>
      </w:r>
      <w:r>
        <w:noBreakHyphen/>
        <w:t>only funds were excluded from the analysis as their investment objectives are different from those of most APRA</w:t>
      </w:r>
      <w:r>
        <w:noBreakHyphen/>
        <w:t>regulated funds.</w:t>
      </w:r>
    </w:p>
    <w:p w14:paraId="01A32873" w14:textId="77777777" w:rsidR="00FC14FC" w:rsidRDefault="00FC14FC" w:rsidP="00FC14FC">
      <w:pPr>
        <w:pStyle w:val="BodyText"/>
      </w:pPr>
      <w:r>
        <w:t>The Commission received unpublished data from APRA that include more detail than publicly available datasets (appendix B). However, aspects of APRA’s current reporting framework only commenced in 2013, and thus the Commission has had to work around a degree of discontinuity. For example, asset allocation reporting dramatically changed between 2013 and 2014.</w:t>
      </w:r>
    </w:p>
    <w:p w14:paraId="6B5377B3" w14:textId="77777777" w:rsidR="00FC14FC" w:rsidRDefault="00FC14FC" w:rsidP="00FC14FC">
      <w:pPr>
        <w:pStyle w:val="BodyText"/>
      </w:pPr>
      <w:r>
        <w:t>Further, while all APRA</w:t>
      </w:r>
      <w:r>
        <w:noBreakHyphen/>
        <w:t xml:space="preserve">regulated funds are covered in APRA data, there were patches of poor reporting. For example, a large number of (typically retail) funds reported zero investment expenses in some years (tech. supp. 5). </w:t>
      </w:r>
    </w:p>
    <w:p w14:paraId="7C240982" w14:textId="77777777" w:rsidR="00FC14FC" w:rsidRDefault="00FC14FC" w:rsidP="00FC14FC">
      <w:pPr>
        <w:pStyle w:val="BodyText"/>
      </w:pPr>
      <w:r>
        <w:t>APRA also publishes MySuper product</w:t>
      </w:r>
      <w:r>
        <w:noBreakHyphen/>
        <w:t>level data from 2013, in both a quarterly and annual form. The Commission has used both, depending on which is best suited to a given purpose. While these datasets are comprehensive (covering the entire default segment), the time period is too short for meaningful long</w:t>
      </w:r>
      <w:r>
        <w:noBreakHyphen/>
        <w:t>term analysis.</w:t>
      </w:r>
      <w:r w:rsidRPr="004C20EC">
        <w:t xml:space="preserve"> </w:t>
      </w:r>
    </w:p>
    <w:p w14:paraId="0D8DB2CC" w14:textId="77777777" w:rsidR="00FC14FC" w:rsidRDefault="00FC14FC" w:rsidP="00FC14FC">
      <w:pPr>
        <w:pStyle w:val="BodyText"/>
      </w:pPr>
      <w:r>
        <w:t>APRA fund</w:t>
      </w:r>
      <w:r>
        <w:noBreakHyphen/>
        <w:t>level and MySuper data are the only audited data with full APRA segment coverage available to the Commission. As such, despite the limitations, the Commission has drawn on APRA data as its primary source. Since the draft report, an additional year of data has been added to the analysis of system</w:t>
      </w:r>
      <w:r>
        <w:noBreakHyphen/>
        <w:t>, segment</w:t>
      </w:r>
      <w:r>
        <w:noBreakHyphen/>
        <w:t xml:space="preserve"> and fund</w:t>
      </w:r>
      <w:r>
        <w:noBreakHyphen/>
        <w:t>level returns, which now covers a 13</w:t>
      </w:r>
      <w:r>
        <w:noBreakHyphen/>
        <w:t xml:space="preserve">year period (2005–2017). </w:t>
      </w:r>
    </w:p>
    <w:p w14:paraId="1010E540" w14:textId="77777777" w:rsidR="00FC14FC" w:rsidRDefault="00FC14FC" w:rsidP="00FC14FC">
      <w:pPr>
        <w:pStyle w:val="BodyText"/>
      </w:pPr>
      <w:r>
        <w:t xml:space="preserve">Mostly, </w:t>
      </w:r>
      <w:r w:rsidRPr="002E00B8">
        <w:t xml:space="preserve">APRA data do not cover </w:t>
      </w:r>
      <w:r>
        <w:t>self</w:t>
      </w:r>
      <w:r>
        <w:noBreakHyphen/>
        <w:t>managed superannuation funds (</w:t>
      </w:r>
      <w:r w:rsidRPr="002E00B8">
        <w:t>SMSFs</w:t>
      </w:r>
      <w:r>
        <w:t>)</w:t>
      </w:r>
      <w:r w:rsidRPr="002E00B8">
        <w:t xml:space="preserve">. To address this gap, the Commission drew on data provided by the </w:t>
      </w:r>
      <w:r>
        <w:t>Australian Taxation Office (</w:t>
      </w:r>
      <w:r w:rsidRPr="002E00B8">
        <w:t>ATO</w:t>
      </w:r>
      <w:r>
        <w:t xml:space="preserve">). </w:t>
      </w:r>
      <w:r w:rsidRPr="002E00B8">
        <w:t xml:space="preserve">However the Commission was only provided with aggregated data (across the SMSF segment, or by brackets, such as size brackets). This limited the scope of the Commission’s analysis. Analysis was further limited by the fact that ATO data </w:t>
      </w:r>
      <w:r>
        <w:t>are</w:t>
      </w:r>
      <w:r w:rsidRPr="002E00B8">
        <w:t xml:space="preserve"> not comparable to APRA data, as further outlined below</w:t>
      </w:r>
      <w:r>
        <w:t>. Since the draft report, an additional year of data has been added to the analysis, which now covers an 11</w:t>
      </w:r>
      <w:r>
        <w:noBreakHyphen/>
        <w:t>year period (2006</w:t>
      </w:r>
      <w:r>
        <w:softHyphen/>
        <w:t>–2016).</w:t>
      </w:r>
    </w:p>
    <w:p w14:paraId="73377102" w14:textId="77777777" w:rsidR="00FC14FC" w:rsidRDefault="00FC14FC" w:rsidP="00FC14FC">
      <w:pPr>
        <w:pStyle w:val="BodyText"/>
      </w:pPr>
    </w:p>
    <w:p w14:paraId="30F752BD" w14:textId="77777777" w:rsidR="00FC14FC" w:rsidRDefault="00FC14FC" w:rsidP="00FC14FC">
      <w:pPr>
        <w:pStyle w:val="BodyText"/>
        <w:sectPr w:rsidR="00FC14FC" w:rsidSect="00EA12F7">
          <w:headerReference w:type="even" r:id="rId14"/>
          <w:headerReference w:type="default" r:id="rId15"/>
          <w:footerReference w:type="even" r:id="rId16"/>
          <w:footerReference w:type="default" r:id="rId17"/>
          <w:pgSz w:w="11907" w:h="16840" w:code="9"/>
          <w:pgMar w:top="1985" w:right="1304" w:bottom="1247" w:left="1814" w:header="1701" w:footer="397" w:gutter="0"/>
          <w:pgNumType w:start="1" w:chapSep="period"/>
          <w:cols w:space="720"/>
          <w:docGrid w:linePitch="326"/>
        </w:sectPr>
      </w:pPr>
    </w:p>
    <w:p w14:paraId="1B2DDDA0"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021643AE" w14:textId="77777777" w:rsidTr="00D11B9D">
        <w:trPr>
          <w:tblHeader/>
        </w:trPr>
        <w:tc>
          <w:tcPr>
            <w:tcW w:w="5000" w:type="pct"/>
            <w:tcBorders>
              <w:top w:val="single" w:sz="6" w:space="0" w:color="78A22F"/>
              <w:left w:val="nil"/>
              <w:bottom w:val="nil"/>
              <w:right w:val="nil"/>
            </w:tcBorders>
            <w:shd w:val="clear" w:color="auto" w:fill="auto"/>
          </w:tcPr>
          <w:p w14:paraId="499C091C" w14:textId="77777777" w:rsidR="00FC14FC" w:rsidRPr="00784A05" w:rsidRDefault="00FC14FC" w:rsidP="00D11B9D">
            <w:pPr>
              <w:pStyle w:val="TableTitle"/>
            </w:pPr>
            <w:r>
              <w:rPr>
                <w:b w:val="0"/>
              </w:rPr>
              <w:t>Table 4.</w:t>
            </w:r>
            <w:r>
              <w:rPr>
                <w:b w:val="0"/>
                <w:noProof/>
              </w:rPr>
              <w:t>1</w:t>
            </w:r>
            <w:r>
              <w:tab/>
              <w:t>Summary of investment performance analysis</w:t>
            </w:r>
            <w:r>
              <w:rPr>
                <w:rStyle w:val="NoteLabel"/>
              </w:rPr>
              <w:t>a,b,c</w:t>
            </w:r>
            <w:r>
              <w:t xml:space="preserve"> </w:t>
            </w:r>
          </w:p>
        </w:tc>
      </w:tr>
      <w:tr w:rsidR="00FC14FC" w14:paraId="59119AF1" w14:textId="77777777" w:rsidTr="00D11B9D">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28" w:type="dxa"/>
                <w:left w:w="0" w:type="dxa"/>
                <w:right w:w="0" w:type="dxa"/>
              </w:tblCellMar>
              <w:tblLook w:val="0600" w:firstRow="0" w:lastRow="0" w:firstColumn="0" w:lastColumn="0" w:noHBand="1" w:noVBand="1"/>
            </w:tblPr>
            <w:tblGrid>
              <w:gridCol w:w="1274"/>
              <w:gridCol w:w="1062"/>
              <w:gridCol w:w="1224"/>
              <w:gridCol w:w="943"/>
              <w:gridCol w:w="1082"/>
              <w:gridCol w:w="659"/>
              <w:gridCol w:w="1528"/>
              <w:gridCol w:w="1017"/>
              <w:gridCol w:w="1455"/>
              <w:gridCol w:w="1657"/>
              <w:gridCol w:w="1252"/>
            </w:tblGrid>
            <w:tr w:rsidR="00FC14FC" w14:paraId="69E39FDE" w14:textId="77777777" w:rsidTr="00D11B9D">
              <w:trPr>
                <w:tblHeader/>
              </w:trPr>
              <w:tc>
                <w:tcPr>
                  <w:tcW w:w="903" w:type="pct"/>
                  <w:gridSpan w:val="2"/>
                  <w:tcBorders>
                    <w:right w:val="single" w:sz="4" w:space="0" w:color="D9D9D9" w:themeColor="background1" w:themeShade="D9"/>
                  </w:tcBorders>
                  <w:shd w:val="clear" w:color="auto" w:fill="auto"/>
                  <w:tcMar>
                    <w:top w:w="28" w:type="dxa"/>
                  </w:tcMar>
                </w:tcPr>
                <w:p w14:paraId="2B2F08C9" w14:textId="77777777" w:rsidR="00FC14FC" w:rsidRDefault="00FC14FC" w:rsidP="00D11B9D">
                  <w:pPr>
                    <w:pStyle w:val="TableColumnHeading"/>
                    <w:jc w:val="left"/>
                  </w:pPr>
                </w:p>
              </w:tc>
              <w:tc>
                <w:tcPr>
                  <w:tcW w:w="1516" w:type="pct"/>
                  <w:gridSpan w:val="4"/>
                  <w:tcBorders>
                    <w:left w:val="single" w:sz="4" w:space="0" w:color="D9D9D9" w:themeColor="background1" w:themeShade="D9"/>
                    <w:right w:val="single" w:sz="4" w:space="0" w:color="D9D9D9" w:themeColor="background1" w:themeShade="D9"/>
                  </w:tcBorders>
                  <w:shd w:val="clear" w:color="auto" w:fill="auto"/>
                  <w:tcMar>
                    <w:top w:w="28" w:type="dxa"/>
                  </w:tcMar>
                </w:tcPr>
                <w:p w14:paraId="4670BEB2" w14:textId="77777777" w:rsidR="00FC14FC" w:rsidRDefault="00FC14FC" w:rsidP="00D11B9D">
                  <w:pPr>
                    <w:pStyle w:val="TableColumnHeading"/>
                    <w:ind w:right="28"/>
                    <w:jc w:val="center"/>
                  </w:pPr>
                  <w:r>
                    <w:t>Actual returns</w:t>
                  </w:r>
                </w:p>
              </w:tc>
              <w:tc>
                <w:tcPr>
                  <w:tcW w:w="2098" w:type="pct"/>
                  <w:gridSpan w:val="4"/>
                  <w:tcBorders>
                    <w:left w:val="single" w:sz="4" w:space="0" w:color="D9D9D9" w:themeColor="background1" w:themeShade="D9"/>
                    <w:right w:val="single" w:sz="4" w:space="0" w:color="D9D9D9" w:themeColor="background1" w:themeShade="D9"/>
                  </w:tcBorders>
                </w:tcPr>
                <w:p w14:paraId="6E507B91" w14:textId="77777777" w:rsidR="00FC14FC" w:rsidRDefault="00FC14FC" w:rsidP="00D11B9D">
                  <w:pPr>
                    <w:pStyle w:val="TableColumnHeading"/>
                    <w:jc w:val="center"/>
                  </w:pPr>
                  <w:r>
                    <w:t>B</w:t>
                  </w:r>
                  <w:r w:rsidRPr="002C33A8">
                    <w:t>enchmarks</w:t>
                  </w:r>
                </w:p>
              </w:tc>
              <w:tc>
                <w:tcPr>
                  <w:tcW w:w="483" w:type="pct"/>
                  <w:tcBorders>
                    <w:left w:val="single" w:sz="4" w:space="0" w:color="D9D9D9" w:themeColor="background1" w:themeShade="D9"/>
                  </w:tcBorders>
                  <w:shd w:val="clear" w:color="auto" w:fill="auto"/>
                </w:tcPr>
                <w:p w14:paraId="20A15FC4" w14:textId="77777777" w:rsidR="00FC14FC" w:rsidRDefault="00FC14FC" w:rsidP="00D11B9D">
                  <w:pPr>
                    <w:pStyle w:val="TableColumnHeading"/>
                    <w:jc w:val="left"/>
                  </w:pPr>
                </w:p>
              </w:tc>
            </w:tr>
            <w:tr w:rsidR="00FC14FC" w14:paraId="36CF08FA" w14:textId="77777777" w:rsidTr="00D11B9D">
              <w:trPr>
                <w:tblHeader/>
              </w:trPr>
              <w:tc>
                <w:tcPr>
                  <w:tcW w:w="488" w:type="pct"/>
                  <w:shd w:val="clear" w:color="auto" w:fill="auto"/>
                  <w:tcMar>
                    <w:top w:w="28" w:type="dxa"/>
                  </w:tcMar>
                  <w:vAlign w:val="bottom"/>
                </w:tcPr>
                <w:p w14:paraId="5C78F44B" w14:textId="77777777" w:rsidR="00FC14FC" w:rsidRDefault="00FC14FC" w:rsidP="00D11B9D">
                  <w:pPr>
                    <w:pStyle w:val="TableColumnHeading"/>
                    <w:jc w:val="left"/>
                  </w:pPr>
                  <w:r>
                    <w:t>Analysis</w:t>
                  </w:r>
                </w:p>
              </w:tc>
              <w:tc>
                <w:tcPr>
                  <w:tcW w:w="415" w:type="pct"/>
                  <w:vAlign w:val="bottom"/>
                </w:tcPr>
                <w:p w14:paraId="2740C99F" w14:textId="77777777" w:rsidR="00FC14FC" w:rsidRDefault="00FC14FC" w:rsidP="00D11B9D">
                  <w:pPr>
                    <w:pStyle w:val="TableColumnHeading"/>
                    <w:jc w:val="left"/>
                  </w:pPr>
                  <w:r>
                    <w:t>Figures/ tables</w:t>
                  </w:r>
                </w:p>
              </w:tc>
              <w:tc>
                <w:tcPr>
                  <w:tcW w:w="473" w:type="pct"/>
                  <w:shd w:val="clear" w:color="auto" w:fill="auto"/>
                  <w:tcMar>
                    <w:top w:w="28" w:type="dxa"/>
                  </w:tcMar>
                  <w:vAlign w:val="bottom"/>
                </w:tcPr>
                <w:p w14:paraId="7B83B392" w14:textId="77777777" w:rsidR="00FC14FC" w:rsidRDefault="00FC14FC" w:rsidP="00D11B9D">
                  <w:pPr>
                    <w:pStyle w:val="TableColumnHeading"/>
                    <w:jc w:val="left"/>
                  </w:pPr>
                  <w:r>
                    <w:t>Unit of analysis</w:t>
                  </w:r>
                </w:p>
              </w:tc>
              <w:tc>
                <w:tcPr>
                  <w:tcW w:w="366" w:type="pct"/>
                  <w:vAlign w:val="bottom"/>
                </w:tcPr>
                <w:p w14:paraId="068CEDF1" w14:textId="77777777" w:rsidR="00FC14FC" w:rsidRDefault="00FC14FC" w:rsidP="00D11B9D">
                  <w:pPr>
                    <w:pStyle w:val="TableColumnHeading"/>
                    <w:ind w:right="28"/>
                    <w:jc w:val="left"/>
                  </w:pPr>
                  <w:r>
                    <w:t>Data</w:t>
                  </w:r>
                </w:p>
              </w:tc>
              <w:tc>
                <w:tcPr>
                  <w:tcW w:w="419" w:type="pct"/>
                  <w:vAlign w:val="bottom"/>
                </w:tcPr>
                <w:p w14:paraId="6790DA70" w14:textId="77777777" w:rsidR="00FC14FC" w:rsidRDefault="00FC14FC" w:rsidP="00D11B9D">
                  <w:pPr>
                    <w:pStyle w:val="TableColumnHeading"/>
                    <w:ind w:right="28"/>
                    <w:jc w:val="left"/>
                  </w:pPr>
                  <w:r>
                    <w:t>Time periods</w:t>
                  </w:r>
                </w:p>
              </w:tc>
              <w:tc>
                <w:tcPr>
                  <w:tcW w:w="258" w:type="pct"/>
                  <w:vAlign w:val="bottom"/>
                </w:tcPr>
                <w:p w14:paraId="3B18FB1D" w14:textId="77777777" w:rsidR="00FC14FC" w:rsidRDefault="00FC14FC" w:rsidP="00D11B9D">
                  <w:pPr>
                    <w:pStyle w:val="TableColumnHeading"/>
                    <w:ind w:right="28"/>
                    <w:jc w:val="left"/>
                  </w:pPr>
                  <w:r>
                    <w:t>Bias</w:t>
                  </w:r>
                </w:p>
              </w:tc>
              <w:tc>
                <w:tcPr>
                  <w:tcW w:w="588" w:type="pct"/>
                  <w:vAlign w:val="bottom"/>
                </w:tcPr>
                <w:p w14:paraId="48666E1D" w14:textId="77777777" w:rsidR="00FC14FC" w:rsidRDefault="00FC14FC" w:rsidP="00D11B9D">
                  <w:pPr>
                    <w:pStyle w:val="TableColumnHeading"/>
                    <w:ind w:right="28"/>
                    <w:jc w:val="left"/>
                  </w:pPr>
                  <w:r>
                    <w:t>BPs used</w:t>
                  </w:r>
                </w:p>
              </w:tc>
              <w:tc>
                <w:tcPr>
                  <w:tcW w:w="394" w:type="pct"/>
                  <w:vAlign w:val="bottom"/>
                </w:tcPr>
                <w:p w14:paraId="1C9B1B90" w14:textId="77777777" w:rsidR="00FC14FC" w:rsidRDefault="00FC14FC" w:rsidP="00D11B9D">
                  <w:pPr>
                    <w:pStyle w:val="TableColumnHeading"/>
                    <w:ind w:right="28"/>
                    <w:jc w:val="left"/>
                  </w:pPr>
                  <w:r>
                    <w:t>Tax rate</w:t>
                  </w:r>
                </w:p>
              </w:tc>
              <w:tc>
                <w:tcPr>
                  <w:tcW w:w="479" w:type="pct"/>
                  <w:vAlign w:val="bottom"/>
                </w:tcPr>
                <w:p w14:paraId="057D32AA" w14:textId="77777777" w:rsidR="00FC14FC" w:rsidRDefault="00FC14FC" w:rsidP="00D11B9D">
                  <w:pPr>
                    <w:pStyle w:val="TableColumnHeading"/>
                    <w:ind w:right="28"/>
                    <w:jc w:val="left"/>
                  </w:pPr>
                  <w:r>
                    <w:t>Admin expenses</w:t>
                  </w:r>
                </w:p>
              </w:tc>
              <w:tc>
                <w:tcPr>
                  <w:tcW w:w="636" w:type="pct"/>
                  <w:vAlign w:val="bottom"/>
                </w:tcPr>
                <w:p w14:paraId="2F0D64F2" w14:textId="77777777" w:rsidR="00FC14FC" w:rsidRDefault="00FC14FC" w:rsidP="00D11B9D">
                  <w:pPr>
                    <w:pStyle w:val="TableColumnHeading"/>
                    <w:ind w:right="28"/>
                    <w:jc w:val="left"/>
                  </w:pPr>
                  <w:r>
                    <w:t>Asset allocation</w:t>
                  </w:r>
                </w:p>
              </w:tc>
              <w:tc>
                <w:tcPr>
                  <w:tcW w:w="483" w:type="pct"/>
                  <w:shd w:val="clear" w:color="auto" w:fill="auto"/>
                  <w:tcMar>
                    <w:top w:w="28" w:type="dxa"/>
                  </w:tcMar>
                  <w:vAlign w:val="bottom"/>
                </w:tcPr>
                <w:p w14:paraId="2FE672CE" w14:textId="77777777" w:rsidR="00FC14FC" w:rsidRDefault="00FC14FC" w:rsidP="00D11B9D">
                  <w:pPr>
                    <w:pStyle w:val="TableColumnHeading"/>
                    <w:ind w:right="28"/>
                    <w:jc w:val="left"/>
                  </w:pPr>
                  <w:r>
                    <w:t>Other sensitivity testing</w:t>
                  </w:r>
                </w:p>
              </w:tc>
            </w:tr>
            <w:tr w:rsidR="00FC14FC" w14:paraId="187DE113" w14:textId="77777777" w:rsidTr="00D11B9D">
              <w:tc>
                <w:tcPr>
                  <w:tcW w:w="488" w:type="pct"/>
                </w:tcPr>
                <w:p w14:paraId="3F9824E1" w14:textId="77777777" w:rsidR="00FC14FC" w:rsidRDefault="00FC14FC" w:rsidP="00D11B9D">
                  <w:pPr>
                    <w:pStyle w:val="TableUnitsRow"/>
                    <w:jc w:val="left"/>
                  </w:pPr>
                  <w:r>
                    <w:t>Time series of annual returns</w:t>
                  </w:r>
                </w:p>
              </w:tc>
              <w:tc>
                <w:tcPr>
                  <w:tcW w:w="415" w:type="pct"/>
                </w:tcPr>
                <w:p w14:paraId="4ACB9F35" w14:textId="77777777" w:rsidR="00FC14FC" w:rsidRDefault="00FC14FC" w:rsidP="00D11B9D">
                  <w:pPr>
                    <w:pStyle w:val="TableUnitsRow"/>
                    <w:jc w:val="left"/>
                  </w:pPr>
                  <w:r>
                    <w:t>Figure 2.2</w:t>
                  </w:r>
                </w:p>
              </w:tc>
              <w:tc>
                <w:tcPr>
                  <w:tcW w:w="473" w:type="pct"/>
                </w:tcPr>
                <w:p w14:paraId="00A79B6F" w14:textId="77777777" w:rsidR="00FC14FC" w:rsidRDefault="00FC14FC" w:rsidP="00D11B9D">
                  <w:pPr>
                    <w:pStyle w:val="TableUnitsRow"/>
                    <w:jc w:val="left"/>
                  </w:pPr>
                  <w:r>
                    <w:t xml:space="preserve">APRA funds </w:t>
                  </w:r>
                </w:p>
              </w:tc>
              <w:tc>
                <w:tcPr>
                  <w:tcW w:w="366" w:type="pct"/>
                </w:tcPr>
                <w:p w14:paraId="3902A95F" w14:textId="77777777" w:rsidR="00FC14FC" w:rsidRDefault="00FC14FC" w:rsidP="00D11B9D">
                  <w:pPr>
                    <w:pStyle w:val="TableUnitsRow"/>
                    <w:ind w:right="28"/>
                    <w:jc w:val="left"/>
                  </w:pPr>
                  <w:r>
                    <w:t>Regulator data</w:t>
                  </w:r>
                </w:p>
              </w:tc>
              <w:tc>
                <w:tcPr>
                  <w:tcW w:w="419" w:type="pct"/>
                </w:tcPr>
                <w:p w14:paraId="36287642" w14:textId="77777777" w:rsidR="00FC14FC" w:rsidRDefault="00FC14FC" w:rsidP="00D11B9D">
                  <w:pPr>
                    <w:pStyle w:val="TableUnitsRow"/>
                    <w:ind w:right="28"/>
                    <w:jc w:val="left"/>
                  </w:pPr>
                  <w:r>
                    <w:t>1997–2017</w:t>
                  </w:r>
                </w:p>
              </w:tc>
              <w:tc>
                <w:tcPr>
                  <w:tcW w:w="258" w:type="pct"/>
                </w:tcPr>
                <w:p w14:paraId="494D91A0" w14:textId="77777777" w:rsidR="00FC14FC" w:rsidRDefault="00FC14FC" w:rsidP="00D11B9D">
                  <w:pPr>
                    <w:pStyle w:val="TableUnitsRow"/>
                    <w:ind w:right="28"/>
                    <w:jc w:val="left"/>
                  </w:pPr>
                  <w:r>
                    <w:t>None</w:t>
                  </w:r>
                </w:p>
              </w:tc>
              <w:tc>
                <w:tcPr>
                  <w:tcW w:w="588" w:type="pct"/>
                </w:tcPr>
                <w:p w14:paraId="3FD88430" w14:textId="77777777" w:rsidR="00FC14FC" w:rsidRDefault="00FC14FC" w:rsidP="00D11B9D">
                  <w:pPr>
                    <w:pStyle w:val="TableUnitsRow"/>
                    <w:ind w:right="28"/>
                    <w:jc w:val="left"/>
                  </w:pPr>
                  <w:r>
                    <w:t>System BP1, BP2 (for 2005–2017)</w:t>
                  </w:r>
                </w:p>
              </w:tc>
              <w:tc>
                <w:tcPr>
                  <w:tcW w:w="394" w:type="pct"/>
                </w:tcPr>
                <w:p w14:paraId="7053EFD7" w14:textId="77777777" w:rsidR="00FC14FC" w:rsidRDefault="00FC14FC" w:rsidP="00D11B9D">
                  <w:pPr>
                    <w:pStyle w:val="TableUnitsRow"/>
                    <w:ind w:right="28"/>
                    <w:jc w:val="left"/>
                  </w:pPr>
                  <w:r>
                    <w:t xml:space="preserve">System average (APRA funds) </w:t>
                  </w:r>
                </w:p>
              </w:tc>
              <w:tc>
                <w:tcPr>
                  <w:tcW w:w="479" w:type="pct"/>
                  <w:vMerge w:val="restart"/>
                  <w:shd w:val="pct5" w:color="auto" w:fill="auto"/>
                  <w:vAlign w:val="center"/>
                </w:tcPr>
                <w:p w14:paraId="5F24F31B" w14:textId="77777777" w:rsidR="00FC14FC" w:rsidRDefault="00FC14FC" w:rsidP="00D11B9D">
                  <w:pPr>
                    <w:pStyle w:val="TableUnitsRow"/>
                    <w:ind w:right="28"/>
                    <w:jc w:val="left"/>
                  </w:pPr>
                  <w:r>
                    <w:t>(APRA</w:t>
                  </w:r>
                  <w:r>
                    <w:noBreakHyphen/>
                    <w:t>regulated) system median</w:t>
                  </w:r>
                </w:p>
              </w:tc>
              <w:tc>
                <w:tcPr>
                  <w:tcW w:w="636" w:type="pct"/>
                  <w:vMerge w:val="restart"/>
                  <w:shd w:val="pct5" w:color="auto" w:fill="auto"/>
                  <w:vAlign w:val="center"/>
                </w:tcPr>
                <w:p w14:paraId="278F3125" w14:textId="77777777" w:rsidR="00FC14FC" w:rsidRDefault="00FC14FC" w:rsidP="00D11B9D">
                  <w:pPr>
                    <w:pStyle w:val="TableUnitsRow"/>
                    <w:spacing w:before="120"/>
                    <w:ind w:right="28"/>
                    <w:jc w:val="left"/>
                  </w:pPr>
                  <w:r>
                    <w:t>BP asset allocation data: APRA</w:t>
                  </w:r>
                </w:p>
                <w:p w14:paraId="3B5D2638" w14:textId="77777777" w:rsidR="00FC14FC" w:rsidRDefault="00FC14FC" w:rsidP="00D11B9D">
                  <w:pPr>
                    <w:pStyle w:val="TableUnitsRow"/>
                    <w:spacing w:before="120"/>
                    <w:ind w:right="28"/>
                    <w:jc w:val="left"/>
                  </w:pPr>
                  <w:r>
                    <w:t>Unlisted/listed allocation: System</w:t>
                  </w:r>
                </w:p>
                <w:p w14:paraId="7F8FFAA5" w14:textId="77777777" w:rsidR="00FC14FC" w:rsidRDefault="00FC14FC" w:rsidP="00D11B9D">
                  <w:pPr>
                    <w:pStyle w:val="TableUnitsRow"/>
                    <w:spacing w:before="120"/>
                    <w:ind w:right="28"/>
                    <w:jc w:val="left"/>
                  </w:pPr>
                  <w:r>
                    <w:t>Domestic/ international property allocation: System</w:t>
                  </w:r>
                </w:p>
                <w:p w14:paraId="518F9702" w14:textId="77777777" w:rsidR="00FC14FC" w:rsidRDefault="00FC14FC" w:rsidP="00D11B9D">
                  <w:pPr>
                    <w:pStyle w:val="TableUnitsRow"/>
                    <w:spacing w:before="120"/>
                    <w:ind w:right="28"/>
                    <w:jc w:val="left"/>
                  </w:pPr>
                  <w:r>
                    <w:t>Domestic/ international private equity allocation: System</w:t>
                  </w:r>
                </w:p>
              </w:tc>
              <w:tc>
                <w:tcPr>
                  <w:tcW w:w="483" w:type="pct"/>
                  <w:vAlign w:val="center"/>
                </w:tcPr>
                <w:p w14:paraId="0CA1065D" w14:textId="77777777" w:rsidR="00FC14FC" w:rsidRDefault="00FC14FC" w:rsidP="00D11B9D">
                  <w:pPr>
                    <w:pStyle w:val="TableUnitsRow"/>
                    <w:ind w:right="28"/>
                    <w:jc w:val="left"/>
                  </w:pPr>
                </w:p>
              </w:tc>
            </w:tr>
            <w:tr w:rsidR="00FC14FC" w14:paraId="4AAE078B" w14:textId="77777777" w:rsidTr="00D11B9D">
              <w:trPr>
                <w:trHeight w:val="1428"/>
              </w:trPr>
              <w:tc>
                <w:tcPr>
                  <w:tcW w:w="488" w:type="pct"/>
                </w:tcPr>
                <w:p w14:paraId="30304DBA" w14:textId="77777777" w:rsidR="00FC14FC" w:rsidRDefault="00FC14FC" w:rsidP="00D11B9D">
                  <w:pPr>
                    <w:pStyle w:val="TableBodyText"/>
                    <w:jc w:val="left"/>
                  </w:pPr>
                  <w:r>
                    <w:t>Long</w:t>
                  </w:r>
                  <w:r>
                    <w:noBreakHyphen/>
                    <w:t xml:space="preserve">term annualised returns </w:t>
                  </w:r>
                </w:p>
              </w:tc>
              <w:tc>
                <w:tcPr>
                  <w:tcW w:w="415" w:type="pct"/>
                </w:tcPr>
                <w:p w14:paraId="48229869" w14:textId="77777777" w:rsidR="00FC14FC" w:rsidRDefault="00FC14FC" w:rsidP="00D11B9D">
                  <w:pPr>
                    <w:pStyle w:val="TableBodyText"/>
                    <w:ind w:left="0"/>
                    <w:jc w:val="left"/>
                  </w:pPr>
                  <w:r>
                    <w:t>Chapter 2 Table 4.28</w:t>
                  </w:r>
                </w:p>
              </w:tc>
              <w:tc>
                <w:tcPr>
                  <w:tcW w:w="473" w:type="pct"/>
                </w:tcPr>
                <w:p w14:paraId="723DC4B1" w14:textId="77777777" w:rsidR="00FC14FC" w:rsidRDefault="00FC14FC" w:rsidP="00D11B9D">
                  <w:pPr>
                    <w:pStyle w:val="TableBodyText"/>
                    <w:jc w:val="left"/>
                  </w:pPr>
                  <w:r>
                    <w:t>APRA funds</w:t>
                  </w:r>
                </w:p>
              </w:tc>
              <w:tc>
                <w:tcPr>
                  <w:tcW w:w="366" w:type="pct"/>
                </w:tcPr>
                <w:p w14:paraId="46AF9E41" w14:textId="77777777" w:rsidR="00FC14FC" w:rsidRDefault="00FC14FC" w:rsidP="00D11B9D">
                  <w:pPr>
                    <w:pStyle w:val="TableBodyText"/>
                    <w:ind w:right="28"/>
                    <w:jc w:val="left"/>
                  </w:pPr>
                  <w:r>
                    <w:t>Regulator data</w:t>
                  </w:r>
                </w:p>
              </w:tc>
              <w:tc>
                <w:tcPr>
                  <w:tcW w:w="419" w:type="pct"/>
                </w:tcPr>
                <w:p w14:paraId="5A570971" w14:textId="77777777" w:rsidR="00FC14FC" w:rsidRDefault="00FC14FC" w:rsidP="00D11B9D">
                  <w:pPr>
                    <w:pStyle w:val="TableBodyText"/>
                    <w:ind w:right="28"/>
                    <w:jc w:val="left"/>
                  </w:pPr>
                  <w:r>
                    <w:t xml:space="preserve">2005–2017 </w:t>
                  </w:r>
                </w:p>
                <w:p w14:paraId="5812081F" w14:textId="77777777" w:rsidR="00FC14FC" w:rsidRDefault="00FC14FC" w:rsidP="00D11B9D">
                  <w:pPr>
                    <w:pStyle w:val="TableBodyText"/>
                    <w:ind w:right="28"/>
                    <w:jc w:val="left"/>
                  </w:pPr>
                  <w:r>
                    <w:t xml:space="preserve">2008–2017 </w:t>
                  </w:r>
                </w:p>
                <w:p w14:paraId="46CE5F75" w14:textId="77777777" w:rsidR="00FC14FC" w:rsidRDefault="00FC14FC" w:rsidP="00D11B9D">
                  <w:pPr>
                    <w:pStyle w:val="TableBodyText"/>
                    <w:ind w:right="28"/>
                    <w:jc w:val="left"/>
                  </w:pPr>
                  <w:r>
                    <w:t xml:space="preserve">2013–2017 </w:t>
                  </w:r>
                </w:p>
              </w:tc>
              <w:tc>
                <w:tcPr>
                  <w:tcW w:w="258" w:type="pct"/>
                </w:tcPr>
                <w:p w14:paraId="7630EF4E" w14:textId="77777777" w:rsidR="00FC14FC" w:rsidRDefault="00FC14FC" w:rsidP="00D11B9D">
                  <w:pPr>
                    <w:pStyle w:val="TableBodyText"/>
                    <w:ind w:right="28"/>
                    <w:jc w:val="left"/>
                  </w:pPr>
                  <w:r>
                    <w:t>None</w:t>
                  </w:r>
                </w:p>
              </w:tc>
              <w:tc>
                <w:tcPr>
                  <w:tcW w:w="588" w:type="pct"/>
                </w:tcPr>
                <w:p w14:paraId="4E598171" w14:textId="77777777" w:rsidR="00FC14FC" w:rsidRDefault="00FC14FC" w:rsidP="00D11B9D">
                  <w:pPr>
                    <w:pStyle w:val="TableBodyText"/>
                    <w:ind w:right="28"/>
                    <w:jc w:val="left"/>
                  </w:pPr>
                  <w:r>
                    <w:t>System BP1, BP2</w:t>
                  </w:r>
                </w:p>
              </w:tc>
              <w:tc>
                <w:tcPr>
                  <w:tcW w:w="394" w:type="pct"/>
                </w:tcPr>
                <w:p w14:paraId="5AC79A80" w14:textId="77777777" w:rsidR="00FC14FC" w:rsidRDefault="00FC14FC" w:rsidP="00D11B9D">
                  <w:pPr>
                    <w:pStyle w:val="TableBodyText"/>
                    <w:ind w:right="28"/>
                    <w:jc w:val="left"/>
                  </w:pPr>
                  <w:r>
                    <w:t>System average (APRA funds), 5%</w:t>
                  </w:r>
                </w:p>
              </w:tc>
              <w:tc>
                <w:tcPr>
                  <w:tcW w:w="479" w:type="pct"/>
                  <w:vMerge/>
                  <w:shd w:val="pct5" w:color="auto" w:fill="auto"/>
                </w:tcPr>
                <w:p w14:paraId="367F0129" w14:textId="77777777" w:rsidR="00FC14FC" w:rsidRDefault="00FC14FC" w:rsidP="00D11B9D">
                  <w:pPr>
                    <w:pStyle w:val="TableBodyText"/>
                    <w:ind w:right="28"/>
                    <w:jc w:val="left"/>
                  </w:pPr>
                </w:p>
              </w:tc>
              <w:tc>
                <w:tcPr>
                  <w:tcW w:w="636" w:type="pct"/>
                  <w:vMerge/>
                  <w:shd w:val="pct5" w:color="auto" w:fill="auto"/>
                </w:tcPr>
                <w:p w14:paraId="415C4182" w14:textId="77777777" w:rsidR="00FC14FC" w:rsidRDefault="00FC14FC" w:rsidP="00D11B9D">
                  <w:pPr>
                    <w:pStyle w:val="TableBodyText"/>
                    <w:ind w:right="28"/>
                    <w:jc w:val="left"/>
                  </w:pPr>
                </w:p>
              </w:tc>
              <w:tc>
                <w:tcPr>
                  <w:tcW w:w="483" w:type="pct"/>
                  <w:shd w:val="clear" w:color="auto" w:fill="auto"/>
                </w:tcPr>
                <w:p w14:paraId="0B49FA3C" w14:textId="77777777" w:rsidR="00FC14FC" w:rsidRDefault="00FC14FC" w:rsidP="00D11B9D">
                  <w:pPr>
                    <w:pStyle w:val="TableBodyText"/>
                    <w:ind w:right="28"/>
                    <w:jc w:val="left"/>
                  </w:pPr>
                  <w:r>
                    <w:t>Investment returns (gross of admin fees)</w:t>
                  </w:r>
                </w:p>
                <w:p w14:paraId="301199C1" w14:textId="77777777" w:rsidR="00FC14FC" w:rsidRDefault="00FC14FC" w:rsidP="00D11B9D">
                  <w:pPr>
                    <w:pStyle w:val="TableBodyText"/>
                    <w:spacing w:before="120"/>
                    <w:ind w:right="28"/>
                    <w:jc w:val="left"/>
                  </w:pPr>
                  <w:r>
                    <w:t>Member weighted returns</w:t>
                  </w:r>
                </w:p>
                <w:p w14:paraId="2E443F4E" w14:textId="77777777" w:rsidR="00FC14FC" w:rsidRDefault="00FC14FC" w:rsidP="00D11B9D">
                  <w:pPr>
                    <w:pStyle w:val="TableBodyText"/>
                    <w:spacing w:before="120"/>
                    <w:ind w:right="28"/>
                    <w:jc w:val="left"/>
                  </w:pPr>
                  <w:r>
                    <w:t>Static 2017 asset allocation</w:t>
                  </w:r>
                </w:p>
                <w:p w14:paraId="0B3D640A" w14:textId="77777777" w:rsidR="00FC14FC" w:rsidRDefault="00FC14FC" w:rsidP="00D11B9D">
                  <w:pPr>
                    <w:pStyle w:val="TableBodyText"/>
                    <w:spacing w:before="120"/>
                    <w:ind w:right="28"/>
                    <w:jc w:val="left"/>
                  </w:pPr>
                  <w:r>
                    <w:t>Only current funds</w:t>
                  </w:r>
                </w:p>
                <w:p w14:paraId="4D3378CC" w14:textId="77777777" w:rsidR="00FC14FC" w:rsidRDefault="00FC14FC" w:rsidP="00D11B9D">
                  <w:pPr>
                    <w:pStyle w:val="TableBodyText"/>
                    <w:spacing w:before="120"/>
                    <w:ind w:right="28"/>
                    <w:jc w:val="left"/>
                  </w:pPr>
                  <w:r>
                    <w:t>Hedging</w:t>
                  </w:r>
                </w:p>
              </w:tc>
            </w:tr>
            <w:tr w:rsidR="00FC14FC" w14:paraId="5F7B935F" w14:textId="77777777" w:rsidTr="00D11B9D">
              <w:tc>
                <w:tcPr>
                  <w:tcW w:w="488" w:type="pct"/>
                  <w:shd w:val="clear" w:color="auto" w:fill="auto"/>
                </w:tcPr>
                <w:p w14:paraId="11644CBF" w14:textId="77777777" w:rsidR="00FC14FC" w:rsidRDefault="00FC14FC" w:rsidP="00D11B9D">
                  <w:pPr>
                    <w:pStyle w:val="TableBodyText"/>
                    <w:ind w:left="0"/>
                    <w:jc w:val="left"/>
                  </w:pPr>
                  <w:r>
                    <w:t>Long</w:t>
                  </w:r>
                  <w:r>
                    <w:noBreakHyphen/>
                    <w:t>term performance decomposition</w:t>
                  </w:r>
                </w:p>
              </w:tc>
              <w:tc>
                <w:tcPr>
                  <w:tcW w:w="415" w:type="pct"/>
                </w:tcPr>
                <w:p w14:paraId="4FE0E86B" w14:textId="77777777" w:rsidR="00FC14FC" w:rsidRDefault="00FC14FC" w:rsidP="00D11B9D">
                  <w:pPr>
                    <w:pStyle w:val="TableBodyText"/>
                    <w:jc w:val="left"/>
                  </w:pPr>
                  <w:r>
                    <w:t>Figure 2.3</w:t>
                  </w:r>
                </w:p>
              </w:tc>
              <w:tc>
                <w:tcPr>
                  <w:tcW w:w="473" w:type="pct"/>
                  <w:shd w:val="clear" w:color="auto" w:fill="auto"/>
                </w:tcPr>
                <w:p w14:paraId="02413115" w14:textId="77777777" w:rsidR="00FC14FC" w:rsidRDefault="00FC14FC" w:rsidP="00D11B9D">
                  <w:pPr>
                    <w:pStyle w:val="TableBodyText"/>
                    <w:jc w:val="left"/>
                  </w:pPr>
                  <w:r>
                    <w:t>APRA funds</w:t>
                  </w:r>
                </w:p>
              </w:tc>
              <w:tc>
                <w:tcPr>
                  <w:tcW w:w="366" w:type="pct"/>
                </w:tcPr>
                <w:p w14:paraId="1A04AECD" w14:textId="77777777" w:rsidR="00FC14FC" w:rsidRDefault="00FC14FC" w:rsidP="00D11B9D">
                  <w:pPr>
                    <w:pStyle w:val="TableBodyText"/>
                    <w:ind w:right="28"/>
                    <w:jc w:val="left"/>
                  </w:pPr>
                  <w:r>
                    <w:t>Regulator data</w:t>
                  </w:r>
                </w:p>
              </w:tc>
              <w:tc>
                <w:tcPr>
                  <w:tcW w:w="419" w:type="pct"/>
                </w:tcPr>
                <w:p w14:paraId="40B29C7B" w14:textId="77777777" w:rsidR="00FC14FC" w:rsidRDefault="00FC14FC" w:rsidP="00D11B9D">
                  <w:pPr>
                    <w:pStyle w:val="TableBodyText"/>
                    <w:ind w:right="28"/>
                    <w:jc w:val="left"/>
                  </w:pPr>
                  <w:r>
                    <w:t>2005–2017</w:t>
                  </w:r>
                </w:p>
              </w:tc>
              <w:tc>
                <w:tcPr>
                  <w:tcW w:w="258" w:type="pct"/>
                </w:tcPr>
                <w:p w14:paraId="1F29F965" w14:textId="77777777" w:rsidR="00FC14FC" w:rsidRDefault="00FC14FC" w:rsidP="00D11B9D">
                  <w:pPr>
                    <w:pStyle w:val="TableBodyText"/>
                    <w:ind w:right="28"/>
                    <w:jc w:val="left"/>
                  </w:pPr>
                  <w:r>
                    <w:t>None</w:t>
                  </w:r>
                </w:p>
              </w:tc>
              <w:tc>
                <w:tcPr>
                  <w:tcW w:w="588" w:type="pct"/>
                </w:tcPr>
                <w:p w14:paraId="285161F2" w14:textId="77777777" w:rsidR="00FC14FC" w:rsidRDefault="00FC14FC" w:rsidP="00D11B9D">
                  <w:pPr>
                    <w:pStyle w:val="TableBodyText"/>
                    <w:ind w:right="28"/>
                    <w:jc w:val="left"/>
                  </w:pPr>
                  <w:r>
                    <w:t>Gross of everything system BP2</w:t>
                  </w:r>
                </w:p>
              </w:tc>
              <w:tc>
                <w:tcPr>
                  <w:tcW w:w="394" w:type="pct"/>
                </w:tcPr>
                <w:p w14:paraId="55275AFA" w14:textId="77777777" w:rsidR="00FC14FC" w:rsidRDefault="00FC14FC" w:rsidP="00D11B9D">
                  <w:pPr>
                    <w:pStyle w:val="TableBodyText"/>
                    <w:ind w:right="28"/>
                    <w:jc w:val="left"/>
                  </w:pPr>
                </w:p>
              </w:tc>
              <w:tc>
                <w:tcPr>
                  <w:tcW w:w="479" w:type="pct"/>
                </w:tcPr>
                <w:p w14:paraId="61DA0F65" w14:textId="77777777" w:rsidR="00FC14FC" w:rsidRDefault="00FC14FC" w:rsidP="00D11B9D">
                  <w:pPr>
                    <w:pStyle w:val="TableBodyText"/>
                    <w:ind w:right="28"/>
                    <w:jc w:val="left"/>
                  </w:pPr>
                </w:p>
              </w:tc>
              <w:tc>
                <w:tcPr>
                  <w:tcW w:w="636" w:type="pct"/>
                </w:tcPr>
                <w:p w14:paraId="058D8916" w14:textId="77777777" w:rsidR="00FC14FC" w:rsidRDefault="00FC14FC" w:rsidP="00D11B9D">
                  <w:pPr>
                    <w:pStyle w:val="TableBodyText"/>
                    <w:ind w:right="28"/>
                    <w:jc w:val="left"/>
                  </w:pPr>
                </w:p>
              </w:tc>
              <w:tc>
                <w:tcPr>
                  <w:tcW w:w="483" w:type="pct"/>
                  <w:shd w:val="clear" w:color="auto" w:fill="auto"/>
                </w:tcPr>
                <w:p w14:paraId="21D0B9FB" w14:textId="77777777" w:rsidR="00FC14FC" w:rsidRDefault="00FC14FC" w:rsidP="00D11B9D">
                  <w:pPr>
                    <w:pStyle w:val="TableBodyText"/>
                    <w:ind w:right="28"/>
                    <w:jc w:val="left"/>
                  </w:pPr>
                </w:p>
              </w:tc>
            </w:tr>
            <w:tr w:rsidR="00FC14FC" w14:paraId="1B8CC92C" w14:textId="77777777" w:rsidTr="00D11B9D">
              <w:tc>
                <w:tcPr>
                  <w:tcW w:w="488" w:type="pct"/>
                  <w:shd w:val="clear" w:color="auto" w:fill="auto"/>
                </w:tcPr>
                <w:p w14:paraId="22D17E67" w14:textId="77777777" w:rsidR="00FC14FC" w:rsidRDefault="00FC14FC" w:rsidP="00D11B9D">
                  <w:pPr>
                    <w:pStyle w:val="TableBodyText"/>
                    <w:jc w:val="left"/>
                  </w:pPr>
                  <w:r>
                    <w:t>Long</w:t>
                  </w:r>
                  <w:r>
                    <w:noBreakHyphen/>
                    <w:t>term standard deviation</w:t>
                  </w:r>
                </w:p>
              </w:tc>
              <w:tc>
                <w:tcPr>
                  <w:tcW w:w="415" w:type="pct"/>
                </w:tcPr>
                <w:p w14:paraId="59EAF58E" w14:textId="77777777" w:rsidR="00FC14FC" w:rsidRDefault="00FC14FC" w:rsidP="00D11B9D">
                  <w:pPr>
                    <w:pStyle w:val="TableBodyText"/>
                    <w:jc w:val="left"/>
                  </w:pPr>
                </w:p>
              </w:tc>
              <w:tc>
                <w:tcPr>
                  <w:tcW w:w="473" w:type="pct"/>
                  <w:shd w:val="clear" w:color="auto" w:fill="auto"/>
                </w:tcPr>
                <w:p w14:paraId="25DB3502" w14:textId="77777777" w:rsidR="00FC14FC" w:rsidRDefault="00FC14FC" w:rsidP="00D11B9D">
                  <w:pPr>
                    <w:pStyle w:val="TableBodyText"/>
                    <w:jc w:val="left"/>
                  </w:pPr>
                  <w:r>
                    <w:t xml:space="preserve">APRA funds </w:t>
                  </w:r>
                </w:p>
              </w:tc>
              <w:tc>
                <w:tcPr>
                  <w:tcW w:w="366" w:type="pct"/>
                </w:tcPr>
                <w:p w14:paraId="658D6132" w14:textId="77777777" w:rsidR="00FC14FC" w:rsidRDefault="00FC14FC" w:rsidP="00D11B9D">
                  <w:pPr>
                    <w:pStyle w:val="TableBodyText"/>
                    <w:ind w:right="28"/>
                    <w:jc w:val="left"/>
                  </w:pPr>
                  <w:r>
                    <w:t>Regulator data</w:t>
                  </w:r>
                </w:p>
              </w:tc>
              <w:tc>
                <w:tcPr>
                  <w:tcW w:w="419" w:type="pct"/>
                </w:tcPr>
                <w:p w14:paraId="7BD6A256" w14:textId="77777777" w:rsidR="00FC14FC" w:rsidRDefault="00FC14FC" w:rsidP="00D11B9D">
                  <w:pPr>
                    <w:pStyle w:val="TableBodyText"/>
                    <w:ind w:right="28"/>
                    <w:jc w:val="left"/>
                  </w:pPr>
                  <w:r>
                    <w:t xml:space="preserve">2005–2017 </w:t>
                  </w:r>
                </w:p>
              </w:tc>
              <w:tc>
                <w:tcPr>
                  <w:tcW w:w="258" w:type="pct"/>
                </w:tcPr>
                <w:p w14:paraId="741EC203" w14:textId="77777777" w:rsidR="00FC14FC" w:rsidRDefault="00FC14FC" w:rsidP="00D11B9D">
                  <w:pPr>
                    <w:pStyle w:val="TableBodyText"/>
                    <w:ind w:right="28"/>
                    <w:jc w:val="left"/>
                  </w:pPr>
                  <w:r>
                    <w:t>None</w:t>
                  </w:r>
                </w:p>
              </w:tc>
              <w:tc>
                <w:tcPr>
                  <w:tcW w:w="588" w:type="pct"/>
                </w:tcPr>
                <w:p w14:paraId="5B05E832" w14:textId="77777777" w:rsidR="00FC14FC" w:rsidRDefault="00FC14FC" w:rsidP="00D11B9D">
                  <w:pPr>
                    <w:pStyle w:val="TableBodyText"/>
                    <w:ind w:right="28"/>
                    <w:jc w:val="left"/>
                  </w:pPr>
                  <w:r>
                    <w:t>System average asset allocation &amp; 70:30 system BP1, BP2</w:t>
                  </w:r>
                </w:p>
              </w:tc>
              <w:tc>
                <w:tcPr>
                  <w:tcW w:w="394" w:type="pct"/>
                </w:tcPr>
                <w:p w14:paraId="0CA9B0CA" w14:textId="77777777" w:rsidR="00FC14FC" w:rsidRDefault="00FC14FC" w:rsidP="00D11B9D">
                  <w:pPr>
                    <w:pStyle w:val="TableBodyText"/>
                    <w:ind w:right="28"/>
                    <w:jc w:val="left"/>
                  </w:pPr>
                  <w:r>
                    <w:t>System average (APRA funds)</w:t>
                  </w:r>
                </w:p>
              </w:tc>
              <w:tc>
                <w:tcPr>
                  <w:tcW w:w="479" w:type="pct"/>
                </w:tcPr>
                <w:p w14:paraId="64EFFB10" w14:textId="77777777" w:rsidR="00FC14FC" w:rsidRDefault="00FC14FC" w:rsidP="00D11B9D">
                  <w:pPr>
                    <w:pStyle w:val="TableBodyText"/>
                    <w:ind w:right="28"/>
                    <w:jc w:val="left"/>
                  </w:pPr>
                </w:p>
              </w:tc>
              <w:tc>
                <w:tcPr>
                  <w:tcW w:w="636" w:type="pct"/>
                </w:tcPr>
                <w:p w14:paraId="657F922A" w14:textId="77777777" w:rsidR="00FC14FC" w:rsidRDefault="00FC14FC" w:rsidP="00D11B9D">
                  <w:pPr>
                    <w:pStyle w:val="TableBodyText"/>
                    <w:ind w:right="28"/>
                    <w:jc w:val="left"/>
                  </w:pPr>
                </w:p>
              </w:tc>
              <w:tc>
                <w:tcPr>
                  <w:tcW w:w="483" w:type="pct"/>
                </w:tcPr>
                <w:p w14:paraId="6A175109" w14:textId="77777777" w:rsidR="00FC14FC" w:rsidRDefault="00FC14FC" w:rsidP="00D11B9D">
                  <w:pPr>
                    <w:pStyle w:val="TableBodyText"/>
                    <w:ind w:right="28"/>
                    <w:jc w:val="left"/>
                  </w:pPr>
                </w:p>
              </w:tc>
            </w:tr>
          </w:tbl>
          <w:p w14:paraId="030E5CFA" w14:textId="77777777" w:rsidR="00FC14FC" w:rsidRDefault="00FC14FC" w:rsidP="00D11B9D">
            <w:pPr>
              <w:pStyle w:val="Box"/>
            </w:pPr>
          </w:p>
        </w:tc>
      </w:tr>
      <w:tr w:rsidR="00FC14FC" w14:paraId="145B66C6" w14:textId="77777777" w:rsidTr="00D11B9D">
        <w:tc>
          <w:tcPr>
            <w:tcW w:w="5000" w:type="pct"/>
            <w:tcBorders>
              <w:top w:val="nil"/>
              <w:left w:val="nil"/>
              <w:bottom w:val="nil"/>
              <w:right w:val="nil"/>
            </w:tcBorders>
            <w:shd w:val="clear" w:color="auto" w:fill="auto"/>
          </w:tcPr>
          <w:p w14:paraId="1371EB45" w14:textId="77777777" w:rsidR="00FC14FC" w:rsidRPr="009B565F" w:rsidRDefault="00FC14FC" w:rsidP="00D11B9D">
            <w:pPr>
              <w:pStyle w:val="Continued"/>
              <w:rPr>
                <w:i/>
              </w:rPr>
            </w:pPr>
            <w:r w:rsidRPr="009B565F">
              <w:rPr>
                <w:rStyle w:val="NoteLabel"/>
              </w:rPr>
              <w:t>(continued next page)</w:t>
            </w:r>
          </w:p>
        </w:tc>
      </w:tr>
      <w:tr w:rsidR="00FC14FC" w14:paraId="540DBC0E" w14:textId="77777777" w:rsidTr="00D11B9D">
        <w:tc>
          <w:tcPr>
            <w:tcW w:w="5000" w:type="pct"/>
            <w:tcBorders>
              <w:top w:val="nil"/>
              <w:left w:val="nil"/>
              <w:bottom w:val="single" w:sz="6" w:space="0" w:color="78A22F"/>
              <w:right w:val="nil"/>
            </w:tcBorders>
            <w:shd w:val="clear" w:color="auto" w:fill="auto"/>
          </w:tcPr>
          <w:p w14:paraId="11826FF5" w14:textId="77777777" w:rsidR="00FC14FC" w:rsidRDefault="00FC14FC" w:rsidP="00D11B9D">
            <w:pPr>
              <w:pStyle w:val="Box"/>
              <w:spacing w:before="0" w:line="120" w:lineRule="exact"/>
            </w:pPr>
          </w:p>
        </w:tc>
      </w:tr>
      <w:tr w:rsidR="00FC14FC" w:rsidRPr="000863A5" w14:paraId="100D4587" w14:textId="77777777" w:rsidTr="00D11B9D">
        <w:tc>
          <w:tcPr>
            <w:tcW w:w="5000" w:type="pct"/>
            <w:tcBorders>
              <w:top w:val="single" w:sz="6" w:space="0" w:color="78A22F"/>
              <w:left w:val="nil"/>
              <w:bottom w:val="nil"/>
              <w:right w:val="nil"/>
            </w:tcBorders>
          </w:tcPr>
          <w:p w14:paraId="2DF44BD0" w14:textId="77777777" w:rsidR="00FC14FC" w:rsidRPr="00626D32" w:rsidRDefault="00FC14FC" w:rsidP="00D11B9D">
            <w:pPr>
              <w:pStyle w:val="BoxSpaceBelow"/>
            </w:pPr>
          </w:p>
        </w:tc>
      </w:tr>
    </w:tbl>
    <w:p w14:paraId="68311326"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6A3DBCA7" w14:textId="77777777" w:rsidTr="00D11B9D">
        <w:trPr>
          <w:tblHeader/>
        </w:trPr>
        <w:tc>
          <w:tcPr>
            <w:tcW w:w="5000" w:type="pct"/>
            <w:tcBorders>
              <w:top w:val="single" w:sz="6" w:space="0" w:color="78A22F"/>
              <w:left w:val="nil"/>
              <w:bottom w:val="nil"/>
              <w:right w:val="nil"/>
            </w:tcBorders>
            <w:shd w:val="clear" w:color="auto" w:fill="auto"/>
          </w:tcPr>
          <w:p w14:paraId="3DB8811B" w14:textId="77777777" w:rsidR="00FC14FC" w:rsidRPr="00784A05" w:rsidRDefault="00FC14FC" w:rsidP="00D11B9D">
            <w:pPr>
              <w:pStyle w:val="TableTitle"/>
            </w:pPr>
            <w:r>
              <w:rPr>
                <w:b w:val="0"/>
              </w:rPr>
              <w:t>Table 4.</w:t>
            </w:r>
            <w:r>
              <w:rPr>
                <w:b w:val="0"/>
                <w:noProof/>
              </w:rPr>
              <w:t>1</w:t>
            </w:r>
            <w:r>
              <w:tab/>
            </w:r>
            <w:r w:rsidRPr="00C131DB">
              <w:rPr>
                <w:rStyle w:val="Continuedintitle"/>
              </w:rPr>
              <w:t>(continued)</w:t>
            </w:r>
            <w:r>
              <w:t xml:space="preserve"> </w:t>
            </w:r>
          </w:p>
        </w:tc>
      </w:tr>
      <w:tr w:rsidR="00FC14FC" w14:paraId="69FD25C8" w14:textId="77777777" w:rsidTr="00D11B9D">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28" w:type="dxa"/>
                <w:left w:w="0" w:type="dxa"/>
                <w:right w:w="0" w:type="dxa"/>
              </w:tblCellMar>
              <w:tblLook w:val="0600" w:firstRow="0" w:lastRow="0" w:firstColumn="0" w:lastColumn="0" w:noHBand="1" w:noVBand="1"/>
            </w:tblPr>
            <w:tblGrid>
              <w:gridCol w:w="1375"/>
              <w:gridCol w:w="1172"/>
              <w:gridCol w:w="1325"/>
              <w:gridCol w:w="1125"/>
              <w:gridCol w:w="1096"/>
              <w:gridCol w:w="995"/>
              <w:gridCol w:w="1159"/>
              <w:gridCol w:w="979"/>
              <w:gridCol w:w="1376"/>
              <w:gridCol w:w="1728"/>
              <w:gridCol w:w="823"/>
            </w:tblGrid>
            <w:tr w:rsidR="00FC14FC" w14:paraId="665A282B" w14:textId="77777777" w:rsidTr="00D11B9D">
              <w:trPr>
                <w:tblHeader/>
              </w:trPr>
              <w:tc>
                <w:tcPr>
                  <w:tcW w:w="969" w:type="pct"/>
                  <w:gridSpan w:val="2"/>
                  <w:tcBorders>
                    <w:right w:val="single" w:sz="4" w:space="0" w:color="D9D9D9" w:themeColor="background1" w:themeShade="D9"/>
                  </w:tcBorders>
                  <w:shd w:val="clear" w:color="auto" w:fill="auto"/>
                  <w:tcMar>
                    <w:top w:w="28" w:type="dxa"/>
                  </w:tcMar>
                </w:tcPr>
                <w:p w14:paraId="5D7B3652" w14:textId="77777777" w:rsidR="00FC14FC" w:rsidRDefault="00FC14FC" w:rsidP="00D11B9D">
                  <w:pPr>
                    <w:pStyle w:val="TableColumnHeading"/>
                    <w:jc w:val="left"/>
                  </w:pPr>
                </w:p>
              </w:tc>
              <w:tc>
                <w:tcPr>
                  <w:tcW w:w="1724" w:type="pct"/>
                  <w:gridSpan w:val="4"/>
                  <w:tcBorders>
                    <w:left w:val="single" w:sz="4" w:space="0" w:color="D9D9D9" w:themeColor="background1" w:themeShade="D9"/>
                    <w:right w:val="single" w:sz="4" w:space="0" w:color="D9D9D9" w:themeColor="background1" w:themeShade="D9"/>
                  </w:tcBorders>
                  <w:shd w:val="clear" w:color="auto" w:fill="auto"/>
                  <w:tcMar>
                    <w:top w:w="28" w:type="dxa"/>
                  </w:tcMar>
                </w:tcPr>
                <w:p w14:paraId="5ADFD7F5" w14:textId="77777777" w:rsidR="00FC14FC" w:rsidRDefault="00FC14FC" w:rsidP="00D11B9D">
                  <w:pPr>
                    <w:pStyle w:val="TableColumnHeading"/>
                    <w:ind w:right="28"/>
                    <w:jc w:val="center"/>
                  </w:pPr>
                  <w:r>
                    <w:t>Actual returns</w:t>
                  </w:r>
                </w:p>
              </w:tc>
              <w:tc>
                <w:tcPr>
                  <w:tcW w:w="1993" w:type="pct"/>
                  <w:gridSpan w:val="4"/>
                  <w:tcBorders>
                    <w:left w:val="single" w:sz="4" w:space="0" w:color="D9D9D9" w:themeColor="background1" w:themeShade="D9"/>
                    <w:right w:val="single" w:sz="4" w:space="0" w:color="D9D9D9" w:themeColor="background1" w:themeShade="D9"/>
                  </w:tcBorders>
                </w:tcPr>
                <w:p w14:paraId="586CA89F" w14:textId="77777777" w:rsidR="00FC14FC" w:rsidRDefault="00FC14FC" w:rsidP="00D11B9D">
                  <w:pPr>
                    <w:pStyle w:val="TableColumnHeading"/>
                    <w:jc w:val="center"/>
                  </w:pPr>
                  <w:r>
                    <w:t>B</w:t>
                  </w:r>
                  <w:r w:rsidRPr="002C33A8">
                    <w:t>enchmarks</w:t>
                  </w:r>
                </w:p>
              </w:tc>
              <w:tc>
                <w:tcPr>
                  <w:tcW w:w="314" w:type="pct"/>
                  <w:tcBorders>
                    <w:left w:val="single" w:sz="4" w:space="0" w:color="D9D9D9" w:themeColor="background1" w:themeShade="D9"/>
                  </w:tcBorders>
                  <w:shd w:val="clear" w:color="auto" w:fill="auto"/>
                </w:tcPr>
                <w:p w14:paraId="5B8DB4B3" w14:textId="77777777" w:rsidR="00FC14FC" w:rsidRDefault="00FC14FC" w:rsidP="00D11B9D">
                  <w:pPr>
                    <w:pStyle w:val="TableColumnHeading"/>
                    <w:jc w:val="left"/>
                  </w:pPr>
                </w:p>
              </w:tc>
            </w:tr>
            <w:tr w:rsidR="00FC14FC" w14:paraId="2D356ED8" w14:textId="77777777" w:rsidTr="00D11B9D">
              <w:trPr>
                <w:tblHeader/>
              </w:trPr>
              <w:tc>
                <w:tcPr>
                  <w:tcW w:w="523" w:type="pct"/>
                  <w:shd w:val="clear" w:color="auto" w:fill="auto"/>
                  <w:tcMar>
                    <w:top w:w="28" w:type="dxa"/>
                  </w:tcMar>
                  <w:vAlign w:val="bottom"/>
                </w:tcPr>
                <w:p w14:paraId="2BC3DE1A" w14:textId="77777777" w:rsidR="00FC14FC" w:rsidRDefault="00FC14FC" w:rsidP="00D11B9D">
                  <w:pPr>
                    <w:pStyle w:val="TableColumnHeading"/>
                    <w:jc w:val="left"/>
                  </w:pPr>
                  <w:r>
                    <w:t>Analysis</w:t>
                  </w:r>
                </w:p>
              </w:tc>
              <w:tc>
                <w:tcPr>
                  <w:tcW w:w="445" w:type="pct"/>
                  <w:vAlign w:val="bottom"/>
                </w:tcPr>
                <w:p w14:paraId="142C552E" w14:textId="77777777" w:rsidR="00FC14FC" w:rsidRDefault="00FC14FC" w:rsidP="00D11B9D">
                  <w:pPr>
                    <w:pStyle w:val="TableColumnHeading"/>
                    <w:jc w:val="left"/>
                  </w:pPr>
                  <w:r>
                    <w:t>Figures/ tables</w:t>
                  </w:r>
                </w:p>
              </w:tc>
              <w:tc>
                <w:tcPr>
                  <w:tcW w:w="504" w:type="pct"/>
                  <w:shd w:val="clear" w:color="auto" w:fill="auto"/>
                  <w:tcMar>
                    <w:top w:w="28" w:type="dxa"/>
                  </w:tcMar>
                  <w:vAlign w:val="bottom"/>
                </w:tcPr>
                <w:p w14:paraId="03CC6F00" w14:textId="77777777" w:rsidR="00FC14FC" w:rsidRDefault="00FC14FC" w:rsidP="00D11B9D">
                  <w:pPr>
                    <w:pStyle w:val="TableColumnHeading"/>
                    <w:jc w:val="left"/>
                  </w:pPr>
                  <w:r>
                    <w:t>Unit of analysis</w:t>
                  </w:r>
                </w:p>
              </w:tc>
              <w:tc>
                <w:tcPr>
                  <w:tcW w:w="428" w:type="pct"/>
                  <w:vAlign w:val="bottom"/>
                </w:tcPr>
                <w:p w14:paraId="54CB09B2" w14:textId="77777777" w:rsidR="00FC14FC" w:rsidRDefault="00FC14FC" w:rsidP="00D11B9D">
                  <w:pPr>
                    <w:pStyle w:val="TableColumnHeading"/>
                    <w:ind w:right="28"/>
                    <w:jc w:val="left"/>
                  </w:pPr>
                  <w:r>
                    <w:t>Data</w:t>
                  </w:r>
                </w:p>
              </w:tc>
              <w:tc>
                <w:tcPr>
                  <w:tcW w:w="417" w:type="pct"/>
                  <w:vAlign w:val="bottom"/>
                </w:tcPr>
                <w:p w14:paraId="0C3FE26F" w14:textId="77777777" w:rsidR="00FC14FC" w:rsidRDefault="00FC14FC" w:rsidP="00D11B9D">
                  <w:pPr>
                    <w:pStyle w:val="TableColumnHeading"/>
                    <w:ind w:right="28"/>
                    <w:jc w:val="left"/>
                  </w:pPr>
                  <w:r>
                    <w:t>Time periods</w:t>
                  </w:r>
                </w:p>
              </w:tc>
              <w:tc>
                <w:tcPr>
                  <w:tcW w:w="376" w:type="pct"/>
                  <w:vAlign w:val="bottom"/>
                </w:tcPr>
                <w:p w14:paraId="09DE7DF7" w14:textId="77777777" w:rsidR="00FC14FC" w:rsidRDefault="00FC14FC" w:rsidP="00D11B9D">
                  <w:pPr>
                    <w:pStyle w:val="TableColumnHeading"/>
                    <w:ind w:right="28"/>
                    <w:jc w:val="left"/>
                  </w:pPr>
                  <w:r>
                    <w:t>Bias</w:t>
                  </w:r>
                </w:p>
              </w:tc>
              <w:tc>
                <w:tcPr>
                  <w:tcW w:w="441" w:type="pct"/>
                  <w:vAlign w:val="bottom"/>
                </w:tcPr>
                <w:p w14:paraId="379324B4" w14:textId="77777777" w:rsidR="00FC14FC" w:rsidRDefault="00FC14FC" w:rsidP="00D11B9D">
                  <w:pPr>
                    <w:pStyle w:val="TableColumnHeading"/>
                    <w:ind w:right="28"/>
                    <w:jc w:val="left"/>
                  </w:pPr>
                  <w:r>
                    <w:t>BPs used</w:t>
                  </w:r>
                </w:p>
              </w:tc>
              <w:tc>
                <w:tcPr>
                  <w:tcW w:w="372" w:type="pct"/>
                  <w:vAlign w:val="bottom"/>
                </w:tcPr>
                <w:p w14:paraId="22F3DB2B" w14:textId="77777777" w:rsidR="00FC14FC" w:rsidRDefault="00FC14FC" w:rsidP="00D11B9D">
                  <w:pPr>
                    <w:pStyle w:val="TableColumnHeading"/>
                    <w:ind w:right="28"/>
                    <w:jc w:val="left"/>
                  </w:pPr>
                  <w:r>
                    <w:t>Tax rate</w:t>
                  </w:r>
                </w:p>
              </w:tc>
              <w:tc>
                <w:tcPr>
                  <w:tcW w:w="523" w:type="pct"/>
                  <w:vAlign w:val="bottom"/>
                </w:tcPr>
                <w:p w14:paraId="002BC8EE" w14:textId="77777777" w:rsidR="00FC14FC" w:rsidRDefault="00FC14FC" w:rsidP="00D11B9D">
                  <w:pPr>
                    <w:pStyle w:val="TableColumnHeading"/>
                    <w:ind w:right="28"/>
                    <w:jc w:val="left"/>
                  </w:pPr>
                  <w:r>
                    <w:t>Admin expenses</w:t>
                  </w:r>
                </w:p>
              </w:tc>
              <w:tc>
                <w:tcPr>
                  <w:tcW w:w="657" w:type="pct"/>
                  <w:vAlign w:val="bottom"/>
                </w:tcPr>
                <w:p w14:paraId="2AC810CE" w14:textId="77777777" w:rsidR="00FC14FC" w:rsidRDefault="00FC14FC" w:rsidP="00D11B9D">
                  <w:pPr>
                    <w:pStyle w:val="TableColumnHeading"/>
                    <w:ind w:right="28"/>
                    <w:jc w:val="left"/>
                  </w:pPr>
                  <w:r>
                    <w:t>Asset allocation</w:t>
                  </w:r>
                </w:p>
              </w:tc>
              <w:tc>
                <w:tcPr>
                  <w:tcW w:w="314" w:type="pct"/>
                  <w:shd w:val="clear" w:color="auto" w:fill="auto"/>
                  <w:tcMar>
                    <w:top w:w="28" w:type="dxa"/>
                  </w:tcMar>
                  <w:vAlign w:val="bottom"/>
                </w:tcPr>
                <w:p w14:paraId="5839671B" w14:textId="77777777" w:rsidR="00FC14FC" w:rsidRDefault="00FC14FC" w:rsidP="00D11B9D">
                  <w:pPr>
                    <w:pStyle w:val="TableColumnHeading"/>
                    <w:ind w:right="28"/>
                    <w:jc w:val="left"/>
                  </w:pPr>
                  <w:r>
                    <w:t>Other sensitivity testing</w:t>
                  </w:r>
                </w:p>
              </w:tc>
            </w:tr>
            <w:tr w:rsidR="00FC14FC" w14:paraId="080D7BF1" w14:textId="77777777" w:rsidTr="00D11B9D">
              <w:tc>
                <w:tcPr>
                  <w:tcW w:w="523" w:type="pct"/>
                  <w:shd w:val="clear" w:color="auto" w:fill="auto"/>
                </w:tcPr>
                <w:p w14:paraId="75EA2DDB" w14:textId="77777777" w:rsidR="00FC14FC" w:rsidRDefault="00FC14FC" w:rsidP="00D11B9D">
                  <w:pPr>
                    <w:pStyle w:val="TableBodyText"/>
                    <w:spacing w:before="40"/>
                    <w:jc w:val="left"/>
                  </w:pPr>
                  <w:r>
                    <w:t>Long</w:t>
                  </w:r>
                  <w:r>
                    <w:noBreakHyphen/>
                    <w:t>term returns of options by option type</w:t>
                  </w:r>
                </w:p>
              </w:tc>
              <w:tc>
                <w:tcPr>
                  <w:tcW w:w="445" w:type="pct"/>
                  <w:shd w:val="clear" w:color="auto" w:fill="auto"/>
                </w:tcPr>
                <w:p w14:paraId="33EE1F26" w14:textId="77777777" w:rsidR="00FC14FC" w:rsidRDefault="00FC14FC" w:rsidP="00D11B9D">
                  <w:pPr>
                    <w:pStyle w:val="TableBodyText"/>
                    <w:spacing w:before="40"/>
                    <w:jc w:val="left"/>
                  </w:pPr>
                  <w:r>
                    <w:t>Figures 2.4, 4.9</w:t>
                  </w:r>
                </w:p>
                <w:p w14:paraId="512DC08E" w14:textId="77777777" w:rsidR="00FC14FC" w:rsidRDefault="00FC14FC" w:rsidP="00D11B9D">
                  <w:pPr>
                    <w:pStyle w:val="TableBodyText"/>
                    <w:spacing w:before="40"/>
                    <w:jc w:val="left"/>
                  </w:pPr>
                  <w:r>
                    <w:t xml:space="preserve">Table 4.29 </w:t>
                  </w:r>
                </w:p>
              </w:tc>
              <w:tc>
                <w:tcPr>
                  <w:tcW w:w="504" w:type="pct"/>
                  <w:shd w:val="clear" w:color="auto" w:fill="auto"/>
                </w:tcPr>
                <w:p w14:paraId="6340F9ED" w14:textId="77777777" w:rsidR="00FC14FC" w:rsidRDefault="00FC14FC" w:rsidP="00D11B9D">
                  <w:pPr>
                    <w:pStyle w:val="TableBodyText"/>
                    <w:spacing w:before="40"/>
                    <w:jc w:val="left"/>
                  </w:pPr>
                  <w:r>
                    <w:t>APRA fund option</w:t>
                  </w:r>
                  <w:r>
                    <w:noBreakHyphen/>
                    <w:t>type segments</w:t>
                  </w:r>
                </w:p>
              </w:tc>
              <w:tc>
                <w:tcPr>
                  <w:tcW w:w="428" w:type="pct"/>
                  <w:shd w:val="clear" w:color="auto" w:fill="auto"/>
                </w:tcPr>
                <w:p w14:paraId="4EC0D9FB" w14:textId="77777777" w:rsidR="00FC14FC" w:rsidRDefault="00FC14FC" w:rsidP="00D11B9D">
                  <w:pPr>
                    <w:pStyle w:val="TableBodyText"/>
                    <w:spacing w:before="40"/>
                    <w:ind w:right="28"/>
                    <w:jc w:val="left"/>
                  </w:pPr>
                  <w:r>
                    <w:t>SuperRatings data</w:t>
                  </w:r>
                </w:p>
              </w:tc>
              <w:tc>
                <w:tcPr>
                  <w:tcW w:w="417" w:type="pct"/>
                  <w:shd w:val="clear" w:color="auto" w:fill="auto"/>
                </w:tcPr>
                <w:p w14:paraId="577746B4" w14:textId="77777777" w:rsidR="00FC14FC" w:rsidRDefault="00FC14FC" w:rsidP="00D11B9D">
                  <w:pPr>
                    <w:pStyle w:val="TableBodyText"/>
                    <w:spacing w:before="40"/>
                    <w:ind w:right="28"/>
                    <w:jc w:val="left"/>
                  </w:pPr>
                  <w:r>
                    <w:t>2005–2017</w:t>
                  </w:r>
                </w:p>
              </w:tc>
              <w:tc>
                <w:tcPr>
                  <w:tcW w:w="376" w:type="pct"/>
                  <w:shd w:val="clear" w:color="auto" w:fill="auto"/>
                </w:tcPr>
                <w:p w14:paraId="15E03D09" w14:textId="77777777" w:rsidR="00FC14FC" w:rsidRDefault="00FC14FC" w:rsidP="00D11B9D">
                  <w:pPr>
                    <w:pStyle w:val="TableBodyText"/>
                    <w:spacing w:before="40"/>
                    <w:ind w:right="28"/>
                    <w:jc w:val="left"/>
                  </w:pPr>
                  <w:r>
                    <w:t>Selection bias</w:t>
                  </w:r>
                </w:p>
              </w:tc>
              <w:tc>
                <w:tcPr>
                  <w:tcW w:w="441" w:type="pct"/>
                  <w:shd w:val="clear" w:color="auto" w:fill="auto"/>
                </w:tcPr>
                <w:p w14:paraId="56924D59" w14:textId="77777777" w:rsidR="00FC14FC" w:rsidRDefault="00FC14FC" w:rsidP="00D11B9D">
                  <w:pPr>
                    <w:pStyle w:val="TableBodyText"/>
                    <w:spacing w:before="40"/>
                    <w:ind w:right="28"/>
                    <w:jc w:val="left"/>
                  </w:pPr>
                  <w:r>
                    <w:t>Option</w:t>
                  </w:r>
                  <w:r>
                    <w:noBreakHyphen/>
                    <w:t>type BP1, BP2</w:t>
                  </w:r>
                </w:p>
              </w:tc>
              <w:tc>
                <w:tcPr>
                  <w:tcW w:w="372" w:type="pct"/>
                  <w:shd w:val="clear" w:color="auto" w:fill="auto"/>
                </w:tcPr>
                <w:p w14:paraId="45AE2952" w14:textId="77777777" w:rsidR="00FC14FC" w:rsidRDefault="00FC14FC" w:rsidP="00D11B9D">
                  <w:pPr>
                    <w:pStyle w:val="TableBodyText"/>
                    <w:spacing w:before="40"/>
                    <w:ind w:right="28"/>
                    <w:jc w:val="left"/>
                  </w:pPr>
                  <w:r>
                    <w:t>System average (APRA funds), 5%</w:t>
                  </w:r>
                </w:p>
              </w:tc>
              <w:tc>
                <w:tcPr>
                  <w:tcW w:w="523" w:type="pct"/>
                  <w:shd w:val="clear" w:color="auto" w:fill="auto"/>
                </w:tcPr>
                <w:p w14:paraId="45740E66" w14:textId="77777777" w:rsidR="00FC14FC" w:rsidRDefault="00FC14FC" w:rsidP="00D11B9D">
                  <w:pPr>
                    <w:pStyle w:val="TableBodyText"/>
                    <w:spacing w:before="40"/>
                    <w:ind w:right="28"/>
                    <w:jc w:val="left"/>
                  </w:pPr>
                  <w:r>
                    <w:t>APRA funds system median</w:t>
                  </w:r>
                </w:p>
              </w:tc>
              <w:tc>
                <w:tcPr>
                  <w:tcW w:w="657" w:type="pct"/>
                  <w:shd w:val="clear" w:color="auto" w:fill="auto"/>
                </w:tcPr>
                <w:p w14:paraId="10593035" w14:textId="77777777" w:rsidR="00FC14FC" w:rsidRDefault="00FC14FC" w:rsidP="00D11B9D">
                  <w:pPr>
                    <w:pStyle w:val="TableUnitsRow"/>
                    <w:ind w:right="28"/>
                    <w:jc w:val="left"/>
                  </w:pPr>
                  <w:r>
                    <w:t>BP asset allocation data: APRA</w:t>
                  </w:r>
                </w:p>
                <w:p w14:paraId="489B09DD" w14:textId="77777777" w:rsidR="00FC14FC" w:rsidRDefault="00FC14FC" w:rsidP="00D11B9D">
                  <w:pPr>
                    <w:pStyle w:val="TableUnitsRow"/>
                    <w:spacing w:before="120"/>
                    <w:ind w:right="28"/>
                    <w:jc w:val="left"/>
                  </w:pPr>
                  <w:r>
                    <w:t>Unlisted/listed allocation: System</w:t>
                  </w:r>
                </w:p>
                <w:p w14:paraId="7ED64E5B" w14:textId="77777777" w:rsidR="00FC14FC" w:rsidRDefault="00FC14FC" w:rsidP="00D11B9D">
                  <w:pPr>
                    <w:pStyle w:val="TableUnitsRow"/>
                    <w:spacing w:before="120"/>
                    <w:ind w:right="28"/>
                    <w:jc w:val="left"/>
                  </w:pPr>
                  <w:r>
                    <w:t>Domestic/ international property allocation: System</w:t>
                  </w:r>
                </w:p>
                <w:p w14:paraId="7E88E88C" w14:textId="77777777" w:rsidR="00FC14FC" w:rsidRDefault="00FC14FC" w:rsidP="00D11B9D">
                  <w:pPr>
                    <w:pStyle w:val="TableBodyText"/>
                    <w:spacing w:before="120"/>
                    <w:ind w:right="28"/>
                    <w:jc w:val="left"/>
                  </w:pPr>
                  <w:r>
                    <w:t>Domestic/ international private equity allocation: System</w:t>
                  </w:r>
                </w:p>
              </w:tc>
              <w:tc>
                <w:tcPr>
                  <w:tcW w:w="314" w:type="pct"/>
                  <w:shd w:val="clear" w:color="auto" w:fill="auto"/>
                </w:tcPr>
                <w:p w14:paraId="654E4DD9" w14:textId="77777777" w:rsidR="00FC14FC" w:rsidRDefault="00FC14FC" w:rsidP="00D11B9D">
                  <w:pPr>
                    <w:pStyle w:val="TableBodyText"/>
                    <w:spacing w:before="40"/>
                    <w:ind w:right="28"/>
                    <w:jc w:val="left"/>
                  </w:pPr>
                </w:p>
              </w:tc>
            </w:tr>
            <w:tr w:rsidR="00FC14FC" w14:paraId="560EDF3F" w14:textId="77777777" w:rsidTr="00D11B9D">
              <w:trPr>
                <w:trHeight w:val="1032"/>
              </w:trPr>
              <w:tc>
                <w:tcPr>
                  <w:tcW w:w="523" w:type="pct"/>
                  <w:vMerge w:val="restart"/>
                  <w:shd w:val="clear" w:color="auto" w:fill="auto"/>
                </w:tcPr>
                <w:p w14:paraId="08587491" w14:textId="77777777" w:rsidR="00FC14FC" w:rsidRDefault="00FC14FC" w:rsidP="00D11B9D">
                  <w:pPr>
                    <w:pStyle w:val="TableBodyText"/>
                    <w:jc w:val="left"/>
                  </w:pPr>
                  <w:r>
                    <w:t>Long</w:t>
                  </w:r>
                  <w:r>
                    <w:noBreakHyphen/>
                    <w:t>term returns by asset class</w:t>
                  </w:r>
                </w:p>
              </w:tc>
              <w:tc>
                <w:tcPr>
                  <w:tcW w:w="445" w:type="pct"/>
                  <w:shd w:val="clear" w:color="auto" w:fill="auto"/>
                </w:tcPr>
                <w:p w14:paraId="447C9200" w14:textId="77777777" w:rsidR="00FC14FC" w:rsidRDefault="00FC14FC" w:rsidP="00D11B9D">
                  <w:pPr>
                    <w:pStyle w:val="TableBodyText"/>
                    <w:jc w:val="left"/>
                  </w:pPr>
                  <w:r>
                    <w:t>Figures 4.11, 4.12</w:t>
                  </w:r>
                </w:p>
                <w:p w14:paraId="79F9F418" w14:textId="77777777" w:rsidR="00FC14FC" w:rsidRDefault="00FC14FC" w:rsidP="00D11B9D">
                  <w:pPr>
                    <w:pStyle w:val="TableBodyText"/>
                    <w:jc w:val="left"/>
                  </w:pPr>
                  <w:r>
                    <w:t>Table 4.30</w:t>
                  </w:r>
                </w:p>
              </w:tc>
              <w:tc>
                <w:tcPr>
                  <w:tcW w:w="504" w:type="pct"/>
                  <w:shd w:val="clear" w:color="auto" w:fill="auto"/>
                </w:tcPr>
                <w:p w14:paraId="051644B8" w14:textId="77777777" w:rsidR="00FC14FC" w:rsidRDefault="00FC14FC" w:rsidP="00D11B9D">
                  <w:pPr>
                    <w:pStyle w:val="TableBodyText"/>
                    <w:jc w:val="left"/>
                  </w:pPr>
                  <w:r>
                    <w:t>Fund level</w:t>
                  </w:r>
                </w:p>
              </w:tc>
              <w:tc>
                <w:tcPr>
                  <w:tcW w:w="428" w:type="pct"/>
                  <w:vMerge w:val="restart"/>
                  <w:shd w:val="pct5" w:color="auto" w:fill="auto"/>
                  <w:vAlign w:val="center"/>
                </w:tcPr>
                <w:p w14:paraId="4256EE08" w14:textId="77777777" w:rsidR="00FC14FC" w:rsidRDefault="00FC14FC" w:rsidP="00D11B9D">
                  <w:pPr>
                    <w:pStyle w:val="TableBodyText"/>
                    <w:ind w:right="28"/>
                    <w:jc w:val="left"/>
                  </w:pPr>
                  <w:r>
                    <w:t>Funds survey</w:t>
                  </w:r>
                </w:p>
              </w:tc>
              <w:tc>
                <w:tcPr>
                  <w:tcW w:w="417" w:type="pct"/>
                  <w:shd w:val="clear" w:color="auto" w:fill="auto"/>
                </w:tcPr>
                <w:p w14:paraId="1BF682AC" w14:textId="77777777" w:rsidR="00FC14FC" w:rsidRDefault="00FC14FC" w:rsidP="00D11B9D">
                  <w:pPr>
                    <w:pStyle w:val="TableBodyText"/>
                    <w:ind w:right="28"/>
                    <w:jc w:val="left"/>
                  </w:pPr>
                  <w:r>
                    <w:t xml:space="preserve">2011–2017 </w:t>
                  </w:r>
                </w:p>
              </w:tc>
              <w:tc>
                <w:tcPr>
                  <w:tcW w:w="376" w:type="pct"/>
                  <w:vMerge w:val="restart"/>
                  <w:shd w:val="pct5" w:color="auto" w:fill="auto"/>
                  <w:vAlign w:val="center"/>
                </w:tcPr>
                <w:p w14:paraId="5AFFCB30" w14:textId="77777777" w:rsidR="00FC14FC" w:rsidRDefault="00FC14FC" w:rsidP="00D11B9D">
                  <w:pPr>
                    <w:pStyle w:val="TableBodyText"/>
                    <w:ind w:right="28"/>
                    <w:jc w:val="left"/>
                  </w:pPr>
                  <w:r>
                    <w:t>Selection bias, survivorship bias</w:t>
                  </w:r>
                </w:p>
                <w:p w14:paraId="2222CDF3" w14:textId="77777777" w:rsidR="00FC14FC" w:rsidRDefault="00FC14FC" w:rsidP="00D11B9D">
                  <w:pPr>
                    <w:pStyle w:val="TableBodyText"/>
                    <w:ind w:right="28"/>
                    <w:jc w:val="left"/>
                  </w:pPr>
                </w:p>
              </w:tc>
              <w:tc>
                <w:tcPr>
                  <w:tcW w:w="441" w:type="pct"/>
                  <w:vMerge w:val="restart"/>
                  <w:shd w:val="pct5" w:color="auto" w:fill="auto"/>
                  <w:vAlign w:val="center"/>
                </w:tcPr>
                <w:p w14:paraId="2C43B121" w14:textId="77777777" w:rsidR="00FC14FC" w:rsidRDefault="00FC14FC" w:rsidP="00D11B9D">
                  <w:pPr>
                    <w:pStyle w:val="TableBodyText"/>
                    <w:ind w:right="28"/>
                    <w:jc w:val="left"/>
                  </w:pPr>
                  <w:r>
                    <w:t>Asset class indexes, BP2</w:t>
                  </w:r>
                </w:p>
                <w:p w14:paraId="3BEF0E43" w14:textId="77777777" w:rsidR="00FC14FC" w:rsidRDefault="00FC14FC" w:rsidP="00D11B9D">
                  <w:pPr>
                    <w:pStyle w:val="TableBodyText"/>
                    <w:ind w:right="28"/>
                    <w:jc w:val="left"/>
                  </w:pPr>
                </w:p>
              </w:tc>
              <w:tc>
                <w:tcPr>
                  <w:tcW w:w="372" w:type="pct"/>
                  <w:vMerge w:val="restart"/>
                  <w:shd w:val="clear" w:color="auto" w:fill="auto"/>
                </w:tcPr>
                <w:p w14:paraId="5D0300EC" w14:textId="77777777" w:rsidR="00FC14FC" w:rsidRDefault="00FC14FC" w:rsidP="00D11B9D">
                  <w:pPr>
                    <w:pStyle w:val="TableBodyText"/>
                    <w:ind w:right="28"/>
                    <w:jc w:val="left"/>
                  </w:pPr>
                </w:p>
              </w:tc>
              <w:tc>
                <w:tcPr>
                  <w:tcW w:w="523" w:type="pct"/>
                  <w:vMerge w:val="restart"/>
                  <w:shd w:val="clear" w:color="auto" w:fill="auto"/>
                </w:tcPr>
                <w:p w14:paraId="57473CBE" w14:textId="77777777" w:rsidR="00FC14FC" w:rsidRDefault="00FC14FC" w:rsidP="00D11B9D">
                  <w:pPr>
                    <w:pStyle w:val="TableBodyText"/>
                    <w:ind w:right="28"/>
                    <w:jc w:val="left"/>
                  </w:pPr>
                </w:p>
              </w:tc>
              <w:tc>
                <w:tcPr>
                  <w:tcW w:w="657" w:type="pct"/>
                  <w:vMerge w:val="restart"/>
                  <w:shd w:val="pct5" w:color="auto" w:fill="auto"/>
                  <w:vAlign w:val="center"/>
                </w:tcPr>
                <w:p w14:paraId="62F22B26" w14:textId="77777777" w:rsidR="00FC14FC" w:rsidRDefault="00FC14FC" w:rsidP="00D11B9D">
                  <w:pPr>
                    <w:pStyle w:val="TableUnitsRow"/>
                    <w:spacing w:before="0"/>
                    <w:ind w:right="28"/>
                    <w:jc w:val="left"/>
                  </w:pPr>
                  <w:r>
                    <w:t>Domestic/ international property allocation: System</w:t>
                  </w:r>
                </w:p>
                <w:p w14:paraId="7F6E40BE" w14:textId="77777777" w:rsidR="00FC14FC" w:rsidRDefault="00FC14FC" w:rsidP="00D11B9D">
                  <w:pPr>
                    <w:pStyle w:val="TableBodyText"/>
                    <w:spacing w:before="120"/>
                    <w:ind w:right="28"/>
                    <w:jc w:val="left"/>
                  </w:pPr>
                  <w:r>
                    <w:t>Domestic/ international private equity allocation: System</w:t>
                  </w:r>
                </w:p>
              </w:tc>
              <w:tc>
                <w:tcPr>
                  <w:tcW w:w="314" w:type="pct"/>
                  <w:shd w:val="clear" w:color="auto" w:fill="auto"/>
                </w:tcPr>
                <w:p w14:paraId="43B6C776" w14:textId="77777777" w:rsidR="00FC14FC" w:rsidRDefault="00FC14FC" w:rsidP="00D11B9D">
                  <w:pPr>
                    <w:pStyle w:val="TableBodyText"/>
                    <w:ind w:right="28"/>
                    <w:jc w:val="left"/>
                  </w:pPr>
                </w:p>
              </w:tc>
            </w:tr>
            <w:tr w:rsidR="00FC14FC" w14:paraId="266DBB6A" w14:textId="77777777" w:rsidTr="00D11B9D">
              <w:tc>
                <w:tcPr>
                  <w:tcW w:w="523" w:type="pct"/>
                  <w:vMerge/>
                  <w:shd w:val="clear" w:color="auto" w:fill="auto"/>
                </w:tcPr>
                <w:p w14:paraId="13974483" w14:textId="77777777" w:rsidR="00FC14FC" w:rsidRDefault="00FC14FC" w:rsidP="00D11B9D">
                  <w:pPr>
                    <w:pStyle w:val="TableBodyText"/>
                    <w:jc w:val="left"/>
                  </w:pPr>
                </w:p>
              </w:tc>
              <w:tc>
                <w:tcPr>
                  <w:tcW w:w="445" w:type="pct"/>
                  <w:shd w:val="clear" w:color="auto" w:fill="auto"/>
                </w:tcPr>
                <w:p w14:paraId="2D2C1A27" w14:textId="77777777" w:rsidR="00FC14FC" w:rsidRDefault="00FC14FC" w:rsidP="00D11B9D">
                  <w:pPr>
                    <w:pStyle w:val="TableBodyText"/>
                    <w:jc w:val="left"/>
                  </w:pPr>
                  <w:r>
                    <w:t>Figures 2.5, 2.6, 2.10</w:t>
                  </w:r>
                </w:p>
              </w:tc>
              <w:tc>
                <w:tcPr>
                  <w:tcW w:w="504" w:type="pct"/>
                  <w:shd w:val="clear" w:color="auto" w:fill="auto"/>
                </w:tcPr>
                <w:p w14:paraId="0FF4055D" w14:textId="77777777" w:rsidR="00FC14FC" w:rsidRDefault="00FC14FC" w:rsidP="00D11B9D">
                  <w:pPr>
                    <w:pStyle w:val="TableBodyText"/>
                    <w:jc w:val="left"/>
                  </w:pPr>
                  <w:r>
                    <w:t>System and segment level</w:t>
                  </w:r>
                </w:p>
              </w:tc>
              <w:tc>
                <w:tcPr>
                  <w:tcW w:w="428" w:type="pct"/>
                  <w:vMerge/>
                  <w:shd w:val="pct5" w:color="auto" w:fill="auto"/>
                </w:tcPr>
                <w:p w14:paraId="1F7E874C" w14:textId="77777777" w:rsidR="00FC14FC" w:rsidRDefault="00FC14FC" w:rsidP="00D11B9D">
                  <w:pPr>
                    <w:pStyle w:val="TableBodyText"/>
                    <w:ind w:right="28"/>
                    <w:jc w:val="left"/>
                  </w:pPr>
                </w:p>
              </w:tc>
              <w:tc>
                <w:tcPr>
                  <w:tcW w:w="417" w:type="pct"/>
                  <w:shd w:val="clear" w:color="auto" w:fill="auto"/>
                </w:tcPr>
                <w:p w14:paraId="54191F29" w14:textId="77777777" w:rsidR="00FC14FC" w:rsidRDefault="00FC14FC" w:rsidP="00D11B9D">
                  <w:pPr>
                    <w:pStyle w:val="TableBodyText"/>
                    <w:ind w:right="28"/>
                    <w:jc w:val="left"/>
                  </w:pPr>
                  <w:r>
                    <w:t>2008–2017</w:t>
                  </w:r>
                </w:p>
              </w:tc>
              <w:tc>
                <w:tcPr>
                  <w:tcW w:w="376" w:type="pct"/>
                  <w:vMerge/>
                  <w:shd w:val="pct5" w:color="auto" w:fill="auto"/>
                </w:tcPr>
                <w:p w14:paraId="62CD5CB5" w14:textId="77777777" w:rsidR="00FC14FC" w:rsidRDefault="00FC14FC" w:rsidP="00D11B9D">
                  <w:pPr>
                    <w:pStyle w:val="TableBodyText"/>
                    <w:ind w:right="28"/>
                    <w:jc w:val="left"/>
                  </w:pPr>
                </w:p>
              </w:tc>
              <w:tc>
                <w:tcPr>
                  <w:tcW w:w="441" w:type="pct"/>
                  <w:vMerge/>
                  <w:shd w:val="pct5" w:color="auto" w:fill="auto"/>
                </w:tcPr>
                <w:p w14:paraId="7B6A6C68" w14:textId="77777777" w:rsidR="00FC14FC" w:rsidRDefault="00FC14FC" w:rsidP="00D11B9D">
                  <w:pPr>
                    <w:pStyle w:val="TableBodyText"/>
                    <w:ind w:right="28"/>
                    <w:jc w:val="left"/>
                  </w:pPr>
                </w:p>
              </w:tc>
              <w:tc>
                <w:tcPr>
                  <w:tcW w:w="372" w:type="pct"/>
                  <w:vMerge/>
                  <w:shd w:val="clear" w:color="auto" w:fill="auto"/>
                </w:tcPr>
                <w:p w14:paraId="3CCDDE1F" w14:textId="77777777" w:rsidR="00FC14FC" w:rsidRDefault="00FC14FC" w:rsidP="00D11B9D">
                  <w:pPr>
                    <w:pStyle w:val="TableBodyText"/>
                    <w:ind w:right="28"/>
                    <w:jc w:val="left"/>
                  </w:pPr>
                </w:p>
              </w:tc>
              <w:tc>
                <w:tcPr>
                  <w:tcW w:w="523" w:type="pct"/>
                  <w:vMerge/>
                  <w:shd w:val="clear" w:color="auto" w:fill="auto"/>
                </w:tcPr>
                <w:p w14:paraId="40CF2D58" w14:textId="77777777" w:rsidR="00FC14FC" w:rsidRDefault="00FC14FC" w:rsidP="00D11B9D">
                  <w:pPr>
                    <w:pStyle w:val="TableBodyText"/>
                    <w:ind w:right="28"/>
                    <w:jc w:val="left"/>
                  </w:pPr>
                </w:p>
              </w:tc>
              <w:tc>
                <w:tcPr>
                  <w:tcW w:w="657" w:type="pct"/>
                  <w:vMerge/>
                  <w:shd w:val="pct5" w:color="auto" w:fill="auto"/>
                </w:tcPr>
                <w:p w14:paraId="670B59E4" w14:textId="77777777" w:rsidR="00FC14FC" w:rsidRDefault="00FC14FC" w:rsidP="00D11B9D">
                  <w:pPr>
                    <w:pStyle w:val="TableBodyText"/>
                    <w:ind w:right="28"/>
                    <w:jc w:val="left"/>
                  </w:pPr>
                </w:p>
              </w:tc>
              <w:tc>
                <w:tcPr>
                  <w:tcW w:w="314" w:type="pct"/>
                  <w:shd w:val="clear" w:color="auto" w:fill="auto"/>
                </w:tcPr>
                <w:p w14:paraId="39846043" w14:textId="77777777" w:rsidR="00FC14FC" w:rsidRDefault="00FC14FC" w:rsidP="00D11B9D">
                  <w:pPr>
                    <w:pStyle w:val="TableBodyText"/>
                    <w:ind w:right="28"/>
                    <w:jc w:val="left"/>
                  </w:pPr>
                </w:p>
              </w:tc>
            </w:tr>
          </w:tbl>
          <w:p w14:paraId="5ABB9983" w14:textId="77777777" w:rsidR="00FC14FC" w:rsidRDefault="00FC14FC" w:rsidP="00D11B9D">
            <w:pPr>
              <w:pStyle w:val="Box"/>
            </w:pPr>
          </w:p>
        </w:tc>
      </w:tr>
      <w:tr w:rsidR="00FC14FC" w14:paraId="0F1D8C15" w14:textId="77777777" w:rsidTr="00D11B9D">
        <w:tc>
          <w:tcPr>
            <w:tcW w:w="5000" w:type="pct"/>
            <w:tcBorders>
              <w:top w:val="nil"/>
              <w:left w:val="nil"/>
              <w:bottom w:val="nil"/>
              <w:right w:val="nil"/>
            </w:tcBorders>
            <w:shd w:val="clear" w:color="auto" w:fill="auto"/>
          </w:tcPr>
          <w:p w14:paraId="2F9F58C7" w14:textId="77777777" w:rsidR="00FC14FC" w:rsidRPr="009B565F" w:rsidRDefault="00FC14FC" w:rsidP="00D11B9D">
            <w:pPr>
              <w:pStyle w:val="Continued"/>
              <w:rPr>
                <w:i/>
              </w:rPr>
            </w:pPr>
            <w:r w:rsidRPr="009B565F">
              <w:rPr>
                <w:rStyle w:val="NoteLabel"/>
              </w:rPr>
              <w:t>(continued next page)</w:t>
            </w:r>
          </w:p>
        </w:tc>
      </w:tr>
      <w:tr w:rsidR="00FC14FC" w14:paraId="6F5ABEAA" w14:textId="77777777" w:rsidTr="00D11B9D">
        <w:tc>
          <w:tcPr>
            <w:tcW w:w="5000" w:type="pct"/>
            <w:tcBorders>
              <w:top w:val="nil"/>
              <w:left w:val="nil"/>
              <w:bottom w:val="single" w:sz="6" w:space="0" w:color="78A22F"/>
              <w:right w:val="nil"/>
            </w:tcBorders>
            <w:shd w:val="clear" w:color="auto" w:fill="auto"/>
          </w:tcPr>
          <w:p w14:paraId="7B93C789" w14:textId="77777777" w:rsidR="00FC14FC" w:rsidRDefault="00FC14FC" w:rsidP="00D11B9D">
            <w:pPr>
              <w:pStyle w:val="Box"/>
              <w:spacing w:before="0" w:line="120" w:lineRule="exact"/>
            </w:pPr>
          </w:p>
        </w:tc>
      </w:tr>
      <w:tr w:rsidR="00FC14FC" w:rsidRPr="000863A5" w14:paraId="5A22EF15" w14:textId="77777777" w:rsidTr="00D11B9D">
        <w:tc>
          <w:tcPr>
            <w:tcW w:w="5000" w:type="pct"/>
            <w:tcBorders>
              <w:top w:val="single" w:sz="6" w:space="0" w:color="78A22F"/>
              <w:left w:val="nil"/>
              <w:bottom w:val="nil"/>
              <w:right w:val="nil"/>
            </w:tcBorders>
          </w:tcPr>
          <w:p w14:paraId="07516F2E" w14:textId="77777777" w:rsidR="00FC14FC" w:rsidRPr="00626D32" w:rsidRDefault="00FC14FC" w:rsidP="00D11B9D">
            <w:pPr>
              <w:pStyle w:val="BoxSpaceBelow"/>
            </w:pPr>
          </w:p>
        </w:tc>
      </w:tr>
    </w:tbl>
    <w:p w14:paraId="093ADB63"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24A99E15" w14:textId="77777777" w:rsidTr="00D11B9D">
        <w:trPr>
          <w:tblHeader/>
        </w:trPr>
        <w:tc>
          <w:tcPr>
            <w:tcW w:w="5000" w:type="pct"/>
            <w:tcBorders>
              <w:top w:val="single" w:sz="6" w:space="0" w:color="78A22F"/>
              <w:left w:val="nil"/>
              <w:bottom w:val="nil"/>
              <w:right w:val="nil"/>
            </w:tcBorders>
            <w:shd w:val="clear" w:color="auto" w:fill="auto"/>
          </w:tcPr>
          <w:p w14:paraId="31FF27E1" w14:textId="77777777" w:rsidR="00FC14FC" w:rsidRPr="00784A05" w:rsidRDefault="00FC14FC" w:rsidP="00D11B9D">
            <w:pPr>
              <w:pStyle w:val="TableTitle"/>
            </w:pPr>
            <w:r>
              <w:rPr>
                <w:b w:val="0"/>
              </w:rPr>
              <w:t xml:space="preserve">Table </w:t>
            </w:r>
            <w:r w:rsidRPr="00126730">
              <w:rPr>
                <w:b w:val="0"/>
              </w:rPr>
              <w:t>4.1</w:t>
            </w:r>
            <w:r>
              <w:tab/>
            </w:r>
            <w:r w:rsidRPr="00126730">
              <w:rPr>
                <w:b w:val="0"/>
                <w:sz w:val="18"/>
                <w:szCs w:val="18"/>
              </w:rPr>
              <w:t>(continued)</w:t>
            </w:r>
          </w:p>
        </w:tc>
      </w:tr>
      <w:tr w:rsidR="00FC14FC" w14:paraId="4A61AEDF" w14:textId="77777777" w:rsidTr="00D11B9D">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1659"/>
              <w:gridCol w:w="1394"/>
              <w:gridCol w:w="1092"/>
              <w:gridCol w:w="1125"/>
              <w:gridCol w:w="1017"/>
              <w:gridCol w:w="779"/>
              <w:gridCol w:w="759"/>
              <w:gridCol w:w="1115"/>
              <w:gridCol w:w="1227"/>
              <w:gridCol w:w="2049"/>
              <w:gridCol w:w="937"/>
            </w:tblGrid>
            <w:tr w:rsidR="00FC14FC" w14:paraId="1AFFDB1A" w14:textId="77777777" w:rsidTr="00D11B9D">
              <w:trPr>
                <w:tblHeader/>
              </w:trPr>
              <w:tc>
                <w:tcPr>
                  <w:tcW w:w="3068" w:type="dxa"/>
                  <w:gridSpan w:val="2"/>
                  <w:tcBorders>
                    <w:right w:val="single" w:sz="4" w:space="0" w:color="D9D9D9" w:themeColor="background1" w:themeShade="D9"/>
                  </w:tcBorders>
                  <w:shd w:val="clear" w:color="auto" w:fill="auto"/>
                  <w:tcMar>
                    <w:top w:w="28" w:type="dxa"/>
                  </w:tcMar>
                </w:tcPr>
                <w:p w14:paraId="1A226013" w14:textId="77777777" w:rsidR="00FC14FC" w:rsidRDefault="00FC14FC" w:rsidP="00D11B9D">
                  <w:pPr>
                    <w:pStyle w:val="TableColumnHeading"/>
                    <w:jc w:val="left"/>
                  </w:pPr>
                </w:p>
              </w:tc>
              <w:tc>
                <w:tcPr>
                  <w:tcW w:w="4035" w:type="dxa"/>
                  <w:gridSpan w:val="4"/>
                  <w:tcBorders>
                    <w:left w:val="single" w:sz="4" w:space="0" w:color="D9D9D9" w:themeColor="background1" w:themeShade="D9"/>
                    <w:right w:val="single" w:sz="4" w:space="0" w:color="D9D9D9" w:themeColor="background1" w:themeShade="D9"/>
                  </w:tcBorders>
                  <w:shd w:val="clear" w:color="auto" w:fill="auto"/>
                  <w:tcMar>
                    <w:top w:w="28" w:type="dxa"/>
                  </w:tcMar>
                </w:tcPr>
                <w:p w14:paraId="33CC8794" w14:textId="77777777" w:rsidR="00FC14FC" w:rsidRDefault="00FC14FC" w:rsidP="00D11B9D">
                  <w:pPr>
                    <w:pStyle w:val="TableColumnHeading"/>
                    <w:ind w:right="28"/>
                    <w:jc w:val="center"/>
                  </w:pPr>
                  <w:r>
                    <w:t>Actual returns</w:t>
                  </w:r>
                </w:p>
              </w:tc>
              <w:tc>
                <w:tcPr>
                  <w:tcW w:w="5102" w:type="dxa"/>
                  <w:gridSpan w:val="4"/>
                  <w:tcBorders>
                    <w:left w:val="single" w:sz="4" w:space="0" w:color="D9D9D9" w:themeColor="background1" w:themeShade="D9"/>
                    <w:right w:val="single" w:sz="4" w:space="0" w:color="D9D9D9" w:themeColor="background1" w:themeShade="D9"/>
                  </w:tcBorders>
                </w:tcPr>
                <w:p w14:paraId="487A07F7" w14:textId="77777777" w:rsidR="00FC14FC" w:rsidRDefault="00FC14FC" w:rsidP="00D11B9D">
                  <w:pPr>
                    <w:pStyle w:val="TableColumnHeading"/>
                    <w:jc w:val="center"/>
                  </w:pPr>
                  <w:r>
                    <w:t>B</w:t>
                  </w:r>
                  <w:r w:rsidRPr="002C33A8">
                    <w:t>enchmarks</w:t>
                  </w:r>
                </w:p>
              </w:tc>
              <w:tc>
                <w:tcPr>
                  <w:tcW w:w="938" w:type="dxa"/>
                  <w:tcBorders>
                    <w:left w:val="single" w:sz="4" w:space="0" w:color="D9D9D9" w:themeColor="background1" w:themeShade="D9"/>
                  </w:tcBorders>
                </w:tcPr>
                <w:p w14:paraId="0C906859" w14:textId="77777777" w:rsidR="00FC14FC" w:rsidRDefault="00FC14FC" w:rsidP="00D11B9D">
                  <w:pPr>
                    <w:pStyle w:val="TableColumnHeading"/>
                    <w:jc w:val="left"/>
                  </w:pPr>
                </w:p>
              </w:tc>
            </w:tr>
            <w:tr w:rsidR="00FC14FC" w14:paraId="69C2D0A4" w14:textId="77777777" w:rsidTr="00D11B9D">
              <w:trPr>
                <w:tblHeader/>
              </w:trPr>
              <w:tc>
                <w:tcPr>
                  <w:tcW w:w="1668" w:type="dxa"/>
                  <w:shd w:val="clear" w:color="auto" w:fill="auto"/>
                  <w:tcMar>
                    <w:top w:w="28" w:type="dxa"/>
                  </w:tcMar>
                  <w:vAlign w:val="bottom"/>
                </w:tcPr>
                <w:p w14:paraId="648533D5" w14:textId="77777777" w:rsidR="00FC14FC" w:rsidRDefault="00FC14FC" w:rsidP="00D11B9D">
                  <w:pPr>
                    <w:pStyle w:val="TableColumnHeading"/>
                    <w:jc w:val="left"/>
                  </w:pPr>
                  <w:r>
                    <w:t>Analysis</w:t>
                  </w:r>
                </w:p>
              </w:tc>
              <w:tc>
                <w:tcPr>
                  <w:tcW w:w="1400" w:type="dxa"/>
                  <w:vAlign w:val="bottom"/>
                </w:tcPr>
                <w:p w14:paraId="652265D7" w14:textId="77777777" w:rsidR="00FC14FC" w:rsidRDefault="00FC14FC" w:rsidP="00D11B9D">
                  <w:pPr>
                    <w:pStyle w:val="TableColumnHeading"/>
                    <w:jc w:val="left"/>
                  </w:pPr>
                  <w:r>
                    <w:t>Figures/tables</w:t>
                  </w:r>
                </w:p>
              </w:tc>
              <w:tc>
                <w:tcPr>
                  <w:tcW w:w="1099" w:type="dxa"/>
                  <w:shd w:val="clear" w:color="auto" w:fill="auto"/>
                  <w:tcMar>
                    <w:top w:w="28" w:type="dxa"/>
                  </w:tcMar>
                  <w:vAlign w:val="bottom"/>
                </w:tcPr>
                <w:p w14:paraId="73A9E5C9" w14:textId="77777777" w:rsidR="00FC14FC" w:rsidRDefault="00FC14FC" w:rsidP="00D11B9D">
                  <w:pPr>
                    <w:pStyle w:val="TableColumnHeading"/>
                    <w:jc w:val="left"/>
                  </w:pPr>
                  <w:r>
                    <w:t>Unit of analysis</w:t>
                  </w:r>
                </w:p>
              </w:tc>
              <w:tc>
                <w:tcPr>
                  <w:tcW w:w="1125" w:type="dxa"/>
                  <w:vAlign w:val="bottom"/>
                </w:tcPr>
                <w:p w14:paraId="57E13373" w14:textId="77777777" w:rsidR="00FC14FC" w:rsidRDefault="00FC14FC" w:rsidP="00D11B9D">
                  <w:pPr>
                    <w:pStyle w:val="TableColumnHeading"/>
                    <w:ind w:right="28"/>
                    <w:jc w:val="left"/>
                  </w:pPr>
                  <w:r>
                    <w:t>Data</w:t>
                  </w:r>
                </w:p>
              </w:tc>
              <w:tc>
                <w:tcPr>
                  <w:tcW w:w="1032" w:type="dxa"/>
                  <w:vAlign w:val="bottom"/>
                </w:tcPr>
                <w:p w14:paraId="757F9E1D" w14:textId="77777777" w:rsidR="00FC14FC" w:rsidRDefault="00FC14FC" w:rsidP="00D11B9D">
                  <w:pPr>
                    <w:pStyle w:val="TableColumnHeading"/>
                    <w:ind w:right="28"/>
                    <w:jc w:val="left"/>
                  </w:pPr>
                  <w:r>
                    <w:t>Time periods</w:t>
                  </w:r>
                </w:p>
              </w:tc>
              <w:tc>
                <w:tcPr>
                  <w:tcW w:w="779" w:type="dxa"/>
                  <w:vAlign w:val="bottom"/>
                </w:tcPr>
                <w:p w14:paraId="3BE1A87C" w14:textId="77777777" w:rsidR="00FC14FC" w:rsidRDefault="00FC14FC" w:rsidP="00D11B9D">
                  <w:pPr>
                    <w:pStyle w:val="TableColumnHeading"/>
                    <w:ind w:right="28"/>
                    <w:jc w:val="left"/>
                  </w:pPr>
                  <w:r>
                    <w:t>Bias</w:t>
                  </w:r>
                </w:p>
              </w:tc>
              <w:tc>
                <w:tcPr>
                  <w:tcW w:w="759" w:type="dxa"/>
                  <w:vAlign w:val="bottom"/>
                </w:tcPr>
                <w:p w14:paraId="5B0970E4" w14:textId="77777777" w:rsidR="00FC14FC" w:rsidRDefault="00FC14FC" w:rsidP="00D11B9D">
                  <w:pPr>
                    <w:pStyle w:val="TableColumnHeading"/>
                    <w:ind w:right="28"/>
                    <w:jc w:val="left"/>
                  </w:pPr>
                  <w:r>
                    <w:t>BPs used</w:t>
                  </w:r>
                </w:p>
              </w:tc>
              <w:tc>
                <w:tcPr>
                  <w:tcW w:w="1063" w:type="dxa"/>
                  <w:vAlign w:val="bottom"/>
                </w:tcPr>
                <w:p w14:paraId="143CBE7C" w14:textId="77777777" w:rsidR="00FC14FC" w:rsidRDefault="00FC14FC" w:rsidP="00D11B9D">
                  <w:pPr>
                    <w:pStyle w:val="TableColumnHeading"/>
                    <w:ind w:right="28"/>
                    <w:jc w:val="left"/>
                  </w:pPr>
                  <w:r>
                    <w:t>Tax rate</w:t>
                  </w:r>
                </w:p>
              </w:tc>
              <w:tc>
                <w:tcPr>
                  <w:tcW w:w="1231" w:type="dxa"/>
                  <w:vAlign w:val="bottom"/>
                </w:tcPr>
                <w:p w14:paraId="796464D9" w14:textId="77777777" w:rsidR="00FC14FC" w:rsidRDefault="00FC14FC" w:rsidP="00D11B9D">
                  <w:pPr>
                    <w:pStyle w:val="TableColumnHeading"/>
                    <w:ind w:right="28"/>
                    <w:jc w:val="left"/>
                  </w:pPr>
                  <w:r>
                    <w:t>Admin expenses</w:t>
                  </w:r>
                </w:p>
              </w:tc>
              <w:tc>
                <w:tcPr>
                  <w:tcW w:w="2049" w:type="dxa"/>
                  <w:vAlign w:val="bottom"/>
                </w:tcPr>
                <w:p w14:paraId="1B7DD5D1" w14:textId="77777777" w:rsidR="00FC14FC" w:rsidRDefault="00FC14FC" w:rsidP="00D11B9D">
                  <w:pPr>
                    <w:pStyle w:val="TableColumnHeading"/>
                    <w:ind w:right="28"/>
                    <w:jc w:val="left"/>
                  </w:pPr>
                  <w:r>
                    <w:t>Asset allocation</w:t>
                  </w:r>
                </w:p>
              </w:tc>
              <w:tc>
                <w:tcPr>
                  <w:tcW w:w="938" w:type="dxa"/>
                  <w:vAlign w:val="bottom"/>
                </w:tcPr>
                <w:p w14:paraId="45806581" w14:textId="77777777" w:rsidR="00FC14FC" w:rsidRDefault="00FC14FC" w:rsidP="00D11B9D">
                  <w:pPr>
                    <w:pStyle w:val="TableColumnHeading"/>
                    <w:ind w:right="28"/>
                    <w:jc w:val="left"/>
                  </w:pPr>
                  <w:r>
                    <w:t>Other sensitivity testing</w:t>
                  </w:r>
                </w:p>
              </w:tc>
            </w:tr>
            <w:tr w:rsidR="00FC14FC" w14:paraId="7B59121D" w14:textId="77777777" w:rsidTr="00D11B9D">
              <w:tc>
                <w:tcPr>
                  <w:tcW w:w="1668" w:type="dxa"/>
                </w:tcPr>
                <w:p w14:paraId="71CB080E" w14:textId="77777777" w:rsidR="00FC14FC" w:rsidRDefault="00FC14FC" w:rsidP="00D11B9D">
                  <w:pPr>
                    <w:pStyle w:val="TableUnitsRow"/>
                    <w:jc w:val="left"/>
                  </w:pPr>
                  <w:r>
                    <w:t>Long</w:t>
                  </w:r>
                  <w:r>
                    <w:noBreakHyphen/>
                    <w:t xml:space="preserve">term returns of Choice/MySuper </w:t>
                  </w:r>
                </w:p>
              </w:tc>
              <w:tc>
                <w:tcPr>
                  <w:tcW w:w="1400" w:type="dxa"/>
                </w:tcPr>
                <w:p w14:paraId="1500F12E" w14:textId="77777777" w:rsidR="00FC14FC" w:rsidRDefault="00FC14FC" w:rsidP="00D11B9D">
                  <w:pPr>
                    <w:pStyle w:val="TableUnitsRow"/>
                    <w:jc w:val="left"/>
                  </w:pPr>
                  <w:r>
                    <w:t>Figures 2.7, 4.13</w:t>
                  </w:r>
                </w:p>
                <w:p w14:paraId="6031415C" w14:textId="77777777" w:rsidR="00FC14FC" w:rsidRDefault="00FC14FC" w:rsidP="00D11B9D">
                  <w:pPr>
                    <w:pStyle w:val="TableUnitsRow"/>
                    <w:jc w:val="left"/>
                  </w:pPr>
                  <w:r>
                    <w:t>Table 4.31</w:t>
                  </w:r>
                </w:p>
              </w:tc>
              <w:tc>
                <w:tcPr>
                  <w:tcW w:w="1099" w:type="dxa"/>
                  <w:vMerge w:val="restart"/>
                  <w:shd w:val="pct5" w:color="auto" w:fill="auto"/>
                  <w:vAlign w:val="center"/>
                </w:tcPr>
                <w:p w14:paraId="5CA5437B" w14:textId="77777777" w:rsidR="00FC14FC" w:rsidRDefault="00FC14FC" w:rsidP="00D11B9D">
                  <w:pPr>
                    <w:pStyle w:val="TableUnitsRow"/>
                    <w:jc w:val="left"/>
                  </w:pPr>
                  <w:r>
                    <w:t>APRA fund segments</w:t>
                  </w:r>
                </w:p>
              </w:tc>
              <w:tc>
                <w:tcPr>
                  <w:tcW w:w="1125" w:type="dxa"/>
                </w:tcPr>
                <w:p w14:paraId="4B1AB673" w14:textId="77777777" w:rsidR="00FC14FC" w:rsidRDefault="00FC14FC" w:rsidP="00D11B9D">
                  <w:pPr>
                    <w:pStyle w:val="TableUnitsRow"/>
                    <w:ind w:right="28"/>
                    <w:jc w:val="left"/>
                  </w:pPr>
                  <w:r>
                    <w:t>SuperRatings data</w:t>
                  </w:r>
                </w:p>
              </w:tc>
              <w:tc>
                <w:tcPr>
                  <w:tcW w:w="1032" w:type="dxa"/>
                </w:tcPr>
                <w:p w14:paraId="5AD641C7" w14:textId="77777777" w:rsidR="00FC14FC" w:rsidRDefault="00FC14FC" w:rsidP="00D11B9D">
                  <w:pPr>
                    <w:pStyle w:val="TableBodyText"/>
                    <w:spacing w:before="40"/>
                    <w:ind w:right="28"/>
                    <w:jc w:val="left"/>
                  </w:pPr>
                  <w:r>
                    <w:t xml:space="preserve">2005–2017 </w:t>
                  </w:r>
                </w:p>
                <w:p w14:paraId="68A64DA0" w14:textId="77777777" w:rsidR="00FC14FC" w:rsidRDefault="00FC14FC" w:rsidP="00D11B9D">
                  <w:pPr>
                    <w:pStyle w:val="TableBodyText"/>
                    <w:spacing w:before="40"/>
                    <w:ind w:right="28"/>
                    <w:jc w:val="left"/>
                  </w:pPr>
                  <w:r>
                    <w:t xml:space="preserve">2008–2017 </w:t>
                  </w:r>
                </w:p>
                <w:p w14:paraId="4EFCE743" w14:textId="77777777" w:rsidR="00FC14FC" w:rsidRDefault="00FC14FC" w:rsidP="00D11B9D">
                  <w:pPr>
                    <w:pStyle w:val="TableUnitsRow"/>
                    <w:ind w:right="28"/>
                    <w:jc w:val="left"/>
                  </w:pPr>
                  <w:r>
                    <w:t xml:space="preserve">2013–2017 </w:t>
                  </w:r>
                </w:p>
              </w:tc>
              <w:tc>
                <w:tcPr>
                  <w:tcW w:w="779" w:type="dxa"/>
                </w:tcPr>
                <w:p w14:paraId="5740E402" w14:textId="77777777" w:rsidR="00FC14FC" w:rsidRDefault="00FC14FC" w:rsidP="00D11B9D">
                  <w:pPr>
                    <w:pStyle w:val="TableUnitsRow"/>
                    <w:ind w:right="28"/>
                    <w:jc w:val="left"/>
                  </w:pPr>
                  <w:r>
                    <w:t>Selection bias</w:t>
                  </w:r>
                </w:p>
              </w:tc>
              <w:tc>
                <w:tcPr>
                  <w:tcW w:w="759" w:type="dxa"/>
                </w:tcPr>
                <w:p w14:paraId="6F78056D" w14:textId="77777777" w:rsidR="00FC14FC" w:rsidRDefault="00FC14FC" w:rsidP="00D11B9D">
                  <w:pPr>
                    <w:pStyle w:val="TableUnitsRow"/>
                    <w:ind w:right="28"/>
                    <w:jc w:val="left"/>
                  </w:pPr>
                  <w:r>
                    <w:t>Segment tailored BP1, BP2</w:t>
                  </w:r>
                </w:p>
              </w:tc>
              <w:tc>
                <w:tcPr>
                  <w:tcW w:w="1063" w:type="dxa"/>
                </w:tcPr>
                <w:p w14:paraId="6A752B98" w14:textId="77777777" w:rsidR="00FC14FC" w:rsidRDefault="00FC14FC" w:rsidP="00D11B9D">
                  <w:pPr>
                    <w:pStyle w:val="TableUnitsRow"/>
                    <w:ind w:right="28"/>
                    <w:jc w:val="left"/>
                  </w:pPr>
                  <w:r>
                    <w:t>Accumulation tax rate, 7.5%</w:t>
                  </w:r>
                </w:p>
              </w:tc>
              <w:tc>
                <w:tcPr>
                  <w:tcW w:w="1231" w:type="dxa"/>
                </w:tcPr>
                <w:p w14:paraId="2C164FF2" w14:textId="77777777" w:rsidR="00FC14FC" w:rsidRDefault="00FC14FC" w:rsidP="00D11B9D">
                  <w:pPr>
                    <w:pStyle w:val="TableBodyText"/>
                    <w:ind w:right="28"/>
                    <w:jc w:val="left"/>
                  </w:pPr>
                  <w:r>
                    <w:t xml:space="preserve">MySuper and Default investment options: Bottom quartile (APRA funds) </w:t>
                  </w:r>
                </w:p>
                <w:p w14:paraId="6F05B5B4" w14:textId="77777777" w:rsidR="00FC14FC" w:rsidRDefault="00FC14FC" w:rsidP="00D11B9D">
                  <w:pPr>
                    <w:pStyle w:val="TableUnitsRow"/>
                    <w:spacing w:before="120"/>
                    <w:ind w:right="28"/>
                    <w:jc w:val="left"/>
                  </w:pPr>
                  <w:r>
                    <w:t xml:space="preserve">Choice: SuperRatings choice segment median </w:t>
                  </w:r>
                </w:p>
              </w:tc>
              <w:tc>
                <w:tcPr>
                  <w:tcW w:w="2049" w:type="dxa"/>
                  <w:vMerge w:val="restart"/>
                  <w:shd w:val="pct5" w:color="auto" w:fill="auto"/>
                  <w:vAlign w:val="center"/>
                </w:tcPr>
                <w:p w14:paraId="49189C79" w14:textId="77777777" w:rsidR="00FC14FC" w:rsidRDefault="00FC14FC" w:rsidP="00D11B9D">
                  <w:pPr>
                    <w:pStyle w:val="TableUnitsRow"/>
                    <w:pBdr>
                      <w:left w:val="single" w:sz="6" w:space="4" w:color="BFBFBF"/>
                      <w:right w:val="single" w:sz="6" w:space="4" w:color="BFBFBF"/>
                    </w:pBdr>
                    <w:spacing w:before="120"/>
                    <w:ind w:right="28"/>
                    <w:jc w:val="left"/>
                  </w:pPr>
                  <w:r>
                    <w:t>BP Asset allocation data: SuperRatings/Rainmaker</w:t>
                  </w:r>
                </w:p>
                <w:p w14:paraId="50379EF4" w14:textId="77777777" w:rsidR="00FC14FC" w:rsidRDefault="00FC14FC" w:rsidP="00D11B9D">
                  <w:pPr>
                    <w:pStyle w:val="TableUnitsRow"/>
                    <w:pBdr>
                      <w:left w:val="single" w:sz="6" w:space="4" w:color="BFBFBF"/>
                      <w:right w:val="single" w:sz="6" w:space="4" w:color="BFBFBF"/>
                    </w:pBdr>
                    <w:spacing w:before="120"/>
                    <w:ind w:right="28"/>
                    <w:jc w:val="left"/>
                  </w:pPr>
                  <w:r>
                    <w:t>Unlisted/listed allocation: System</w:t>
                  </w:r>
                </w:p>
                <w:p w14:paraId="00D9DE0C" w14:textId="77777777" w:rsidR="00FC14FC" w:rsidRDefault="00FC14FC" w:rsidP="00D11B9D">
                  <w:pPr>
                    <w:pStyle w:val="TableUnitsRow"/>
                    <w:pBdr>
                      <w:left w:val="single" w:sz="6" w:space="4" w:color="BFBFBF"/>
                      <w:right w:val="single" w:sz="6" w:space="4" w:color="BFBFBF"/>
                    </w:pBdr>
                    <w:spacing w:before="120"/>
                    <w:ind w:right="28"/>
                    <w:jc w:val="left"/>
                  </w:pPr>
                  <w:r>
                    <w:t>Domestic/international property allocation: System</w:t>
                  </w:r>
                </w:p>
                <w:p w14:paraId="412818F3" w14:textId="77777777" w:rsidR="00FC14FC" w:rsidRDefault="00FC14FC" w:rsidP="00D11B9D">
                  <w:pPr>
                    <w:pStyle w:val="TableUnitsRow"/>
                    <w:pBdr>
                      <w:left w:val="single" w:sz="6" w:space="4" w:color="BFBFBF"/>
                      <w:right w:val="single" w:sz="6" w:space="4" w:color="BFBFBF"/>
                    </w:pBdr>
                    <w:spacing w:before="120"/>
                    <w:ind w:right="28"/>
                    <w:jc w:val="left"/>
                  </w:pPr>
                  <w:r>
                    <w:t>Domestic/ international private equity allocation: System</w:t>
                  </w:r>
                </w:p>
                <w:p w14:paraId="3A51EAA9" w14:textId="77777777" w:rsidR="00FC14FC" w:rsidRDefault="00FC14FC" w:rsidP="00D11B9D">
                  <w:pPr>
                    <w:pStyle w:val="TableBodyText"/>
                    <w:ind w:right="28"/>
                    <w:jc w:val="left"/>
                  </w:pPr>
                </w:p>
              </w:tc>
              <w:tc>
                <w:tcPr>
                  <w:tcW w:w="938" w:type="dxa"/>
                </w:tcPr>
                <w:p w14:paraId="73A4262A" w14:textId="77777777" w:rsidR="00FC14FC" w:rsidRDefault="00FC14FC" w:rsidP="00D11B9D">
                  <w:pPr>
                    <w:pStyle w:val="TableUnitsRow"/>
                    <w:pBdr>
                      <w:left w:val="single" w:sz="6" w:space="4" w:color="BFBFBF"/>
                      <w:right w:val="single" w:sz="6" w:space="4" w:color="BFBFBF"/>
                    </w:pBdr>
                    <w:ind w:right="28"/>
                    <w:jc w:val="left"/>
                  </w:pPr>
                  <w:r>
                    <w:t>Default investment options</w:t>
                  </w:r>
                </w:p>
              </w:tc>
            </w:tr>
            <w:tr w:rsidR="00FC14FC" w14:paraId="378F61B2" w14:textId="77777777" w:rsidTr="00D11B9D">
              <w:trPr>
                <w:trHeight w:val="1428"/>
              </w:trPr>
              <w:tc>
                <w:tcPr>
                  <w:tcW w:w="1668" w:type="dxa"/>
                  <w:shd w:val="clear" w:color="auto" w:fill="auto"/>
                </w:tcPr>
                <w:p w14:paraId="2318E24A" w14:textId="77777777" w:rsidR="00FC14FC" w:rsidRDefault="00FC14FC" w:rsidP="00D11B9D">
                  <w:pPr>
                    <w:pStyle w:val="TableBodyText"/>
                    <w:jc w:val="left"/>
                  </w:pPr>
                  <w:r>
                    <w:t>Long</w:t>
                  </w:r>
                  <w:r>
                    <w:noBreakHyphen/>
                    <w:t>term returns of retirement/ accumulation</w:t>
                  </w:r>
                </w:p>
              </w:tc>
              <w:tc>
                <w:tcPr>
                  <w:tcW w:w="1400" w:type="dxa"/>
                  <w:shd w:val="clear" w:color="auto" w:fill="auto"/>
                </w:tcPr>
                <w:p w14:paraId="0CADFF30" w14:textId="77777777" w:rsidR="00FC14FC" w:rsidRDefault="00FC14FC" w:rsidP="00D11B9D">
                  <w:pPr>
                    <w:pStyle w:val="TableBodyText"/>
                    <w:jc w:val="left"/>
                  </w:pPr>
                  <w:r>
                    <w:t>Figures 2.13, 4.17</w:t>
                  </w:r>
                </w:p>
                <w:p w14:paraId="0A2380CC" w14:textId="77777777" w:rsidR="00FC14FC" w:rsidRDefault="00FC14FC" w:rsidP="00D11B9D">
                  <w:pPr>
                    <w:pStyle w:val="TableBodyText"/>
                    <w:jc w:val="left"/>
                  </w:pPr>
                  <w:r>
                    <w:t>Table 4.34</w:t>
                  </w:r>
                </w:p>
              </w:tc>
              <w:tc>
                <w:tcPr>
                  <w:tcW w:w="1099" w:type="dxa"/>
                  <w:vMerge/>
                  <w:shd w:val="pct5" w:color="auto" w:fill="auto"/>
                </w:tcPr>
                <w:p w14:paraId="0F10D9F8" w14:textId="77777777" w:rsidR="00FC14FC" w:rsidRDefault="00FC14FC" w:rsidP="00D11B9D">
                  <w:pPr>
                    <w:pStyle w:val="TableBodyText"/>
                    <w:jc w:val="left"/>
                  </w:pPr>
                </w:p>
              </w:tc>
              <w:tc>
                <w:tcPr>
                  <w:tcW w:w="1125" w:type="dxa"/>
                  <w:shd w:val="clear" w:color="auto" w:fill="auto"/>
                </w:tcPr>
                <w:p w14:paraId="1486B9FE" w14:textId="77777777" w:rsidR="00FC14FC" w:rsidRDefault="00FC14FC" w:rsidP="00D11B9D">
                  <w:pPr>
                    <w:pStyle w:val="TableBodyText"/>
                    <w:ind w:right="28"/>
                    <w:jc w:val="left"/>
                  </w:pPr>
                  <w:r>
                    <w:t>SuperRatings data, Rainmaker data</w:t>
                  </w:r>
                </w:p>
              </w:tc>
              <w:tc>
                <w:tcPr>
                  <w:tcW w:w="1032" w:type="dxa"/>
                  <w:shd w:val="clear" w:color="auto" w:fill="auto"/>
                </w:tcPr>
                <w:p w14:paraId="0F99EFE9" w14:textId="77777777" w:rsidR="00FC14FC" w:rsidRDefault="00FC14FC" w:rsidP="00D11B9D">
                  <w:pPr>
                    <w:pStyle w:val="TableBodyText"/>
                    <w:ind w:right="28"/>
                    <w:jc w:val="left"/>
                  </w:pPr>
                  <w:r>
                    <w:t xml:space="preserve">2005–2017 </w:t>
                  </w:r>
                </w:p>
                <w:p w14:paraId="1F957EAF" w14:textId="77777777" w:rsidR="00FC14FC" w:rsidRDefault="00FC14FC" w:rsidP="00D11B9D">
                  <w:pPr>
                    <w:pStyle w:val="TableBodyText"/>
                    <w:ind w:right="28"/>
                    <w:jc w:val="left"/>
                  </w:pPr>
                  <w:r>
                    <w:t xml:space="preserve">2008–2017 </w:t>
                  </w:r>
                </w:p>
                <w:p w14:paraId="4529CC87" w14:textId="77777777" w:rsidR="00FC14FC" w:rsidRDefault="00FC14FC" w:rsidP="00D11B9D">
                  <w:pPr>
                    <w:pStyle w:val="TableBodyText"/>
                    <w:ind w:right="28"/>
                    <w:jc w:val="left"/>
                  </w:pPr>
                  <w:r>
                    <w:t xml:space="preserve">2013–2017 </w:t>
                  </w:r>
                </w:p>
              </w:tc>
              <w:tc>
                <w:tcPr>
                  <w:tcW w:w="779" w:type="dxa"/>
                  <w:shd w:val="clear" w:color="auto" w:fill="auto"/>
                </w:tcPr>
                <w:p w14:paraId="6F981F6C" w14:textId="77777777" w:rsidR="00FC14FC" w:rsidRDefault="00FC14FC" w:rsidP="00D11B9D">
                  <w:pPr>
                    <w:pStyle w:val="TableBodyText"/>
                    <w:ind w:right="28"/>
                    <w:jc w:val="left"/>
                  </w:pPr>
                  <w:r>
                    <w:t>Selection bias</w:t>
                  </w:r>
                </w:p>
              </w:tc>
              <w:tc>
                <w:tcPr>
                  <w:tcW w:w="759" w:type="dxa"/>
                  <w:shd w:val="clear" w:color="auto" w:fill="auto"/>
                </w:tcPr>
                <w:p w14:paraId="39FA5DE8" w14:textId="77777777" w:rsidR="00FC14FC" w:rsidRDefault="00FC14FC" w:rsidP="00D11B9D">
                  <w:pPr>
                    <w:pStyle w:val="TableBodyText"/>
                    <w:ind w:right="28"/>
                    <w:jc w:val="left"/>
                  </w:pPr>
                  <w:r>
                    <w:t>Segment tailored BP1, BP2</w:t>
                  </w:r>
                </w:p>
              </w:tc>
              <w:tc>
                <w:tcPr>
                  <w:tcW w:w="1063" w:type="dxa"/>
                  <w:shd w:val="clear" w:color="auto" w:fill="auto"/>
                </w:tcPr>
                <w:p w14:paraId="54F167DE" w14:textId="77777777" w:rsidR="00FC14FC" w:rsidRDefault="00FC14FC" w:rsidP="00D11B9D">
                  <w:pPr>
                    <w:pStyle w:val="TableUnitsRow"/>
                    <w:spacing w:before="0"/>
                    <w:ind w:right="28"/>
                    <w:jc w:val="left"/>
                  </w:pPr>
                  <w:r>
                    <w:t>Accumulation tax rate, imputed retirement tax rate, 7.5%</w:t>
                  </w:r>
                </w:p>
              </w:tc>
              <w:tc>
                <w:tcPr>
                  <w:tcW w:w="1231" w:type="dxa"/>
                  <w:shd w:val="clear" w:color="auto" w:fill="auto"/>
                </w:tcPr>
                <w:p w14:paraId="4C2AA0A4" w14:textId="77777777" w:rsidR="00FC14FC" w:rsidRDefault="00FC14FC" w:rsidP="00D11B9D">
                  <w:pPr>
                    <w:pStyle w:val="TableBodyText"/>
                    <w:ind w:right="28"/>
                    <w:jc w:val="left"/>
                  </w:pPr>
                  <w:r>
                    <w:t xml:space="preserve">SuperRatings segment medians </w:t>
                  </w:r>
                </w:p>
              </w:tc>
              <w:tc>
                <w:tcPr>
                  <w:tcW w:w="2049" w:type="dxa"/>
                  <w:vMerge/>
                  <w:shd w:val="pct5" w:color="auto" w:fill="auto"/>
                </w:tcPr>
                <w:p w14:paraId="1A618A1F" w14:textId="77777777" w:rsidR="00FC14FC" w:rsidRDefault="00FC14FC" w:rsidP="00D11B9D">
                  <w:pPr>
                    <w:pStyle w:val="TableBodyText"/>
                    <w:ind w:right="28"/>
                    <w:jc w:val="left"/>
                  </w:pPr>
                </w:p>
              </w:tc>
              <w:tc>
                <w:tcPr>
                  <w:tcW w:w="938" w:type="dxa"/>
                  <w:shd w:val="clear" w:color="auto" w:fill="auto"/>
                </w:tcPr>
                <w:p w14:paraId="2AFC993C" w14:textId="77777777" w:rsidR="00FC14FC" w:rsidRDefault="00FC14FC" w:rsidP="00D11B9D">
                  <w:pPr>
                    <w:pStyle w:val="TableBodyText"/>
                    <w:ind w:right="28"/>
                    <w:jc w:val="left"/>
                  </w:pPr>
                  <w:r>
                    <w:t>Rainmaker data</w:t>
                  </w:r>
                </w:p>
              </w:tc>
            </w:tr>
            <w:tr w:rsidR="00FC14FC" w14:paraId="24B83C69" w14:textId="77777777" w:rsidTr="00D11B9D">
              <w:tc>
                <w:tcPr>
                  <w:tcW w:w="1668" w:type="dxa"/>
                  <w:shd w:val="clear" w:color="auto" w:fill="auto"/>
                </w:tcPr>
                <w:p w14:paraId="12A3CDC5" w14:textId="77777777" w:rsidR="00FC14FC" w:rsidRDefault="00FC14FC" w:rsidP="00D11B9D">
                  <w:pPr>
                    <w:pStyle w:val="TableBodyText"/>
                    <w:jc w:val="left"/>
                  </w:pPr>
                  <w:r>
                    <w:t>Long</w:t>
                  </w:r>
                  <w:r>
                    <w:noBreakHyphen/>
                    <w:t>term standard deviation of retirement/ accumulation</w:t>
                  </w:r>
                </w:p>
              </w:tc>
              <w:tc>
                <w:tcPr>
                  <w:tcW w:w="1400" w:type="dxa"/>
                </w:tcPr>
                <w:p w14:paraId="3119CBD2" w14:textId="77777777" w:rsidR="00FC14FC" w:rsidRDefault="00FC14FC" w:rsidP="00D11B9D">
                  <w:pPr>
                    <w:pStyle w:val="TableBodyText"/>
                    <w:jc w:val="left"/>
                  </w:pPr>
                  <w:r>
                    <w:t>Figure 4.16</w:t>
                  </w:r>
                </w:p>
              </w:tc>
              <w:tc>
                <w:tcPr>
                  <w:tcW w:w="1099" w:type="dxa"/>
                  <w:vMerge/>
                  <w:shd w:val="pct5" w:color="auto" w:fill="auto"/>
                </w:tcPr>
                <w:p w14:paraId="45ACF52E" w14:textId="77777777" w:rsidR="00FC14FC" w:rsidRDefault="00FC14FC" w:rsidP="00D11B9D">
                  <w:pPr>
                    <w:pStyle w:val="TableBodyText"/>
                    <w:jc w:val="left"/>
                  </w:pPr>
                </w:p>
              </w:tc>
              <w:tc>
                <w:tcPr>
                  <w:tcW w:w="1125" w:type="dxa"/>
                </w:tcPr>
                <w:p w14:paraId="1746C0E7" w14:textId="77777777" w:rsidR="00FC14FC" w:rsidRDefault="00FC14FC" w:rsidP="00D11B9D">
                  <w:pPr>
                    <w:pStyle w:val="TableBodyText"/>
                    <w:ind w:right="28"/>
                    <w:jc w:val="left"/>
                  </w:pPr>
                  <w:r>
                    <w:t>SuperRatings data</w:t>
                  </w:r>
                </w:p>
              </w:tc>
              <w:tc>
                <w:tcPr>
                  <w:tcW w:w="1032" w:type="dxa"/>
                </w:tcPr>
                <w:p w14:paraId="10631392" w14:textId="77777777" w:rsidR="00FC14FC" w:rsidRDefault="00FC14FC" w:rsidP="00D11B9D">
                  <w:pPr>
                    <w:pStyle w:val="TableBodyText"/>
                    <w:ind w:right="28"/>
                    <w:jc w:val="left"/>
                  </w:pPr>
                  <w:r>
                    <w:t>2005–2017</w:t>
                  </w:r>
                </w:p>
              </w:tc>
              <w:tc>
                <w:tcPr>
                  <w:tcW w:w="779" w:type="dxa"/>
                </w:tcPr>
                <w:p w14:paraId="43F27D9D" w14:textId="77777777" w:rsidR="00FC14FC" w:rsidRDefault="00FC14FC" w:rsidP="00D11B9D">
                  <w:pPr>
                    <w:pStyle w:val="TableBodyText"/>
                    <w:ind w:right="28"/>
                    <w:jc w:val="left"/>
                  </w:pPr>
                  <w:r>
                    <w:t xml:space="preserve">Selection bias </w:t>
                  </w:r>
                </w:p>
              </w:tc>
              <w:tc>
                <w:tcPr>
                  <w:tcW w:w="759" w:type="dxa"/>
                </w:tcPr>
                <w:p w14:paraId="48C9C501" w14:textId="77777777" w:rsidR="00FC14FC" w:rsidRDefault="00FC14FC" w:rsidP="00D11B9D">
                  <w:pPr>
                    <w:pStyle w:val="TableBodyText"/>
                    <w:ind w:right="28"/>
                    <w:jc w:val="left"/>
                  </w:pPr>
                  <w:r>
                    <w:t>Segment tailored BP1, BP2</w:t>
                  </w:r>
                </w:p>
              </w:tc>
              <w:tc>
                <w:tcPr>
                  <w:tcW w:w="1063" w:type="dxa"/>
                </w:tcPr>
                <w:p w14:paraId="7F979073" w14:textId="77777777" w:rsidR="00FC14FC" w:rsidRDefault="00FC14FC" w:rsidP="00D11B9D">
                  <w:pPr>
                    <w:pStyle w:val="TableBodyText"/>
                    <w:ind w:right="28"/>
                    <w:jc w:val="left"/>
                  </w:pPr>
                  <w:r>
                    <w:t>Accumulation tax rate, imputed retirement tax rate, 7.5%</w:t>
                  </w:r>
                </w:p>
              </w:tc>
              <w:tc>
                <w:tcPr>
                  <w:tcW w:w="1231" w:type="dxa"/>
                </w:tcPr>
                <w:p w14:paraId="748D8ADA" w14:textId="77777777" w:rsidR="00FC14FC" w:rsidRDefault="00FC14FC" w:rsidP="00D11B9D">
                  <w:pPr>
                    <w:pStyle w:val="TableBodyText"/>
                    <w:ind w:right="28"/>
                    <w:jc w:val="left"/>
                  </w:pPr>
                  <w:r>
                    <w:t xml:space="preserve">SuperRatings segment medians </w:t>
                  </w:r>
                </w:p>
              </w:tc>
              <w:tc>
                <w:tcPr>
                  <w:tcW w:w="2049" w:type="dxa"/>
                  <w:vMerge/>
                  <w:shd w:val="pct5" w:color="auto" w:fill="auto"/>
                </w:tcPr>
                <w:p w14:paraId="7514CFCB" w14:textId="77777777" w:rsidR="00FC14FC" w:rsidRDefault="00FC14FC" w:rsidP="00D11B9D">
                  <w:pPr>
                    <w:pStyle w:val="TableBodyText"/>
                    <w:ind w:right="28"/>
                    <w:jc w:val="left"/>
                  </w:pPr>
                </w:p>
              </w:tc>
              <w:tc>
                <w:tcPr>
                  <w:tcW w:w="938" w:type="dxa"/>
                </w:tcPr>
                <w:p w14:paraId="3A748FAA" w14:textId="77777777" w:rsidR="00FC14FC" w:rsidRDefault="00FC14FC" w:rsidP="00D11B9D">
                  <w:pPr>
                    <w:pStyle w:val="TableBodyText"/>
                    <w:ind w:right="28"/>
                    <w:jc w:val="left"/>
                  </w:pPr>
                </w:p>
              </w:tc>
            </w:tr>
          </w:tbl>
          <w:p w14:paraId="4AF23ED8" w14:textId="77777777" w:rsidR="00FC14FC" w:rsidRDefault="00FC14FC" w:rsidP="00D11B9D">
            <w:pPr>
              <w:pStyle w:val="Box"/>
            </w:pPr>
          </w:p>
        </w:tc>
      </w:tr>
      <w:tr w:rsidR="00FC14FC" w14:paraId="315B166D" w14:textId="77777777" w:rsidTr="00D11B9D">
        <w:tc>
          <w:tcPr>
            <w:tcW w:w="5000" w:type="pct"/>
            <w:tcBorders>
              <w:top w:val="nil"/>
              <w:left w:val="nil"/>
              <w:bottom w:val="nil"/>
              <w:right w:val="nil"/>
            </w:tcBorders>
            <w:shd w:val="clear" w:color="auto" w:fill="auto"/>
          </w:tcPr>
          <w:p w14:paraId="207E8904" w14:textId="77777777" w:rsidR="00FC14FC" w:rsidRPr="009B565F" w:rsidRDefault="00FC14FC" w:rsidP="00D11B9D">
            <w:pPr>
              <w:pStyle w:val="Continued"/>
              <w:rPr>
                <w:i/>
              </w:rPr>
            </w:pPr>
            <w:r w:rsidRPr="009B565F">
              <w:rPr>
                <w:rStyle w:val="NoteLabel"/>
              </w:rPr>
              <w:t>(continued next page)</w:t>
            </w:r>
          </w:p>
        </w:tc>
      </w:tr>
      <w:tr w:rsidR="00FC14FC" w14:paraId="31A5282F" w14:textId="77777777" w:rsidTr="00D11B9D">
        <w:tc>
          <w:tcPr>
            <w:tcW w:w="5000" w:type="pct"/>
            <w:tcBorders>
              <w:top w:val="nil"/>
              <w:left w:val="nil"/>
              <w:bottom w:val="single" w:sz="6" w:space="0" w:color="78A22F"/>
              <w:right w:val="nil"/>
            </w:tcBorders>
            <w:shd w:val="clear" w:color="auto" w:fill="auto"/>
          </w:tcPr>
          <w:p w14:paraId="0E782160" w14:textId="77777777" w:rsidR="00FC14FC" w:rsidRDefault="00FC14FC" w:rsidP="00D11B9D">
            <w:pPr>
              <w:pStyle w:val="Box"/>
              <w:spacing w:before="0" w:line="120" w:lineRule="exact"/>
            </w:pPr>
          </w:p>
        </w:tc>
      </w:tr>
      <w:tr w:rsidR="00FC14FC" w:rsidRPr="000863A5" w14:paraId="22572E25" w14:textId="77777777" w:rsidTr="00D11B9D">
        <w:tc>
          <w:tcPr>
            <w:tcW w:w="5000" w:type="pct"/>
            <w:tcBorders>
              <w:top w:val="single" w:sz="6" w:space="0" w:color="78A22F"/>
              <w:left w:val="nil"/>
              <w:bottom w:val="nil"/>
              <w:right w:val="nil"/>
            </w:tcBorders>
          </w:tcPr>
          <w:p w14:paraId="2803516B" w14:textId="77777777" w:rsidR="00FC14FC" w:rsidRPr="00626D32" w:rsidRDefault="00FC14FC" w:rsidP="00D11B9D">
            <w:pPr>
              <w:pStyle w:val="BoxSpaceBelow"/>
            </w:pPr>
          </w:p>
        </w:tc>
      </w:tr>
    </w:tbl>
    <w:p w14:paraId="059204BB"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2D9D9F51" w14:textId="77777777" w:rsidTr="00D11B9D">
        <w:trPr>
          <w:tblHeader/>
        </w:trPr>
        <w:tc>
          <w:tcPr>
            <w:tcW w:w="5000" w:type="pct"/>
            <w:tcBorders>
              <w:top w:val="single" w:sz="6" w:space="0" w:color="78A22F"/>
              <w:left w:val="nil"/>
              <w:bottom w:val="nil"/>
              <w:right w:val="nil"/>
            </w:tcBorders>
            <w:shd w:val="clear" w:color="auto" w:fill="auto"/>
          </w:tcPr>
          <w:p w14:paraId="4DCC31C1" w14:textId="77777777" w:rsidR="00FC14FC" w:rsidRPr="00784A05" w:rsidRDefault="00FC14FC" w:rsidP="00D11B9D">
            <w:pPr>
              <w:pStyle w:val="TableTitle"/>
            </w:pPr>
            <w:r>
              <w:rPr>
                <w:b w:val="0"/>
              </w:rPr>
              <w:t xml:space="preserve">Table </w:t>
            </w:r>
            <w:r w:rsidRPr="00126730">
              <w:rPr>
                <w:b w:val="0"/>
              </w:rPr>
              <w:t>4.1</w:t>
            </w:r>
            <w:r>
              <w:tab/>
            </w:r>
            <w:r w:rsidRPr="009B565F">
              <w:rPr>
                <w:b w:val="0"/>
                <w:sz w:val="18"/>
                <w:szCs w:val="18"/>
              </w:rPr>
              <w:t>(continued)</w:t>
            </w:r>
          </w:p>
        </w:tc>
      </w:tr>
      <w:tr w:rsidR="00FC14FC" w14:paraId="6563DEB9" w14:textId="77777777" w:rsidTr="00D11B9D">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1333"/>
              <w:gridCol w:w="1125"/>
              <w:gridCol w:w="1227"/>
              <w:gridCol w:w="1135"/>
              <w:gridCol w:w="1017"/>
              <w:gridCol w:w="786"/>
              <w:gridCol w:w="965"/>
              <w:gridCol w:w="921"/>
              <w:gridCol w:w="992"/>
              <w:gridCol w:w="2268"/>
              <w:gridCol w:w="1384"/>
            </w:tblGrid>
            <w:tr w:rsidR="00FC14FC" w14:paraId="4FEC3054" w14:textId="77777777" w:rsidTr="00D11B9D">
              <w:trPr>
                <w:tblHeader/>
              </w:trPr>
              <w:tc>
                <w:tcPr>
                  <w:tcW w:w="935" w:type="pct"/>
                  <w:gridSpan w:val="2"/>
                  <w:tcBorders>
                    <w:right w:val="single" w:sz="4" w:space="0" w:color="D9D9D9" w:themeColor="background1" w:themeShade="D9"/>
                  </w:tcBorders>
                  <w:shd w:val="clear" w:color="auto" w:fill="auto"/>
                  <w:tcMar>
                    <w:top w:w="28" w:type="dxa"/>
                  </w:tcMar>
                </w:tcPr>
                <w:p w14:paraId="12F5B6FA" w14:textId="77777777" w:rsidR="00FC14FC" w:rsidRDefault="00FC14FC" w:rsidP="00D11B9D">
                  <w:pPr>
                    <w:pStyle w:val="TableColumnHeading"/>
                    <w:jc w:val="left"/>
                  </w:pPr>
                </w:p>
              </w:tc>
              <w:tc>
                <w:tcPr>
                  <w:tcW w:w="1585" w:type="pct"/>
                  <w:gridSpan w:val="4"/>
                  <w:tcBorders>
                    <w:left w:val="single" w:sz="4" w:space="0" w:color="D9D9D9" w:themeColor="background1" w:themeShade="D9"/>
                    <w:right w:val="single" w:sz="4" w:space="0" w:color="D9D9D9" w:themeColor="background1" w:themeShade="D9"/>
                  </w:tcBorders>
                  <w:shd w:val="clear" w:color="auto" w:fill="auto"/>
                  <w:tcMar>
                    <w:top w:w="28" w:type="dxa"/>
                  </w:tcMar>
                </w:tcPr>
                <w:p w14:paraId="77795269" w14:textId="77777777" w:rsidR="00FC14FC" w:rsidRDefault="00FC14FC" w:rsidP="00D11B9D">
                  <w:pPr>
                    <w:pStyle w:val="TableColumnHeading"/>
                    <w:ind w:right="28"/>
                    <w:jc w:val="center"/>
                  </w:pPr>
                  <w:r>
                    <w:t>Actual returns</w:t>
                  </w:r>
                </w:p>
              </w:tc>
              <w:tc>
                <w:tcPr>
                  <w:tcW w:w="1954" w:type="pct"/>
                  <w:gridSpan w:val="4"/>
                  <w:tcBorders>
                    <w:left w:val="single" w:sz="4" w:space="0" w:color="D9D9D9" w:themeColor="background1" w:themeShade="D9"/>
                    <w:right w:val="single" w:sz="4" w:space="0" w:color="D9D9D9" w:themeColor="background1" w:themeShade="D9"/>
                  </w:tcBorders>
                </w:tcPr>
                <w:p w14:paraId="045B6BD4" w14:textId="77777777" w:rsidR="00FC14FC" w:rsidRDefault="00FC14FC" w:rsidP="00D11B9D">
                  <w:pPr>
                    <w:pStyle w:val="TableColumnHeading"/>
                    <w:jc w:val="center"/>
                  </w:pPr>
                  <w:r>
                    <w:t>B</w:t>
                  </w:r>
                  <w:r w:rsidRPr="002C33A8">
                    <w:t>enchmarks</w:t>
                  </w:r>
                </w:p>
              </w:tc>
              <w:tc>
                <w:tcPr>
                  <w:tcW w:w="526" w:type="pct"/>
                  <w:tcBorders>
                    <w:left w:val="single" w:sz="4" w:space="0" w:color="D9D9D9" w:themeColor="background1" w:themeShade="D9"/>
                  </w:tcBorders>
                </w:tcPr>
                <w:p w14:paraId="424443DC" w14:textId="77777777" w:rsidR="00FC14FC" w:rsidRDefault="00FC14FC" w:rsidP="00D11B9D">
                  <w:pPr>
                    <w:pStyle w:val="TableColumnHeading"/>
                    <w:jc w:val="left"/>
                  </w:pPr>
                </w:p>
              </w:tc>
            </w:tr>
            <w:tr w:rsidR="00FC14FC" w14:paraId="254CBEE2" w14:textId="77777777" w:rsidTr="00D11B9D">
              <w:trPr>
                <w:tblHeader/>
              </w:trPr>
              <w:tc>
                <w:tcPr>
                  <w:tcW w:w="507" w:type="pct"/>
                  <w:shd w:val="clear" w:color="auto" w:fill="auto"/>
                  <w:tcMar>
                    <w:top w:w="28" w:type="dxa"/>
                  </w:tcMar>
                  <w:vAlign w:val="bottom"/>
                </w:tcPr>
                <w:p w14:paraId="3306E573" w14:textId="77777777" w:rsidR="00FC14FC" w:rsidRDefault="00FC14FC" w:rsidP="00D11B9D">
                  <w:pPr>
                    <w:pStyle w:val="TableColumnHeading"/>
                    <w:jc w:val="left"/>
                  </w:pPr>
                  <w:r>
                    <w:t>Analysis</w:t>
                  </w:r>
                </w:p>
              </w:tc>
              <w:tc>
                <w:tcPr>
                  <w:tcW w:w="428" w:type="pct"/>
                  <w:vAlign w:val="bottom"/>
                </w:tcPr>
                <w:p w14:paraId="2A9D4BF0" w14:textId="77777777" w:rsidR="00FC14FC" w:rsidRDefault="00FC14FC" w:rsidP="00D11B9D">
                  <w:pPr>
                    <w:pStyle w:val="TableColumnHeading"/>
                    <w:jc w:val="left"/>
                  </w:pPr>
                  <w:r>
                    <w:t>Figures/ tables</w:t>
                  </w:r>
                </w:p>
              </w:tc>
              <w:tc>
                <w:tcPr>
                  <w:tcW w:w="467" w:type="pct"/>
                  <w:shd w:val="clear" w:color="auto" w:fill="auto"/>
                  <w:tcMar>
                    <w:top w:w="28" w:type="dxa"/>
                  </w:tcMar>
                  <w:vAlign w:val="bottom"/>
                </w:tcPr>
                <w:p w14:paraId="6F7703E3" w14:textId="77777777" w:rsidR="00FC14FC" w:rsidRDefault="00FC14FC" w:rsidP="00D11B9D">
                  <w:pPr>
                    <w:pStyle w:val="TableColumnHeading"/>
                    <w:jc w:val="left"/>
                  </w:pPr>
                  <w:r>
                    <w:t>Unit of analysis</w:t>
                  </w:r>
                </w:p>
              </w:tc>
              <w:tc>
                <w:tcPr>
                  <w:tcW w:w="432" w:type="pct"/>
                  <w:vAlign w:val="bottom"/>
                </w:tcPr>
                <w:p w14:paraId="43DD032A" w14:textId="77777777" w:rsidR="00FC14FC" w:rsidRDefault="00FC14FC" w:rsidP="00D11B9D">
                  <w:pPr>
                    <w:pStyle w:val="TableColumnHeading"/>
                    <w:ind w:right="28"/>
                    <w:jc w:val="left"/>
                  </w:pPr>
                  <w:r>
                    <w:t>Data</w:t>
                  </w:r>
                </w:p>
              </w:tc>
              <w:tc>
                <w:tcPr>
                  <w:tcW w:w="387" w:type="pct"/>
                  <w:vAlign w:val="bottom"/>
                </w:tcPr>
                <w:p w14:paraId="10CF4B16" w14:textId="77777777" w:rsidR="00FC14FC" w:rsidRDefault="00FC14FC" w:rsidP="00D11B9D">
                  <w:pPr>
                    <w:pStyle w:val="TableColumnHeading"/>
                    <w:ind w:right="28"/>
                    <w:jc w:val="left"/>
                  </w:pPr>
                  <w:r>
                    <w:t>Time periods</w:t>
                  </w:r>
                </w:p>
              </w:tc>
              <w:tc>
                <w:tcPr>
                  <w:tcW w:w="299" w:type="pct"/>
                  <w:vAlign w:val="bottom"/>
                </w:tcPr>
                <w:p w14:paraId="7B8042E3" w14:textId="77777777" w:rsidR="00FC14FC" w:rsidRDefault="00FC14FC" w:rsidP="00D11B9D">
                  <w:pPr>
                    <w:pStyle w:val="TableColumnHeading"/>
                    <w:ind w:right="28"/>
                    <w:jc w:val="left"/>
                  </w:pPr>
                  <w:r>
                    <w:t>Bias</w:t>
                  </w:r>
                </w:p>
              </w:tc>
              <w:tc>
                <w:tcPr>
                  <w:tcW w:w="365" w:type="pct"/>
                  <w:vAlign w:val="bottom"/>
                </w:tcPr>
                <w:p w14:paraId="0292EBA4" w14:textId="77777777" w:rsidR="00FC14FC" w:rsidRDefault="00FC14FC" w:rsidP="00D11B9D">
                  <w:pPr>
                    <w:pStyle w:val="TableColumnHeading"/>
                    <w:ind w:right="28"/>
                    <w:jc w:val="left"/>
                  </w:pPr>
                  <w:r>
                    <w:t>BPs used</w:t>
                  </w:r>
                </w:p>
              </w:tc>
              <w:tc>
                <w:tcPr>
                  <w:tcW w:w="350" w:type="pct"/>
                  <w:vAlign w:val="bottom"/>
                </w:tcPr>
                <w:p w14:paraId="596698B7" w14:textId="77777777" w:rsidR="00FC14FC" w:rsidRDefault="00FC14FC" w:rsidP="00D11B9D">
                  <w:pPr>
                    <w:pStyle w:val="TableColumnHeading"/>
                    <w:ind w:right="28"/>
                    <w:jc w:val="left"/>
                  </w:pPr>
                  <w:r>
                    <w:t>Tax rate</w:t>
                  </w:r>
                </w:p>
              </w:tc>
              <w:tc>
                <w:tcPr>
                  <w:tcW w:w="377" w:type="pct"/>
                  <w:vAlign w:val="bottom"/>
                </w:tcPr>
                <w:p w14:paraId="4FFD8FC8" w14:textId="77777777" w:rsidR="00FC14FC" w:rsidRDefault="00FC14FC" w:rsidP="00D11B9D">
                  <w:pPr>
                    <w:pStyle w:val="TableColumnHeading"/>
                    <w:ind w:right="28"/>
                    <w:jc w:val="left"/>
                  </w:pPr>
                  <w:r>
                    <w:t>Admin expenses</w:t>
                  </w:r>
                </w:p>
              </w:tc>
              <w:tc>
                <w:tcPr>
                  <w:tcW w:w="862" w:type="pct"/>
                  <w:vAlign w:val="bottom"/>
                </w:tcPr>
                <w:p w14:paraId="4D81BA55" w14:textId="77777777" w:rsidR="00FC14FC" w:rsidRDefault="00FC14FC" w:rsidP="00D11B9D">
                  <w:pPr>
                    <w:pStyle w:val="TableColumnHeading"/>
                    <w:ind w:right="28"/>
                    <w:jc w:val="left"/>
                  </w:pPr>
                  <w:r>
                    <w:t>Asset allocation</w:t>
                  </w:r>
                </w:p>
              </w:tc>
              <w:tc>
                <w:tcPr>
                  <w:tcW w:w="526" w:type="pct"/>
                  <w:vAlign w:val="bottom"/>
                </w:tcPr>
                <w:p w14:paraId="04D61E15" w14:textId="77777777" w:rsidR="00FC14FC" w:rsidRDefault="00FC14FC" w:rsidP="00D11B9D">
                  <w:pPr>
                    <w:pStyle w:val="TableColumnHeading"/>
                    <w:ind w:right="28"/>
                    <w:jc w:val="left"/>
                  </w:pPr>
                  <w:r>
                    <w:t>Other sensitivity testing</w:t>
                  </w:r>
                </w:p>
              </w:tc>
            </w:tr>
            <w:tr w:rsidR="00FC14FC" w14:paraId="2E83DA3E" w14:textId="77777777" w:rsidTr="00D11B9D">
              <w:tc>
                <w:tcPr>
                  <w:tcW w:w="507" w:type="pct"/>
                  <w:shd w:val="clear" w:color="auto" w:fill="FFFFFF" w:themeFill="background1"/>
                </w:tcPr>
                <w:p w14:paraId="0C43A0DF" w14:textId="77777777" w:rsidR="00FC14FC" w:rsidRDefault="00FC14FC" w:rsidP="00D11B9D">
                  <w:pPr>
                    <w:pStyle w:val="TableUnitsRow"/>
                    <w:jc w:val="left"/>
                  </w:pPr>
                  <w:r>
                    <w:t>Long</w:t>
                  </w:r>
                  <w:r>
                    <w:noBreakHyphen/>
                    <w:t>term returns of retail and not</w:t>
                  </w:r>
                  <w:r>
                    <w:noBreakHyphen/>
                    <w:t>for</w:t>
                  </w:r>
                  <w:r>
                    <w:noBreakHyphen/>
                    <w:t>profit</w:t>
                  </w:r>
                </w:p>
              </w:tc>
              <w:tc>
                <w:tcPr>
                  <w:tcW w:w="428" w:type="pct"/>
                  <w:shd w:val="clear" w:color="auto" w:fill="FFFFFF" w:themeFill="background1"/>
                </w:tcPr>
                <w:p w14:paraId="197F4A67" w14:textId="77777777" w:rsidR="00FC14FC" w:rsidRDefault="00FC14FC" w:rsidP="00D11B9D">
                  <w:pPr>
                    <w:pStyle w:val="TableBodyText"/>
                    <w:spacing w:before="40"/>
                    <w:jc w:val="left"/>
                  </w:pPr>
                  <w:r>
                    <w:t>Figures 2.8, 4.15,</w:t>
                  </w:r>
                </w:p>
                <w:p w14:paraId="43561E85" w14:textId="77777777" w:rsidR="00FC14FC" w:rsidRDefault="00FC14FC" w:rsidP="00D11B9D">
                  <w:pPr>
                    <w:pStyle w:val="TableUnitsRow"/>
                    <w:jc w:val="left"/>
                  </w:pPr>
                  <w:r>
                    <w:t xml:space="preserve">Table 4.32 </w:t>
                  </w:r>
                </w:p>
              </w:tc>
              <w:tc>
                <w:tcPr>
                  <w:tcW w:w="467" w:type="pct"/>
                  <w:shd w:val="clear" w:color="auto" w:fill="FFFFFF" w:themeFill="background1"/>
                </w:tcPr>
                <w:p w14:paraId="59DDAAA2" w14:textId="77777777" w:rsidR="00FC14FC" w:rsidRDefault="00FC14FC" w:rsidP="00D11B9D">
                  <w:pPr>
                    <w:pStyle w:val="TableUnitsRow"/>
                    <w:jc w:val="left"/>
                  </w:pPr>
                  <w:r>
                    <w:t>APRA fund segments</w:t>
                  </w:r>
                </w:p>
              </w:tc>
              <w:tc>
                <w:tcPr>
                  <w:tcW w:w="432" w:type="pct"/>
                  <w:shd w:val="clear" w:color="auto" w:fill="FFFFFF" w:themeFill="background1"/>
                </w:tcPr>
                <w:p w14:paraId="27E7EC48" w14:textId="77777777" w:rsidR="00FC14FC" w:rsidRDefault="00FC14FC" w:rsidP="00D11B9D">
                  <w:pPr>
                    <w:pStyle w:val="TableUnitsRow"/>
                    <w:ind w:right="28"/>
                    <w:jc w:val="left"/>
                  </w:pPr>
                  <w:r>
                    <w:t>Regulator data</w:t>
                  </w:r>
                </w:p>
              </w:tc>
              <w:tc>
                <w:tcPr>
                  <w:tcW w:w="387" w:type="pct"/>
                  <w:shd w:val="clear" w:color="auto" w:fill="FFFFFF" w:themeFill="background1"/>
                </w:tcPr>
                <w:p w14:paraId="0760616C" w14:textId="77777777" w:rsidR="00FC14FC" w:rsidRDefault="00FC14FC" w:rsidP="00D11B9D">
                  <w:pPr>
                    <w:pStyle w:val="TableBodyText"/>
                    <w:spacing w:before="40"/>
                    <w:ind w:right="28"/>
                    <w:jc w:val="left"/>
                  </w:pPr>
                  <w:r>
                    <w:t>2005–2017</w:t>
                  </w:r>
                </w:p>
                <w:p w14:paraId="178628DB" w14:textId="77777777" w:rsidR="00FC14FC" w:rsidRDefault="00FC14FC" w:rsidP="00D11B9D">
                  <w:pPr>
                    <w:pStyle w:val="TableBodyText"/>
                    <w:spacing w:before="40"/>
                    <w:ind w:right="28"/>
                    <w:jc w:val="left"/>
                  </w:pPr>
                  <w:r>
                    <w:t>2008–2017</w:t>
                  </w:r>
                </w:p>
                <w:p w14:paraId="10DA0B04" w14:textId="77777777" w:rsidR="00FC14FC" w:rsidRDefault="00FC14FC" w:rsidP="00D11B9D">
                  <w:pPr>
                    <w:pStyle w:val="TableBodyText"/>
                    <w:spacing w:before="40"/>
                    <w:ind w:right="28"/>
                    <w:jc w:val="left"/>
                  </w:pPr>
                  <w:r>
                    <w:t xml:space="preserve">2013–2017 </w:t>
                  </w:r>
                </w:p>
              </w:tc>
              <w:tc>
                <w:tcPr>
                  <w:tcW w:w="299" w:type="pct"/>
                  <w:shd w:val="clear" w:color="auto" w:fill="FFFFFF" w:themeFill="background1"/>
                </w:tcPr>
                <w:p w14:paraId="17E54770" w14:textId="77777777" w:rsidR="00FC14FC" w:rsidRDefault="00FC14FC" w:rsidP="00D11B9D">
                  <w:pPr>
                    <w:pStyle w:val="TableUnitsRow"/>
                    <w:ind w:right="28"/>
                    <w:jc w:val="left"/>
                  </w:pPr>
                  <w:r>
                    <w:t>None</w:t>
                  </w:r>
                </w:p>
              </w:tc>
              <w:tc>
                <w:tcPr>
                  <w:tcW w:w="365" w:type="pct"/>
                  <w:shd w:val="clear" w:color="auto" w:fill="FFFFFF" w:themeFill="background1"/>
                </w:tcPr>
                <w:p w14:paraId="51F242E4" w14:textId="77777777" w:rsidR="00FC14FC" w:rsidRDefault="00FC14FC" w:rsidP="00D11B9D">
                  <w:pPr>
                    <w:pStyle w:val="TableUnitsRow"/>
                    <w:ind w:right="28"/>
                    <w:jc w:val="left"/>
                  </w:pPr>
                  <w:r>
                    <w:t>Segment tailored BP1,BP2</w:t>
                  </w:r>
                </w:p>
              </w:tc>
              <w:tc>
                <w:tcPr>
                  <w:tcW w:w="350" w:type="pct"/>
                  <w:shd w:val="clear" w:color="auto" w:fill="FFFFFF" w:themeFill="background1"/>
                </w:tcPr>
                <w:p w14:paraId="55FD0F4D" w14:textId="77777777" w:rsidR="00FC14FC" w:rsidRDefault="00FC14FC" w:rsidP="00D11B9D">
                  <w:pPr>
                    <w:pStyle w:val="TableUnitsRow"/>
                    <w:ind w:right="28"/>
                    <w:jc w:val="left"/>
                  </w:pPr>
                  <w:r>
                    <w:t>System average (APRA funds),</w:t>
                  </w:r>
                </w:p>
                <w:p w14:paraId="6840DB15" w14:textId="77777777" w:rsidR="00FC14FC" w:rsidRDefault="00FC14FC" w:rsidP="00D11B9D">
                  <w:pPr>
                    <w:pStyle w:val="TableUnitsRow"/>
                    <w:ind w:right="28"/>
                    <w:jc w:val="left"/>
                  </w:pPr>
                  <w:r>
                    <w:t>5%</w:t>
                  </w:r>
                </w:p>
              </w:tc>
              <w:tc>
                <w:tcPr>
                  <w:tcW w:w="377" w:type="pct"/>
                  <w:shd w:val="clear" w:color="auto" w:fill="FFFFFF" w:themeFill="background1"/>
                </w:tcPr>
                <w:p w14:paraId="1B2193DE" w14:textId="77777777" w:rsidR="00FC14FC" w:rsidRDefault="00FC14FC" w:rsidP="00D11B9D">
                  <w:pPr>
                    <w:pStyle w:val="TableUnitsRow"/>
                    <w:ind w:right="28"/>
                    <w:jc w:val="left"/>
                  </w:pPr>
                  <w:r>
                    <w:t>Segment median (APRA funds)</w:t>
                  </w:r>
                </w:p>
              </w:tc>
              <w:tc>
                <w:tcPr>
                  <w:tcW w:w="862" w:type="pct"/>
                  <w:vMerge w:val="restart"/>
                  <w:shd w:val="pct5" w:color="auto" w:fill="auto"/>
                  <w:vAlign w:val="center"/>
                </w:tcPr>
                <w:p w14:paraId="723259F4" w14:textId="77777777" w:rsidR="00FC14FC" w:rsidRDefault="00FC14FC" w:rsidP="00D11B9D">
                  <w:pPr>
                    <w:pStyle w:val="TableUnitsRow"/>
                    <w:shd w:val="pct5" w:color="auto" w:fill="auto"/>
                    <w:spacing w:before="120"/>
                    <w:ind w:right="28"/>
                    <w:jc w:val="left"/>
                  </w:pPr>
                  <w:r>
                    <w:t>BP Asset allocation data: APRA</w:t>
                  </w:r>
                </w:p>
                <w:p w14:paraId="10B1C939" w14:textId="77777777" w:rsidR="00FC14FC" w:rsidRDefault="00FC14FC" w:rsidP="00D11B9D">
                  <w:pPr>
                    <w:pStyle w:val="TableUnitsRow"/>
                    <w:shd w:val="pct5" w:color="auto" w:fill="auto"/>
                    <w:spacing w:before="120"/>
                    <w:ind w:right="28"/>
                    <w:jc w:val="left"/>
                  </w:pPr>
                  <w:r>
                    <w:t>Unlisted/listed allocation: Fund type</w:t>
                  </w:r>
                </w:p>
                <w:p w14:paraId="0F81529F" w14:textId="77777777" w:rsidR="00FC14FC" w:rsidRDefault="00FC14FC" w:rsidP="00D11B9D">
                  <w:pPr>
                    <w:pStyle w:val="TableBodyText"/>
                    <w:shd w:val="pct5" w:color="auto" w:fill="auto"/>
                    <w:spacing w:before="120"/>
                    <w:ind w:right="28"/>
                    <w:jc w:val="left"/>
                  </w:pPr>
                  <w:r>
                    <w:t>Domestic/international property allocation: Fund type</w:t>
                  </w:r>
                </w:p>
                <w:p w14:paraId="6F4B591A" w14:textId="77777777" w:rsidR="00FC14FC" w:rsidRDefault="00FC14FC" w:rsidP="00D11B9D">
                  <w:pPr>
                    <w:pStyle w:val="TableBodyText"/>
                    <w:shd w:val="pct5" w:color="auto" w:fill="auto"/>
                    <w:spacing w:before="120"/>
                    <w:ind w:right="28"/>
                    <w:jc w:val="left"/>
                  </w:pPr>
                  <w:r>
                    <w:t>Domestic/ international private equity allocation: Fund type</w:t>
                  </w:r>
                </w:p>
                <w:p w14:paraId="38A63541" w14:textId="77777777" w:rsidR="00FC14FC" w:rsidRDefault="00FC14FC" w:rsidP="00D11B9D">
                  <w:pPr>
                    <w:pStyle w:val="TableBodyText"/>
                    <w:ind w:right="28"/>
                    <w:jc w:val="left"/>
                  </w:pPr>
                </w:p>
              </w:tc>
              <w:tc>
                <w:tcPr>
                  <w:tcW w:w="526" w:type="pct"/>
                  <w:shd w:val="clear" w:color="auto" w:fill="FFFFFF" w:themeFill="background1"/>
                </w:tcPr>
                <w:p w14:paraId="5B55CD5D" w14:textId="77777777" w:rsidR="00FC14FC" w:rsidRDefault="00FC14FC" w:rsidP="00D11B9D">
                  <w:pPr>
                    <w:pStyle w:val="TableBodyText"/>
                    <w:spacing w:before="40"/>
                    <w:ind w:right="28"/>
                    <w:jc w:val="left"/>
                  </w:pPr>
                  <w:r>
                    <w:t>Investment returns (gross of admin fees)</w:t>
                  </w:r>
                </w:p>
                <w:p w14:paraId="05B43EF5" w14:textId="77777777" w:rsidR="00FC14FC" w:rsidRDefault="00FC14FC" w:rsidP="00D11B9D">
                  <w:pPr>
                    <w:pStyle w:val="TableUnitsRow"/>
                    <w:spacing w:before="120"/>
                    <w:ind w:right="28"/>
                    <w:jc w:val="left"/>
                  </w:pPr>
                  <w:r>
                    <w:t>Member weighted returns</w:t>
                  </w:r>
                </w:p>
                <w:p w14:paraId="6EDFEC22" w14:textId="77777777" w:rsidR="00FC14FC" w:rsidRDefault="00FC14FC" w:rsidP="00D11B9D">
                  <w:pPr>
                    <w:pStyle w:val="TableUnitsRow"/>
                    <w:spacing w:before="120"/>
                    <w:ind w:right="28"/>
                    <w:jc w:val="left"/>
                  </w:pPr>
                  <w:r>
                    <w:t>Only current funds</w:t>
                  </w:r>
                </w:p>
                <w:p w14:paraId="1F72B7DC" w14:textId="77777777" w:rsidR="00FC14FC" w:rsidRDefault="00FC14FC" w:rsidP="00D11B9D">
                  <w:pPr>
                    <w:pStyle w:val="TableUnitsRow"/>
                    <w:spacing w:before="120"/>
                    <w:ind w:right="28"/>
                    <w:jc w:val="left"/>
                  </w:pPr>
                  <w:r>
                    <w:t>With static 2017 asset allocation</w:t>
                  </w:r>
                </w:p>
                <w:p w14:paraId="0F042ECB" w14:textId="77777777" w:rsidR="00FC14FC" w:rsidRDefault="00FC14FC" w:rsidP="00D11B9D">
                  <w:pPr>
                    <w:pStyle w:val="TableUnitsRow"/>
                    <w:spacing w:before="120"/>
                    <w:ind w:right="28"/>
                    <w:jc w:val="left"/>
                  </w:pPr>
                  <w:r>
                    <w:t>Hedging</w:t>
                  </w:r>
                </w:p>
              </w:tc>
            </w:tr>
            <w:tr w:rsidR="00FC14FC" w14:paraId="6EF6A8F7" w14:textId="77777777" w:rsidTr="00D11B9D">
              <w:trPr>
                <w:trHeight w:val="1428"/>
              </w:trPr>
              <w:tc>
                <w:tcPr>
                  <w:tcW w:w="507" w:type="pct"/>
                  <w:shd w:val="clear" w:color="auto" w:fill="FFFFFF" w:themeFill="background1"/>
                </w:tcPr>
                <w:p w14:paraId="135854B8" w14:textId="77777777" w:rsidR="00FC14FC" w:rsidRDefault="00FC14FC" w:rsidP="00D11B9D">
                  <w:pPr>
                    <w:pStyle w:val="TableBodyText"/>
                    <w:jc w:val="left"/>
                  </w:pPr>
                  <w:r>
                    <w:t>Long</w:t>
                  </w:r>
                  <w:r>
                    <w:noBreakHyphen/>
                    <w:t>term standard deviation of retail and not</w:t>
                  </w:r>
                  <w:r>
                    <w:noBreakHyphen/>
                    <w:t>for</w:t>
                  </w:r>
                  <w:r>
                    <w:noBreakHyphen/>
                    <w:t>profit</w:t>
                  </w:r>
                </w:p>
              </w:tc>
              <w:tc>
                <w:tcPr>
                  <w:tcW w:w="428" w:type="pct"/>
                  <w:shd w:val="clear" w:color="auto" w:fill="FFFFFF" w:themeFill="background1"/>
                </w:tcPr>
                <w:p w14:paraId="3EB6C24D" w14:textId="77777777" w:rsidR="00FC14FC" w:rsidRDefault="00FC14FC" w:rsidP="00D11B9D">
                  <w:pPr>
                    <w:pStyle w:val="TableBodyText"/>
                    <w:jc w:val="left"/>
                  </w:pPr>
                  <w:r>
                    <w:t>Figure 4.14</w:t>
                  </w:r>
                </w:p>
              </w:tc>
              <w:tc>
                <w:tcPr>
                  <w:tcW w:w="467" w:type="pct"/>
                  <w:shd w:val="clear" w:color="auto" w:fill="FFFFFF" w:themeFill="background1"/>
                </w:tcPr>
                <w:p w14:paraId="0448EB4E" w14:textId="77777777" w:rsidR="00FC14FC" w:rsidRDefault="00FC14FC" w:rsidP="00D11B9D">
                  <w:pPr>
                    <w:pStyle w:val="TableBodyText"/>
                    <w:jc w:val="left"/>
                  </w:pPr>
                  <w:r>
                    <w:t>APRA fund segments</w:t>
                  </w:r>
                </w:p>
              </w:tc>
              <w:tc>
                <w:tcPr>
                  <w:tcW w:w="432" w:type="pct"/>
                  <w:shd w:val="clear" w:color="auto" w:fill="FFFFFF" w:themeFill="background1"/>
                </w:tcPr>
                <w:p w14:paraId="7C77AEF4" w14:textId="77777777" w:rsidR="00FC14FC" w:rsidRDefault="00FC14FC" w:rsidP="00D11B9D">
                  <w:pPr>
                    <w:pStyle w:val="TableBodyText"/>
                    <w:ind w:right="28"/>
                    <w:jc w:val="left"/>
                  </w:pPr>
                  <w:r>
                    <w:t>Regulator data</w:t>
                  </w:r>
                </w:p>
              </w:tc>
              <w:tc>
                <w:tcPr>
                  <w:tcW w:w="387" w:type="pct"/>
                  <w:shd w:val="clear" w:color="auto" w:fill="FFFFFF" w:themeFill="background1"/>
                </w:tcPr>
                <w:p w14:paraId="167FB982" w14:textId="77777777" w:rsidR="00FC14FC" w:rsidRDefault="00FC14FC" w:rsidP="00D11B9D">
                  <w:pPr>
                    <w:pStyle w:val="TableBodyText"/>
                    <w:ind w:right="28"/>
                    <w:jc w:val="left"/>
                  </w:pPr>
                  <w:r>
                    <w:t xml:space="preserve">2005–2017 </w:t>
                  </w:r>
                </w:p>
              </w:tc>
              <w:tc>
                <w:tcPr>
                  <w:tcW w:w="299" w:type="pct"/>
                  <w:shd w:val="clear" w:color="auto" w:fill="FFFFFF" w:themeFill="background1"/>
                </w:tcPr>
                <w:p w14:paraId="3CFC753C" w14:textId="77777777" w:rsidR="00FC14FC" w:rsidRDefault="00FC14FC" w:rsidP="00D11B9D">
                  <w:pPr>
                    <w:pStyle w:val="TableBodyText"/>
                    <w:ind w:right="28"/>
                    <w:jc w:val="left"/>
                  </w:pPr>
                  <w:r>
                    <w:t>None</w:t>
                  </w:r>
                </w:p>
              </w:tc>
              <w:tc>
                <w:tcPr>
                  <w:tcW w:w="365" w:type="pct"/>
                  <w:shd w:val="clear" w:color="auto" w:fill="FFFFFF" w:themeFill="background1"/>
                </w:tcPr>
                <w:p w14:paraId="3C2A63CD" w14:textId="77777777" w:rsidR="00FC14FC" w:rsidRDefault="00FC14FC" w:rsidP="00D11B9D">
                  <w:pPr>
                    <w:pStyle w:val="TableBodyText"/>
                    <w:ind w:right="28"/>
                    <w:jc w:val="left"/>
                  </w:pPr>
                  <w:r>
                    <w:t>Segment average asset allocation BP1, BP2</w:t>
                  </w:r>
                </w:p>
              </w:tc>
              <w:tc>
                <w:tcPr>
                  <w:tcW w:w="350" w:type="pct"/>
                  <w:shd w:val="clear" w:color="auto" w:fill="FFFFFF" w:themeFill="background1"/>
                </w:tcPr>
                <w:p w14:paraId="4143839E" w14:textId="77777777" w:rsidR="00FC14FC" w:rsidRDefault="00FC14FC" w:rsidP="00D11B9D">
                  <w:pPr>
                    <w:pStyle w:val="TableBodyText"/>
                    <w:ind w:right="28"/>
                    <w:jc w:val="left"/>
                  </w:pPr>
                  <w:r>
                    <w:t>System average (APRA funds)</w:t>
                  </w:r>
                </w:p>
              </w:tc>
              <w:tc>
                <w:tcPr>
                  <w:tcW w:w="377" w:type="pct"/>
                  <w:shd w:val="clear" w:color="auto" w:fill="FFFFFF" w:themeFill="background1"/>
                </w:tcPr>
                <w:p w14:paraId="561D1D90" w14:textId="77777777" w:rsidR="00FC14FC" w:rsidRDefault="00FC14FC" w:rsidP="00D11B9D">
                  <w:pPr>
                    <w:pStyle w:val="TableBodyText"/>
                    <w:ind w:right="28"/>
                    <w:jc w:val="left"/>
                  </w:pPr>
                  <w:r>
                    <w:t>Segment median (APRA funds)</w:t>
                  </w:r>
                </w:p>
              </w:tc>
              <w:tc>
                <w:tcPr>
                  <w:tcW w:w="862" w:type="pct"/>
                  <w:vMerge/>
                  <w:shd w:val="pct5" w:color="auto" w:fill="auto"/>
                </w:tcPr>
                <w:p w14:paraId="3603FCFF" w14:textId="77777777" w:rsidR="00FC14FC" w:rsidRDefault="00FC14FC" w:rsidP="00D11B9D">
                  <w:pPr>
                    <w:pStyle w:val="TableBodyText"/>
                    <w:ind w:right="28"/>
                    <w:jc w:val="left"/>
                  </w:pPr>
                </w:p>
              </w:tc>
              <w:tc>
                <w:tcPr>
                  <w:tcW w:w="526" w:type="pct"/>
                  <w:shd w:val="clear" w:color="auto" w:fill="FFFFFF" w:themeFill="background1"/>
                </w:tcPr>
                <w:p w14:paraId="520D9AC0" w14:textId="77777777" w:rsidR="00FC14FC" w:rsidRDefault="00FC14FC" w:rsidP="00D11B9D">
                  <w:pPr>
                    <w:pStyle w:val="TableUnitsRow"/>
                    <w:ind w:right="28"/>
                    <w:jc w:val="left"/>
                  </w:pPr>
                </w:p>
              </w:tc>
            </w:tr>
            <w:tr w:rsidR="00FC14FC" w14:paraId="2CAC81AD" w14:textId="77777777" w:rsidTr="00D11B9D">
              <w:tc>
                <w:tcPr>
                  <w:tcW w:w="507" w:type="pct"/>
                  <w:shd w:val="clear" w:color="auto" w:fill="FFFFFF" w:themeFill="background1"/>
                </w:tcPr>
                <w:p w14:paraId="07BCF72E" w14:textId="77777777" w:rsidR="00FC14FC" w:rsidRDefault="00FC14FC" w:rsidP="00D11B9D">
                  <w:pPr>
                    <w:pStyle w:val="TableBodyText"/>
                    <w:jc w:val="left"/>
                  </w:pPr>
                  <w:r>
                    <w:t>Long</w:t>
                  </w:r>
                  <w:r>
                    <w:noBreakHyphen/>
                    <w:t xml:space="preserve">term returns of options by option type and fund type </w:t>
                  </w:r>
                </w:p>
              </w:tc>
              <w:tc>
                <w:tcPr>
                  <w:tcW w:w="428" w:type="pct"/>
                  <w:shd w:val="clear" w:color="auto" w:fill="FFFFFF" w:themeFill="background1"/>
                </w:tcPr>
                <w:p w14:paraId="77636577" w14:textId="77777777" w:rsidR="00FC14FC" w:rsidRDefault="00FC14FC" w:rsidP="00D11B9D">
                  <w:pPr>
                    <w:pStyle w:val="TableBodyText"/>
                    <w:jc w:val="left"/>
                  </w:pPr>
                  <w:r>
                    <w:t xml:space="preserve">Figure 2.9, </w:t>
                  </w:r>
                </w:p>
                <w:p w14:paraId="3B388A8E" w14:textId="77777777" w:rsidR="00FC14FC" w:rsidRDefault="00FC14FC" w:rsidP="00D11B9D">
                  <w:pPr>
                    <w:pStyle w:val="TableBodyText"/>
                    <w:jc w:val="left"/>
                  </w:pPr>
                  <w:r>
                    <w:t xml:space="preserve">Table 4.33 </w:t>
                  </w:r>
                </w:p>
              </w:tc>
              <w:tc>
                <w:tcPr>
                  <w:tcW w:w="467" w:type="pct"/>
                  <w:shd w:val="clear" w:color="auto" w:fill="FFFFFF" w:themeFill="background1"/>
                </w:tcPr>
                <w:p w14:paraId="03283B09" w14:textId="77777777" w:rsidR="00FC14FC" w:rsidRDefault="00FC14FC" w:rsidP="00D11B9D">
                  <w:pPr>
                    <w:pStyle w:val="TableBodyText"/>
                    <w:jc w:val="left"/>
                  </w:pPr>
                  <w:r>
                    <w:t>APRA fund options by option type and fund type</w:t>
                  </w:r>
                </w:p>
              </w:tc>
              <w:tc>
                <w:tcPr>
                  <w:tcW w:w="432" w:type="pct"/>
                  <w:shd w:val="clear" w:color="auto" w:fill="FFFFFF" w:themeFill="background1"/>
                </w:tcPr>
                <w:p w14:paraId="396D8CC1" w14:textId="77777777" w:rsidR="00FC14FC" w:rsidRDefault="00FC14FC" w:rsidP="00D11B9D">
                  <w:pPr>
                    <w:pStyle w:val="TableBodyText"/>
                    <w:ind w:right="28"/>
                    <w:jc w:val="left"/>
                  </w:pPr>
                  <w:r>
                    <w:t>SuperRatings data</w:t>
                  </w:r>
                </w:p>
              </w:tc>
              <w:tc>
                <w:tcPr>
                  <w:tcW w:w="387" w:type="pct"/>
                  <w:shd w:val="clear" w:color="auto" w:fill="FFFFFF" w:themeFill="background1"/>
                </w:tcPr>
                <w:p w14:paraId="3ABDA2B4" w14:textId="77777777" w:rsidR="00FC14FC" w:rsidRDefault="00FC14FC" w:rsidP="00D11B9D">
                  <w:pPr>
                    <w:pStyle w:val="TableBodyText"/>
                    <w:ind w:right="28"/>
                    <w:jc w:val="left"/>
                  </w:pPr>
                  <w:r>
                    <w:t>2005–2017</w:t>
                  </w:r>
                </w:p>
              </w:tc>
              <w:tc>
                <w:tcPr>
                  <w:tcW w:w="299" w:type="pct"/>
                  <w:shd w:val="clear" w:color="auto" w:fill="FFFFFF" w:themeFill="background1"/>
                </w:tcPr>
                <w:p w14:paraId="1817B506" w14:textId="77777777" w:rsidR="00FC14FC" w:rsidRDefault="00FC14FC" w:rsidP="00D11B9D">
                  <w:pPr>
                    <w:pStyle w:val="TableBodyText"/>
                    <w:ind w:right="28"/>
                    <w:jc w:val="left"/>
                  </w:pPr>
                  <w:r>
                    <w:t>Selection bias</w:t>
                  </w:r>
                </w:p>
              </w:tc>
              <w:tc>
                <w:tcPr>
                  <w:tcW w:w="365" w:type="pct"/>
                  <w:shd w:val="clear" w:color="auto" w:fill="FFFFFF" w:themeFill="background1"/>
                </w:tcPr>
                <w:p w14:paraId="608874A7" w14:textId="77777777" w:rsidR="00FC14FC" w:rsidRDefault="00FC14FC" w:rsidP="00D11B9D">
                  <w:pPr>
                    <w:pStyle w:val="TableBodyText"/>
                    <w:ind w:right="28"/>
                    <w:jc w:val="left"/>
                  </w:pPr>
                  <w:r>
                    <w:t>Option</w:t>
                  </w:r>
                  <w:r>
                    <w:noBreakHyphen/>
                    <w:t>type BP1, BP2</w:t>
                  </w:r>
                </w:p>
              </w:tc>
              <w:tc>
                <w:tcPr>
                  <w:tcW w:w="350" w:type="pct"/>
                  <w:shd w:val="clear" w:color="auto" w:fill="FFFFFF" w:themeFill="background1"/>
                </w:tcPr>
                <w:p w14:paraId="6DF023D3" w14:textId="77777777" w:rsidR="00FC14FC" w:rsidRDefault="00FC14FC" w:rsidP="00D11B9D">
                  <w:pPr>
                    <w:pStyle w:val="TableBodyText"/>
                    <w:ind w:right="28"/>
                    <w:jc w:val="left"/>
                  </w:pPr>
                  <w:r>
                    <w:t>System average (APRA funds),</w:t>
                  </w:r>
                </w:p>
                <w:p w14:paraId="309B4AD7" w14:textId="77777777" w:rsidR="00FC14FC" w:rsidRDefault="00FC14FC" w:rsidP="00D11B9D">
                  <w:pPr>
                    <w:pStyle w:val="TableBodyText"/>
                    <w:ind w:right="28"/>
                    <w:jc w:val="left"/>
                  </w:pPr>
                  <w:r>
                    <w:t>5%</w:t>
                  </w:r>
                </w:p>
              </w:tc>
              <w:tc>
                <w:tcPr>
                  <w:tcW w:w="377" w:type="pct"/>
                  <w:shd w:val="clear" w:color="auto" w:fill="FFFFFF" w:themeFill="background1"/>
                </w:tcPr>
                <w:p w14:paraId="5092F73E" w14:textId="77777777" w:rsidR="00FC14FC" w:rsidRDefault="00FC14FC" w:rsidP="00D11B9D">
                  <w:pPr>
                    <w:pStyle w:val="TableBodyText"/>
                    <w:ind w:right="28"/>
                    <w:jc w:val="left"/>
                  </w:pPr>
                  <w:r>
                    <w:t>System median (APRA funds)</w:t>
                  </w:r>
                </w:p>
              </w:tc>
              <w:tc>
                <w:tcPr>
                  <w:tcW w:w="862" w:type="pct"/>
                  <w:shd w:val="clear" w:color="auto" w:fill="FFFFFF" w:themeFill="background1"/>
                </w:tcPr>
                <w:p w14:paraId="3123D6E6" w14:textId="77777777" w:rsidR="00FC14FC" w:rsidRDefault="00FC14FC" w:rsidP="00D11B9D">
                  <w:pPr>
                    <w:pStyle w:val="TableUnitsRow"/>
                    <w:spacing w:before="0"/>
                    <w:ind w:right="28"/>
                    <w:jc w:val="left"/>
                  </w:pPr>
                  <w:r>
                    <w:t>BP asset allocation data: APRA</w:t>
                  </w:r>
                </w:p>
                <w:p w14:paraId="46F7F312" w14:textId="77777777" w:rsidR="00FC14FC" w:rsidRDefault="00FC14FC" w:rsidP="00D11B9D">
                  <w:pPr>
                    <w:pStyle w:val="TableUnitsRow"/>
                    <w:spacing w:before="120"/>
                    <w:ind w:right="28"/>
                    <w:jc w:val="left"/>
                  </w:pPr>
                  <w:r>
                    <w:t>Unlisted/listed allocation: System</w:t>
                  </w:r>
                </w:p>
                <w:p w14:paraId="3134D840" w14:textId="77777777" w:rsidR="00FC14FC" w:rsidRDefault="00FC14FC" w:rsidP="00D11B9D">
                  <w:pPr>
                    <w:pStyle w:val="TableUnitsRow"/>
                    <w:spacing w:before="120"/>
                    <w:ind w:right="28"/>
                    <w:jc w:val="left"/>
                  </w:pPr>
                  <w:r>
                    <w:t>Domestic/ international property allocation: System</w:t>
                  </w:r>
                </w:p>
                <w:p w14:paraId="5358D981" w14:textId="77777777" w:rsidR="00FC14FC" w:rsidRDefault="00FC14FC" w:rsidP="00D11B9D">
                  <w:pPr>
                    <w:pStyle w:val="TableBodyText"/>
                    <w:spacing w:before="120"/>
                    <w:ind w:right="28"/>
                    <w:jc w:val="left"/>
                  </w:pPr>
                  <w:r>
                    <w:t>Domestic/ international private equity allocation: System</w:t>
                  </w:r>
                </w:p>
              </w:tc>
              <w:tc>
                <w:tcPr>
                  <w:tcW w:w="526" w:type="pct"/>
                  <w:shd w:val="clear" w:color="auto" w:fill="FFFFFF" w:themeFill="background1"/>
                </w:tcPr>
                <w:p w14:paraId="129D03EE" w14:textId="77777777" w:rsidR="00FC14FC" w:rsidRDefault="00FC14FC" w:rsidP="00D11B9D">
                  <w:pPr>
                    <w:pStyle w:val="TableUnitsRow"/>
                    <w:ind w:right="28"/>
                    <w:jc w:val="left"/>
                  </w:pPr>
                </w:p>
              </w:tc>
            </w:tr>
          </w:tbl>
          <w:p w14:paraId="70F796DF" w14:textId="77777777" w:rsidR="00FC14FC" w:rsidRDefault="00FC14FC" w:rsidP="00D11B9D">
            <w:pPr>
              <w:pStyle w:val="Box"/>
            </w:pPr>
          </w:p>
        </w:tc>
      </w:tr>
      <w:tr w:rsidR="00FC14FC" w14:paraId="78FE3B3B" w14:textId="77777777" w:rsidTr="00D11B9D">
        <w:tc>
          <w:tcPr>
            <w:tcW w:w="5000" w:type="pct"/>
            <w:tcBorders>
              <w:top w:val="nil"/>
              <w:left w:val="nil"/>
              <w:bottom w:val="nil"/>
              <w:right w:val="nil"/>
            </w:tcBorders>
            <w:shd w:val="clear" w:color="auto" w:fill="auto"/>
          </w:tcPr>
          <w:p w14:paraId="436446D5" w14:textId="77777777" w:rsidR="00FC14FC" w:rsidRDefault="00FC14FC" w:rsidP="00D11B9D">
            <w:pPr>
              <w:pStyle w:val="Continued"/>
              <w:rPr>
                <w:i/>
              </w:rPr>
            </w:pPr>
            <w:r w:rsidRPr="005D2ADC">
              <w:rPr>
                <w:rStyle w:val="NoteLabel"/>
              </w:rPr>
              <w:t>(continued next page)</w:t>
            </w:r>
          </w:p>
        </w:tc>
      </w:tr>
      <w:tr w:rsidR="00FC14FC" w14:paraId="67715E37" w14:textId="77777777" w:rsidTr="00D11B9D">
        <w:tc>
          <w:tcPr>
            <w:tcW w:w="5000" w:type="pct"/>
            <w:tcBorders>
              <w:top w:val="nil"/>
              <w:left w:val="nil"/>
              <w:bottom w:val="single" w:sz="6" w:space="0" w:color="78A22F"/>
              <w:right w:val="nil"/>
            </w:tcBorders>
            <w:shd w:val="clear" w:color="auto" w:fill="auto"/>
          </w:tcPr>
          <w:p w14:paraId="4C334F2D" w14:textId="77777777" w:rsidR="00FC14FC" w:rsidRDefault="00FC14FC" w:rsidP="00D11B9D">
            <w:pPr>
              <w:pStyle w:val="Box"/>
              <w:spacing w:before="0" w:line="120" w:lineRule="exact"/>
            </w:pPr>
          </w:p>
        </w:tc>
      </w:tr>
      <w:tr w:rsidR="00FC14FC" w:rsidRPr="000863A5" w14:paraId="24F815CB" w14:textId="77777777" w:rsidTr="00D11B9D">
        <w:tc>
          <w:tcPr>
            <w:tcW w:w="5000" w:type="pct"/>
            <w:tcBorders>
              <w:top w:val="single" w:sz="6" w:space="0" w:color="78A22F"/>
              <w:left w:val="nil"/>
              <w:bottom w:val="nil"/>
              <w:right w:val="nil"/>
            </w:tcBorders>
          </w:tcPr>
          <w:p w14:paraId="03386144" w14:textId="77777777" w:rsidR="00FC14FC" w:rsidRPr="00626D32" w:rsidRDefault="00FC14FC" w:rsidP="00D11B9D">
            <w:pPr>
              <w:pStyle w:val="BoxSpaceBelow"/>
            </w:pPr>
          </w:p>
        </w:tc>
      </w:tr>
    </w:tbl>
    <w:p w14:paraId="5C68C70B" w14:textId="77777777" w:rsidR="00FC14FC" w:rsidRDefault="00FC14FC" w:rsidP="00FC14FC">
      <w:pPr>
        <w:pStyle w:val="BoxSpaceAbove"/>
      </w:pPr>
    </w:p>
    <w:p w14:paraId="3AA8C79D"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7FF20398" w14:textId="77777777" w:rsidTr="00D11B9D">
        <w:trPr>
          <w:tblHeader/>
        </w:trPr>
        <w:tc>
          <w:tcPr>
            <w:tcW w:w="5000" w:type="pct"/>
            <w:tcBorders>
              <w:top w:val="single" w:sz="6" w:space="0" w:color="78A22F"/>
              <w:left w:val="nil"/>
              <w:bottom w:val="nil"/>
              <w:right w:val="nil"/>
            </w:tcBorders>
            <w:shd w:val="clear" w:color="auto" w:fill="auto"/>
          </w:tcPr>
          <w:p w14:paraId="77FEAAF9" w14:textId="77777777" w:rsidR="00FC14FC" w:rsidRPr="00784A05" w:rsidRDefault="00FC14FC" w:rsidP="00D11B9D">
            <w:pPr>
              <w:pStyle w:val="TableTitle"/>
            </w:pPr>
            <w:r>
              <w:rPr>
                <w:b w:val="0"/>
              </w:rPr>
              <w:t xml:space="preserve">Table </w:t>
            </w:r>
            <w:r w:rsidRPr="00126730">
              <w:rPr>
                <w:b w:val="0"/>
              </w:rPr>
              <w:t>4.1</w:t>
            </w:r>
            <w:r>
              <w:tab/>
            </w:r>
            <w:r w:rsidRPr="009B565F">
              <w:rPr>
                <w:b w:val="0"/>
                <w:sz w:val="18"/>
                <w:szCs w:val="18"/>
              </w:rPr>
              <w:t>(continued)</w:t>
            </w:r>
          </w:p>
        </w:tc>
      </w:tr>
      <w:tr w:rsidR="00FC14FC" w14:paraId="41A99AB2" w14:textId="77777777" w:rsidTr="00D11B9D">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1392"/>
              <w:gridCol w:w="1131"/>
              <w:gridCol w:w="1223"/>
              <w:gridCol w:w="1136"/>
              <w:gridCol w:w="1005"/>
              <w:gridCol w:w="787"/>
              <w:gridCol w:w="947"/>
              <w:gridCol w:w="1089"/>
              <w:gridCol w:w="1089"/>
              <w:gridCol w:w="1870"/>
              <w:gridCol w:w="1484"/>
            </w:tblGrid>
            <w:tr w:rsidR="00FC14FC" w14:paraId="69BF4681" w14:textId="77777777" w:rsidTr="00D11B9D">
              <w:trPr>
                <w:tblHeader/>
              </w:trPr>
              <w:tc>
                <w:tcPr>
                  <w:tcW w:w="959" w:type="pct"/>
                  <w:gridSpan w:val="2"/>
                  <w:tcBorders>
                    <w:right w:val="single" w:sz="4" w:space="0" w:color="D9D9D9" w:themeColor="background1" w:themeShade="D9"/>
                  </w:tcBorders>
                  <w:shd w:val="clear" w:color="auto" w:fill="auto"/>
                  <w:tcMar>
                    <w:top w:w="28" w:type="dxa"/>
                  </w:tcMar>
                </w:tcPr>
                <w:p w14:paraId="0280E937" w14:textId="77777777" w:rsidR="00FC14FC" w:rsidRDefault="00FC14FC" w:rsidP="00D11B9D">
                  <w:pPr>
                    <w:pStyle w:val="TableColumnHeading"/>
                    <w:jc w:val="left"/>
                  </w:pPr>
                </w:p>
              </w:tc>
              <w:tc>
                <w:tcPr>
                  <w:tcW w:w="1577" w:type="pct"/>
                  <w:gridSpan w:val="4"/>
                  <w:tcBorders>
                    <w:left w:val="single" w:sz="4" w:space="0" w:color="D9D9D9" w:themeColor="background1" w:themeShade="D9"/>
                    <w:right w:val="single" w:sz="4" w:space="0" w:color="D9D9D9" w:themeColor="background1" w:themeShade="D9"/>
                  </w:tcBorders>
                  <w:shd w:val="clear" w:color="auto" w:fill="auto"/>
                  <w:tcMar>
                    <w:top w:w="28" w:type="dxa"/>
                  </w:tcMar>
                </w:tcPr>
                <w:p w14:paraId="267F945C" w14:textId="77777777" w:rsidR="00FC14FC" w:rsidRDefault="00FC14FC" w:rsidP="00D11B9D">
                  <w:pPr>
                    <w:pStyle w:val="TableColumnHeading"/>
                    <w:ind w:right="28"/>
                    <w:jc w:val="center"/>
                  </w:pPr>
                  <w:r>
                    <w:t>Actual returns</w:t>
                  </w:r>
                </w:p>
              </w:tc>
              <w:tc>
                <w:tcPr>
                  <w:tcW w:w="1899" w:type="pct"/>
                  <w:gridSpan w:val="4"/>
                  <w:tcBorders>
                    <w:left w:val="single" w:sz="4" w:space="0" w:color="D9D9D9" w:themeColor="background1" w:themeShade="D9"/>
                    <w:right w:val="single" w:sz="4" w:space="0" w:color="D9D9D9" w:themeColor="background1" w:themeShade="D9"/>
                  </w:tcBorders>
                </w:tcPr>
                <w:p w14:paraId="076B5BCE" w14:textId="77777777" w:rsidR="00FC14FC" w:rsidRDefault="00FC14FC" w:rsidP="00D11B9D">
                  <w:pPr>
                    <w:pStyle w:val="TableColumnHeading"/>
                    <w:jc w:val="center"/>
                  </w:pPr>
                  <w:r>
                    <w:t>B</w:t>
                  </w:r>
                  <w:r w:rsidRPr="002C33A8">
                    <w:t>enchmarks</w:t>
                  </w:r>
                </w:p>
              </w:tc>
              <w:tc>
                <w:tcPr>
                  <w:tcW w:w="566" w:type="pct"/>
                  <w:tcBorders>
                    <w:left w:val="single" w:sz="4" w:space="0" w:color="D9D9D9" w:themeColor="background1" w:themeShade="D9"/>
                  </w:tcBorders>
                </w:tcPr>
                <w:p w14:paraId="3CAD91CD" w14:textId="77777777" w:rsidR="00FC14FC" w:rsidRDefault="00FC14FC" w:rsidP="00D11B9D">
                  <w:pPr>
                    <w:pStyle w:val="TableColumnHeading"/>
                    <w:jc w:val="left"/>
                  </w:pPr>
                </w:p>
              </w:tc>
            </w:tr>
            <w:tr w:rsidR="00FC14FC" w14:paraId="7E3C49ED" w14:textId="77777777" w:rsidTr="00D11B9D">
              <w:trPr>
                <w:tblHeader/>
              </w:trPr>
              <w:tc>
                <w:tcPr>
                  <w:tcW w:w="529" w:type="pct"/>
                  <w:shd w:val="clear" w:color="auto" w:fill="auto"/>
                  <w:tcMar>
                    <w:top w:w="28" w:type="dxa"/>
                  </w:tcMar>
                  <w:vAlign w:val="bottom"/>
                </w:tcPr>
                <w:p w14:paraId="6A00A551" w14:textId="77777777" w:rsidR="00FC14FC" w:rsidRDefault="00FC14FC" w:rsidP="00D11B9D">
                  <w:pPr>
                    <w:pStyle w:val="TableColumnHeading"/>
                    <w:jc w:val="left"/>
                  </w:pPr>
                  <w:r>
                    <w:t>Analysis</w:t>
                  </w:r>
                </w:p>
              </w:tc>
              <w:tc>
                <w:tcPr>
                  <w:tcW w:w="430" w:type="pct"/>
                  <w:vAlign w:val="bottom"/>
                </w:tcPr>
                <w:p w14:paraId="35D30831" w14:textId="77777777" w:rsidR="00FC14FC" w:rsidRDefault="00FC14FC" w:rsidP="00D11B9D">
                  <w:pPr>
                    <w:pStyle w:val="TableColumnHeading"/>
                    <w:jc w:val="left"/>
                  </w:pPr>
                  <w:r>
                    <w:t>Figures/ tables</w:t>
                  </w:r>
                </w:p>
              </w:tc>
              <w:tc>
                <w:tcPr>
                  <w:tcW w:w="465" w:type="pct"/>
                  <w:shd w:val="clear" w:color="auto" w:fill="auto"/>
                  <w:tcMar>
                    <w:top w:w="28" w:type="dxa"/>
                  </w:tcMar>
                  <w:vAlign w:val="bottom"/>
                </w:tcPr>
                <w:p w14:paraId="7BEE0BA0" w14:textId="77777777" w:rsidR="00FC14FC" w:rsidRDefault="00FC14FC" w:rsidP="00D11B9D">
                  <w:pPr>
                    <w:pStyle w:val="TableColumnHeading"/>
                    <w:jc w:val="left"/>
                  </w:pPr>
                  <w:r>
                    <w:t>Unit of analysis</w:t>
                  </w:r>
                </w:p>
              </w:tc>
              <w:tc>
                <w:tcPr>
                  <w:tcW w:w="432" w:type="pct"/>
                  <w:vAlign w:val="bottom"/>
                </w:tcPr>
                <w:p w14:paraId="7640F26E" w14:textId="77777777" w:rsidR="00FC14FC" w:rsidRDefault="00FC14FC" w:rsidP="00D11B9D">
                  <w:pPr>
                    <w:pStyle w:val="TableColumnHeading"/>
                    <w:ind w:right="28"/>
                    <w:jc w:val="left"/>
                  </w:pPr>
                  <w:r>
                    <w:t>Data</w:t>
                  </w:r>
                </w:p>
              </w:tc>
              <w:tc>
                <w:tcPr>
                  <w:tcW w:w="382" w:type="pct"/>
                  <w:vAlign w:val="bottom"/>
                </w:tcPr>
                <w:p w14:paraId="34A16929" w14:textId="77777777" w:rsidR="00FC14FC" w:rsidRDefault="00FC14FC" w:rsidP="00D11B9D">
                  <w:pPr>
                    <w:pStyle w:val="TableColumnHeading"/>
                    <w:ind w:right="28"/>
                    <w:jc w:val="left"/>
                  </w:pPr>
                  <w:r>
                    <w:t>Time periods</w:t>
                  </w:r>
                </w:p>
              </w:tc>
              <w:tc>
                <w:tcPr>
                  <w:tcW w:w="299" w:type="pct"/>
                  <w:vAlign w:val="bottom"/>
                </w:tcPr>
                <w:p w14:paraId="2F4C25D5" w14:textId="77777777" w:rsidR="00FC14FC" w:rsidRDefault="00FC14FC" w:rsidP="00D11B9D">
                  <w:pPr>
                    <w:pStyle w:val="TableColumnHeading"/>
                    <w:ind w:right="28"/>
                    <w:jc w:val="left"/>
                  </w:pPr>
                  <w:r>
                    <w:t>Bias</w:t>
                  </w:r>
                </w:p>
              </w:tc>
              <w:tc>
                <w:tcPr>
                  <w:tcW w:w="360" w:type="pct"/>
                  <w:vAlign w:val="bottom"/>
                </w:tcPr>
                <w:p w14:paraId="1754315A" w14:textId="77777777" w:rsidR="00FC14FC" w:rsidRDefault="00FC14FC" w:rsidP="00D11B9D">
                  <w:pPr>
                    <w:pStyle w:val="TableColumnHeading"/>
                    <w:ind w:right="28"/>
                    <w:jc w:val="left"/>
                  </w:pPr>
                  <w:r>
                    <w:t>BPs used</w:t>
                  </w:r>
                </w:p>
              </w:tc>
              <w:tc>
                <w:tcPr>
                  <w:tcW w:w="414" w:type="pct"/>
                  <w:vAlign w:val="bottom"/>
                </w:tcPr>
                <w:p w14:paraId="13F5FC6D" w14:textId="77777777" w:rsidR="00FC14FC" w:rsidRDefault="00FC14FC" w:rsidP="00D11B9D">
                  <w:pPr>
                    <w:pStyle w:val="TableColumnHeading"/>
                    <w:ind w:right="28"/>
                    <w:jc w:val="left"/>
                  </w:pPr>
                  <w:r>
                    <w:t>Tax rate</w:t>
                  </w:r>
                </w:p>
              </w:tc>
              <w:tc>
                <w:tcPr>
                  <w:tcW w:w="414" w:type="pct"/>
                  <w:vAlign w:val="bottom"/>
                </w:tcPr>
                <w:p w14:paraId="5EE193F3" w14:textId="77777777" w:rsidR="00FC14FC" w:rsidRDefault="00FC14FC" w:rsidP="00D11B9D">
                  <w:pPr>
                    <w:pStyle w:val="TableColumnHeading"/>
                    <w:ind w:right="28"/>
                    <w:jc w:val="left"/>
                  </w:pPr>
                  <w:r>
                    <w:t>Admin expenses</w:t>
                  </w:r>
                </w:p>
              </w:tc>
              <w:tc>
                <w:tcPr>
                  <w:tcW w:w="710" w:type="pct"/>
                  <w:vAlign w:val="bottom"/>
                </w:tcPr>
                <w:p w14:paraId="0EF5AD84" w14:textId="77777777" w:rsidR="00FC14FC" w:rsidRDefault="00FC14FC" w:rsidP="00D11B9D">
                  <w:pPr>
                    <w:pStyle w:val="TableColumnHeading"/>
                    <w:ind w:right="28"/>
                    <w:jc w:val="left"/>
                  </w:pPr>
                  <w:r>
                    <w:t>Asset allocation</w:t>
                  </w:r>
                </w:p>
              </w:tc>
              <w:tc>
                <w:tcPr>
                  <w:tcW w:w="566" w:type="pct"/>
                  <w:vAlign w:val="bottom"/>
                </w:tcPr>
                <w:p w14:paraId="020E6B70" w14:textId="77777777" w:rsidR="00FC14FC" w:rsidRDefault="00FC14FC" w:rsidP="00D11B9D">
                  <w:pPr>
                    <w:pStyle w:val="TableColumnHeading"/>
                    <w:ind w:right="28"/>
                    <w:jc w:val="left"/>
                  </w:pPr>
                  <w:r>
                    <w:t>Other sensitivity testing</w:t>
                  </w:r>
                </w:p>
              </w:tc>
            </w:tr>
            <w:tr w:rsidR="00FC14FC" w14:paraId="19F5CBD0" w14:textId="77777777" w:rsidTr="00D11B9D">
              <w:tc>
                <w:tcPr>
                  <w:tcW w:w="529" w:type="pct"/>
                  <w:shd w:val="clear" w:color="auto" w:fill="FFFFFF" w:themeFill="background1"/>
                </w:tcPr>
                <w:p w14:paraId="69ED09AD" w14:textId="77777777" w:rsidR="00FC14FC" w:rsidRDefault="00FC14FC" w:rsidP="00D11B9D">
                  <w:pPr>
                    <w:pStyle w:val="TableUnitsRow"/>
                    <w:jc w:val="left"/>
                  </w:pPr>
                  <w:r>
                    <w:t>Long</w:t>
                  </w:r>
                  <w:r>
                    <w:noBreakHyphen/>
                    <w:t>term performance decomposition</w:t>
                  </w:r>
                </w:p>
              </w:tc>
              <w:tc>
                <w:tcPr>
                  <w:tcW w:w="430" w:type="pct"/>
                  <w:shd w:val="clear" w:color="auto" w:fill="FFFFFF" w:themeFill="background1"/>
                </w:tcPr>
                <w:p w14:paraId="45991713" w14:textId="77777777" w:rsidR="00FC14FC" w:rsidRDefault="00FC14FC" w:rsidP="00D11B9D">
                  <w:pPr>
                    <w:pStyle w:val="TableBodyText"/>
                    <w:spacing w:before="40"/>
                    <w:jc w:val="left"/>
                  </w:pPr>
                  <w:r>
                    <w:t>Figure 2.11</w:t>
                  </w:r>
                </w:p>
                <w:p w14:paraId="1D171CF4" w14:textId="77777777" w:rsidR="00FC14FC" w:rsidRDefault="00FC14FC" w:rsidP="00D11B9D">
                  <w:pPr>
                    <w:pStyle w:val="TableUnitsRow"/>
                    <w:jc w:val="left"/>
                  </w:pPr>
                  <w:r>
                    <w:t xml:space="preserve"> </w:t>
                  </w:r>
                </w:p>
              </w:tc>
              <w:tc>
                <w:tcPr>
                  <w:tcW w:w="465" w:type="pct"/>
                  <w:shd w:val="clear" w:color="auto" w:fill="FFFFFF" w:themeFill="background1"/>
                </w:tcPr>
                <w:p w14:paraId="1ABE8972" w14:textId="77777777" w:rsidR="00FC14FC" w:rsidRDefault="00FC14FC" w:rsidP="00D11B9D">
                  <w:pPr>
                    <w:pStyle w:val="TableUnitsRow"/>
                    <w:jc w:val="left"/>
                  </w:pPr>
                  <w:r>
                    <w:t>APRA fund segments</w:t>
                  </w:r>
                </w:p>
              </w:tc>
              <w:tc>
                <w:tcPr>
                  <w:tcW w:w="432" w:type="pct"/>
                  <w:shd w:val="clear" w:color="auto" w:fill="FFFFFF" w:themeFill="background1"/>
                </w:tcPr>
                <w:p w14:paraId="1AAB94DC" w14:textId="77777777" w:rsidR="00FC14FC" w:rsidRDefault="00FC14FC" w:rsidP="00D11B9D">
                  <w:pPr>
                    <w:pStyle w:val="TableUnitsRow"/>
                    <w:ind w:right="28"/>
                    <w:jc w:val="left"/>
                  </w:pPr>
                  <w:r>
                    <w:t>Regulator data</w:t>
                  </w:r>
                </w:p>
              </w:tc>
              <w:tc>
                <w:tcPr>
                  <w:tcW w:w="382" w:type="pct"/>
                  <w:shd w:val="clear" w:color="auto" w:fill="FFFFFF" w:themeFill="background1"/>
                </w:tcPr>
                <w:p w14:paraId="437A8979" w14:textId="77777777" w:rsidR="00FC14FC" w:rsidRDefault="00FC14FC" w:rsidP="00D11B9D">
                  <w:pPr>
                    <w:pStyle w:val="TableBodyText"/>
                    <w:spacing w:before="40"/>
                    <w:ind w:right="28"/>
                    <w:jc w:val="left"/>
                  </w:pPr>
                  <w:r>
                    <w:t>2005–2017</w:t>
                  </w:r>
                </w:p>
              </w:tc>
              <w:tc>
                <w:tcPr>
                  <w:tcW w:w="299" w:type="pct"/>
                  <w:shd w:val="clear" w:color="auto" w:fill="FFFFFF" w:themeFill="background1"/>
                </w:tcPr>
                <w:p w14:paraId="4EF8C0B8" w14:textId="77777777" w:rsidR="00FC14FC" w:rsidRDefault="00FC14FC" w:rsidP="00D11B9D">
                  <w:pPr>
                    <w:pStyle w:val="TableUnitsRow"/>
                    <w:ind w:right="28"/>
                    <w:jc w:val="left"/>
                  </w:pPr>
                  <w:r>
                    <w:t>None</w:t>
                  </w:r>
                </w:p>
              </w:tc>
              <w:tc>
                <w:tcPr>
                  <w:tcW w:w="360" w:type="pct"/>
                  <w:shd w:val="clear" w:color="auto" w:fill="FFFFFF" w:themeFill="background1"/>
                </w:tcPr>
                <w:p w14:paraId="380643E9" w14:textId="77777777" w:rsidR="00FC14FC" w:rsidRDefault="00FC14FC" w:rsidP="00D11B9D">
                  <w:pPr>
                    <w:pStyle w:val="TableUnitsRow"/>
                    <w:ind w:right="28"/>
                    <w:jc w:val="left"/>
                  </w:pPr>
                  <w:r>
                    <w:t>Gross of everything segment BP2</w:t>
                  </w:r>
                </w:p>
              </w:tc>
              <w:tc>
                <w:tcPr>
                  <w:tcW w:w="414" w:type="pct"/>
                  <w:shd w:val="clear" w:color="auto" w:fill="FFFFFF" w:themeFill="background1"/>
                </w:tcPr>
                <w:p w14:paraId="63681F27" w14:textId="77777777" w:rsidR="00FC14FC" w:rsidRDefault="00FC14FC" w:rsidP="00D11B9D">
                  <w:pPr>
                    <w:pStyle w:val="TableUnitsRow"/>
                    <w:ind w:right="28"/>
                    <w:jc w:val="left"/>
                  </w:pPr>
                  <w:r>
                    <w:t>System average (APRA funds)</w:t>
                  </w:r>
                </w:p>
              </w:tc>
              <w:tc>
                <w:tcPr>
                  <w:tcW w:w="414" w:type="pct"/>
                  <w:shd w:val="clear" w:color="auto" w:fill="FFFFFF" w:themeFill="background1"/>
                </w:tcPr>
                <w:p w14:paraId="2C800F62" w14:textId="77777777" w:rsidR="00FC14FC" w:rsidRDefault="00FC14FC" w:rsidP="00D11B9D">
                  <w:pPr>
                    <w:pStyle w:val="TableUnitsRow"/>
                    <w:ind w:right="28"/>
                    <w:jc w:val="left"/>
                  </w:pPr>
                  <w:r>
                    <w:t>Segment median (APRA funds)</w:t>
                  </w:r>
                </w:p>
              </w:tc>
              <w:tc>
                <w:tcPr>
                  <w:tcW w:w="710" w:type="pct"/>
                  <w:vMerge w:val="restart"/>
                  <w:shd w:val="pct5" w:color="auto" w:fill="auto"/>
                  <w:vAlign w:val="center"/>
                </w:tcPr>
                <w:p w14:paraId="47DAF1E0" w14:textId="77777777" w:rsidR="00FC14FC" w:rsidRDefault="00FC14FC" w:rsidP="00D11B9D">
                  <w:pPr>
                    <w:pStyle w:val="TableUnitsRow"/>
                    <w:spacing w:before="0"/>
                    <w:ind w:right="28"/>
                    <w:jc w:val="left"/>
                  </w:pPr>
                  <w:r>
                    <w:t>BP Asset allocation data: APRA</w:t>
                  </w:r>
                </w:p>
                <w:p w14:paraId="357DFEF5" w14:textId="77777777" w:rsidR="00FC14FC" w:rsidRDefault="00FC14FC" w:rsidP="00D11B9D">
                  <w:pPr>
                    <w:pStyle w:val="TableUnitsRow"/>
                    <w:spacing w:before="120"/>
                    <w:ind w:right="28"/>
                    <w:jc w:val="left"/>
                  </w:pPr>
                  <w:r>
                    <w:t>Unlisted/listed allocation: Fund type</w:t>
                  </w:r>
                </w:p>
                <w:p w14:paraId="3DAADC03" w14:textId="77777777" w:rsidR="00FC14FC" w:rsidRDefault="00FC14FC" w:rsidP="00D11B9D">
                  <w:pPr>
                    <w:pStyle w:val="TableBodyText"/>
                    <w:spacing w:before="120"/>
                    <w:ind w:right="28"/>
                    <w:jc w:val="left"/>
                  </w:pPr>
                  <w:r>
                    <w:t>Domestic/international property allocation: Fund type</w:t>
                  </w:r>
                </w:p>
                <w:p w14:paraId="5EC74537" w14:textId="77777777" w:rsidR="00FC14FC" w:rsidRDefault="00FC14FC" w:rsidP="00D11B9D">
                  <w:pPr>
                    <w:pStyle w:val="TableBodyText"/>
                    <w:spacing w:before="120"/>
                    <w:ind w:right="28"/>
                    <w:jc w:val="left"/>
                  </w:pPr>
                  <w:r>
                    <w:t>Domestic/ international private equity allocation: Fund type</w:t>
                  </w:r>
                </w:p>
              </w:tc>
              <w:tc>
                <w:tcPr>
                  <w:tcW w:w="566" w:type="pct"/>
                  <w:shd w:val="clear" w:color="auto" w:fill="FFFFFF" w:themeFill="background1"/>
                </w:tcPr>
                <w:p w14:paraId="1DB73EED" w14:textId="77777777" w:rsidR="00FC14FC" w:rsidRDefault="00FC14FC" w:rsidP="00D11B9D">
                  <w:pPr>
                    <w:pStyle w:val="TableUnitsRow"/>
                    <w:ind w:right="28"/>
                    <w:jc w:val="left"/>
                  </w:pPr>
                </w:p>
              </w:tc>
            </w:tr>
            <w:tr w:rsidR="00FC14FC" w14:paraId="42D34F43" w14:textId="77777777" w:rsidTr="00D11B9D">
              <w:trPr>
                <w:trHeight w:val="1428"/>
              </w:trPr>
              <w:tc>
                <w:tcPr>
                  <w:tcW w:w="529" w:type="pct"/>
                  <w:shd w:val="clear" w:color="auto" w:fill="FFFFFF" w:themeFill="background1"/>
                </w:tcPr>
                <w:p w14:paraId="0598A982" w14:textId="77777777" w:rsidR="00FC14FC" w:rsidRDefault="00FC14FC" w:rsidP="00D11B9D">
                  <w:pPr>
                    <w:pStyle w:val="TableBodyText"/>
                    <w:jc w:val="left"/>
                  </w:pPr>
                  <w:r>
                    <w:t>Long</w:t>
                  </w:r>
                  <w:r>
                    <w:noBreakHyphen/>
                    <w:t xml:space="preserve">term relative outperformance decomposition </w:t>
                  </w:r>
                </w:p>
              </w:tc>
              <w:tc>
                <w:tcPr>
                  <w:tcW w:w="430" w:type="pct"/>
                  <w:shd w:val="clear" w:color="auto" w:fill="FFFFFF" w:themeFill="background1"/>
                </w:tcPr>
                <w:p w14:paraId="4CAB8384" w14:textId="77777777" w:rsidR="00FC14FC" w:rsidRDefault="00FC14FC" w:rsidP="00D11B9D">
                  <w:pPr>
                    <w:pStyle w:val="TableBodyText"/>
                    <w:jc w:val="left"/>
                  </w:pPr>
                  <w:r>
                    <w:t>Figure 2.12</w:t>
                  </w:r>
                </w:p>
              </w:tc>
              <w:tc>
                <w:tcPr>
                  <w:tcW w:w="465" w:type="pct"/>
                  <w:shd w:val="clear" w:color="auto" w:fill="FFFFFF" w:themeFill="background1"/>
                </w:tcPr>
                <w:p w14:paraId="6AE14DFF" w14:textId="77777777" w:rsidR="00FC14FC" w:rsidRDefault="00FC14FC" w:rsidP="00D11B9D">
                  <w:pPr>
                    <w:pStyle w:val="TableBodyText"/>
                    <w:jc w:val="left"/>
                  </w:pPr>
                  <w:r>
                    <w:t>APRA fund segments</w:t>
                  </w:r>
                </w:p>
              </w:tc>
              <w:tc>
                <w:tcPr>
                  <w:tcW w:w="432" w:type="pct"/>
                  <w:shd w:val="clear" w:color="auto" w:fill="FFFFFF" w:themeFill="background1"/>
                </w:tcPr>
                <w:p w14:paraId="607A10D1" w14:textId="77777777" w:rsidR="00FC14FC" w:rsidRDefault="00FC14FC" w:rsidP="00D11B9D">
                  <w:pPr>
                    <w:pStyle w:val="TableBodyText"/>
                    <w:ind w:right="28"/>
                    <w:jc w:val="left"/>
                  </w:pPr>
                  <w:r>
                    <w:t>Regulator data</w:t>
                  </w:r>
                </w:p>
              </w:tc>
              <w:tc>
                <w:tcPr>
                  <w:tcW w:w="382" w:type="pct"/>
                  <w:shd w:val="clear" w:color="auto" w:fill="FFFFFF" w:themeFill="background1"/>
                </w:tcPr>
                <w:p w14:paraId="45E41265" w14:textId="77777777" w:rsidR="00FC14FC" w:rsidRDefault="00FC14FC" w:rsidP="00D11B9D">
                  <w:pPr>
                    <w:pStyle w:val="TableBodyText"/>
                    <w:ind w:right="28"/>
                    <w:jc w:val="left"/>
                  </w:pPr>
                  <w:r>
                    <w:t xml:space="preserve">2005–2017 </w:t>
                  </w:r>
                </w:p>
              </w:tc>
              <w:tc>
                <w:tcPr>
                  <w:tcW w:w="299" w:type="pct"/>
                  <w:shd w:val="clear" w:color="auto" w:fill="FFFFFF" w:themeFill="background1"/>
                </w:tcPr>
                <w:p w14:paraId="59A278D1" w14:textId="77777777" w:rsidR="00FC14FC" w:rsidRDefault="00FC14FC" w:rsidP="00D11B9D">
                  <w:pPr>
                    <w:pStyle w:val="TableBodyText"/>
                    <w:ind w:right="28"/>
                    <w:jc w:val="left"/>
                  </w:pPr>
                  <w:r>
                    <w:t>None</w:t>
                  </w:r>
                </w:p>
              </w:tc>
              <w:tc>
                <w:tcPr>
                  <w:tcW w:w="360" w:type="pct"/>
                  <w:shd w:val="clear" w:color="auto" w:fill="FFFFFF" w:themeFill="background1"/>
                </w:tcPr>
                <w:p w14:paraId="4901D8BF" w14:textId="77777777" w:rsidR="00FC14FC" w:rsidRDefault="00FC14FC" w:rsidP="00D11B9D">
                  <w:pPr>
                    <w:pStyle w:val="TableBodyText"/>
                    <w:ind w:right="28"/>
                    <w:jc w:val="left"/>
                  </w:pPr>
                  <w:r>
                    <w:t>Gross of everything segment BP2</w:t>
                  </w:r>
                </w:p>
              </w:tc>
              <w:tc>
                <w:tcPr>
                  <w:tcW w:w="414" w:type="pct"/>
                  <w:shd w:val="clear" w:color="auto" w:fill="FFFFFF" w:themeFill="background1"/>
                </w:tcPr>
                <w:p w14:paraId="66E4E3A9" w14:textId="77777777" w:rsidR="00FC14FC" w:rsidRDefault="00FC14FC" w:rsidP="00D11B9D">
                  <w:pPr>
                    <w:pStyle w:val="TableBodyText"/>
                    <w:ind w:right="28"/>
                    <w:jc w:val="left"/>
                  </w:pPr>
                  <w:r>
                    <w:t>System average (APRA funds)</w:t>
                  </w:r>
                </w:p>
              </w:tc>
              <w:tc>
                <w:tcPr>
                  <w:tcW w:w="414" w:type="pct"/>
                  <w:shd w:val="clear" w:color="auto" w:fill="FFFFFF" w:themeFill="background1"/>
                </w:tcPr>
                <w:p w14:paraId="75FEC726" w14:textId="77777777" w:rsidR="00FC14FC" w:rsidRDefault="00FC14FC" w:rsidP="00D11B9D">
                  <w:pPr>
                    <w:pStyle w:val="TableBodyText"/>
                    <w:ind w:right="28"/>
                    <w:jc w:val="left"/>
                  </w:pPr>
                  <w:r>
                    <w:t>Segment median (APRA funds)</w:t>
                  </w:r>
                </w:p>
              </w:tc>
              <w:tc>
                <w:tcPr>
                  <w:tcW w:w="710" w:type="pct"/>
                  <w:vMerge/>
                  <w:shd w:val="pct5" w:color="auto" w:fill="auto"/>
                </w:tcPr>
                <w:p w14:paraId="4A2AE734" w14:textId="77777777" w:rsidR="00FC14FC" w:rsidRDefault="00FC14FC" w:rsidP="00D11B9D">
                  <w:pPr>
                    <w:pStyle w:val="TableBodyText"/>
                    <w:ind w:right="28"/>
                    <w:jc w:val="left"/>
                  </w:pPr>
                </w:p>
              </w:tc>
              <w:tc>
                <w:tcPr>
                  <w:tcW w:w="566" w:type="pct"/>
                  <w:shd w:val="clear" w:color="auto" w:fill="FFFFFF" w:themeFill="background1"/>
                </w:tcPr>
                <w:p w14:paraId="6AF48D08" w14:textId="77777777" w:rsidR="00FC14FC" w:rsidRDefault="00FC14FC" w:rsidP="00D11B9D">
                  <w:pPr>
                    <w:pStyle w:val="TableUnitsRow"/>
                    <w:ind w:right="28"/>
                    <w:jc w:val="left"/>
                  </w:pPr>
                </w:p>
              </w:tc>
            </w:tr>
          </w:tbl>
          <w:p w14:paraId="3F9491C9" w14:textId="77777777" w:rsidR="00FC14FC" w:rsidRDefault="00FC14FC" w:rsidP="00D11B9D">
            <w:pPr>
              <w:pStyle w:val="Box"/>
            </w:pPr>
          </w:p>
        </w:tc>
      </w:tr>
      <w:tr w:rsidR="00FC14FC" w14:paraId="7FA390E5" w14:textId="77777777" w:rsidTr="00D11B9D">
        <w:tc>
          <w:tcPr>
            <w:tcW w:w="5000" w:type="pct"/>
            <w:tcBorders>
              <w:top w:val="nil"/>
              <w:left w:val="nil"/>
              <w:bottom w:val="nil"/>
              <w:right w:val="nil"/>
            </w:tcBorders>
            <w:shd w:val="clear" w:color="auto" w:fill="auto"/>
          </w:tcPr>
          <w:p w14:paraId="22A06DDE" w14:textId="77777777" w:rsidR="00FC14FC" w:rsidRDefault="00FC14FC" w:rsidP="00D11B9D">
            <w:pPr>
              <w:pStyle w:val="Continued"/>
              <w:rPr>
                <w:i/>
              </w:rPr>
            </w:pPr>
            <w:r w:rsidRPr="005D2ADC">
              <w:rPr>
                <w:rStyle w:val="NoteLabel"/>
              </w:rPr>
              <w:t>(continued next page)</w:t>
            </w:r>
          </w:p>
        </w:tc>
      </w:tr>
      <w:tr w:rsidR="00FC14FC" w14:paraId="6B72E166" w14:textId="77777777" w:rsidTr="00D11B9D">
        <w:tc>
          <w:tcPr>
            <w:tcW w:w="5000" w:type="pct"/>
            <w:tcBorders>
              <w:top w:val="nil"/>
              <w:left w:val="nil"/>
              <w:bottom w:val="single" w:sz="6" w:space="0" w:color="78A22F"/>
              <w:right w:val="nil"/>
            </w:tcBorders>
            <w:shd w:val="clear" w:color="auto" w:fill="auto"/>
          </w:tcPr>
          <w:p w14:paraId="40FAAAAF" w14:textId="77777777" w:rsidR="00FC14FC" w:rsidRDefault="00FC14FC" w:rsidP="00D11B9D">
            <w:pPr>
              <w:pStyle w:val="Box"/>
              <w:spacing w:before="0" w:line="120" w:lineRule="exact"/>
            </w:pPr>
          </w:p>
        </w:tc>
      </w:tr>
      <w:tr w:rsidR="00FC14FC" w:rsidRPr="000863A5" w14:paraId="32A58DC2" w14:textId="77777777" w:rsidTr="00D11B9D">
        <w:tc>
          <w:tcPr>
            <w:tcW w:w="5000" w:type="pct"/>
            <w:tcBorders>
              <w:top w:val="single" w:sz="6" w:space="0" w:color="78A22F"/>
              <w:left w:val="nil"/>
              <w:bottom w:val="nil"/>
              <w:right w:val="nil"/>
            </w:tcBorders>
          </w:tcPr>
          <w:p w14:paraId="313E007D" w14:textId="77777777" w:rsidR="00FC14FC" w:rsidRPr="00626D32" w:rsidRDefault="00FC14FC" w:rsidP="00D11B9D">
            <w:pPr>
              <w:pStyle w:val="BoxSpaceBelow"/>
            </w:pPr>
          </w:p>
        </w:tc>
      </w:tr>
    </w:tbl>
    <w:p w14:paraId="143C16DC"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69F3D192" w14:textId="77777777" w:rsidTr="00D11B9D">
        <w:trPr>
          <w:tblHeader/>
        </w:trPr>
        <w:tc>
          <w:tcPr>
            <w:tcW w:w="5000" w:type="pct"/>
            <w:tcBorders>
              <w:top w:val="single" w:sz="6" w:space="0" w:color="78A22F"/>
              <w:left w:val="nil"/>
              <w:bottom w:val="nil"/>
              <w:right w:val="nil"/>
            </w:tcBorders>
            <w:shd w:val="clear" w:color="auto" w:fill="auto"/>
          </w:tcPr>
          <w:p w14:paraId="60459F0E" w14:textId="77777777" w:rsidR="00FC14FC" w:rsidRPr="00784A05" w:rsidRDefault="00FC14FC" w:rsidP="00D11B9D">
            <w:pPr>
              <w:pStyle w:val="TableTitle"/>
            </w:pPr>
            <w:r>
              <w:rPr>
                <w:b w:val="0"/>
              </w:rPr>
              <w:t xml:space="preserve">Table </w:t>
            </w:r>
            <w:r w:rsidRPr="00126730">
              <w:rPr>
                <w:b w:val="0"/>
              </w:rPr>
              <w:t>4.1</w:t>
            </w:r>
            <w:r>
              <w:tab/>
            </w:r>
            <w:r w:rsidRPr="009B565F">
              <w:rPr>
                <w:b w:val="0"/>
                <w:sz w:val="18"/>
                <w:szCs w:val="18"/>
              </w:rPr>
              <w:t>(continued)</w:t>
            </w:r>
          </w:p>
        </w:tc>
      </w:tr>
      <w:tr w:rsidR="00FC14FC" w14:paraId="41909574" w14:textId="77777777" w:rsidTr="00D11B9D">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1388"/>
              <w:gridCol w:w="1177"/>
              <w:gridCol w:w="1210"/>
              <w:gridCol w:w="1128"/>
              <w:gridCol w:w="997"/>
              <w:gridCol w:w="784"/>
              <w:gridCol w:w="933"/>
              <w:gridCol w:w="1115"/>
              <w:gridCol w:w="1081"/>
              <w:gridCol w:w="1865"/>
              <w:gridCol w:w="1475"/>
            </w:tblGrid>
            <w:tr w:rsidR="00FC14FC" w14:paraId="1D11DDE5" w14:textId="77777777" w:rsidTr="00D11B9D">
              <w:trPr>
                <w:tblHeader/>
              </w:trPr>
              <w:tc>
                <w:tcPr>
                  <w:tcW w:w="978" w:type="pct"/>
                  <w:gridSpan w:val="2"/>
                  <w:tcBorders>
                    <w:right w:val="single" w:sz="4" w:space="0" w:color="D9D9D9" w:themeColor="background1" w:themeShade="D9"/>
                  </w:tcBorders>
                  <w:shd w:val="clear" w:color="auto" w:fill="auto"/>
                  <w:tcMar>
                    <w:top w:w="28" w:type="dxa"/>
                  </w:tcMar>
                </w:tcPr>
                <w:p w14:paraId="49BBC70C" w14:textId="77777777" w:rsidR="00FC14FC" w:rsidRDefault="00FC14FC" w:rsidP="00D11B9D">
                  <w:pPr>
                    <w:pStyle w:val="TableColumnHeading"/>
                    <w:jc w:val="left"/>
                  </w:pPr>
                </w:p>
              </w:tc>
              <w:tc>
                <w:tcPr>
                  <w:tcW w:w="1570" w:type="pct"/>
                  <w:gridSpan w:val="4"/>
                  <w:tcBorders>
                    <w:left w:val="single" w:sz="4" w:space="0" w:color="D9D9D9" w:themeColor="background1" w:themeShade="D9"/>
                    <w:right w:val="single" w:sz="4" w:space="0" w:color="D9D9D9" w:themeColor="background1" w:themeShade="D9"/>
                  </w:tcBorders>
                  <w:shd w:val="clear" w:color="auto" w:fill="auto"/>
                  <w:tcMar>
                    <w:top w:w="28" w:type="dxa"/>
                  </w:tcMar>
                </w:tcPr>
                <w:p w14:paraId="43CFFE9C" w14:textId="77777777" w:rsidR="00FC14FC" w:rsidRDefault="00FC14FC" w:rsidP="00D11B9D">
                  <w:pPr>
                    <w:pStyle w:val="TableColumnHeading"/>
                    <w:ind w:right="28"/>
                    <w:jc w:val="center"/>
                  </w:pPr>
                  <w:r>
                    <w:t>Actual returns</w:t>
                  </w:r>
                </w:p>
              </w:tc>
              <w:tc>
                <w:tcPr>
                  <w:tcW w:w="1890" w:type="pct"/>
                  <w:gridSpan w:val="4"/>
                  <w:tcBorders>
                    <w:left w:val="single" w:sz="4" w:space="0" w:color="D9D9D9" w:themeColor="background1" w:themeShade="D9"/>
                    <w:right w:val="single" w:sz="4" w:space="0" w:color="D9D9D9" w:themeColor="background1" w:themeShade="D9"/>
                  </w:tcBorders>
                </w:tcPr>
                <w:p w14:paraId="1D678C0D" w14:textId="77777777" w:rsidR="00FC14FC" w:rsidRDefault="00FC14FC" w:rsidP="00D11B9D">
                  <w:pPr>
                    <w:pStyle w:val="TableColumnHeading"/>
                    <w:jc w:val="center"/>
                  </w:pPr>
                  <w:r>
                    <w:t>B</w:t>
                  </w:r>
                  <w:r w:rsidRPr="002C33A8">
                    <w:t>enchmarks</w:t>
                  </w:r>
                </w:p>
              </w:tc>
              <w:tc>
                <w:tcPr>
                  <w:tcW w:w="562" w:type="pct"/>
                  <w:tcBorders>
                    <w:left w:val="single" w:sz="4" w:space="0" w:color="D9D9D9" w:themeColor="background1" w:themeShade="D9"/>
                  </w:tcBorders>
                </w:tcPr>
                <w:p w14:paraId="28749F59" w14:textId="77777777" w:rsidR="00FC14FC" w:rsidRDefault="00FC14FC" w:rsidP="00D11B9D">
                  <w:pPr>
                    <w:pStyle w:val="TableColumnHeading"/>
                    <w:jc w:val="left"/>
                  </w:pPr>
                </w:p>
              </w:tc>
            </w:tr>
            <w:tr w:rsidR="00FC14FC" w14:paraId="351C85BF" w14:textId="77777777" w:rsidTr="00D11B9D">
              <w:trPr>
                <w:tblHeader/>
              </w:trPr>
              <w:tc>
                <w:tcPr>
                  <w:tcW w:w="529" w:type="pct"/>
                  <w:shd w:val="clear" w:color="auto" w:fill="auto"/>
                  <w:tcMar>
                    <w:top w:w="28" w:type="dxa"/>
                  </w:tcMar>
                  <w:vAlign w:val="bottom"/>
                </w:tcPr>
                <w:p w14:paraId="517A5562" w14:textId="77777777" w:rsidR="00FC14FC" w:rsidRDefault="00FC14FC" w:rsidP="00D11B9D">
                  <w:pPr>
                    <w:pStyle w:val="TableColumnHeading"/>
                    <w:jc w:val="left"/>
                  </w:pPr>
                  <w:r>
                    <w:t>Analysis</w:t>
                  </w:r>
                </w:p>
              </w:tc>
              <w:tc>
                <w:tcPr>
                  <w:tcW w:w="449" w:type="pct"/>
                  <w:vAlign w:val="bottom"/>
                </w:tcPr>
                <w:p w14:paraId="5D2A7D79" w14:textId="77777777" w:rsidR="00FC14FC" w:rsidRDefault="00FC14FC" w:rsidP="00D11B9D">
                  <w:pPr>
                    <w:pStyle w:val="TableColumnHeading"/>
                    <w:jc w:val="left"/>
                  </w:pPr>
                  <w:r>
                    <w:t>Figures/ tables</w:t>
                  </w:r>
                </w:p>
              </w:tc>
              <w:tc>
                <w:tcPr>
                  <w:tcW w:w="461" w:type="pct"/>
                  <w:shd w:val="clear" w:color="auto" w:fill="auto"/>
                  <w:tcMar>
                    <w:top w:w="28" w:type="dxa"/>
                  </w:tcMar>
                  <w:vAlign w:val="bottom"/>
                </w:tcPr>
                <w:p w14:paraId="421C61E0" w14:textId="77777777" w:rsidR="00FC14FC" w:rsidRDefault="00FC14FC" w:rsidP="00D11B9D">
                  <w:pPr>
                    <w:pStyle w:val="TableColumnHeading"/>
                    <w:jc w:val="left"/>
                  </w:pPr>
                  <w:r>
                    <w:t>Unit of analysis</w:t>
                  </w:r>
                </w:p>
              </w:tc>
              <w:tc>
                <w:tcPr>
                  <w:tcW w:w="430" w:type="pct"/>
                  <w:vAlign w:val="bottom"/>
                </w:tcPr>
                <w:p w14:paraId="55E39CD3" w14:textId="77777777" w:rsidR="00FC14FC" w:rsidRDefault="00FC14FC" w:rsidP="00D11B9D">
                  <w:pPr>
                    <w:pStyle w:val="TableColumnHeading"/>
                    <w:ind w:right="28"/>
                    <w:jc w:val="left"/>
                  </w:pPr>
                  <w:r>
                    <w:t>Data</w:t>
                  </w:r>
                </w:p>
              </w:tc>
              <w:tc>
                <w:tcPr>
                  <w:tcW w:w="380" w:type="pct"/>
                  <w:vAlign w:val="bottom"/>
                </w:tcPr>
                <w:p w14:paraId="18042B50" w14:textId="77777777" w:rsidR="00FC14FC" w:rsidRDefault="00FC14FC" w:rsidP="00D11B9D">
                  <w:pPr>
                    <w:pStyle w:val="TableColumnHeading"/>
                    <w:ind w:right="28"/>
                    <w:jc w:val="left"/>
                  </w:pPr>
                  <w:r>
                    <w:t>Time periods</w:t>
                  </w:r>
                </w:p>
              </w:tc>
              <w:tc>
                <w:tcPr>
                  <w:tcW w:w="299" w:type="pct"/>
                  <w:vAlign w:val="bottom"/>
                </w:tcPr>
                <w:p w14:paraId="72FE5BAD" w14:textId="77777777" w:rsidR="00FC14FC" w:rsidRDefault="00FC14FC" w:rsidP="00D11B9D">
                  <w:pPr>
                    <w:pStyle w:val="TableColumnHeading"/>
                    <w:ind w:right="28"/>
                    <w:jc w:val="left"/>
                  </w:pPr>
                  <w:r>
                    <w:t>Bias</w:t>
                  </w:r>
                </w:p>
              </w:tc>
              <w:tc>
                <w:tcPr>
                  <w:tcW w:w="356" w:type="pct"/>
                  <w:vAlign w:val="bottom"/>
                </w:tcPr>
                <w:p w14:paraId="230FDDDB" w14:textId="77777777" w:rsidR="00FC14FC" w:rsidRDefault="00FC14FC" w:rsidP="00D11B9D">
                  <w:pPr>
                    <w:pStyle w:val="TableColumnHeading"/>
                    <w:ind w:right="28"/>
                    <w:jc w:val="left"/>
                  </w:pPr>
                  <w:r>
                    <w:t>BPs used</w:t>
                  </w:r>
                </w:p>
              </w:tc>
              <w:tc>
                <w:tcPr>
                  <w:tcW w:w="412" w:type="pct"/>
                  <w:vAlign w:val="bottom"/>
                </w:tcPr>
                <w:p w14:paraId="32BEE484" w14:textId="77777777" w:rsidR="00FC14FC" w:rsidRDefault="00FC14FC" w:rsidP="00D11B9D">
                  <w:pPr>
                    <w:pStyle w:val="TableColumnHeading"/>
                    <w:ind w:right="28"/>
                    <w:jc w:val="left"/>
                  </w:pPr>
                  <w:r>
                    <w:t>Tax rate</w:t>
                  </w:r>
                </w:p>
              </w:tc>
              <w:tc>
                <w:tcPr>
                  <w:tcW w:w="412" w:type="pct"/>
                  <w:vAlign w:val="bottom"/>
                </w:tcPr>
                <w:p w14:paraId="60515A24" w14:textId="77777777" w:rsidR="00FC14FC" w:rsidRDefault="00FC14FC" w:rsidP="00D11B9D">
                  <w:pPr>
                    <w:pStyle w:val="TableColumnHeading"/>
                    <w:ind w:right="28"/>
                    <w:jc w:val="left"/>
                  </w:pPr>
                  <w:r>
                    <w:t>Admin expenses</w:t>
                  </w:r>
                </w:p>
              </w:tc>
              <w:tc>
                <w:tcPr>
                  <w:tcW w:w="710" w:type="pct"/>
                  <w:vAlign w:val="bottom"/>
                </w:tcPr>
                <w:p w14:paraId="2BFC0E24" w14:textId="77777777" w:rsidR="00FC14FC" w:rsidRDefault="00FC14FC" w:rsidP="00D11B9D">
                  <w:pPr>
                    <w:pStyle w:val="TableColumnHeading"/>
                    <w:ind w:right="28"/>
                    <w:jc w:val="left"/>
                  </w:pPr>
                  <w:r>
                    <w:t>Asset allocation</w:t>
                  </w:r>
                </w:p>
              </w:tc>
              <w:tc>
                <w:tcPr>
                  <w:tcW w:w="562" w:type="pct"/>
                  <w:vAlign w:val="bottom"/>
                </w:tcPr>
                <w:p w14:paraId="7FB7469A" w14:textId="77777777" w:rsidR="00FC14FC" w:rsidRDefault="00FC14FC" w:rsidP="00D11B9D">
                  <w:pPr>
                    <w:pStyle w:val="TableColumnHeading"/>
                    <w:ind w:right="28"/>
                    <w:jc w:val="left"/>
                  </w:pPr>
                  <w:r>
                    <w:t>Other sensitivity testing</w:t>
                  </w:r>
                </w:p>
              </w:tc>
            </w:tr>
            <w:tr w:rsidR="00FC14FC" w14:paraId="774A91E6" w14:textId="77777777" w:rsidTr="00D11B9D">
              <w:tc>
                <w:tcPr>
                  <w:tcW w:w="529" w:type="pct"/>
                  <w:shd w:val="clear" w:color="auto" w:fill="FFFFFF" w:themeFill="background1"/>
                </w:tcPr>
                <w:p w14:paraId="2243B759" w14:textId="77777777" w:rsidR="00FC14FC" w:rsidRDefault="00FC14FC" w:rsidP="00D11B9D">
                  <w:pPr>
                    <w:pStyle w:val="TableUnitsRow"/>
                    <w:jc w:val="left"/>
                  </w:pPr>
                  <w:r>
                    <w:t>Long</w:t>
                  </w:r>
                  <w:r>
                    <w:noBreakHyphen/>
                    <w:t>term fund</w:t>
                  </w:r>
                  <w:r>
                    <w:softHyphen/>
                  </w:r>
                  <w:r>
                    <w:noBreakHyphen/>
                    <w:t>level returns</w:t>
                  </w:r>
                </w:p>
              </w:tc>
              <w:tc>
                <w:tcPr>
                  <w:tcW w:w="449" w:type="pct"/>
                  <w:shd w:val="clear" w:color="auto" w:fill="FFFFFF" w:themeFill="background1"/>
                </w:tcPr>
                <w:p w14:paraId="1ADD8556" w14:textId="77777777" w:rsidR="00FC14FC" w:rsidRDefault="00FC14FC" w:rsidP="00D11B9D">
                  <w:pPr>
                    <w:pStyle w:val="TableBodyText"/>
                    <w:spacing w:before="40"/>
                    <w:jc w:val="left"/>
                  </w:pPr>
                  <w:r>
                    <w:t>Figures 2.14, 4.18</w:t>
                  </w:r>
                </w:p>
                <w:p w14:paraId="3F50E9F7" w14:textId="77777777" w:rsidR="00FC14FC" w:rsidRDefault="00FC14FC" w:rsidP="00D11B9D">
                  <w:pPr>
                    <w:pStyle w:val="TableUnitsRow"/>
                    <w:jc w:val="left"/>
                  </w:pPr>
                  <w:r>
                    <w:t>Tables 4.35, 4.36</w:t>
                  </w:r>
                </w:p>
              </w:tc>
              <w:tc>
                <w:tcPr>
                  <w:tcW w:w="461" w:type="pct"/>
                  <w:shd w:val="clear" w:color="auto" w:fill="FFFFFF" w:themeFill="background1"/>
                </w:tcPr>
                <w:p w14:paraId="1E2C8BA3" w14:textId="77777777" w:rsidR="00FC14FC" w:rsidRDefault="00FC14FC" w:rsidP="00D11B9D">
                  <w:pPr>
                    <w:pStyle w:val="TableUnitsRow"/>
                    <w:jc w:val="left"/>
                  </w:pPr>
                  <w:r>
                    <w:t xml:space="preserve">Individual funds </w:t>
                  </w:r>
                </w:p>
              </w:tc>
              <w:tc>
                <w:tcPr>
                  <w:tcW w:w="430" w:type="pct"/>
                  <w:shd w:val="clear" w:color="auto" w:fill="FFFFFF" w:themeFill="background1"/>
                </w:tcPr>
                <w:p w14:paraId="2DF5BD10" w14:textId="77777777" w:rsidR="00FC14FC" w:rsidRDefault="00FC14FC" w:rsidP="00D11B9D">
                  <w:pPr>
                    <w:pStyle w:val="TableUnitsRow"/>
                    <w:ind w:right="28"/>
                    <w:jc w:val="left"/>
                  </w:pPr>
                  <w:r>
                    <w:t>Regulator data</w:t>
                  </w:r>
                </w:p>
              </w:tc>
              <w:tc>
                <w:tcPr>
                  <w:tcW w:w="380" w:type="pct"/>
                  <w:shd w:val="clear" w:color="auto" w:fill="FFFFFF" w:themeFill="background1"/>
                </w:tcPr>
                <w:p w14:paraId="4762E847" w14:textId="77777777" w:rsidR="00FC14FC" w:rsidRDefault="00FC14FC" w:rsidP="00D11B9D">
                  <w:pPr>
                    <w:pStyle w:val="TableBodyText"/>
                    <w:spacing w:before="40"/>
                    <w:ind w:right="28"/>
                    <w:jc w:val="left"/>
                  </w:pPr>
                  <w:r>
                    <w:t xml:space="preserve">2005–2017 </w:t>
                  </w:r>
                </w:p>
              </w:tc>
              <w:tc>
                <w:tcPr>
                  <w:tcW w:w="299" w:type="pct"/>
                  <w:shd w:val="clear" w:color="auto" w:fill="FFFFFF" w:themeFill="background1"/>
                </w:tcPr>
                <w:p w14:paraId="3875C0FD" w14:textId="77777777" w:rsidR="00FC14FC" w:rsidRDefault="00FC14FC" w:rsidP="00D11B9D">
                  <w:pPr>
                    <w:pStyle w:val="TableUnitsRow"/>
                    <w:ind w:right="28"/>
                    <w:jc w:val="left"/>
                  </w:pPr>
                  <w:r>
                    <w:t>Selection and survivor bias</w:t>
                  </w:r>
                </w:p>
              </w:tc>
              <w:tc>
                <w:tcPr>
                  <w:tcW w:w="356" w:type="pct"/>
                  <w:shd w:val="clear" w:color="auto" w:fill="FFFFFF" w:themeFill="background1"/>
                </w:tcPr>
                <w:p w14:paraId="1879718B" w14:textId="77777777" w:rsidR="00FC14FC" w:rsidRDefault="00FC14FC" w:rsidP="00D11B9D">
                  <w:pPr>
                    <w:pStyle w:val="TableUnitsRow"/>
                    <w:ind w:right="28"/>
                    <w:jc w:val="left"/>
                  </w:pPr>
                  <w:r>
                    <w:t>Gross of tax fund BP2</w:t>
                  </w:r>
                </w:p>
              </w:tc>
              <w:tc>
                <w:tcPr>
                  <w:tcW w:w="412" w:type="pct"/>
                  <w:shd w:val="clear" w:color="auto" w:fill="FFFFFF" w:themeFill="background1"/>
                </w:tcPr>
                <w:p w14:paraId="0605ADDA" w14:textId="77777777" w:rsidR="00FC14FC" w:rsidRDefault="00FC14FC" w:rsidP="00D11B9D">
                  <w:pPr>
                    <w:pStyle w:val="TableUnitsRow"/>
                    <w:ind w:right="28"/>
                    <w:jc w:val="left"/>
                  </w:pPr>
                  <w:r>
                    <w:t>Gross of tax</w:t>
                  </w:r>
                </w:p>
              </w:tc>
              <w:tc>
                <w:tcPr>
                  <w:tcW w:w="412" w:type="pct"/>
                  <w:shd w:val="clear" w:color="auto" w:fill="FFFFFF" w:themeFill="background1"/>
                </w:tcPr>
                <w:p w14:paraId="22EB3B32" w14:textId="77777777" w:rsidR="00FC14FC" w:rsidRDefault="00FC14FC" w:rsidP="00D11B9D">
                  <w:pPr>
                    <w:pStyle w:val="TableUnitsRow"/>
                    <w:ind w:right="28"/>
                    <w:jc w:val="left"/>
                  </w:pPr>
                  <w:r>
                    <w:t xml:space="preserve">Individual fund, system median (APRA funds) </w:t>
                  </w:r>
                </w:p>
              </w:tc>
              <w:tc>
                <w:tcPr>
                  <w:tcW w:w="710" w:type="pct"/>
                  <w:vMerge w:val="restart"/>
                  <w:shd w:val="pct5" w:color="auto" w:fill="auto"/>
                  <w:vAlign w:val="center"/>
                </w:tcPr>
                <w:p w14:paraId="354AAD14" w14:textId="77777777" w:rsidR="00FC14FC" w:rsidRDefault="00FC14FC" w:rsidP="00D11B9D">
                  <w:pPr>
                    <w:pStyle w:val="TableUnitsRow"/>
                    <w:ind w:right="28"/>
                    <w:jc w:val="left"/>
                  </w:pPr>
                  <w:r>
                    <w:t>BP Asset allocation data: APRA</w:t>
                  </w:r>
                </w:p>
                <w:p w14:paraId="0CDEAFC9" w14:textId="77777777" w:rsidR="00FC14FC" w:rsidRDefault="00FC14FC" w:rsidP="00D11B9D">
                  <w:pPr>
                    <w:pStyle w:val="TableUnitsRow"/>
                    <w:spacing w:before="120"/>
                    <w:ind w:right="28"/>
                    <w:jc w:val="left"/>
                  </w:pPr>
                  <w:r>
                    <w:t>Unlisted/listed allocation: Fund level</w:t>
                  </w:r>
                </w:p>
                <w:p w14:paraId="560A6B7D" w14:textId="77777777" w:rsidR="00FC14FC" w:rsidRDefault="00FC14FC" w:rsidP="00D11B9D">
                  <w:pPr>
                    <w:pStyle w:val="TableBodyText"/>
                    <w:spacing w:before="120"/>
                    <w:ind w:right="28"/>
                    <w:jc w:val="left"/>
                  </w:pPr>
                  <w:r>
                    <w:t>Domestic/international property allocation: Fund type</w:t>
                  </w:r>
                </w:p>
                <w:p w14:paraId="68CA8076" w14:textId="77777777" w:rsidR="00FC14FC" w:rsidRDefault="00FC14FC" w:rsidP="00D11B9D">
                  <w:pPr>
                    <w:pStyle w:val="TableBodyText"/>
                    <w:spacing w:before="120"/>
                    <w:ind w:right="28"/>
                    <w:jc w:val="left"/>
                  </w:pPr>
                  <w:r>
                    <w:t>Domestic/ international private equity allocation: Fund type</w:t>
                  </w:r>
                </w:p>
                <w:p w14:paraId="3BAF17D8" w14:textId="77777777" w:rsidR="00FC14FC" w:rsidRDefault="00FC14FC" w:rsidP="00D11B9D">
                  <w:pPr>
                    <w:pStyle w:val="TableBodyText"/>
                    <w:spacing w:before="120"/>
                    <w:ind w:right="28"/>
                    <w:jc w:val="left"/>
                  </w:pPr>
                  <w:r>
                    <w:t>(Asset allocation for the system benchmark is as per other system benchmarks)</w:t>
                  </w:r>
                </w:p>
              </w:tc>
              <w:tc>
                <w:tcPr>
                  <w:tcW w:w="562" w:type="pct"/>
                  <w:shd w:val="clear" w:color="auto" w:fill="FFFFFF" w:themeFill="background1"/>
                </w:tcPr>
                <w:p w14:paraId="47327F4D" w14:textId="77777777" w:rsidR="00FC14FC" w:rsidRDefault="00FC14FC" w:rsidP="00D11B9D">
                  <w:pPr>
                    <w:pStyle w:val="TableUnitsRow"/>
                    <w:ind w:right="28"/>
                    <w:jc w:val="left"/>
                  </w:pPr>
                  <w:r>
                    <w:t>With static 2017 asset allocation</w:t>
                  </w:r>
                </w:p>
              </w:tc>
            </w:tr>
            <w:tr w:rsidR="00FC14FC" w14:paraId="54BF0B17" w14:textId="77777777" w:rsidTr="00D11B9D">
              <w:tc>
                <w:tcPr>
                  <w:tcW w:w="529" w:type="pct"/>
                  <w:shd w:val="clear" w:color="auto" w:fill="FFFFFF" w:themeFill="background1"/>
                </w:tcPr>
                <w:p w14:paraId="02CC1819" w14:textId="77777777" w:rsidR="00FC14FC" w:rsidRDefault="00FC14FC" w:rsidP="00D11B9D">
                  <w:pPr>
                    <w:pStyle w:val="TableUnitsRow"/>
                    <w:spacing w:before="0"/>
                    <w:jc w:val="left"/>
                  </w:pPr>
                  <w:r>
                    <w:t>Long</w:t>
                  </w:r>
                  <w:r>
                    <w:noBreakHyphen/>
                    <w:t>term performance decomposition (and exploratory residuals analysis)</w:t>
                  </w:r>
                </w:p>
              </w:tc>
              <w:tc>
                <w:tcPr>
                  <w:tcW w:w="449" w:type="pct"/>
                  <w:shd w:val="clear" w:color="auto" w:fill="FFFFFF" w:themeFill="background1"/>
                </w:tcPr>
                <w:p w14:paraId="6AC52E27" w14:textId="77777777" w:rsidR="00FC14FC" w:rsidRDefault="00FC14FC" w:rsidP="00D11B9D">
                  <w:pPr>
                    <w:pStyle w:val="TableBodyText"/>
                    <w:jc w:val="left"/>
                  </w:pPr>
                  <w:r>
                    <w:t>Figure 2.15</w:t>
                  </w:r>
                </w:p>
                <w:p w14:paraId="29887B6B" w14:textId="77777777" w:rsidR="00FC14FC" w:rsidRDefault="00FC14FC" w:rsidP="00D11B9D">
                  <w:pPr>
                    <w:pStyle w:val="TableBodyText"/>
                    <w:jc w:val="left"/>
                  </w:pPr>
                  <w:r>
                    <w:t>Tables 4.37, 4.38, 4.39</w:t>
                  </w:r>
                </w:p>
                <w:p w14:paraId="73F37BFA" w14:textId="77777777" w:rsidR="00FC14FC" w:rsidRDefault="00FC14FC" w:rsidP="00D11B9D">
                  <w:pPr>
                    <w:pStyle w:val="TableBodyText"/>
                    <w:jc w:val="left"/>
                  </w:pPr>
                  <w:r>
                    <w:t xml:space="preserve"> </w:t>
                  </w:r>
                </w:p>
              </w:tc>
              <w:tc>
                <w:tcPr>
                  <w:tcW w:w="461" w:type="pct"/>
                  <w:shd w:val="clear" w:color="auto" w:fill="FFFFFF" w:themeFill="background1"/>
                </w:tcPr>
                <w:p w14:paraId="5EE82A4B" w14:textId="77777777" w:rsidR="00FC14FC" w:rsidRDefault="00FC14FC" w:rsidP="00D11B9D">
                  <w:pPr>
                    <w:pStyle w:val="TableUnitsRow"/>
                    <w:spacing w:before="0"/>
                    <w:jc w:val="left"/>
                  </w:pPr>
                  <w:r>
                    <w:t>Individual funds</w:t>
                  </w:r>
                </w:p>
              </w:tc>
              <w:tc>
                <w:tcPr>
                  <w:tcW w:w="430" w:type="pct"/>
                  <w:shd w:val="clear" w:color="auto" w:fill="FFFFFF" w:themeFill="background1"/>
                </w:tcPr>
                <w:p w14:paraId="0BAB5E7C" w14:textId="77777777" w:rsidR="00FC14FC" w:rsidRDefault="00FC14FC" w:rsidP="00D11B9D">
                  <w:pPr>
                    <w:pStyle w:val="TableUnitsRow"/>
                    <w:spacing w:before="0"/>
                    <w:ind w:right="28"/>
                    <w:jc w:val="left"/>
                  </w:pPr>
                  <w:r>
                    <w:t>Regulator data</w:t>
                  </w:r>
                </w:p>
              </w:tc>
              <w:tc>
                <w:tcPr>
                  <w:tcW w:w="380" w:type="pct"/>
                  <w:shd w:val="clear" w:color="auto" w:fill="FFFFFF" w:themeFill="background1"/>
                </w:tcPr>
                <w:p w14:paraId="4854695A" w14:textId="77777777" w:rsidR="00FC14FC" w:rsidRDefault="00FC14FC" w:rsidP="00D11B9D">
                  <w:pPr>
                    <w:pStyle w:val="TableBodyText"/>
                    <w:ind w:right="28"/>
                    <w:jc w:val="left"/>
                  </w:pPr>
                  <w:r>
                    <w:t>2005–2017</w:t>
                  </w:r>
                </w:p>
              </w:tc>
              <w:tc>
                <w:tcPr>
                  <w:tcW w:w="299" w:type="pct"/>
                  <w:shd w:val="clear" w:color="auto" w:fill="FFFFFF" w:themeFill="background1"/>
                </w:tcPr>
                <w:p w14:paraId="695A8546" w14:textId="77777777" w:rsidR="00FC14FC" w:rsidRDefault="00FC14FC" w:rsidP="00D11B9D">
                  <w:pPr>
                    <w:pStyle w:val="TableUnitsRow"/>
                    <w:spacing w:before="0"/>
                    <w:ind w:right="28"/>
                    <w:jc w:val="left"/>
                  </w:pPr>
                  <w:r>
                    <w:t>Selection and survivor bias</w:t>
                  </w:r>
                </w:p>
              </w:tc>
              <w:tc>
                <w:tcPr>
                  <w:tcW w:w="356" w:type="pct"/>
                  <w:shd w:val="clear" w:color="auto" w:fill="FFFFFF" w:themeFill="background1"/>
                </w:tcPr>
                <w:p w14:paraId="50B7B7A1" w14:textId="77777777" w:rsidR="00FC14FC" w:rsidRDefault="00FC14FC" w:rsidP="00D11B9D">
                  <w:pPr>
                    <w:pStyle w:val="TableUnitsRow"/>
                    <w:spacing w:before="0"/>
                    <w:ind w:right="28"/>
                    <w:jc w:val="left"/>
                  </w:pPr>
                  <w:r>
                    <w:t>Gross of tax fund BP2</w:t>
                  </w:r>
                </w:p>
              </w:tc>
              <w:tc>
                <w:tcPr>
                  <w:tcW w:w="412" w:type="pct"/>
                  <w:shd w:val="clear" w:color="auto" w:fill="FFFFFF" w:themeFill="background1"/>
                </w:tcPr>
                <w:p w14:paraId="330C763A" w14:textId="77777777" w:rsidR="00FC14FC" w:rsidRDefault="00FC14FC" w:rsidP="00D11B9D">
                  <w:pPr>
                    <w:pStyle w:val="TableUnitsRow"/>
                    <w:spacing w:before="0"/>
                    <w:ind w:right="28"/>
                    <w:jc w:val="left"/>
                  </w:pPr>
                  <w:r>
                    <w:t>Gross of tax</w:t>
                  </w:r>
                </w:p>
              </w:tc>
              <w:tc>
                <w:tcPr>
                  <w:tcW w:w="412" w:type="pct"/>
                  <w:shd w:val="clear" w:color="auto" w:fill="FFFFFF" w:themeFill="background1"/>
                </w:tcPr>
                <w:p w14:paraId="002067A4" w14:textId="77777777" w:rsidR="00FC14FC" w:rsidRDefault="00FC14FC" w:rsidP="00D11B9D">
                  <w:pPr>
                    <w:pStyle w:val="TableUnitsRow"/>
                    <w:spacing w:before="0"/>
                    <w:ind w:right="28"/>
                    <w:jc w:val="left"/>
                  </w:pPr>
                  <w:r>
                    <w:t>Individual fund</w:t>
                  </w:r>
                </w:p>
              </w:tc>
              <w:tc>
                <w:tcPr>
                  <w:tcW w:w="710" w:type="pct"/>
                  <w:vMerge/>
                  <w:shd w:val="pct5" w:color="auto" w:fill="auto"/>
                </w:tcPr>
                <w:p w14:paraId="7634A683" w14:textId="77777777" w:rsidR="00FC14FC" w:rsidRDefault="00FC14FC" w:rsidP="00D11B9D">
                  <w:pPr>
                    <w:pStyle w:val="TableBodyText"/>
                    <w:ind w:right="28"/>
                    <w:jc w:val="left"/>
                  </w:pPr>
                </w:p>
              </w:tc>
              <w:tc>
                <w:tcPr>
                  <w:tcW w:w="562" w:type="pct"/>
                  <w:shd w:val="clear" w:color="auto" w:fill="FFFFFF" w:themeFill="background1"/>
                </w:tcPr>
                <w:p w14:paraId="5CE4E8AD" w14:textId="77777777" w:rsidR="00FC14FC" w:rsidRDefault="00FC14FC" w:rsidP="00D11B9D">
                  <w:pPr>
                    <w:pStyle w:val="TableUnitsRow"/>
                    <w:ind w:right="28"/>
                    <w:jc w:val="left"/>
                  </w:pPr>
                </w:p>
              </w:tc>
            </w:tr>
            <w:tr w:rsidR="00FC14FC" w14:paraId="47C3A9F9" w14:textId="77777777" w:rsidTr="00D11B9D">
              <w:tc>
                <w:tcPr>
                  <w:tcW w:w="529" w:type="pct"/>
                  <w:shd w:val="clear" w:color="auto" w:fill="FFFFFF" w:themeFill="background1"/>
                </w:tcPr>
                <w:p w14:paraId="40194DD1" w14:textId="77777777" w:rsidR="00FC14FC" w:rsidRDefault="00FC14FC" w:rsidP="00D11B9D">
                  <w:pPr>
                    <w:pStyle w:val="TableUnitsRow"/>
                    <w:spacing w:before="0"/>
                    <w:jc w:val="left"/>
                  </w:pPr>
                  <w:r>
                    <w:t>Long</w:t>
                  </w:r>
                  <w:r>
                    <w:noBreakHyphen/>
                    <w:t xml:space="preserve">term relative outperformance decomposition </w:t>
                  </w:r>
                </w:p>
              </w:tc>
              <w:tc>
                <w:tcPr>
                  <w:tcW w:w="449" w:type="pct"/>
                  <w:shd w:val="clear" w:color="auto" w:fill="FFFFFF" w:themeFill="background1"/>
                </w:tcPr>
                <w:p w14:paraId="25CB2A50" w14:textId="77777777" w:rsidR="00FC14FC" w:rsidRDefault="00FC14FC" w:rsidP="00D11B9D">
                  <w:pPr>
                    <w:pStyle w:val="TableBodyText"/>
                    <w:jc w:val="left"/>
                  </w:pPr>
                  <w:r>
                    <w:t>Figure 4.19</w:t>
                  </w:r>
                </w:p>
              </w:tc>
              <w:tc>
                <w:tcPr>
                  <w:tcW w:w="461" w:type="pct"/>
                  <w:shd w:val="clear" w:color="auto" w:fill="FFFFFF" w:themeFill="background1"/>
                </w:tcPr>
                <w:p w14:paraId="7E22FB4D" w14:textId="77777777" w:rsidR="00FC14FC" w:rsidRDefault="00FC14FC" w:rsidP="00D11B9D">
                  <w:pPr>
                    <w:pStyle w:val="TableUnitsRow"/>
                    <w:spacing w:before="0"/>
                    <w:jc w:val="left"/>
                  </w:pPr>
                  <w:r>
                    <w:t>Individual funds</w:t>
                  </w:r>
                </w:p>
              </w:tc>
              <w:tc>
                <w:tcPr>
                  <w:tcW w:w="430" w:type="pct"/>
                  <w:shd w:val="clear" w:color="auto" w:fill="FFFFFF" w:themeFill="background1"/>
                </w:tcPr>
                <w:p w14:paraId="1F0FBAAD" w14:textId="77777777" w:rsidR="00FC14FC" w:rsidRDefault="00FC14FC" w:rsidP="00D11B9D">
                  <w:pPr>
                    <w:pStyle w:val="TableUnitsRow"/>
                    <w:spacing w:before="0"/>
                    <w:ind w:right="28"/>
                    <w:jc w:val="left"/>
                  </w:pPr>
                  <w:r>
                    <w:t>Regulator data</w:t>
                  </w:r>
                </w:p>
              </w:tc>
              <w:tc>
                <w:tcPr>
                  <w:tcW w:w="380" w:type="pct"/>
                  <w:shd w:val="clear" w:color="auto" w:fill="FFFFFF" w:themeFill="background1"/>
                </w:tcPr>
                <w:p w14:paraId="39794282" w14:textId="77777777" w:rsidR="00FC14FC" w:rsidRDefault="00FC14FC" w:rsidP="00D11B9D">
                  <w:pPr>
                    <w:pStyle w:val="TableBodyText"/>
                    <w:ind w:right="28"/>
                    <w:jc w:val="left"/>
                  </w:pPr>
                  <w:r>
                    <w:t xml:space="preserve">2005–2017 </w:t>
                  </w:r>
                </w:p>
              </w:tc>
              <w:tc>
                <w:tcPr>
                  <w:tcW w:w="299" w:type="pct"/>
                  <w:shd w:val="clear" w:color="auto" w:fill="FFFFFF" w:themeFill="background1"/>
                </w:tcPr>
                <w:p w14:paraId="7BF94FE3" w14:textId="77777777" w:rsidR="00FC14FC" w:rsidRDefault="00FC14FC" w:rsidP="00D11B9D">
                  <w:pPr>
                    <w:pStyle w:val="TableUnitsRow"/>
                    <w:spacing w:before="0"/>
                    <w:ind w:right="28"/>
                    <w:jc w:val="left"/>
                  </w:pPr>
                  <w:r>
                    <w:t>Selection and survivor bias</w:t>
                  </w:r>
                </w:p>
              </w:tc>
              <w:tc>
                <w:tcPr>
                  <w:tcW w:w="356" w:type="pct"/>
                  <w:shd w:val="clear" w:color="auto" w:fill="FFFFFF" w:themeFill="background1"/>
                </w:tcPr>
                <w:p w14:paraId="267AAF6D" w14:textId="77777777" w:rsidR="00FC14FC" w:rsidRDefault="00FC14FC" w:rsidP="00D11B9D">
                  <w:pPr>
                    <w:pStyle w:val="TableUnitsRow"/>
                    <w:spacing w:before="0"/>
                    <w:ind w:right="28"/>
                    <w:jc w:val="left"/>
                  </w:pPr>
                  <w:r>
                    <w:t>Gross of tax fund BP2, System BP2</w:t>
                  </w:r>
                </w:p>
              </w:tc>
              <w:tc>
                <w:tcPr>
                  <w:tcW w:w="412" w:type="pct"/>
                  <w:shd w:val="clear" w:color="auto" w:fill="FFFFFF" w:themeFill="background1"/>
                </w:tcPr>
                <w:p w14:paraId="4BA8BB18" w14:textId="77777777" w:rsidR="00FC14FC" w:rsidRDefault="00FC14FC" w:rsidP="00D11B9D">
                  <w:pPr>
                    <w:pStyle w:val="TableUnitsRow"/>
                    <w:spacing w:before="0"/>
                    <w:ind w:right="28"/>
                    <w:jc w:val="left"/>
                  </w:pPr>
                  <w:r>
                    <w:t>Funds, gross of tax, System average (APRA funds)</w:t>
                  </w:r>
                </w:p>
              </w:tc>
              <w:tc>
                <w:tcPr>
                  <w:tcW w:w="412" w:type="pct"/>
                  <w:shd w:val="clear" w:color="auto" w:fill="FFFFFF" w:themeFill="background1"/>
                </w:tcPr>
                <w:p w14:paraId="231E6109" w14:textId="77777777" w:rsidR="00FC14FC" w:rsidRDefault="00FC14FC" w:rsidP="00D11B9D">
                  <w:pPr>
                    <w:pStyle w:val="TableUnitsRow"/>
                    <w:spacing w:before="0"/>
                    <w:ind w:right="28"/>
                    <w:jc w:val="left"/>
                  </w:pPr>
                  <w:r>
                    <w:t>Individual fund, System median (APRA funds)</w:t>
                  </w:r>
                </w:p>
              </w:tc>
              <w:tc>
                <w:tcPr>
                  <w:tcW w:w="710" w:type="pct"/>
                  <w:vMerge/>
                  <w:shd w:val="pct5" w:color="auto" w:fill="auto"/>
                </w:tcPr>
                <w:p w14:paraId="5F7D5D86" w14:textId="77777777" w:rsidR="00FC14FC" w:rsidRDefault="00FC14FC" w:rsidP="00D11B9D">
                  <w:pPr>
                    <w:pStyle w:val="TableUnitsRow"/>
                    <w:ind w:right="28"/>
                    <w:jc w:val="left"/>
                  </w:pPr>
                </w:p>
              </w:tc>
              <w:tc>
                <w:tcPr>
                  <w:tcW w:w="562" w:type="pct"/>
                  <w:shd w:val="clear" w:color="auto" w:fill="FFFFFF" w:themeFill="background1"/>
                </w:tcPr>
                <w:p w14:paraId="6779D3EA" w14:textId="77777777" w:rsidR="00FC14FC" w:rsidRDefault="00FC14FC" w:rsidP="00D11B9D">
                  <w:pPr>
                    <w:pStyle w:val="TableUnitsRow"/>
                    <w:ind w:right="28"/>
                    <w:jc w:val="left"/>
                  </w:pPr>
                </w:p>
              </w:tc>
            </w:tr>
            <w:tr w:rsidR="00FC14FC" w14:paraId="4E6C82FF" w14:textId="77777777" w:rsidTr="00D11B9D">
              <w:tc>
                <w:tcPr>
                  <w:tcW w:w="529" w:type="pct"/>
                  <w:shd w:val="clear" w:color="auto" w:fill="FFFFFF" w:themeFill="background1"/>
                </w:tcPr>
                <w:p w14:paraId="385C99DD" w14:textId="77777777" w:rsidR="00FC14FC" w:rsidRDefault="00FC14FC" w:rsidP="00D11B9D">
                  <w:pPr>
                    <w:pStyle w:val="TableUnitsRow"/>
                    <w:spacing w:before="0"/>
                    <w:jc w:val="left"/>
                  </w:pPr>
                  <w:r>
                    <w:t>Long</w:t>
                  </w:r>
                  <w:r>
                    <w:noBreakHyphen/>
                    <w:t>term performance decomposition</w:t>
                  </w:r>
                </w:p>
              </w:tc>
              <w:tc>
                <w:tcPr>
                  <w:tcW w:w="449" w:type="pct"/>
                  <w:shd w:val="clear" w:color="auto" w:fill="FFFFFF" w:themeFill="background1"/>
                </w:tcPr>
                <w:p w14:paraId="5387760C" w14:textId="77777777" w:rsidR="00FC14FC" w:rsidRDefault="00FC14FC" w:rsidP="00D11B9D">
                  <w:pPr>
                    <w:pStyle w:val="TableBodyText"/>
                    <w:jc w:val="left"/>
                  </w:pPr>
                  <w:r>
                    <w:t>Figure 2.18</w:t>
                  </w:r>
                </w:p>
              </w:tc>
              <w:tc>
                <w:tcPr>
                  <w:tcW w:w="461" w:type="pct"/>
                  <w:shd w:val="clear" w:color="auto" w:fill="FFFFFF" w:themeFill="background1"/>
                </w:tcPr>
                <w:p w14:paraId="0EC87E22" w14:textId="77777777" w:rsidR="00FC14FC" w:rsidRDefault="00FC14FC" w:rsidP="00D11B9D">
                  <w:pPr>
                    <w:pStyle w:val="TableUnitsRow"/>
                    <w:spacing w:before="0"/>
                    <w:jc w:val="left"/>
                  </w:pPr>
                  <w:r>
                    <w:t>Individual MySuper products</w:t>
                  </w:r>
                </w:p>
              </w:tc>
              <w:tc>
                <w:tcPr>
                  <w:tcW w:w="430" w:type="pct"/>
                  <w:shd w:val="clear" w:color="auto" w:fill="FFFFFF" w:themeFill="background1"/>
                </w:tcPr>
                <w:p w14:paraId="3C9B94AD" w14:textId="77777777" w:rsidR="00FC14FC" w:rsidRDefault="00FC14FC" w:rsidP="00D11B9D">
                  <w:pPr>
                    <w:pStyle w:val="TableUnitsRow"/>
                    <w:spacing w:before="0"/>
                    <w:ind w:right="28"/>
                    <w:jc w:val="left"/>
                  </w:pPr>
                  <w:r>
                    <w:t>SuperRatings</w:t>
                  </w:r>
                </w:p>
              </w:tc>
              <w:tc>
                <w:tcPr>
                  <w:tcW w:w="380" w:type="pct"/>
                  <w:shd w:val="clear" w:color="auto" w:fill="FFFFFF" w:themeFill="background1"/>
                </w:tcPr>
                <w:p w14:paraId="37A37EC6" w14:textId="77777777" w:rsidR="00FC14FC" w:rsidRDefault="00FC14FC" w:rsidP="00D11B9D">
                  <w:pPr>
                    <w:pStyle w:val="TableBodyText"/>
                    <w:ind w:right="28"/>
                    <w:jc w:val="left"/>
                  </w:pPr>
                  <w:r>
                    <w:t>2008–2018</w:t>
                  </w:r>
                </w:p>
              </w:tc>
              <w:tc>
                <w:tcPr>
                  <w:tcW w:w="299" w:type="pct"/>
                  <w:shd w:val="clear" w:color="auto" w:fill="FFFFFF" w:themeFill="background1"/>
                </w:tcPr>
                <w:p w14:paraId="1643482D" w14:textId="77777777" w:rsidR="00FC14FC" w:rsidRDefault="00FC14FC" w:rsidP="00D11B9D">
                  <w:pPr>
                    <w:pStyle w:val="TableUnitsRow"/>
                    <w:spacing w:before="0"/>
                    <w:ind w:right="28"/>
                    <w:jc w:val="left"/>
                  </w:pPr>
                  <w:r>
                    <w:t>Selection and survivor bias</w:t>
                  </w:r>
                </w:p>
              </w:tc>
              <w:tc>
                <w:tcPr>
                  <w:tcW w:w="356" w:type="pct"/>
                  <w:shd w:val="clear" w:color="auto" w:fill="FFFFFF" w:themeFill="background1"/>
                </w:tcPr>
                <w:p w14:paraId="2E349C73" w14:textId="77777777" w:rsidR="00FC14FC" w:rsidRDefault="00FC14FC" w:rsidP="00D11B9D">
                  <w:pPr>
                    <w:pStyle w:val="TableUnitsRow"/>
                    <w:spacing w:before="0"/>
                    <w:ind w:right="28"/>
                    <w:jc w:val="left"/>
                  </w:pPr>
                  <w:r>
                    <w:t>Tailored BP2</w:t>
                  </w:r>
                </w:p>
              </w:tc>
              <w:tc>
                <w:tcPr>
                  <w:tcW w:w="412" w:type="pct"/>
                  <w:shd w:val="clear" w:color="auto" w:fill="FFFFFF" w:themeFill="background1"/>
                </w:tcPr>
                <w:p w14:paraId="3362A0CD" w14:textId="77777777" w:rsidR="00FC14FC" w:rsidRDefault="00FC14FC" w:rsidP="00D11B9D">
                  <w:pPr>
                    <w:pStyle w:val="TableUnitsRow"/>
                    <w:spacing w:before="0"/>
                    <w:ind w:right="28"/>
                    <w:jc w:val="left"/>
                  </w:pPr>
                  <w:r>
                    <w:t>Accumulation tax rate</w:t>
                  </w:r>
                </w:p>
              </w:tc>
              <w:tc>
                <w:tcPr>
                  <w:tcW w:w="412" w:type="pct"/>
                  <w:shd w:val="clear" w:color="auto" w:fill="FFFFFF" w:themeFill="background1"/>
                </w:tcPr>
                <w:p w14:paraId="69BF94B6" w14:textId="77777777" w:rsidR="00FC14FC" w:rsidRDefault="00FC14FC" w:rsidP="00D11B9D">
                  <w:pPr>
                    <w:pStyle w:val="TableUnitsRow"/>
                    <w:spacing w:before="0"/>
                    <w:ind w:right="28"/>
                    <w:jc w:val="left"/>
                  </w:pPr>
                  <w:r>
                    <w:t>Bottom quartile fee of sample</w:t>
                  </w:r>
                </w:p>
              </w:tc>
              <w:tc>
                <w:tcPr>
                  <w:tcW w:w="710" w:type="pct"/>
                  <w:shd w:val="clear" w:color="auto" w:fill="FFFFFF" w:themeFill="background1"/>
                </w:tcPr>
                <w:p w14:paraId="75B90BD1" w14:textId="77777777" w:rsidR="00FC14FC" w:rsidRDefault="00FC14FC" w:rsidP="00D11B9D">
                  <w:pPr>
                    <w:pStyle w:val="TableUnitsRow"/>
                    <w:spacing w:before="0"/>
                    <w:ind w:right="28"/>
                    <w:jc w:val="left"/>
                  </w:pPr>
                  <w:r>
                    <w:t>BP asset allocation data: SuperRatings</w:t>
                  </w:r>
                </w:p>
                <w:p w14:paraId="57073AE0" w14:textId="77777777" w:rsidR="00FC14FC" w:rsidRDefault="00FC14FC" w:rsidP="00D11B9D">
                  <w:pPr>
                    <w:pStyle w:val="TableUnitsRow"/>
                    <w:ind w:left="0" w:right="28"/>
                    <w:jc w:val="left"/>
                  </w:pPr>
                </w:p>
              </w:tc>
              <w:tc>
                <w:tcPr>
                  <w:tcW w:w="562" w:type="pct"/>
                  <w:shd w:val="clear" w:color="auto" w:fill="FFFFFF" w:themeFill="background1"/>
                </w:tcPr>
                <w:p w14:paraId="4B6A7738" w14:textId="77777777" w:rsidR="00FC14FC" w:rsidRDefault="00FC14FC" w:rsidP="00D11B9D">
                  <w:pPr>
                    <w:pStyle w:val="TableUnitsRow"/>
                    <w:ind w:right="28"/>
                    <w:jc w:val="left"/>
                  </w:pPr>
                </w:p>
              </w:tc>
            </w:tr>
          </w:tbl>
          <w:p w14:paraId="33EA60CE" w14:textId="77777777" w:rsidR="00FC14FC" w:rsidRDefault="00FC14FC" w:rsidP="00D11B9D">
            <w:pPr>
              <w:pStyle w:val="Box"/>
            </w:pPr>
          </w:p>
        </w:tc>
      </w:tr>
      <w:tr w:rsidR="00FC14FC" w14:paraId="55535C68" w14:textId="77777777" w:rsidTr="00D11B9D">
        <w:tc>
          <w:tcPr>
            <w:tcW w:w="5000" w:type="pct"/>
            <w:tcBorders>
              <w:top w:val="nil"/>
              <w:left w:val="nil"/>
              <w:bottom w:val="nil"/>
              <w:right w:val="nil"/>
            </w:tcBorders>
            <w:shd w:val="clear" w:color="auto" w:fill="auto"/>
          </w:tcPr>
          <w:p w14:paraId="62C25C14" w14:textId="77777777" w:rsidR="00FC14FC" w:rsidRDefault="00FC14FC" w:rsidP="00D11B9D">
            <w:pPr>
              <w:pStyle w:val="Continued"/>
              <w:rPr>
                <w:i/>
              </w:rPr>
            </w:pPr>
            <w:r w:rsidRPr="005D2ADC">
              <w:rPr>
                <w:rStyle w:val="NoteLabel"/>
              </w:rPr>
              <w:t>(continued next page)</w:t>
            </w:r>
          </w:p>
        </w:tc>
      </w:tr>
      <w:tr w:rsidR="00FC14FC" w14:paraId="5BEA6211" w14:textId="77777777" w:rsidTr="00D11B9D">
        <w:tc>
          <w:tcPr>
            <w:tcW w:w="5000" w:type="pct"/>
            <w:tcBorders>
              <w:top w:val="nil"/>
              <w:left w:val="nil"/>
              <w:bottom w:val="single" w:sz="6" w:space="0" w:color="78A22F"/>
              <w:right w:val="nil"/>
            </w:tcBorders>
            <w:shd w:val="clear" w:color="auto" w:fill="auto"/>
          </w:tcPr>
          <w:p w14:paraId="7A0CE642" w14:textId="77777777" w:rsidR="00FC14FC" w:rsidRDefault="00FC14FC" w:rsidP="00D11B9D">
            <w:pPr>
              <w:pStyle w:val="Box"/>
              <w:spacing w:before="0" w:line="120" w:lineRule="exact"/>
            </w:pPr>
          </w:p>
        </w:tc>
      </w:tr>
      <w:tr w:rsidR="00FC14FC" w:rsidRPr="000863A5" w14:paraId="10633A80" w14:textId="77777777" w:rsidTr="00D11B9D">
        <w:tc>
          <w:tcPr>
            <w:tcW w:w="5000" w:type="pct"/>
            <w:tcBorders>
              <w:top w:val="single" w:sz="6" w:space="0" w:color="78A22F"/>
              <w:left w:val="nil"/>
              <w:bottom w:val="nil"/>
              <w:right w:val="nil"/>
            </w:tcBorders>
          </w:tcPr>
          <w:p w14:paraId="49C11C30" w14:textId="77777777" w:rsidR="00FC14FC" w:rsidRPr="00626D32" w:rsidRDefault="00FC14FC" w:rsidP="00D11B9D">
            <w:pPr>
              <w:pStyle w:val="BoxSpaceBelow"/>
            </w:pPr>
          </w:p>
        </w:tc>
      </w:tr>
    </w:tbl>
    <w:p w14:paraId="49C80AE7"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1CA340B5" w14:textId="77777777" w:rsidTr="00D11B9D">
        <w:trPr>
          <w:tblHeader/>
        </w:trPr>
        <w:tc>
          <w:tcPr>
            <w:tcW w:w="5000" w:type="pct"/>
            <w:tcBorders>
              <w:top w:val="single" w:sz="6" w:space="0" w:color="78A22F"/>
              <w:left w:val="nil"/>
              <w:bottom w:val="nil"/>
              <w:right w:val="nil"/>
            </w:tcBorders>
            <w:shd w:val="clear" w:color="auto" w:fill="auto"/>
          </w:tcPr>
          <w:p w14:paraId="1A5727EC" w14:textId="77777777" w:rsidR="00FC14FC" w:rsidRPr="00784A05" w:rsidRDefault="00FC14FC" w:rsidP="00D11B9D">
            <w:pPr>
              <w:pStyle w:val="TableTitle"/>
            </w:pPr>
            <w:r>
              <w:rPr>
                <w:b w:val="0"/>
              </w:rPr>
              <w:t xml:space="preserve">Table </w:t>
            </w:r>
            <w:r w:rsidRPr="00126730">
              <w:rPr>
                <w:b w:val="0"/>
              </w:rPr>
              <w:t>4.1</w:t>
            </w:r>
            <w:r>
              <w:tab/>
            </w:r>
            <w:r w:rsidRPr="009B565F">
              <w:rPr>
                <w:b w:val="0"/>
                <w:sz w:val="18"/>
                <w:szCs w:val="18"/>
              </w:rPr>
              <w:t>(continued)</w:t>
            </w:r>
          </w:p>
        </w:tc>
      </w:tr>
      <w:tr w:rsidR="00FC14FC" w14:paraId="7CE77CC3" w14:textId="77777777" w:rsidTr="00D11B9D">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1034"/>
              <w:gridCol w:w="1368"/>
              <w:gridCol w:w="881"/>
              <w:gridCol w:w="1252"/>
              <w:gridCol w:w="1034"/>
              <w:gridCol w:w="784"/>
              <w:gridCol w:w="1018"/>
              <w:gridCol w:w="1144"/>
              <w:gridCol w:w="1276"/>
              <w:gridCol w:w="2268"/>
              <w:gridCol w:w="1094"/>
            </w:tblGrid>
            <w:tr w:rsidR="00FC14FC" w14:paraId="5B5E0962" w14:textId="77777777" w:rsidTr="00D11B9D">
              <w:trPr>
                <w:tblHeader/>
              </w:trPr>
              <w:tc>
                <w:tcPr>
                  <w:tcW w:w="913" w:type="pct"/>
                  <w:gridSpan w:val="2"/>
                  <w:tcBorders>
                    <w:right w:val="single" w:sz="4" w:space="0" w:color="D9D9D9" w:themeColor="background1" w:themeShade="D9"/>
                  </w:tcBorders>
                  <w:shd w:val="clear" w:color="auto" w:fill="auto"/>
                  <w:tcMar>
                    <w:top w:w="28" w:type="dxa"/>
                  </w:tcMar>
                </w:tcPr>
                <w:p w14:paraId="3DF62D88" w14:textId="77777777" w:rsidR="00FC14FC" w:rsidRDefault="00FC14FC" w:rsidP="00D11B9D">
                  <w:pPr>
                    <w:pStyle w:val="TableColumnHeading"/>
                    <w:jc w:val="left"/>
                  </w:pPr>
                </w:p>
              </w:tc>
              <w:tc>
                <w:tcPr>
                  <w:tcW w:w="1502" w:type="pct"/>
                  <w:gridSpan w:val="4"/>
                  <w:tcBorders>
                    <w:left w:val="single" w:sz="4" w:space="0" w:color="D9D9D9" w:themeColor="background1" w:themeShade="D9"/>
                    <w:right w:val="single" w:sz="4" w:space="0" w:color="D9D9D9" w:themeColor="background1" w:themeShade="D9"/>
                  </w:tcBorders>
                  <w:shd w:val="clear" w:color="auto" w:fill="auto"/>
                  <w:tcMar>
                    <w:top w:w="28" w:type="dxa"/>
                  </w:tcMar>
                </w:tcPr>
                <w:p w14:paraId="283D82B7" w14:textId="77777777" w:rsidR="00FC14FC" w:rsidRDefault="00FC14FC" w:rsidP="00D11B9D">
                  <w:pPr>
                    <w:pStyle w:val="TableColumnHeading"/>
                    <w:ind w:right="28"/>
                    <w:jc w:val="center"/>
                  </w:pPr>
                  <w:r>
                    <w:t>Actual returns</w:t>
                  </w:r>
                </w:p>
              </w:tc>
              <w:tc>
                <w:tcPr>
                  <w:tcW w:w="2169" w:type="pct"/>
                  <w:gridSpan w:val="4"/>
                  <w:tcBorders>
                    <w:left w:val="single" w:sz="4" w:space="0" w:color="D9D9D9" w:themeColor="background1" w:themeShade="D9"/>
                    <w:right w:val="single" w:sz="4" w:space="0" w:color="D9D9D9" w:themeColor="background1" w:themeShade="D9"/>
                  </w:tcBorders>
                </w:tcPr>
                <w:p w14:paraId="5ACC64D2" w14:textId="77777777" w:rsidR="00FC14FC" w:rsidRDefault="00FC14FC" w:rsidP="00D11B9D">
                  <w:pPr>
                    <w:pStyle w:val="TableColumnHeading"/>
                    <w:jc w:val="center"/>
                  </w:pPr>
                  <w:r>
                    <w:t>B</w:t>
                  </w:r>
                  <w:r w:rsidRPr="002C33A8">
                    <w:t>enchmarks</w:t>
                  </w:r>
                </w:p>
              </w:tc>
              <w:tc>
                <w:tcPr>
                  <w:tcW w:w="416" w:type="pct"/>
                  <w:tcBorders>
                    <w:left w:val="single" w:sz="4" w:space="0" w:color="D9D9D9" w:themeColor="background1" w:themeShade="D9"/>
                  </w:tcBorders>
                </w:tcPr>
                <w:p w14:paraId="6E44AAEC" w14:textId="77777777" w:rsidR="00FC14FC" w:rsidRDefault="00FC14FC" w:rsidP="00D11B9D">
                  <w:pPr>
                    <w:pStyle w:val="TableColumnHeading"/>
                    <w:jc w:val="left"/>
                  </w:pPr>
                </w:p>
              </w:tc>
            </w:tr>
            <w:tr w:rsidR="00FC14FC" w14:paraId="3822F184" w14:textId="77777777" w:rsidTr="00D11B9D">
              <w:trPr>
                <w:tblHeader/>
              </w:trPr>
              <w:tc>
                <w:tcPr>
                  <w:tcW w:w="393" w:type="pct"/>
                  <w:shd w:val="clear" w:color="auto" w:fill="auto"/>
                  <w:tcMar>
                    <w:top w:w="28" w:type="dxa"/>
                  </w:tcMar>
                  <w:vAlign w:val="bottom"/>
                </w:tcPr>
                <w:p w14:paraId="419AD2F0" w14:textId="77777777" w:rsidR="00FC14FC" w:rsidRDefault="00FC14FC" w:rsidP="00D11B9D">
                  <w:pPr>
                    <w:pStyle w:val="TableColumnHeading"/>
                    <w:jc w:val="left"/>
                  </w:pPr>
                  <w:r>
                    <w:t>Analysis</w:t>
                  </w:r>
                </w:p>
              </w:tc>
              <w:tc>
                <w:tcPr>
                  <w:tcW w:w="520" w:type="pct"/>
                  <w:vAlign w:val="bottom"/>
                </w:tcPr>
                <w:p w14:paraId="6B9B0EF6" w14:textId="77777777" w:rsidR="00FC14FC" w:rsidRDefault="00FC14FC" w:rsidP="00D11B9D">
                  <w:pPr>
                    <w:pStyle w:val="TableColumnHeading"/>
                    <w:jc w:val="left"/>
                  </w:pPr>
                  <w:r>
                    <w:t>Figures/ tables</w:t>
                  </w:r>
                </w:p>
              </w:tc>
              <w:tc>
                <w:tcPr>
                  <w:tcW w:w="335" w:type="pct"/>
                  <w:shd w:val="clear" w:color="auto" w:fill="auto"/>
                  <w:tcMar>
                    <w:top w:w="28" w:type="dxa"/>
                  </w:tcMar>
                  <w:vAlign w:val="bottom"/>
                </w:tcPr>
                <w:p w14:paraId="3699E20A" w14:textId="77777777" w:rsidR="00FC14FC" w:rsidRDefault="00FC14FC" w:rsidP="00D11B9D">
                  <w:pPr>
                    <w:pStyle w:val="TableColumnHeading"/>
                    <w:jc w:val="left"/>
                  </w:pPr>
                  <w:r>
                    <w:t>Unit of analysis</w:t>
                  </w:r>
                </w:p>
              </w:tc>
              <w:tc>
                <w:tcPr>
                  <w:tcW w:w="476" w:type="pct"/>
                  <w:vAlign w:val="bottom"/>
                </w:tcPr>
                <w:p w14:paraId="4881580C" w14:textId="77777777" w:rsidR="00FC14FC" w:rsidRDefault="00FC14FC" w:rsidP="00D11B9D">
                  <w:pPr>
                    <w:pStyle w:val="TableColumnHeading"/>
                    <w:ind w:right="28"/>
                    <w:jc w:val="left"/>
                  </w:pPr>
                  <w:r>
                    <w:t>Data</w:t>
                  </w:r>
                </w:p>
              </w:tc>
              <w:tc>
                <w:tcPr>
                  <w:tcW w:w="393" w:type="pct"/>
                  <w:vAlign w:val="bottom"/>
                </w:tcPr>
                <w:p w14:paraId="251BA9F7" w14:textId="77777777" w:rsidR="00FC14FC" w:rsidRDefault="00FC14FC" w:rsidP="00D11B9D">
                  <w:pPr>
                    <w:pStyle w:val="TableColumnHeading"/>
                    <w:ind w:right="28"/>
                    <w:jc w:val="left"/>
                  </w:pPr>
                  <w:r>
                    <w:t>Time periods</w:t>
                  </w:r>
                </w:p>
              </w:tc>
              <w:tc>
                <w:tcPr>
                  <w:tcW w:w="298" w:type="pct"/>
                  <w:vAlign w:val="bottom"/>
                </w:tcPr>
                <w:p w14:paraId="315427E5" w14:textId="77777777" w:rsidR="00FC14FC" w:rsidRDefault="00FC14FC" w:rsidP="00D11B9D">
                  <w:pPr>
                    <w:pStyle w:val="TableColumnHeading"/>
                    <w:ind w:right="28"/>
                    <w:jc w:val="left"/>
                  </w:pPr>
                  <w:r>
                    <w:t>Bias</w:t>
                  </w:r>
                </w:p>
              </w:tc>
              <w:tc>
                <w:tcPr>
                  <w:tcW w:w="387" w:type="pct"/>
                  <w:vAlign w:val="bottom"/>
                </w:tcPr>
                <w:p w14:paraId="048B5AC1" w14:textId="77777777" w:rsidR="00FC14FC" w:rsidRDefault="00FC14FC" w:rsidP="00D11B9D">
                  <w:pPr>
                    <w:pStyle w:val="TableColumnHeading"/>
                    <w:ind w:right="28"/>
                    <w:jc w:val="left"/>
                  </w:pPr>
                  <w:r>
                    <w:t>BPs used</w:t>
                  </w:r>
                </w:p>
              </w:tc>
              <w:tc>
                <w:tcPr>
                  <w:tcW w:w="435" w:type="pct"/>
                  <w:vAlign w:val="bottom"/>
                </w:tcPr>
                <w:p w14:paraId="71255A6E" w14:textId="77777777" w:rsidR="00FC14FC" w:rsidRDefault="00FC14FC" w:rsidP="00D11B9D">
                  <w:pPr>
                    <w:pStyle w:val="TableColumnHeading"/>
                    <w:ind w:right="28"/>
                    <w:jc w:val="left"/>
                  </w:pPr>
                  <w:r>
                    <w:t>Tax rate</w:t>
                  </w:r>
                </w:p>
              </w:tc>
              <w:tc>
                <w:tcPr>
                  <w:tcW w:w="485" w:type="pct"/>
                  <w:vAlign w:val="bottom"/>
                </w:tcPr>
                <w:p w14:paraId="410B1044" w14:textId="77777777" w:rsidR="00FC14FC" w:rsidRDefault="00FC14FC" w:rsidP="00D11B9D">
                  <w:pPr>
                    <w:pStyle w:val="TableColumnHeading"/>
                    <w:ind w:right="28"/>
                    <w:jc w:val="left"/>
                  </w:pPr>
                  <w:r>
                    <w:t>Admin expenses</w:t>
                  </w:r>
                </w:p>
              </w:tc>
              <w:tc>
                <w:tcPr>
                  <w:tcW w:w="862" w:type="pct"/>
                  <w:vAlign w:val="bottom"/>
                </w:tcPr>
                <w:p w14:paraId="607BE687" w14:textId="77777777" w:rsidR="00FC14FC" w:rsidRDefault="00FC14FC" w:rsidP="00D11B9D">
                  <w:pPr>
                    <w:pStyle w:val="TableColumnHeading"/>
                    <w:ind w:right="28"/>
                    <w:jc w:val="left"/>
                  </w:pPr>
                  <w:r>
                    <w:t>Asset allocation</w:t>
                  </w:r>
                </w:p>
              </w:tc>
              <w:tc>
                <w:tcPr>
                  <w:tcW w:w="416" w:type="pct"/>
                  <w:vAlign w:val="bottom"/>
                </w:tcPr>
                <w:p w14:paraId="0C47C37B" w14:textId="77777777" w:rsidR="00FC14FC" w:rsidRDefault="00FC14FC" w:rsidP="00D11B9D">
                  <w:pPr>
                    <w:pStyle w:val="TableColumnHeading"/>
                    <w:ind w:right="28"/>
                    <w:jc w:val="left"/>
                  </w:pPr>
                  <w:r>
                    <w:t>Other sensitivity testing</w:t>
                  </w:r>
                </w:p>
              </w:tc>
            </w:tr>
            <w:tr w:rsidR="00FC14FC" w14:paraId="21FFCE13" w14:textId="77777777" w:rsidTr="00D11B9D">
              <w:trPr>
                <w:trHeight w:val="1428"/>
              </w:trPr>
              <w:tc>
                <w:tcPr>
                  <w:tcW w:w="393" w:type="pct"/>
                  <w:shd w:val="clear" w:color="auto" w:fill="auto"/>
                </w:tcPr>
                <w:p w14:paraId="2F9838C2" w14:textId="77777777" w:rsidR="00FC14FC" w:rsidRDefault="00FC14FC" w:rsidP="00D11B9D">
                  <w:pPr>
                    <w:pStyle w:val="TableBodyText"/>
                    <w:spacing w:before="40"/>
                    <w:jc w:val="left"/>
                  </w:pPr>
                  <w:r>
                    <w:t>Short</w:t>
                  </w:r>
                  <w:r>
                    <w:noBreakHyphen/>
                    <w:t xml:space="preserve"> and Long</w:t>
                  </w:r>
                  <w:r>
                    <w:noBreakHyphen/>
                    <w:t>term MySuper product returns</w:t>
                  </w:r>
                </w:p>
              </w:tc>
              <w:tc>
                <w:tcPr>
                  <w:tcW w:w="520" w:type="pct"/>
                  <w:shd w:val="clear" w:color="auto" w:fill="auto"/>
                </w:tcPr>
                <w:p w14:paraId="7DC64237" w14:textId="77777777" w:rsidR="00FC14FC" w:rsidRDefault="00FC14FC" w:rsidP="00D11B9D">
                  <w:pPr>
                    <w:pStyle w:val="TableBodyText"/>
                    <w:spacing w:before="40"/>
                    <w:jc w:val="left"/>
                  </w:pPr>
                  <w:r>
                    <w:t>Figures 2.16, 2.17</w:t>
                  </w:r>
                </w:p>
                <w:p w14:paraId="39E72CB8" w14:textId="77777777" w:rsidR="00FC14FC" w:rsidRDefault="00FC14FC" w:rsidP="00D11B9D">
                  <w:pPr>
                    <w:pStyle w:val="TableBodyText"/>
                    <w:spacing w:before="40"/>
                    <w:jc w:val="left"/>
                  </w:pPr>
                  <w:r>
                    <w:t xml:space="preserve">Tables 4.40, 4.41, 4.42, 4.43 </w:t>
                  </w:r>
                </w:p>
              </w:tc>
              <w:tc>
                <w:tcPr>
                  <w:tcW w:w="335" w:type="pct"/>
                  <w:shd w:val="clear" w:color="auto" w:fill="auto"/>
                </w:tcPr>
                <w:p w14:paraId="74AB68AE" w14:textId="77777777" w:rsidR="00FC14FC" w:rsidRDefault="00FC14FC" w:rsidP="00D11B9D">
                  <w:pPr>
                    <w:pStyle w:val="TableBodyText"/>
                    <w:spacing w:before="40"/>
                    <w:jc w:val="left"/>
                  </w:pPr>
                  <w:r>
                    <w:t>Individual MySuper products</w:t>
                  </w:r>
                </w:p>
              </w:tc>
              <w:tc>
                <w:tcPr>
                  <w:tcW w:w="476" w:type="pct"/>
                  <w:shd w:val="clear" w:color="auto" w:fill="auto"/>
                </w:tcPr>
                <w:p w14:paraId="6EDBD33E" w14:textId="77777777" w:rsidR="00FC14FC" w:rsidRDefault="00FC14FC" w:rsidP="00D11B9D">
                  <w:pPr>
                    <w:pStyle w:val="TableBodyText"/>
                    <w:spacing w:before="40"/>
                    <w:ind w:right="28"/>
                    <w:jc w:val="left"/>
                  </w:pPr>
                  <w:r>
                    <w:t>Regulator data (short term), SuperRatings data (long term)</w:t>
                  </w:r>
                </w:p>
              </w:tc>
              <w:tc>
                <w:tcPr>
                  <w:tcW w:w="393" w:type="pct"/>
                  <w:shd w:val="clear" w:color="auto" w:fill="auto"/>
                </w:tcPr>
                <w:p w14:paraId="0243F16E" w14:textId="77777777" w:rsidR="00FC14FC" w:rsidRDefault="00FC14FC" w:rsidP="00D11B9D">
                  <w:pPr>
                    <w:pStyle w:val="TableBodyText"/>
                    <w:spacing w:before="40"/>
                    <w:ind w:right="28"/>
                    <w:jc w:val="left"/>
                  </w:pPr>
                  <w:r>
                    <w:t xml:space="preserve">2015–2018 </w:t>
                  </w:r>
                </w:p>
                <w:p w14:paraId="0391BED7" w14:textId="77777777" w:rsidR="00FC14FC" w:rsidRDefault="00FC14FC" w:rsidP="00D11B9D">
                  <w:pPr>
                    <w:pStyle w:val="TableBodyText"/>
                    <w:spacing w:before="40"/>
                    <w:ind w:right="28"/>
                    <w:jc w:val="left"/>
                  </w:pPr>
                  <w:r>
                    <w:t xml:space="preserve">2008–2018 </w:t>
                  </w:r>
                </w:p>
              </w:tc>
              <w:tc>
                <w:tcPr>
                  <w:tcW w:w="298" w:type="pct"/>
                  <w:shd w:val="clear" w:color="auto" w:fill="auto"/>
                </w:tcPr>
                <w:p w14:paraId="0952E23A" w14:textId="77777777" w:rsidR="00FC14FC" w:rsidRDefault="00FC14FC" w:rsidP="00D11B9D">
                  <w:pPr>
                    <w:pStyle w:val="TableBodyText"/>
                    <w:spacing w:before="40"/>
                    <w:ind w:right="28"/>
                    <w:jc w:val="left"/>
                  </w:pPr>
                  <w:r>
                    <w:t>Selection and survivor bias</w:t>
                  </w:r>
                </w:p>
              </w:tc>
              <w:tc>
                <w:tcPr>
                  <w:tcW w:w="387" w:type="pct"/>
                  <w:shd w:val="clear" w:color="auto" w:fill="auto"/>
                </w:tcPr>
                <w:p w14:paraId="4BBD844E" w14:textId="77777777" w:rsidR="00FC14FC" w:rsidRDefault="00FC14FC" w:rsidP="00D11B9D">
                  <w:pPr>
                    <w:pStyle w:val="TableBodyText"/>
                    <w:spacing w:before="40"/>
                    <w:ind w:right="28"/>
                    <w:jc w:val="left"/>
                  </w:pPr>
                  <w:r>
                    <w:t>MySuper segment BP2, tailored BP2</w:t>
                  </w:r>
                </w:p>
              </w:tc>
              <w:tc>
                <w:tcPr>
                  <w:tcW w:w="435" w:type="pct"/>
                  <w:shd w:val="clear" w:color="auto" w:fill="auto"/>
                </w:tcPr>
                <w:p w14:paraId="40898C97" w14:textId="77777777" w:rsidR="00FC14FC" w:rsidRDefault="00FC14FC" w:rsidP="00D11B9D">
                  <w:pPr>
                    <w:pStyle w:val="TableBodyText"/>
                    <w:spacing w:before="40"/>
                    <w:ind w:right="28"/>
                    <w:jc w:val="left"/>
                  </w:pPr>
                  <w:r>
                    <w:t>Accumulation tax rate, 7.5%</w:t>
                  </w:r>
                </w:p>
              </w:tc>
              <w:tc>
                <w:tcPr>
                  <w:tcW w:w="485" w:type="pct"/>
                  <w:shd w:val="clear" w:color="auto" w:fill="auto"/>
                </w:tcPr>
                <w:p w14:paraId="77E35126" w14:textId="77777777" w:rsidR="00FC14FC" w:rsidRDefault="00FC14FC" w:rsidP="00D11B9D">
                  <w:pPr>
                    <w:pStyle w:val="TableBodyText"/>
                    <w:spacing w:before="40"/>
                    <w:ind w:right="28"/>
                    <w:jc w:val="left"/>
                  </w:pPr>
                  <w:r>
                    <w:t>Bottom</w:t>
                  </w:r>
                  <w:r>
                    <w:noBreakHyphen/>
                    <w:t>quartile</w:t>
                  </w:r>
                  <w:r w:rsidDel="00B6377B">
                    <w:t xml:space="preserve"> </w:t>
                  </w:r>
                  <w:r>
                    <w:t>fee of sample</w:t>
                  </w:r>
                </w:p>
              </w:tc>
              <w:tc>
                <w:tcPr>
                  <w:tcW w:w="862" w:type="pct"/>
                  <w:shd w:val="clear" w:color="auto" w:fill="auto"/>
                </w:tcPr>
                <w:p w14:paraId="66AD05E7" w14:textId="77777777" w:rsidR="00FC14FC" w:rsidRDefault="00FC14FC" w:rsidP="00D11B9D">
                  <w:pPr>
                    <w:pStyle w:val="TableUnitsRow"/>
                    <w:ind w:right="28"/>
                    <w:jc w:val="left"/>
                  </w:pPr>
                  <w:r>
                    <w:t>BP asset allocation data: APRA (short term) and SuperRatings (long term)</w:t>
                  </w:r>
                </w:p>
              </w:tc>
              <w:tc>
                <w:tcPr>
                  <w:tcW w:w="416" w:type="pct"/>
                  <w:shd w:val="clear" w:color="auto" w:fill="auto"/>
                </w:tcPr>
                <w:p w14:paraId="16C86CBA" w14:textId="77777777" w:rsidR="00FC14FC" w:rsidRDefault="00FC14FC" w:rsidP="00D11B9D">
                  <w:pPr>
                    <w:pStyle w:val="TableUnitsRow"/>
                    <w:ind w:right="28"/>
                    <w:jc w:val="left"/>
                  </w:pPr>
                  <w:r>
                    <w:t>Gross of admin fees (short term); net of fixed admin fees (long term)</w:t>
                  </w:r>
                </w:p>
              </w:tc>
            </w:tr>
            <w:tr w:rsidR="00FC14FC" w14:paraId="6EDEE5D0" w14:textId="77777777" w:rsidTr="00D11B9D">
              <w:tc>
                <w:tcPr>
                  <w:tcW w:w="393" w:type="pct"/>
                  <w:shd w:val="clear" w:color="auto" w:fill="auto"/>
                </w:tcPr>
                <w:p w14:paraId="6D9172B6" w14:textId="77777777" w:rsidR="00FC14FC" w:rsidRDefault="00FC14FC" w:rsidP="00D11B9D">
                  <w:pPr>
                    <w:pStyle w:val="TableBodyText"/>
                    <w:jc w:val="left"/>
                  </w:pPr>
                  <w:r>
                    <w:t>Long</w:t>
                  </w:r>
                  <w:r>
                    <w:noBreakHyphen/>
                    <w:t>term choice option returns</w:t>
                  </w:r>
                </w:p>
              </w:tc>
              <w:tc>
                <w:tcPr>
                  <w:tcW w:w="520" w:type="pct"/>
                  <w:shd w:val="clear" w:color="auto" w:fill="auto"/>
                </w:tcPr>
                <w:p w14:paraId="7FEA98B7" w14:textId="77777777" w:rsidR="00FC14FC" w:rsidRDefault="00FC14FC" w:rsidP="00D11B9D">
                  <w:pPr>
                    <w:pStyle w:val="TableBodyText"/>
                    <w:jc w:val="left"/>
                  </w:pPr>
                  <w:r>
                    <w:t>Figures 2.21, 4.20</w:t>
                  </w:r>
                </w:p>
                <w:p w14:paraId="65F19432" w14:textId="77777777" w:rsidR="00FC14FC" w:rsidRDefault="00FC14FC" w:rsidP="00D11B9D">
                  <w:pPr>
                    <w:pStyle w:val="TableBodyText"/>
                    <w:jc w:val="left"/>
                  </w:pPr>
                  <w:r>
                    <w:t>Tables 4.44</w:t>
                  </w:r>
                </w:p>
              </w:tc>
              <w:tc>
                <w:tcPr>
                  <w:tcW w:w="335" w:type="pct"/>
                  <w:shd w:val="clear" w:color="auto" w:fill="auto"/>
                </w:tcPr>
                <w:p w14:paraId="7FCF3BC5" w14:textId="77777777" w:rsidR="00FC14FC" w:rsidRDefault="00FC14FC" w:rsidP="00D11B9D">
                  <w:pPr>
                    <w:pStyle w:val="TableBodyText"/>
                    <w:jc w:val="left"/>
                  </w:pPr>
                  <w:r>
                    <w:t>Individual choice options</w:t>
                  </w:r>
                </w:p>
              </w:tc>
              <w:tc>
                <w:tcPr>
                  <w:tcW w:w="476" w:type="pct"/>
                  <w:shd w:val="clear" w:color="auto" w:fill="auto"/>
                </w:tcPr>
                <w:p w14:paraId="4C34ED33" w14:textId="77777777" w:rsidR="00FC14FC" w:rsidRDefault="00FC14FC" w:rsidP="00D11B9D">
                  <w:pPr>
                    <w:pStyle w:val="TableBodyText"/>
                    <w:ind w:right="28"/>
                    <w:jc w:val="left"/>
                  </w:pPr>
                  <w:r>
                    <w:t>SuperRatings data</w:t>
                  </w:r>
                </w:p>
              </w:tc>
              <w:tc>
                <w:tcPr>
                  <w:tcW w:w="393" w:type="pct"/>
                  <w:shd w:val="clear" w:color="auto" w:fill="auto"/>
                </w:tcPr>
                <w:p w14:paraId="257CA874" w14:textId="77777777" w:rsidR="00FC14FC" w:rsidRDefault="00FC14FC" w:rsidP="00D11B9D">
                  <w:pPr>
                    <w:pStyle w:val="TableBodyText"/>
                    <w:ind w:right="28"/>
                    <w:jc w:val="left"/>
                  </w:pPr>
                  <w:r>
                    <w:t xml:space="preserve">2005–2017 </w:t>
                  </w:r>
                </w:p>
              </w:tc>
              <w:tc>
                <w:tcPr>
                  <w:tcW w:w="298" w:type="pct"/>
                  <w:shd w:val="clear" w:color="auto" w:fill="auto"/>
                </w:tcPr>
                <w:p w14:paraId="3A572556" w14:textId="77777777" w:rsidR="00FC14FC" w:rsidRDefault="00FC14FC" w:rsidP="00D11B9D">
                  <w:pPr>
                    <w:pStyle w:val="TableBodyText"/>
                    <w:ind w:right="28"/>
                    <w:jc w:val="left"/>
                  </w:pPr>
                  <w:r>
                    <w:t>Selection and survivor bias</w:t>
                  </w:r>
                </w:p>
              </w:tc>
              <w:tc>
                <w:tcPr>
                  <w:tcW w:w="387" w:type="pct"/>
                  <w:shd w:val="clear" w:color="auto" w:fill="auto"/>
                </w:tcPr>
                <w:p w14:paraId="3C401AC0" w14:textId="77777777" w:rsidR="00FC14FC" w:rsidRDefault="00FC14FC" w:rsidP="00D11B9D">
                  <w:pPr>
                    <w:pStyle w:val="TableBodyText"/>
                    <w:ind w:right="28"/>
                    <w:jc w:val="left"/>
                  </w:pPr>
                  <w:r>
                    <w:t>Option BP1</w:t>
                  </w:r>
                </w:p>
              </w:tc>
              <w:tc>
                <w:tcPr>
                  <w:tcW w:w="435" w:type="pct"/>
                  <w:shd w:val="clear" w:color="auto" w:fill="auto"/>
                </w:tcPr>
                <w:p w14:paraId="024F0EAC" w14:textId="77777777" w:rsidR="00FC14FC" w:rsidRDefault="00FC14FC" w:rsidP="00D11B9D">
                  <w:pPr>
                    <w:pStyle w:val="TableBodyText"/>
                    <w:ind w:right="28"/>
                    <w:jc w:val="left"/>
                  </w:pPr>
                  <w:r>
                    <w:t>Accumulation tax rate</w:t>
                  </w:r>
                </w:p>
              </w:tc>
              <w:tc>
                <w:tcPr>
                  <w:tcW w:w="485" w:type="pct"/>
                  <w:shd w:val="clear" w:color="auto" w:fill="auto"/>
                </w:tcPr>
                <w:p w14:paraId="2DF28493" w14:textId="77777777" w:rsidR="00FC14FC" w:rsidRDefault="00FC14FC" w:rsidP="00D11B9D">
                  <w:pPr>
                    <w:pStyle w:val="TableBodyText"/>
                    <w:ind w:right="28"/>
                    <w:jc w:val="left"/>
                  </w:pPr>
                  <w:r>
                    <w:t>SuperRatings Choice segment median, fund</w:t>
                  </w:r>
                  <w:r>
                    <w:noBreakHyphen/>
                    <w:t xml:space="preserve">type segment median (APRA funds) </w:t>
                  </w:r>
                </w:p>
              </w:tc>
              <w:tc>
                <w:tcPr>
                  <w:tcW w:w="862" w:type="pct"/>
                  <w:shd w:val="clear" w:color="auto" w:fill="auto"/>
                  <w:vAlign w:val="center"/>
                </w:tcPr>
                <w:p w14:paraId="4BD4B5B3" w14:textId="77777777" w:rsidR="00FC14FC" w:rsidRDefault="00FC14FC" w:rsidP="00D11B9D">
                  <w:pPr>
                    <w:pStyle w:val="TableUnitsRow"/>
                    <w:spacing w:before="0"/>
                    <w:ind w:right="28"/>
                    <w:jc w:val="left"/>
                  </w:pPr>
                  <w:r>
                    <w:t>BP Asset allocation data: SuperRatings</w:t>
                  </w:r>
                </w:p>
                <w:p w14:paraId="3A4B6AA5" w14:textId="77777777" w:rsidR="00FC14FC" w:rsidRDefault="00FC14FC" w:rsidP="00D11B9D">
                  <w:pPr>
                    <w:pStyle w:val="TableUnitsRow"/>
                    <w:spacing w:before="120"/>
                    <w:ind w:right="28"/>
                    <w:jc w:val="left"/>
                  </w:pPr>
                  <w:r>
                    <w:t>Unlisted/listed allocation: Fund level</w:t>
                  </w:r>
                </w:p>
                <w:p w14:paraId="7A4714E1" w14:textId="77777777" w:rsidR="00FC14FC" w:rsidRDefault="00FC14FC" w:rsidP="00D11B9D">
                  <w:pPr>
                    <w:pStyle w:val="TableBodyText"/>
                    <w:spacing w:before="120"/>
                    <w:ind w:right="28"/>
                    <w:jc w:val="left"/>
                  </w:pPr>
                  <w:r>
                    <w:t>Domestic/international property allocation: Fund type</w:t>
                  </w:r>
                </w:p>
                <w:p w14:paraId="13F8ECE2" w14:textId="77777777" w:rsidR="00FC14FC" w:rsidRDefault="00FC14FC" w:rsidP="00D11B9D">
                  <w:pPr>
                    <w:pStyle w:val="TableBodyText"/>
                    <w:spacing w:before="120"/>
                    <w:ind w:right="28"/>
                    <w:jc w:val="left"/>
                  </w:pPr>
                  <w:r>
                    <w:t>Domestic/ international private equity allocation: Fund type</w:t>
                  </w:r>
                </w:p>
              </w:tc>
              <w:tc>
                <w:tcPr>
                  <w:tcW w:w="416" w:type="pct"/>
                  <w:shd w:val="clear" w:color="auto" w:fill="auto"/>
                </w:tcPr>
                <w:p w14:paraId="4FA4585E" w14:textId="77777777" w:rsidR="00FC14FC" w:rsidRDefault="00FC14FC" w:rsidP="00D11B9D">
                  <w:pPr>
                    <w:pStyle w:val="TableUnitsRow"/>
                    <w:spacing w:before="0"/>
                    <w:ind w:right="28"/>
                    <w:jc w:val="left"/>
                  </w:pPr>
                </w:p>
              </w:tc>
            </w:tr>
          </w:tbl>
          <w:p w14:paraId="78234A54" w14:textId="77777777" w:rsidR="00FC14FC" w:rsidRDefault="00FC14FC" w:rsidP="00D11B9D">
            <w:pPr>
              <w:pStyle w:val="Box"/>
            </w:pPr>
          </w:p>
        </w:tc>
      </w:tr>
      <w:tr w:rsidR="00FC14FC" w14:paraId="37D76363" w14:textId="77777777" w:rsidTr="00D11B9D">
        <w:tc>
          <w:tcPr>
            <w:tcW w:w="5000" w:type="pct"/>
            <w:tcBorders>
              <w:top w:val="nil"/>
              <w:left w:val="nil"/>
              <w:bottom w:val="nil"/>
              <w:right w:val="nil"/>
            </w:tcBorders>
            <w:shd w:val="clear" w:color="auto" w:fill="auto"/>
          </w:tcPr>
          <w:p w14:paraId="57AA359B" w14:textId="77777777" w:rsidR="00FC14FC" w:rsidRDefault="00FC14FC" w:rsidP="00D11B9D">
            <w:pPr>
              <w:pStyle w:val="Note"/>
              <w:rPr>
                <w:i/>
              </w:rPr>
            </w:pPr>
            <w:r w:rsidRPr="008E77FE">
              <w:rPr>
                <w:rStyle w:val="NoteLabel"/>
              </w:rPr>
              <w:t>a</w:t>
            </w:r>
            <w:r>
              <w:t xml:space="preserve"> Investment fee assumptions are not listed as they do not vary by analysis (table 4.25). </w:t>
            </w:r>
            <w:r>
              <w:rPr>
                <w:rStyle w:val="NoteLabel"/>
              </w:rPr>
              <w:t>b</w:t>
            </w:r>
            <w:r>
              <w:t xml:space="preserve"> All APRA asset allocation data used in benchmarks are adjusted for the default investment asset allocation and use Rainmaker data for apportioning the ‘other’ assets category (section 4.2). </w:t>
            </w:r>
            <w:r>
              <w:rPr>
                <w:rStyle w:val="NoteLabel"/>
              </w:rPr>
              <w:t>c</w:t>
            </w:r>
            <w:r>
              <w:t xml:space="preserve"> Only analysis using benchmarks is included in this table.</w:t>
            </w:r>
          </w:p>
        </w:tc>
      </w:tr>
      <w:tr w:rsidR="00FC14FC" w14:paraId="45600CF0" w14:textId="77777777" w:rsidTr="00D11B9D">
        <w:tc>
          <w:tcPr>
            <w:tcW w:w="5000" w:type="pct"/>
            <w:tcBorders>
              <w:top w:val="nil"/>
              <w:left w:val="nil"/>
              <w:bottom w:val="single" w:sz="6" w:space="0" w:color="78A22F"/>
              <w:right w:val="nil"/>
            </w:tcBorders>
            <w:shd w:val="clear" w:color="auto" w:fill="auto"/>
          </w:tcPr>
          <w:p w14:paraId="5D0C8BE7" w14:textId="77777777" w:rsidR="00FC14FC" w:rsidRDefault="00FC14FC" w:rsidP="00D11B9D">
            <w:pPr>
              <w:pStyle w:val="Box"/>
              <w:spacing w:before="0" w:line="120" w:lineRule="exact"/>
            </w:pPr>
          </w:p>
        </w:tc>
      </w:tr>
    </w:tbl>
    <w:p w14:paraId="10DD1BDF" w14:textId="77777777" w:rsidR="00FC14FC" w:rsidRDefault="00FC14FC" w:rsidP="00FC14FC">
      <w:pPr>
        <w:pStyle w:val="BodyText"/>
      </w:pPr>
    </w:p>
    <w:p w14:paraId="0D82F4D5" w14:textId="77777777" w:rsidR="00FC14FC" w:rsidRDefault="00FC14FC" w:rsidP="00FC14FC">
      <w:pPr>
        <w:pStyle w:val="BodyText"/>
        <w:sectPr w:rsidR="00FC14FC" w:rsidSect="00A85997">
          <w:headerReference w:type="even" r:id="rId18"/>
          <w:headerReference w:type="default" r:id="rId19"/>
          <w:footerReference w:type="even" r:id="rId20"/>
          <w:footerReference w:type="default" r:id="rId21"/>
          <w:pgSz w:w="16840" w:h="11907" w:orient="landscape" w:code="9"/>
          <w:pgMar w:top="1814" w:right="1985" w:bottom="1304" w:left="1418" w:header="1701" w:footer="567" w:gutter="0"/>
          <w:pgNumType w:chapSep="period"/>
          <w:cols w:space="720"/>
          <w:docGrid w:linePitch="326"/>
        </w:sectPr>
      </w:pPr>
    </w:p>
    <w:p w14:paraId="73F75968" w14:textId="77777777" w:rsidR="00FC14FC" w:rsidRDefault="00FC14FC" w:rsidP="00FC14FC">
      <w:pPr>
        <w:pStyle w:val="Heading3"/>
        <w:spacing w:before="0"/>
      </w:pPr>
      <w:r>
        <w:lastRenderedPageBreak/>
        <w:t xml:space="preserve">Research firm data </w:t>
      </w:r>
    </w:p>
    <w:p w14:paraId="732DD64D" w14:textId="77777777" w:rsidR="00FC14FC" w:rsidRDefault="00FC14FC" w:rsidP="00FC14FC">
      <w:pPr>
        <w:pStyle w:val="BodyText"/>
      </w:pPr>
      <w:r>
        <w:t xml:space="preserve">The Commission purchased data from superannuation research firms SuperRatings and Rainmaker to undertake investment performance analysis. Research firm data offer more granular insights into individual products and investment options in the system, which is closer to the member experience. </w:t>
      </w:r>
    </w:p>
    <w:p w14:paraId="40833AFD" w14:textId="77777777" w:rsidR="00FC14FC" w:rsidRDefault="00FC14FC" w:rsidP="00FC14FC">
      <w:pPr>
        <w:pStyle w:val="BodyText"/>
      </w:pPr>
      <w:r>
        <w:t xml:space="preserve">The key limitation of these data sources is that they only cover a subset of investment options in the system, which gives rise to selection bias issues as detailed below. If many smaller (and potentially poorer performing) options are not covered, the dataset may present a more positive assessment of the overall system than is actually the case. </w:t>
      </w:r>
    </w:p>
    <w:p w14:paraId="057ACEDC" w14:textId="77777777" w:rsidR="00FC14FC" w:rsidRDefault="00FC14FC" w:rsidP="00FC14FC">
      <w:pPr>
        <w:pStyle w:val="BodyText"/>
      </w:pPr>
      <w:r>
        <w:t>Further, datasets from these research firms are not primarily designed for a thorough historical investigation of the system. The Commission had to undertake its own matching and linking of investment options over time and across datasets. Further details are provided below.</w:t>
      </w:r>
    </w:p>
    <w:p w14:paraId="535E8452" w14:textId="77777777" w:rsidR="00FC14FC" w:rsidRDefault="00FC14FC" w:rsidP="00FC14FC">
      <w:pPr>
        <w:pStyle w:val="BodyText"/>
      </w:pPr>
      <w:r>
        <w:t>Since the draft report, the Commission has added an additional year of data where possible. For example, the analysis of MySuper (and default predecessor) product returns now covers an 11</w:t>
      </w:r>
      <w:r>
        <w:noBreakHyphen/>
        <w:t>year period (2008–2018). The sample coverage has not materially changed.</w:t>
      </w:r>
    </w:p>
    <w:p w14:paraId="6C0712AE" w14:textId="77777777" w:rsidR="00FC14FC" w:rsidRDefault="00FC14FC" w:rsidP="00FC14FC">
      <w:pPr>
        <w:pStyle w:val="Heading4"/>
      </w:pPr>
      <w:r>
        <w:t>International comparisons</w:t>
      </w:r>
    </w:p>
    <w:p w14:paraId="666495B2" w14:textId="77777777" w:rsidR="00FC14FC" w:rsidRDefault="00FC14FC" w:rsidP="00FC14FC">
      <w:pPr>
        <w:pStyle w:val="BodyText"/>
      </w:pPr>
      <w:r>
        <w:t xml:space="preserve">The Commission also purchased data from CEM Benchmarking of Canada on the net returns to individual asset classes achieved by pension funds in other countries. The data on net returns cover the United States (with pension funds separated into defined contribution and defined benefit), Canada, the Netherlands, the United Kingdom, other parts of Europe (aggregated into a single category) and the Asia–Pacific. The average total assets by funds across the dataset is US$19 billion (table 4.2). There are at least 20 funds covered in each region, except for other parts of Europe and the Asia–Pacific (10 and 4 funds respectively). As such, the data may not be entirely representative of the outcomes in these regions. The data on international returns by assets class is provided below (table 4.3). </w:t>
      </w:r>
    </w:p>
    <w:p w14:paraId="3BCFAA80"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5B57D13B" w14:textId="77777777" w:rsidTr="00D11B9D">
        <w:trPr>
          <w:tblHeader/>
        </w:trPr>
        <w:tc>
          <w:tcPr>
            <w:tcW w:w="5000" w:type="pct"/>
            <w:tcBorders>
              <w:top w:val="single" w:sz="6" w:space="0" w:color="78A22F"/>
              <w:left w:val="nil"/>
              <w:bottom w:val="nil"/>
              <w:right w:val="nil"/>
            </w:tcBorders>
            <w:shd w:val="clear" w:color="auto" w:fill="auto"/>
          </w:tcPr>
          <w:p w14:paraId="28CCCC5D" w14:textId="77777777" w:rsidR="00FC14FC" w:rsidRDefault="00FC14FC" w:rsidP="00D11B9D">
            <w:pPr>
              <w:pStyle w:val="TableTitle"/>
            </w:pPr>
            <w:r>
              <w:rPr>
                <w:b w:val="0"/>
              </w:rPr>
              <w:t>Table 4.2</w:t>
            </w:r>
            <w:r>
              <w:tab/>
              <w:t>CEM Benchmarking data coverage</w:t>
            </w:r>
            <w:r w:rsidRPr="00DA07E1">
              <w:rPr>
                <w:rStyle w:val="NoteLabel"/>
              </w:rPr>
              <w:t>a</w:t>
            </w:r>
          </w:p>
          <w:p w14:paraId="53C8D9C9" w14:textId="77777777" w:rsidR="00FC14FC" w:rsidRPr="00784A05" w:rsidRDefault="00FC14FC" w:rsidP="00D11B9D">
            <w:pPr>
              <w:pStyle w:val="Subtitle"/>
            </w:pPr>
            <w:r>
              <w:t>2016</w:t>
            </w:r>
          </w:p>
        </w:tc>
      </w:tr>
      <w:tr w:rsidR="00FC14FC" w14:paraId="07236BF0" w14:textId="77777777" w:rsidTr="00D11B9D">
        <w:trPr>
          <w:trHeight w:val="2764"/>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71"/>
              <w:gridCol w:w="1572"/>
              <w:gridCol w:w="143"/>
              <w:gridCol w:w="964"/>
              <w:gridCol w:w="964"/>
              <w:gridCol w:w="964"/>
              <w:gridCol w:w="964"/>
              <w:gridCol w:w="963"/>
            </w:tblGrid>
            <w:tr w:rsidR="00FC14FC" w14:paraId="6A54DC77" w14:textId="77777777" w:rsidTr="00D11B9D">
              <w:trPr>
                <w:tblHeader/>
              </w:trPr>
              <w:tc>
                <w:tcPr>
                  <w:tcW w:w="1158" w:type="pct"/>
                  <w:tcBorders>
                    <w:top w:val="single" w:sz="6" w:space="0" w:color="BFBFBF"/>
                    <w:bottom w:val="single" w:sz="6" w:space="0" w:color="BFBFBF"/>
                  </w:tcBorders>
                  <w:shd w:val="clear" w:color="auto" w:fill="auto"/>
                  <w:tcMar>
                    <w:top w:w="28" w:type="dxa"/>
                  </w:tcMar>
                </w:tcPr>
                <w:p w14:paraId="53029CC6" w14:textId="77777777" w:rsidR="00FC14FC" w:rsidRDefault="00FC14FC" w:rsidP="00D11B9D">
                  <w:pPr>
                    <w:pStyle w:val="TableColumnHeading"/>
                    <w:jc w:val="left"/>
                  </w:pPr>
                </w:p>
              </w:tc>
              <w:tc>
                <w:tcPr>
                  <w:tcW w:w="924" w:type="pct"/>
                  <w:tcBorders>
                    <w:top w:val="single" w:sz="6" w:space="0" w:color="BFBFBF"/>
                    <w:bottom w:val="single" w:sz="6" w:space="0" w:color="BFBFBF"/>
                  </w:tcBorders>
                </w:tcPr>
                <w:p w14:paraId="264537B1" w14:textId="77777777" w:rsidR="00FC14FC" w:rsidRDefault="00FC14FC" w:rsidP="00D11B9D">
                  <w:pPr>
                    <w:pStyle w:val="TableColumnHeading"/>
                  </w:pPr>
                </w:p>
              </w:tc>
              <w:tc>
                <w:tcPr>
                  <w:tcW w:w="84" w:type="pct"/>
                  <w:tcBorders>
                    <w:top w:val="single" w:sz="6" w:space="0" w:color="BFBFBF"/>
                  </w:tcBorders>
                </w:tcPr>
                <w:p w14:paraId="48763A05" w14:textId="77777777" w:rsidR="00FC14FC" w:rsidRDefault="00FC14FC" w:rsidP="00D11B9D">
                  <w:pPr>
                    <w:pStyle w:val="TableColumnHeading"/>
                    <w:ind w:right="28"/>
                    <w:jc w:val="center"/>
                  </w:pPr>
                </w:p>
              </w:tc>
              <w:tc>
                <w:tcPr>
                  <w:tcW w:w="2834" w:type="pct"/>
                  <w:gridSpan w:val="5"/>
                  <w:tcBorders>
                    <w:top w:val="single" w:sz="6" w:space="0" w:color="BFBFBF"/>
                    <w:bottom w:val="single" w:sz="6" w:space="0" w:color="BFBFBF"/>
                  </w:tcBorders>
                  <w:shd w:val="clear" w:color="auto" w:fill="auto"/>
                  <w:tcMar>
                    <w:top w:w="28" w:type="dxa"/>
                  </w:tcMar>
                </w:tcPr>
                <w:p w14:paraId="7A9CBEE9" w14:textId="77777777" w:rsidR="00FC14FC" w:rsidRDefault="00FC14FC" w:rsidP="00D11B9D">
                  <w:pPr>
                    <w:pStyle w:val="TableColumnHeading"/>
                    <w:ind w:right="28"/>
                    <w:jc w:val="center"/>
                  </w:pPr>
                  <w:r>
                    <w:t>Assets (US$b)</w:t>
                  </w:r>
                </w:p>
              </w:tc>
            </w:tr>
            <w:tr w:rsidR="00FC14FC" w14:paraId="57CBBB52" w14:textId="77777777" w:rsidTr="00D11B9D">
              <w:trPr>
                <w:tblHeader/>
              </w:trPr>
              <w:tc>
                <w:tcPr>
                  <w:tcW w:w="1158" w:type="pct"/>
                  <w:tcBorders>
                    <w:top w:val="single" w:sz="6" w:space="0" w:color="BFBFBF"/>
                    <w:bottom w:val="single" w:sz="6" w:space="0" w:color="BFBFBF"/>
                  </w:tcBorders>
                  <w:shd w:val="clear" w:color="auto" w:fill="auto"/>
                  <w:tcMar>
                    <w:top w:w="28" w:type="dxa"/>
                  </w:tcMar>
                </w:tcPr>
                <w:p w14:paraId="549AA9C1" w14:textId="77777777" w:rsidR="00FC14FC" w:rsidRDefault="00FC14FC" w:rsidP="00D11B9D">
                  <w:pPr>
                    <w:pStyle w:val="TableColumnHeading"/>
                    <w:jc w:val="left"/>
                  </w:pPr>
                  <w:r>
                    <w:t>Country/region</w:t>
                  </w:r>
                </w:p>
              </w:tc>
              <w:tc>
                <w:tcPr>
                  <w:tcW w:w="924" w:type="pct"/>
                  <w:tcBorders>
                    <w:top w:val="single" w:sz="6" w:space="0" w:color="BFBFBF"/>
                    <w:bottom w:val="single" w:sz="6" w:space="0" w:color="BFBFBF"/>
                  </w:tcBorders>
                  <w:shd w:val="clear" w:color="auto" w:fill="auto"/>
                </w:tcPr>
                <w:p w14:paraId="4C6F39DD" w14:textId="77777777" w:rsidR="00FC14FC" w:rsidRDefault="00FC14FC" w:rsidP="00D11B9D">
                  <w:pPr>
                    <w:pStyle w:val="TableColumnHeading"/>
                  </w:pPr>
                  <w:r>
                    <w:t>Number of funds</w:t>
                  </w:r>
                </w:p>
              </w:tc>
              <w:tc>
                <w:tcPr>
                  <w:tcW w:w="84" w:type="pct"/>
                  <w:tcBorders>
                    <w:bottom w:val="single" w:sz="6" w:space="0" w:color="BFBFBF"/>
                  </w:tcBorders>
                  <w:shd w:val="clear" w:color="auto" w:fill="auto"/>
                </w:tcPr>
                <w:p w14:paraId="620BAA93" w14:textId="77777777" w:rsidR="00FC14FC" w:rsidRDefault="00FC14FC" w:rsidP="00D11B9D">
                  <w:pPr>
                    <w:pStyle w:val="TableColumnHeading"/>
                  </w:pPr>
                </w:p>
              </w:tc>
              <w:tc>
                <w:tcPr>
                  <w:tcW w:w="567" w:type="pct"/>
                  <w:tcBorders>
                    <w:top w:val="single" w:sz="6" w:space="0" w:color="BFBFBF"/>
                    <w:bottom w:val="single" w:sz="6" w:space="0" w:color="BFBFBF"/>
                  </w:tcBorders>
                  <w:shd w:val="clear" w:color="auto" w:fill="auto"/>
                  <w:tcMar>
                    <w:top w:w="28" w:type="dxa"/>
                  </w:tcMar>
                </w:tcPr>
                <w:p w14:paraId="749BBAB1" w14:textId="77777777" w:rsidR="00FC14FC" w:rsidRDefault="00FC14FC" w:rsidP="00D11B9D">
                  <w:pPr>
                    <w:pStyle w:val="TableColumnHeading"/>
                  </w:pPr>
                  <w:r>
                    <w:t xml:space="preserve">Total </w:t>
                  </w:r>
                </w:p>
              </w:tc>
              <w:tc>
                <w:tcPr>
                  <w:tcW w:w="567" w:type="pct"/>
                  <w:tcBorders>
                    <w:top w:val="single" w:sz="6" w:space="0" w:color="BFBFBF"/>
                    <w:bottom w:val="single" w:sz="6" w:space="0" w:color="BFBFBF"/>
                  </w:tcBorders>
                  <w:shd w:val="clear" w:color="auto" w:fill="auto"/>
                  <w:tcMar>
                    <w:top w:w="28" w:type="dxa"/>
                  </w:tcMar>
                </w:tcPr>
                <w:p w14:paraId="15560AB8" w14:textId="77777777" w:rsidR="00FC14FC" w:rsidRDefault="00FC14FC" w:rsidP="00D11B9D">
                  <w:pPr>
                    <w:pStyle w:val="TableColumnHeading"/>
                    <w:ind w:right="28"/>
                  </w:pPr>
                  <w:r>
                    <w:t>Average</w:t>
                  </w:r>
                </w:p>
              </w:tc>
              <w:tc>
                <w:tcPr>
                  <w:tcW w:w="567" w:type="pct"/>
                  <w:tcBorders>
                    <w:top w:val="single" w:sz="6" w:space="0" w:color="BFBFBF"/>
                    <w:bottom w:val="single" w:sz="6" w:space="0" w:color="BFBFBF"/>
                  </w:tcBorders>
                  <w:shd w:val="clear" w:color="auto" w:fill="auto"/>
                </w:tcPr>
                <w:p w14:paraId="20E5F669" w14:textId="77777777" w:rsidR="00FC14FC" w:rsidRDefault="00FC14FC" w:rsidP="00D11B9D">
                  <w:pPr>
                    <w:pStyle w:val="TableColumnHeading"/>
                    <w:ind w:right="28"/>
                  </w:pPr>
                  <w:r>
                    <w:t>Min</w:t>
                  </w:r>
                </w:p>
              </w:tc>
              <w:tc>
                <w:tcPr>
                  <w:tcW w:w="567" w:type="pct"/>
                  <w:tcBorders>
                    <w:top w:val="single" w:sz="6" w:space="0" w:color="BFBFBF"/>
                    <w:bottom w:val="single" w:sz="6" w:space="0" w:color="BFBFBF"/>
                  </w:tcBorders>
                  <w:shd w:val="clear" w:color="auto" w:fill="auto"/>
                </w:tcPr>
                <w:p w14:paraId="312ACB26" w14:textId="77777777" w:rsidR="00FC14FC" w:rsidRDefault="00FC14FC" w:rsidP="00D11B9D">
                  <w:pPr>
                    <w:pStyle w:val="TableColumnHeading"/>
                    <w:ind w:right="28"/>
                  </w:pPr>
                  <w:r>
                    <w:t>Median</w:t>
                  </w:r>
                </w:p>
              </w:tc>
              <w:tc>
                <w:tcPr>
                  <w:tcW w:w="567" w:type="pct"/>
                  <w:tcBorders>
                    <w:top w:val="single" w:sz="6" w:space="0" w:color="BFBFBF"/>
                    <w:bottom w:val="single" w:sz="6" w:space="0" w:color="BFBFBF"/>
                  </w:tcBorders>
                  <w:shd w:val="clear" w:color="auto" w:fill="auto"/>
                </w:tcPr>
                <w:p w14:paraId="51C042B3" w14:textId="77777777" w:rsidR="00FC14FC" w:rsidRDefault="00FC14FC" w:rsidP="00D11B9D">
                  <w:pPr>
                    <w:pStyle w:val="TableColumnHeading"/>
                    <w:ind w:right="28"/>
                  </w:pPr>
                  <w:r>
                    <w:t>Max</w:t>
                  </w:r>
                </w:p>
              </w:tc>
            </w:tr>
            <w:tr w:rsidR="00FC14FC" w14:paraId="7511ACDC" w14:textId="77777777" w:rsidTr="00D11B9D">
              <w:tc>
                <w:tcPr>
                  <w:tcW w:w="1158" w:type="pct"/>
                  <w:tcBorders>
                    <w:top w:val="single" w:sz="6" w:space="0" w:color="BFBFBF"/>
                  </w:tcBorders>
                  <w:vAlign w:val="bottom"/>
                </w:tcPr>
                <w:p w14:paraId="3DDE2104" w14:textId="77777777" w:rsidR="00FC14FC" w:rsidRDefault="00FC14FC" w:rsidP="00D11B9D">
                  <w:pPr>
                    <w:pStyle w:val="TableUnitsRow"/>
                    <w:jc w:val="left"/>
                  </w:pPr>
                  <w:r>
                    <w:t>United States (defined contribution)</w:t>
                  </w:r>
                </w:p>
              </w:tc>
              <w:tc>
                <w:tcPr>
                  <w:tcW w:w="924" w:type="pct"/>
                  <w:tcBorders>
                    <w:top w:val="single" w:sz="6" w:space="0" w:color="BFBFBF"/>
                  </w:tcBorders>
                  <w:vAlign w:val="bottom"/>
                </w:tcPr>
                <w:p w14:paraId="0DA56355" w14:textId="77777777" w:rsidR="00FC14FC" w:rsidRDefault="00FC14FC" w:rsidP="00D11B9D">
                  <w:pPr>
                    <w:pStyle w:val="TableUnitsRow"/>
                  </w:pPr>
                  <w:r>
                    <w:t>146</w:t>
                  </w:r>
                </w:p>
              </w:tc>
              <w:tc>
                <w:tcPr>
                  <w:tcW w:w="84" w:type="pct"/>
                  <w:tcBorders>
                    <w:top w:val="single" w:sz="6" w:space="0" w:color="BFBFBF"/>
                  </w:tcBorders>
                  <w:vAlign w:val="bottom"/>
                </w:tcPr>
                <w:p w14:paraId="1CE0754B" w14:textId="77777777" w:rsidR="00FC14FC" w:rsidRDefault="00FC14FC" w:rsidP="00D11B9D">
                  <w:pPr>
                    <w:pStyle w:val="TableUnitsRow"/>
                  </w:pPr>
                </w:p>
              </w:tc>
              <w:tc>
                <w:tcPr>
                  <w:tcW w:w="567" w:type="pct"/>
                  <w:tcBorders>
                    <w:top w:val="single" w:sz="6" w:space="0" w:color="BFBFBF"/>
                  </w:tcBorders>
                  <w:vAlign w:val="bottom"/>
                </w:tcPr>
                <w:p w14:paraId="6A0087AC" w14:textId="77777777" w:rsidR="00FC14FC" w:rsidRDefault="00FC14FC" w:rsidP="00D11B9D">
                  <w:pPr>
                    <w:pStyle w:val="TableUnitsRow"/>
                  </w:pPr>
                  <w:r>
                    <w:t>1 017</w:t>
                  </w:r>
                </w:p>
              </w:tc>
              <w:tc>
                <w:tcPr>
                  <w:tcW w:w="567" w:type="pct"/>
                  <w:tcBorders>
                    <w:top w:val="single" w:sz="6" w:space="0" w:color="BFBFBF"/>
                  </w:tcBorders>
                  <w:vAlign w:val="bottom"/>
                </w:tcPr>
                <w:p w14:paraId="3161D1FD" w14:textId="77777777" w:rsidR="00FC14FC" w:rsidRDefault="00FC14FC" w:rsidP="00D11B9D">
                  <w:pPr>
                    <w:pStyle w:val="TableUnitsRow"/>
                    <w:ind w:right="28"/>
                  </w:pPr>
                  <w:r>
                    <w:t>7</w:t>
                  </w:r>
                </w:p>
              </w:tc>
              <w:tc>
                <w:tcPr>
                  <w:tcW w:w="567" w:type="pct"/>
                  <w:tcBorders>
                    <w:top w:val="single" w:sz="6" w:space="0" w:color="BFBFBF"/>
                  </w:tcBorders>
                  <w:vAlign w:val="bottom"/>
                </w:tcPr>
                <w:p w14:paraId="10C19E18" w14:textId="77777777" w:rsidR="00FC14FC" w:rsidRDefault="00FC14FC" w:rsidP="00D11B9D">
                  <w:pPr>
                    <w:pStyle w:val="TableUnitsRow"/>
                    <w:ind w:right="28"/>
                  </w:pPr>
                  <w:r>
                    <w:t>0.1</w:t>
                  </w:r>
                </w:p>
              </w:tc>
              <w:tc>
                <w:tcPr>
                  <w:tcW w:w="567" w:type="pct"/>
                  <w:tcBorders>
                    <w:top w:val="single" w:sz="6" w:space="0" w:color="BFBFBF"/>
                  </w:tcBorders>
                  <w:vAlign w:val="bottom"/>
                </w:tcPr>
                <w:p w14:paraId="6EDAC79F" w14:textId="77777777" w:rsidR="00FC14FC" w:rsidRDefault="00FC14FC" w:rsidP="00D11B9D">
                  <w:pPr>
                    <w:pStyle w:val="TableUnitsRow"/>
                    <w:ind w:right="28"/>
                  </w:pPr>
                  <w:r>
                    <w:t>4</w:t>
                  </w:r>
                </w:p>
              </w:tc>
              <w:tc>
                <w:tcPr>
                  <w:tcW w:w="567" w:type="pct"/>
                  <w:tcBorders>
                    <w:top w:val="single" w:sz="6" w:space="0" w:color="BFBFBF"/>
                  </w:tcBorders>
                  <w:vAlign w:val="bottom"/>
                </w:tcPr>
                <w:p w14:paraId="5A2914D9" w14:textId="77777777" w:rsidR="00FC14FC" w:rsidRDefault="00FC14FC" w:rsidP="00D11B9D">
                  <w:pPr>
                    <w:pStyle w:val="TableUnitsRow"/>
                    <w:ind w:right="28"/>
                  </w:pPr>
                  <w:r>
                    <w:t>50</w:t>
                  </w:r>
                </w:p>
              </w:tc>
            </w:tr>
            <w:tr w:rsidR="00FC14FC" w14:paraId="2BE226ED" w14:textId="77777777" w:rsidTr="00D11B9D">
              <w:tc>
                <w:tcPr>
                  <w:tcW w:w="1158" w:type="pct"/>
                  <w:shd w:val="clear" w:color="auto" w:fill="F2F2F2" w:themeFill="background1" w:themeFillShade="F2"/>
                  <w:vAlign w:val="bottom"/>
                </w:tcPr>
                <w:p w14:paraId="42216091" w14:textId="77777777" w:rsidR="00FC14FC" w:rsidRDefault="00FC14FC" w:rsidP="00D11B9D">
                  <w:pPr>
                    <w:pStyle w:val="TableBodyText"/>
                    <w:jc w:val="left"/>
                  </w:pPr>
                  <w:r>
                    <w:t>United States (defined benefit)</w:t>
                  </w:r>
                </w:p>
              </w:tc>
              <w:tc>
                <w:tcPr>
                  <w:tcW w:w="924" w:type="pct"/>
                  <w:shd w:val="clear" w:color="auto" w:fill="F2F2F2" w:themeFill="background1" w:themeFillShade="F2"/>
                  <w:vAlign w:val="bottom"/>
                </w:tcPr>
                <w:p w14:paraId="15828334" w14:textId="77777777" w:rsidR="00FC14FC" w:rsidRDefault="00FC14FC" w:rsidP="00D11B9D">
                  <w:pPr>
                    <w:pStyle w:val="TableBodyText"/>
                  </w:pPr>
                  <w:r>
                    <w:t>168</w:t>
                  </w:r>
                </w:p>
              </w:tc>
              <w:tc>
                <w:tcPr>
                  <w:tcW w:w="84" w:type="pct"/>
                  <w:shd w:val="clear" w:color="auto" w:fill="F2F2F2" w:themeFill="background1" w:themeFillShade="F2"/>
                  <w:vAlign w:val="bottom"/>
                </w:tcPr>
                <w:p w14:paraId="4AF02447" w14:textId="77777777" w:rsidR="00FC14FC" w:rsidRDefault="00FC14FC" w:rsidP="00D11B9D">
                  <w:pPr>
                    <w:pStyle w:val="TableBodyText"/>
                  </w:pPr>
                </w:p>
              </w:tc>
              <w:tc>
                <w:tcPr>
                  <w:tcW w:w="567" w:type="pct"/>
                  <w:shd w:val="clear" w:color="auto" w:fill="F2F2F2" w:themeFill="background1" w:themeFillShade="F2"/>
                  <w:vAlign w:val="bottom"/>
                </w:tcPr>
                <w:p w14:paraId="79AC8F15" w14:textId="77777777" w:rsidR="00FC14FC" w:rsidRDefault="00FC14FC" w:rsidP="00D11B9D">
                  <w:pPr>
                    <w:pStyle w:val="TableBodyText"/>
                  </w:pPr>
                  <w:r>
                    <w:t>3 617</w:t>
                  </w:r>
                </w:p>
              </w:tc>
              <w:tc>
                <w:tcPr>
                  <w:tcW w:w="567" w:type="pct"/>
                  <w:shd w:val="clear" w:color="auto" w:fill="F2F2F2" w:themeFill="background1" w:themeFillShade="F2"/>
                  <w:vAlign w:val="bottom"/>
                </w:tcPr>
                <w:p w14:paraId="6BFA09EB" w14:textId="77777777" w:rsidR="00FC14FC" w:rsidRDefault="00FC14FC" w:rsidP="00D11B9D">
                  <w:pPr>
                    <w:pStyle w:val="TableBodyText"/>
                    <w:ind w:right="28"/>
                  </w:pPr>
                  <w:r>
                    <w:t>22</w:t>
                  </w:r>
                </w:p>
              </w:tc>
              <w:tc>
                <w:tcPr>
                  <w:tcW w:w="567" w:type="pct"/>
                  <w:shd w:val="clear" w:color="auto" w:fill="F2F2F2" w:themeFill="background1" w:themeFillShade="F2"/>
                  <w:vAlign w:val="bottom"/>
                </w:tcPr>
                <w:p w14:paraId="725B6EC9" w14:textId="77777777" w:rsidR="00FC14FC" w:rsidRDefault="00FC14FC" w:rsidP="00D11B9D">
                  <w:pPr>
                    <w:pStyle w:val="TableBodyText"/>
                    <w:ind w:right="28"/>
                  </w:pPr>
                  <w:r>
                    <w:t>0.2</w:t>
                  </w:r>
                </w:p>
              </w:tc>
              <w:tc>
                <w:tcPr>
                  <w:tcW w:w="567" w:type="pct"/>
                  <w:shd w:val="clear" w:color="auto" w:fill="F2F2F2" w:themeFill="background1" w:themeFillShade="F2"/>
                  <w:vAlign w:val="bottom"/>
                </w:tcPr>
                <w:p w14:paraId="38B5FCF2" w14:textId="77777777" w:rsidR="00FC14FC" w:rsidRDefault="00FC14FC" w:rsidP="00D11B9D">
                  <w:pPr>
                    <w:pStyle w:val="TableBodyText"/>
                    <w:ind w:right="28"/>
                  </w:pPr>
                  <w:r>
                    <w:t>8</w:t>
                  </w:r>
                </w:p>
              </w:tc>
              <w:tc>
                <w:tcPr>
                  <w:tcW w:w="567" w:type="pct"/>
                  <w:shd w:val="clear" w:color="auto" w:fill="F2F2F2" w:themeFill="background1" w:themeFillShade="F2"/>
                  <w:vAlign w:val="bottom"/>
                </w:tcPr>
                <w:p w14:paraId="38B5A75B" w14:textId="77777777" w:rsidR="00FC14FC" w:rsidRDefault="00FC14FC" w:rsidP="00D11B9D">
                  <w:pPr>
                    <w:pStyle w:val="TableBodyText"/>
                    <w:ind w:right="28"/>
                  </w:pPr>
                  <w:r>
                    <w:t>293</w:t>
                  </w:r>
                </w:p>
              </w:tc>
            </w:tr>
            <w:tr w:rsidR="00FC14FC" w14:paraId="32DB40B5" w14:textId="77777777" w:rsidTr="00D11B9D">
              <w:tc>
                <w:tcPr>
                  <w:tcW w:w="1158" w:type="pct"/>
                  <w:shd w:val="clear" w:color="auto" w:fill="auto"/>
                  <w:vAlign w:val="bottom"/>
                </w:tcPr>
                <w:p w14:paraId="1DFC15E9" w14:textId="77777777" w:rsidR="00FC14FC" w:rsidRDefault="00FC14FC" w:rsidP="00D11B9D">
                  <w:pPr>
                    <w:pStyle w:val="TableBodyText"/>
                    <w:jc w:val="left"/>
                  </w:pPr>
                  <w:r>
                    <w:t>Canada</w:t>
                  </w:r>
                </w:p>
              </w:tc>
              <w:tc>
                <w:tcPr>
                  <w:tcW w:w="924" w:type="pct"/>
                  <w:vAlign w:val="bottom"/>
                </w:tcPr>
                <w:p w14:paraId="6AE14DE1" w14:textId="77777777" w:rsidR="00FC14FC" w:rsidRDefault="00FC14FC" w:rsidP="00D11B9D">
                  <w:pPr>
                    <w:pStyle w:val="TableBodyText"/>
                  </w:pPr>
                  <w:r>
                    <w:t>77</w:t>
                  </w:r>
                </w:p>
              </w:tc>
              <w:tc>
                <w:tcPr>
                  <w:tcW w:w="84" w:type="pct"/>
                  <w:vAlign w:val="bottom"/>
                </w:tcPr>
                <w:p w14:paraId="6075A074" w14:textId="77777777" w:rsidR="00FC14FC" w:rsidRDefault="00FC14FC" w:rsidP="00D11B9D">
                  <w:pPr>
                    <w:pStyle w:val="TableBodyText"/>
                  </w:pPr>
                </w:p>
              </w:tc>
              <w:tc>
                <w:tcPr>
                  <w:tcW w:w="567" w:type="pct"/>
                  <w:shd w:val="clear" w:color="auto" w:fill="auto"/>
                  <w:vAlign w:val="bottom"/>
                </w:tcPr>
                <w:p w14:paraId="1B997BC0" w14:textId="77777777" w:rsidR="00FC14FC" w:rsidRDefault="00FC14FC" w:rsidP="00D11B9D">
                  <w:pPr>
                    <w:pStyle w:val="TableBodyText"/>
                  </w:pPr>
                  <w:r>
                    <w:t>1 211</w:t>
                  </w:r>
                </w:p>
              </w:tc>
              <w:tc>
                <w:tcPr>
                  <w:tcW w:w="567" w:type="pct"/>
                  <w:shd w:val="clear" w:color="auto" w:fill="auto"/>
                  <w:vAlign w:val="bottom"/>
                </w:tcPr>
                <w:p w14:paraId="6A2D4705" w14:textId="77777777" w:rsidR="00FC14FC" w:rsidRDefault="00FC14FC" w:rsidP="00D11B9D">
                  <w:pPr>
                    <w:pStyle w:val="TableBodyText"/>
                    <w:ind w:right="28"/>
                  </w:pPr>
                  <w:r>
                    <w:t>16</w:t>
                  </w:r>
                </w:p>
              </w:tc>
              <w:tc>
                <w:tcPr>
                  <w:tcW w:w="567" w:type="pct"/>
                  <w:vAlign w:val="bottom"/>
                </w:tcPr>
                <w:p w14:paraId="660A7596" w14:textId="77777777" w:rsidR="00FC14FC" w:rsidRDefault="00FC14FC" w:rsidP="00D11B9D">
                  <w:pPr>
                    <w:pStyle w:val="TableBodyText"/>
                    <w:ind w:right="28"/>
                  </w:pPr>
                  <w:r>
                    <w:t>0.1</w:t>
                  </w:r>
                </w:p>
              </w:tc>
              <w:tc>
                <w:tcPr>
                  <w:tcW w:w="567" w:type="pct"/>
                  <w:vAlign w:val="bottom"/>
                </w:tcPr>
                <w:p w14:paraId="3A4DF57A" w14:textId="77777777" w:rsidR="00FC14FC" w:rsidRDefault="00FC14FC" w:rsidP="00D11B9D">
                  <w:pPr>
                    <w:pStyle w:val="TableBodyText"/>
                    <w:ind w:right="28"/>
                  </w:pPr>
                  <w:r>
                    <w:t>4</w:t>
                  </w:r>
                </w:p>
              </w:tc>
              <w:tc>
                <w:tcPr>
                  <w:tcW w:w="567" w:type="pct"/>
                  <w:vAlign w:val="bottom"/>
                </w:tcPr>
                <w:p w14:paraId="5BCF1812" w14:textId="77777777" w:rsidR="00FC14FC" w:rsidRDefault="00FC14FC" w:rsidP="00D11B9D">
                  <w:pPr>
                    <w:pStyle w:val="TableBodyText"/>
                    <w:ind w:right="28"/>
                  </w:pPr>
                  <w:r>
                    <w:t>221</w:t>
                  </w:r>
                </w:p>
              </w:tc>
            </w:tr>
            <w:tr w:rsidR="00FC14FC" w14:paraId="77A5CFCB" w14:textId="77777777" w:rsidTr="00D11B9D">
              <w:tc>
                <w:tcPr>
                  <w:tcW w:w="1158" w:type="pct"/>
                  <w:shd w:val="clear" w:color="auto" w:fill="F2F2F2" w:themeFill="background1" w:themeFillShade="F2"/>
                  <w:vAlign w:val="bottom"/>
                </w:tcPr>
                <w:p w14:paraId="204E3540" w14:textId="77777777" w:rsidR="00FC14FC" w:rsidRDefault="00FC14FC" w:rsidP="00D11B9D">
                  <w:pPr>
                    <w:pStyle w:val="TableBodyText"/>
                    <w:jc w:val="left"/>
                  </w:pPr>
                  <w:r>
                    <w:t>Netherlands</w:t>
                  </w:r>
                </w:p>
              </w:tc>
              <w:tc>
                <w:tcPr>
                  <w:tcW w:w="924" w:type="pct"/>
                  <w:shd w:val="clear" w:color="auto" w:fill="F2F2F2" w:themeFill="background1" w:themeFillShade="F2"/>
                  <w:vAlign w:val="bottom"/>
                </w:tcPr>
                <w:p w14:paraId="735D9564" w14:textId="77777777" w:rsidR="00FC14FC" w:rsidRDefault="00FC14FC" w:rsidP="00D11B9D">
                  <w:pPr>
                    <w:pStyle w:val="TableBodyText"/>
                  </w:pPr>
                  <w:r>
                    <w:t>25</w:t>
                  </w:r>
                </w:p>
              </w:tc>
              <w:tc>
                <w:tcPr>
                  <w:tcW w:w="84" w:type="pct"/>
                  <w:shd w:val="clear" w:color="auto" w:fill="F2F2F2" w:themeFill="background1" w:themeFillShade="F2"/>
                  <w:vAlign w:val="bottom"/>
                </w:tcPr>
                <w:p w14:paraId="6838FF8F" w14:textId="77777777" w:rsidR="00FC14FC" w:rsidRDefault="00FC14FC" w:rsidP="00D11B9D">
                  <w:pPr>
                    <w:pStyle w:val="TableBodyText"/>
                  </w:pPr>
                </w:p>
              </w:tc>
              <w:tc>
                <w:tcPr>
                  <w:tcW w:w="567" w:type="pct"/>
                  <w:shd w:val="clear" w:color="auto" w:fill="F2F2F2" w:themeFill="background1" w:themeFillShade="F2"/>
                  <w:vAlign w:val="bottom"/>
                </w:tcPr>
                <w:p w14:paraId="6DB0EFE2" w14:textId="77777777" w:rsidR="00FC14FC" w:rsidRDefault="00FC14FC" w:rsidP="00D11B9D">
                  <w:pPr>
                    <w:pStyle w:val="TableBodyText"/>
                  </w:pPr>
                  <w:r>
                    <w:t>922</w:t>
                  </w:r>
                </w:p>
              </w:tc>
              <w:tc>
                <w:tcPr>
                  <w:tcW w:w="567" w:type="pct"/>
                  <w:shd w:val="clear" w:color="auto" w:fill="F2F2F2" w:themeFill="background1" w:themeFillShade="F2"/>
                  <w:vAlign w:val="bottom"/>
                </w:tcPr>
                <w:p w14:paraId="37EF9043" w14:textId="77777777" w:rsidR="00FC14FC" w:rsidRDefault="00FC14FC" w:rsidP="00D11B9D">
                  <w:pPr>
                    <w:pStyle w:val="TableBodyText"/>
                    <w:ind w:right="28"/>
                  </w:pPr>
                  <w:r>
                    <w:t>38</w:t>
                  </w:r>
                </w:p>
              </w:tc>
              <w:tc>
                <w:tcPr>
                  <w:tcW w:w="567" w:type="pct"/>
                  <w:shd w:val="clear" w:color="auto" w:fill="F2F2F2" w:themeFill="background1" w:themeFillShade="F2"/>
                  <w:vAlign w:val="bottom"/>
                </w:tcPr>
                <w:p w14:paraId="7C7E2830" w14:textId="77777777" w:rsidR="00FC14FC" w:rsidRDefault="00FC14FC" w:rsidP="00D11B9D">
                  <w:pPr>
                    <w:pStyle w:val="TableBodyText"/>
                    <w:ind w:right="28"/>
                  </w:pPr>
                  <w:r>
                    <w:t>0.4</w:t>
                  </w:r>
                </w:p>
              </w:tc>
              <w:tc>
                <w:tcPr>
                  <w:tcW w:w="567" w:type="pct"/>
                  <w:shd w:val="clear" w:color="auto" w:fill="F2F2F2" w:themeFill="background1" w:themeFillShade="F2"/>
                  <w:vAlign w:val="bottom"/>
                </w:tcPr>
                <w:p w14:paraId="0ED8AF14" w14:textId="77777777" w:rsidR="00FC14FC" w:rsidRDefault="00FC14FC" w:rsidP="00D11B9D">
                  <w:pPr>
                    <w:pStyle w:val="TableBodyText"/>
                    <w:ind w:right="28"/>
                  </w:pPr>
                  <w:r>
                    <w:t>7</w:t>
                  </w:r>
                </w:p>
              </w:tc>
              <w:tc>
                <w:tcPr>
                  <w:tcW w:w="567" w:type="pct"/>
                  <w:shd w:val="clear" w:color="auto" w:fill="F2F2F2" w:themeFill="background1" w:themeFillShade="F2"/>
                  <w:vAlign w:val="bottom"/>
                </w:tcPr>
                <w:p w14:paraId="29C14CA3" w14:textId="77777777" w:rsidR="00FC14FC" w:rsidRDefault="00FC14FC" w:rsidP="00D11B9D">
                  <w:pPr>
                    <w:pStyle w:val="TableBodyText"/>
                    <w:ind w:right="28"/>
                  </w:pPr>
                  <w:r>
                    <w:t>404</w:t>
                  </w:r>
                </w:p>
              </w:tc>
            </w:tr>
            <w:tr w:rsidR="00FC14FC" w14:paraId="0E6FE942" w14:textId="77777777" w:rsidTr="00D11B9D">
              <w:tc>
                <w:tcPr>
                  <w:tcW w:w="1158" w:type="pct"/>
                  <w:shd w:val="clear" w:color="auto" w:fill="auto"/>
                  <w:vAlign w:val="bottom"/>
                </w:tcPr>
                <w:p w14:paraId="2F21A2FF" w14:textId="77777777" w:rsidR="00FC14FC" w:rsidRDefault="00FC14FC" w:rsidP="00D11B9D">
                  <w:pPr>
                    <w:pStyle w:val="TableBodyText"/>
                    <w:jc w:val="left"/>
                  </w:pPr>
                  <w:r>
                    <w:t>United Kingdom</w:t>
                  </w:r>
                </w:p>
              </w:tc>
              <w:tc>
                <w:tcPr>
                  <w:tcW w:w="924" w:type="pct"/>
                  <w:vAlign w:val="bottom"/>
                </w:tcPr>
                <w:p w14:paraId="3876DB0B" w14:textId="77777777" w:rsidR="00FC14FC" w:rsidRDefault="00FC14FC" w:rsidP="00D11B9D">
                  <w:pPr>
                    <w:pStyle w:val="TableBodyText"/>
                  </w:pPr>
                  <w:r>
                    <w:t>36</w:t>
                  </w:r>
                </w:p>
              </w:tc>
              <w:tc>
                <w:tcPr>
                  <w:tcW w:w="84" w:type="pct"/>
                  <w:vAlign w:val="bottom"/>
                </w:tcPr>
                <w:p w14:paraId="42BDF6A2" w14:textId="77777777" w:rsidR="00FC14FC" w:rsidRDefault="00FC14FC" w:rsidP="00D11B9D">
                  <w:pPr>
                    <w:pStyle w:val="TableBodyText"/>
                  </w:pPr>
                </w:p>
              </w:tc>
              <w:tc>
                <w:tcPr>
                  <w:tcW w:w="567" w:type="pct"/>
                  <w:shd w:val="clear" w:color="auto" w:fill="auto"/>
                  <w:vAlign w:val="bottom"/>
                </w:tcPr>
                <w:p w14:paraId="0CAB8331" w14:textId="77777777" w:rsidR="00FC14FC" w:rsidRDefault="00FC14FC" w:rsidP="00D11B9D">
                  <w:pPr>
                    <w:pStyle w:val="TableBodyText"/>
                  </w:pPr>
                  <w:r>
                    <w:t>391</w:t>
                  </w:r>
                </w:p>
              </w:tc>
              <w:tc>
                <w:tcPr>
                  <w:tcW w:w="567" w:type="pct"/>
                  <w:shd w:val="clear" w:color="auto" w:fill="auto"/>
                  <w:vAlign w:val="bottom"/>
                </w:tcPr>
                <w:p w14:paraId="2AD49637" w14:textId="77777777" w:rsidR="00FC14FC" w:rsidRDefault="00FC14FC" w:rsidP="00D11B9D">
                  <w:pPr>
                    <w:pStyle w:val="TableBodyText"/>
                    <w:ind w:right="28"/>
                  </w:pPr>
                  <w:r>
                    <w:t>11</w:t>
                  </w:r>
                </w:p>
              </w:tc>
              <w:tc>
                <w:tcPr>
                  <w:tcW w:w="567" w:type="pct"/>
                  <w:vAlign w:val="bottom"/>
                </w:tcPr>
                <w:p w14:paraId="38938449" w14:textId="77777777" w:rsidR="00FC14FC" w:rsidRDefault="00FC14FC" w:rsidP="00D11B9D">
                  <w:pPr>
                    <w:pStyle w:val="TableBodyText"/>
                    <w:ind w:right="28"/>
                  </w:pPr>
                  <w:r>
                    <w:t>0.7</w:t>
                  </w:r>
                </w:p>
              </w:tc>
              <w:tc>
                <w:tcPr>
                  <w:tcW w:w="567" w:type="pct"/>
                  <w:vAlign w:val="bottom"/>
                </w:tcPr>
                <w:p w14:paraId="0E46C93A" w14:textId="77777777" w:rsidR="00FC14FC" w:rsidRDefault="00FC14FC" w:rsidP="00D11B9D">
                  <w:pPr>
                    <w:pStyle w:val="TableBodyText"/>
                    <w:ind w:right="28"/>
                  </w:pPr>
                  <w:r>
                    <w:t>5</w:t>
                  </w:r>
                </w:p>
              </w:tc>
              <w:tc>
                <w:tcPr>
                  <w:tcW w:w="567" w:type="pct"/>
                  <w:vAlign w:val="bottom"/>
                </w:tcPr>
                <w:p w14:paraId="4CA26E57" w14:textId="77777777" w:rsidR="00FC14FC" w:rsidRDefault="00FC14FC" w:rsidP="00D11B9D">
                  <w:pPr>
                    <w:pStyle w:val="TableBodyText"/>
                    <w:ind w:right="28"/>
                  </w:pPr>
                  <w:r>
                    <w:t>71</w:t>
                  </w:r>
                </w:p>
              </w:tc>
            </w:tr>
            <w:tr w:rsidR="00FC14FC" w14:paraId="04B309DC" w14:textId="77777777" w:rsidTr="00D11B9D">
              <w:tc>
                <w:tcPr>
                  <w:tcW w:w="1158" w:type="pct"/>
                  <w:shd w:val="clear" w:color="auto" w:fill="F2F2F2" w:themeFill="background1" w:themeFillShade="F2"/>
                  <w:vAlign w:val="bottom"/>
                </w:tcPr>
                <w:p w14:paraId="765440CC" w14:textId="77777777" w:rsidR="00FC14FC" w:rsidRDefault="00FC14FC" w:rsidP="00D11B9D">
                  <w:pPr>
                    <w:pStyle w:val="TableBodyText"/>
                    <w:jc w:val="left"/>
                  </w:pPr>
                  <w:r>
                    <w:t>Rest of Europe</w:t>
                  </w:r>
                </w:p>
              </w:tc>
              <w:tc>
                <w:tcPr>
                  <w:tcW w:w="924" w:type="pct"/>
                  <w:shd w:val="clear" w:color="auto" w:fill="F2F2F2" w:themeFill="background1" w:themeFillShade="F2"/>
                  <w:vAlign w:val="bottom"/>
                </w:tcPr>
                <w:p w14:paraId="1946B850" w14:textId="77777777" w:rsidR="00FC14FC" w:rsidRDefault="00FC14FC" w:rsidP="00D11B9D">
                  <w:pPr>
                    <w:pStyle w:val="TableBodyText"/>
                  </w:pPr>
                  <w:r>
                    <w:t>10</w:t>
                  </w:r>
                </w:p>
              </w:tc>
              <w:tc>
                <w:tcPr>
                  <w:tcW w:w="84" w:type="pct"/>
                  <w:shd w:val="clear" w:color="auto" w:fill="F2F2F2" w:themeFill="background1" w:themeFillShade="F2"/>
                  <w:vAlign w:val="bottom"/>
                </w:tcPr>
                <w:p w14:paraId="4919A59C" w14:textId="77777777" w:rsidR="00FC14FC" w:rsidRDefault="00FC14FC" w:rsidP="00D11B9D">
                  <w:pPr>
                    <w:pStyle w:val="TableBodyText"/>
                  </w:pPr>
                </w:p>
              </w:tc>
              <w:tc>
                <w:tcPr>
                  <w:tcW w:w="567" w:type="pct"/>
                  <w:shd w:val="clear" w:color="auto" w:fill="F2F2F2" w:themeFill="background1" w:themeFillShade="F2"/>
                  <w:vAlign w:val="bottom"/>
                </w:tcPr>
                <w:p w14:paraId="77F335A0" w14:textId="77777777" w:rsidR="00FC14FC" w:rsidRDefault="00FC14FC" w:rsidP="00D11B9D">
                  <w:pPr>
                    <w:pStyle w:val="TableBodyText"/>
                  </w:pPr>
                  <w:r>
                    <w:t>1 115</w:t>
                  </w:r>
                </w:p>
              </w:tc>
              <w:tc>
                <w:tcPr>
                  <w:tcW w:w="567" w:type="pct"/>
                  <w:shd w:val="clear" w:color="auto" w:fill="F2F2F2" w:themeFill="background1" w:themeFillShade="F2"/>
                  <w:vAlign w:val="bottom"/>
                </w:tcPr>
                <w:p w14:paraId="485D20CD" w14:textId="77777777" w:rsidR="00FC14FC" w:rsidRDefault="00FC14FC" w:rsidP="00D11B9D">
                  <w:pPr>
                    <w:pStyle w:val="TableBodyText"/>
                    <w:ind w:right="28"/>
                  </w:pPr>
                  <w:r>
                    <w:t>112</w:t>
                  </w:r>
                </w:p>
              </w:tc>
              <w:tc>
                <w:tcPr>
                  <w:tcW w:w="567" w:type="pct"/>
                  <w:shd w:val="clear" w:color="auto" w:fill="F2F2F2" w:themeFill="background1" w:themeFillShade="F2"/>
                  <w:vAlign w:val="bottom"/>
                </w:tcPr>
                <w:p w14:paraId="37C0450B" w14:textId="77777777" w:rsidR="00FC14FC" w:rsidRDefault="00FC14FC" w:rsidP="00D11B9D">
                  <w:pPr>
                    <w:pStyle w:val="TableBodyText"/>
                    <w:ind w:right="28"/>
                  </w:pPr>
                  <w:r>
                    <w:t>17</w:t>
                  </w:r>
                </w:p>
              </w:tc>
              <w:tc>
                <w:tcPr>
                  <w:tcW w:w="567" w:type="pct"/>
                  <w:shd w:val="clear" w:color="auto" w:fill="F2F2F2" w:themeFill="background1" w:themeFillShade="F2"/>
                  <w:vAlign w:val="bottom"/>
                </w:tcPr>
                <w:p w14:paraId="66259867" w14:textId="77777777" w:rsidR="00FC14FC" w:rsidRDefault="00FC14FC" w:rsidP="00D11B9D">
                  <w:pPr>
                    <w:pStyle w:val="TableBodyText"/>
                    <w:ind w:right="28"/>
                  </w:pPr>
                  <w:r>
                    <w:t>35</w:t>
                  </w:r>
                </w:p>
              </w:tc>
              <w:tc>
                <w:tcPr>
                  <w:tcW w:w="567" w:type="pct"/>
                  <w:shd w:val="clear" w:color="auto" w:fill="F2F2F2" w:themeFill="background1" w:themeFillShade="F2"/>
                  <w:vAlign w:val="bottom"/>
                </w:tcPr>
                <w:p w14:paraId="4B54865A" w14:textId="77777777" w:rsidR="00FC14FC" w:rsidRDefault="00FC14FC" w:rsidP="00D11B9D">
                  <w:pPr>
                    <w:pStyle w:val="TableBodyText"/>
                    <w:ind w:right="28"/>
                  </w:pPr>
                  <w:r>
                    <w:t>818</w:t>
                  </w:r>
                </w:p>
              </w:tc>
            </w:tr>
            <w:tr w:rsidR="00FC14FC" w14:paraId="6F0B877A" w14:textId="77777777" w:rsidTr="00D11B9D">
              <w:tc>
                <w:tcPr>
                  <w:tcW w:w="1158" w:type="pct"/>
                  <w:shd w:val="clear" w:color="auto" w:fill="auto"/>
                  <w:vAlign w:val="bottom"/>
                </w:tcPr>
                <w:p w14:paraId="638DE442" w14:textId="77777777" w:rsidR="00FC14FC" w:rsidRDefault="00FC14FC" w:rsidP="00D11B9D">
                  <w:pPr>
                    <w:pStyle w:val="TableBodyText"/>
                    <w:jc w:val="left"/>
                  </w:pPr>
                  <w:r>
                    <w:t>Asia–Pacific</w:t>
                  </w:r>
                </w:p>
              </w:tc>
              <w:tc>
                <w:tcPr>
                  <w:tcW w:w="924" w:type="pct"/>
                  <w:vAlign w:val="bottom"/>
                </w:tcPr>
                <w:p w14:paraId="557A9FAD" w14:textId="77777777" w:rsidR="00FC14FC" w:rsidRDefault="00FC14FC" w:rsidP="00D11B9D">
                  <w:pPr>
                    <w:pStyle w:val="TableBodyText"/>
                  </w:pPr>
                  <w:r>
                    <w:t>4</w:t>
                  </w:r>
                </w:p>
              </w:tc>
              <w:tc>
                <w:tcPr>
                  <w:tcW w:w="84" w:type="pct"/>
                  <w:vAlign w:val="bottom"/>
                </w:tcPr>
                <w:p w14:paraId="5C4C98AC" w14:textId="77777777" w:rsidR="00FC14FC" w:rsidRDefault="00FC14FC" w:rsidP="00D11B9D">
                  <w:pPr>
                    <w:pStyle w:val="TableBodyText"/>
                  </w:pPr>
                </w:p>
              </w:tc>
              <w:tc>
                <w:tcPr>
                  <w:tcW w:w="567" w:type="pct"/>
                  <w:shd w:val="clear" w:color="auto" w:fill="auto"/>
                  <w:vAlign w:val="bottom"/>
                </w:tcPr>
                <w:p w14:paraId="0189DCC0" w14:textId="77777777" w:rsidR="00FC14FC" w:rsidRDefault="00FC14FC" w:rsidP="00D11B9D">
                  <w:pPr>
                    <w:pStyle w:val="TableBodyText"/>
                  </w:pPr>
                  <w:r>
                    <w:t>694</w:t>
                  </w:r>
                </w:p>
              </w:tc>
              <w:tc>
                <w:tcPr>
                  <w:tcW w:w="567" w:type="pct"/>
                  <w:shd w:val="clear" w:color="auto" w:fill="auto"/>
                  <w:vAlign w:val="bottom"/>
                </w:tcPr>
                <w:p w14:paraId="20E65232" w14:textId="77777777" w:rsidR="00FC14FC" w:rsidRDefault="00FC14FC" w:rsidP="00D11B9D">
                  <w:pPr>
                    <w:pStyle w:val="TableBodyText"/>
                    <w:ind w:right="28"/>
                  </w:pPr>
                  <w:r>
                    <w:t>173</w:t>
                  </w:r>
                </w:p>
              </w:tc>
              <w:tc>
                <w:tcPr>
                  <w:tcW w:w="567" w:type="pct"/>
                  <w:vAlign w:val="bottom"/>
                </w:tcPr>
                <w:p w14:paraId="3EEC1498" w14:textId="77777777" w:rsidR="00FC14FC" w:rsidRDefault="00FC14FC" w:rsidP="00D11B9D">
                  <w:pPr>
                    <w:pStyle w:val="TableBodyText"/>
                    <w:ind w:right="28"/>
                  </w:pPr>
                  <w:r>
                    <w:t>3</w:t>
                  </w:r>
                </w:p>
              </w:tc>
              <w:tc>
                <w:tcPr>
                  <w:tcW w:w="567" w:type="pct"/>
                  <w:vAlign w:val="bottom"/>
                </w:tcPr>
                <w:p w14:paraId="01DED4B1" w14:textId="77777777" w:rsidR="00FC14FC" w:rsidRDefault="00FC14FC" w:rsidP="00D11B9D">
                  <w:pPr>
                    <w:pStyle w:val="TableBodyText"/>
                    <w:ind w:right="28"/>
                  </w:pPr>
                  <w:r>
                    <w:t>115</w:t>
                  </w:r>
                </w:p>
              </w:tc>
              <w:tc>
                <w:tcPr>
                  <w:tcW w:w="567" w:type="pct"/>
                  <w:vAlign w:val="bottom"/>
                </w:tcPr>
                <w:p w14:paraId="5C922E6A" w14:textId="77777777" w:rsidR="00FC14FC" w:rsidRDefault="00FC14FC" w:rsidP="00D11B9D">
                  <w:pPr>
                    <w:pStyle w:val="TableBodyText"/>
                    <w:ind w:right="28"/>
                  </w:pPr>
                  <w:r>
                    <w:t>460</w:t>
                  </w:r>
                </w:p>
              </w:tc>
            </w:tr>
            <w:tr w:rsidR="00FC14FC" w14:paraId="32C38122" w14:textId="77777777" w:rsidTr="00D11B9D">
              <w:tc>
                <w:tcPr>
                  <w:tcW w:w="1158" w:type="pct"/>
                  <w:tcBorders>
                    <w:bottom w:val="single" w:sz="6" w:space="0" w:color="BFBFBF"/>
                  </w:tcBorders>
                  <w:shd w:val="clear" w:color="auto" w:fill="F2F2F2" w:themeFill="background1" w:themeFillShade="F2"/>
                  <w:vAlign w:val="bottom"/>
                </w:tcPr>
                <w:p w14:paraId="2859448A" w14:textId="77777777" w:rsidR="00FC14FC" w:rsidRPr="00BF09C5" w:rsidRDefault="00FC14FC" w:rsidP="00D11B9D">
                  <w:pPr>
                    <w:pStyle w:val="TableBodyText"/>
                    <w:spacing w:before="40"/>
                    <w:jc w:val="left"/>
                    <w:rPr>
                      <w:b/>
                    </w:rPr>
                  </w:pPr>
                  <w:r w:rsidRPr="00BF09C5">
                    <w:rPr>
                      <w:b/>
                    </w:rPr>
                    <w:t>Total</w:t>
                  </w:r>
                </w:p>
              </w:tc>
              <w:tc>
                <w:tcPr>
                  <w:tcW w:w="924" w:type="pct"/>
                  <w:tcBorders>
                    <w:bottom w:val="single" w:sz="6" w:space="0" w:color="BFBFBF"/>
                  </w:tcBorders>
                  <w:shd w:val="clear" w:color="auto" w:fill="F2F2F2" w:themeFill="background1" w:themeFillShade="F2"/>
                  <w:vAlign w:val="bottom"/>
                </w:tcPr>
                <w:p w14:paraId="03A7274C" w14:textId="77777777" w:rsidR="00FC14FC" w:rsidRPr="00BF09C5" w:rsidRDefault="00FC14FC" w:rsidP="00D11B9D">
                  <w:pPr>
                    <w:pStyle w:val="TableBodyText"/>
                    <w:spacing w:before="40"/>
                    <w:rPr>
                      <w:b/>
                    </w:rPr>
                  </w:pPr>
                  <w:r w:rsidRPr="00244718">
                    <w:rPr>
                      <w:b/>
                    </w:rPr>
                    <w:t>466</w:t>
                  </w:r>
                </w:p>
              </w:tc>
              <w:tc>
                <w:tcPr>
                  <w:tcW w:w="84" w:type="pct"/>
                  <w:tcBorders>
                    <w:bottom w:val="single" w:sz="6" w:space="0" w:color="BFBFBF"/>
                  </w:tcBorders>
                  <w:shd w:val="clear" w:color="auto" w:fill="F2F2F2" w:themeFill="background1" w:themeFillShade="F2"/>
                  <w:vAlign w:val="bottom"/>
                </w:tcPr>
                <w:p w14:paraId="3E9B34D3" w14:textId="77777777" w:rsidR="00FC14FC" w:rsidRPr="00BF09C5" w:rsidRDefault="00FC14FC" w:rsidP="00D11B9D">
                  <w:pPr>
                    <w:pStyle w:val="TableBodyText"/>
                    <w:spacing w:before="40"/>
                    <w:rPr>
                      <w:b/>
                    </w:rPr>
                  </w:pPr>
                </w:p>
              </w:tc>
              <w:tc>
                <w:tcPr>
                  <w:tcW w:w="567" w:type="pct"/>
                  <w:tcBorders>
                    <w:bottom w:val="single" w:sz="6" w:space="0" w:color="BFBFBF"/>
                  </w:tcBorders>
                  <w:shd w:val="clear" w:color="auto" w:fill="F2F2F2" w:themeFill="background1" w:themeFillShade="F2"/>
                  <w:vAlign w:val="bottom"/>
                </w:tcPr>
                <w:p w14:paraId="63464E8E" w14:textId="77777777" w:rsidR="00FC14FC" w:rsidRPr="00BF09C5" w:rsidRDefault="00FC14FC" w:rsidP="00D11B9D">
                  <w:pPr>
                    <w:pStyle w:val="TableBodyText"/>
                    <w:spacing w:before="40"/>
                    <w:rPr>
                      <w:b/>
                    </w:rPr>
                  </w:pPr>
                  <w:r w:rsidRPr="00BF09C5">
                    <w:rPr>
                      <w:b/>
                    </w:rPr>
                    <w:t>8 967</w:t>
                  </w:r>
                </w:p>
              </w:tc>
              <w:tc>
                <w:tcPr>
                  <w:tcW w:w="567" w:type="pct"/>
                  <w:tcBorders>
                    <w:bottom w:val="single" w:sz="6" w:space="0" w:color="BFBFBF"/>
                  </w:tcBorders>
                  <w:shd w:val="clear" w:color="auto" w:fill="F2F2F2" w:themeFill="background1" w:themeFillShade="F2"/>
                  <w:vAlign w:val="bottom"/>
                </w:tcPr>
                <w:p w14:paraId="1B407781" w14:textId="77777777" w:rsidR="00FC14FC" w:rsidRPr="00BF09C5" w:rsidRDefault="00FC14FC" w:rsidP="00D11B9D">
                  <w:pPr>
                    <w:pStyle w:val="TableBodyText"/>
                    <w:spacing w:before="40"/>
                    <w:ind w:right="28"/>
                    <w:rPr>
                      <w:b/>
                    </w:rPr>
                  </w:pPr>
                  <w:r w:rsidRPr="00244718">
                    <w:rPr>
                      <w:b/>
                    </w:rPr>
                    <w:t>19</w:t>
                  </w:r>
                </w:p>
              </w:tc>
              <w:tc>
                <w:tcPr>
                  <w:tcW w:w="567" w:type="pct"/>
                  <w:tcBorders>
                    <w:bottom w:val="single" w:sz="6" w:space="0" w:color="BFBFBF"/>
                  </w:tcBorders>
                  <w:shd w:val="clear" w:color="auto" w:fill="F2F2F2" w:themeFill="background1" w:themeFillShade="F2"/>
                  <w:vAlign w:val="bottom"/>
                </w:tcPr>
                <w:p w14:paraId="13354225" w14:textId="77777777" w:rsidR="00FC14FC" w:rsidRPr="00BF09C5" w:rsidRDefault="00FC14FC" w:rsidP="00D11B9D">
                  <w:pPr>
                    <w:pStyle w:val="TableBodyText"/>
                    <w:spacing w:before="40"/>
                    <w:ind w:right="28"/>
                    <w:rPr>
                      <w:b/>
                    </w:rPr>
                  </w:pPr>
                  <w:r w:rsidRPr="00E315D6">
                    <w:rPr>
                      <w:b/>
                    </w:rPr>
                    <w:t>na</w:t>
                  </w:r>
                </w:p>
              </w:tc>
              <w:tc>
                <w:tcPr>
                  <w:tcW w:w="567" w:type="pct"/>
                  <w:tcBorders>
                    <w:bottom w:val="single" w:sz="6" w:space="0" w:color="BFBFBF"/>
                  </w:tcBorders>
                  <w:shd w:val="clear" w:color="auto" w:fill="F2F2F2" w:themeFill="background1" w:themeFillShade="F2"/>
                  <w:vAlign w:val="bottom"/>
                </w:tcPr>
                <w:p w14:paraId="7D373458" w14:textId="77777777" w:rsidR="00FC14FC" w:rsidRPr="00BF09C5" w:rsidRDefault="00FC14FC" w:rsidP="00D11B9D">
                  <w:pPr>
                    <w:pStyle w:val="TableBodyText"/>
                    <w:spacing w:before="40"/>
                    <w:ind w:right="28"/>
                    <w:rPr>
                      <w:b/>
                    </w:rPr>
                  </w:pPr>
                  <w:r w:rsidRPr="00E315D6">
                    <w:rPr>
                      <w:b/>
                    </w:rPr>
                    <w:t>na</w:t>
                  </w:r>
                </w:p>
              </w:tc>
              <w:tc>
                <w:tcPr>
                  <w:tcW w:w="567" w:type="pct"/>
                  <w:tcBorders>
                    <w:bottom w:val="single" w:sz="6" w:space="0" w:color="BFBFBF"/>
                  </w:tcBorders>
                  <w:shd w:val="clear" w:color="auto" w:fill="F2F2F2" w:themeFill="background1" w:themeFillShade="F2"/>
                  <w:vAlign w:val="bottom"/>
                </w:tcPr>
                <w:p w14:paraId="49E008EE" w14:textId="77777777" w:rsidR="00FC14FC" w:rsidRPr="00BF09C5" w:rsidRDefault="00FC14FC" w:rsidP="00D11B9D">
                  <w:pPr>
                    <w:pStyle w:val="TableBodyText"/>
                    <w:spacing w:before="40"/>
                    <w:ind w:right="28"/>
                    <w:rPr>
                      <w:b/>
                    </w:rPr>
                  </w:pPr>
                  <w:r w:rsidRPr="00E315D6">
                    <w:rPr>
                      <w:b/>
                    </w:rPr>
                    <w:t>na</w:t>
                  </w:r>
                </w:p>
              </w:tc>
            </w:tr>
          </w:tbl>
          <w:p w14:paraId="113DB3B2" w14:textId="77777777" w:rsidR="00FC14FC" w:rsidRDefault="00FC14FC" w:rsidP="00D11B9D">
            <w:pPr>
              <w:pStyle w:val="Box"/>
              <w:jc w:val="center"/>
            </w:pPr>
          </w:p>
        </w:tc>
      </w:tr>
      <w:tr w:rsidR="00FC14FC" w14:paraId="4D3C9524" w14:textId="77777777" w:rsidTr="00D11B9D">
        <w:tc>
          <w:tcPr>
            <w:tcW w:w="5000" w:type="pct"/>
            <w:tcBorders>
              <w:top w:val="nil"/>
              <w:left w:val="nil"/>
              <w:bottom w:val="nil"/>
              <w:right w:val="nil"/>
            </w:tcBorders>
            <w:shd w:val="clear" w:color="auto" w:fill="auto"/>
          </w:tcPr>
          <w:p w14:paraId="74F09978" w14:textId="77777777" w:rsidR="00FC14FC" w:rsidRDefault="00FC14FC" w:rsidP="00D11B9D">
            <w:pPr>
              <w:pStyle w:val="Note"/>
              <w:rPr>
                <w:i/>
              </w:rPr>
            </w:pPr>
            <w:r w:rsidRPr="006D7C43">
              <w:rPr>
                <w:b/>
              </w:rPr>
              <w:t>na</w:t>
            </w:r>
            <w:r>
              <w:t xml:space="preserve"> Not available.</w:t>
            </w:r>
          </w:p>
        </w:tc>
      </w:tr>
      <w:tr w:rsidR="00FC14FC" w14:paraId="3173B693" w14:textId="77777777" w:rsidTr="00D11B9D">
        <w:tc>
          <w:tcPr>
            <w:tcW w:w="5000" w:type="pct"/>
            <w:tcBorders>
              <w:top w:val="nil"/>
              <w:left w:val="nil"/>
              <w:bottom w:val="nil"/>
              <w:right w:val="nil"/>
            </w:tcBorders>
            <w:shd w:val="clear" w:color="auto" w:fill="auto"/>
          </w:tcPr>
          <w:p w14:paraId="28326C5B" w14:textId="77777777" w:rsidR="00FC14FC" w:rsidRDefault="00FC14FC" w:rsidP="00D11B9D">
            <w:pPr>
              <w:pStyle w:val="Source"/>
            </w:pPr>
            <w:r>
              <w:rPr>
                <w:i/>
              </w:rPr>
              <w:t>Source</w:t>
            </w:r>
            <w:r w:rsidRPr="00167F06">
              <w:t xml:space="preserve">: </w:t>
            </w:r>
            <w:r>
              <w:t>CEM Benchmarking.</w:t>
            </w:r>
          </w:p>
        </w:tc>
      </w:tr>
      <w:tr w:rsidR="00FC14FC" w14:paraId="3045B4DA" w14:textId="77777777" w:rsidTr="00D11B9D">
        <w:tc>
          <w:tcPr>
            <w:tcW w:w="5000" w:type="pct"/>
            <w:tcBorders>
              <w:top w:val="nil"/>
              <w:left w:val="nil"/>
              <w:bottom w:val="single" w:sz="6" w:space="0" w:color="78A22F"/>
              <w:right w:val="nil"/>
            </w:tcBorders>
            <w:shd w:val="clear" w:color="auto" w:fill="auto"/>
          </w:tcPr>
          <w:p w14:paraId="3F30053C" w14:textId="77777777" w:rsidR="00FC14FC" w:rsidRDefault="00FC14FC" w:rsidP="00D11B9D">
            <w:pPr>
              <w:pStyle w:val="Box"/>
              <w:spacing w:before="0" w:line="120" w:lineRule="exact"/>
            </w:pPr>
          </w:p>
        </w:tc>
      </w:tr>
      <w:tr w:rsidR="00FC14FC" w:rsidRPr="000863A5" w14:paraId="6178B808" w14:textId="77777777" w:rsidTr="00D11B9D">
        <w:tc>
          <w:tcPr>
            <w:tcW w:w="5000" w:type="pct"/>
            <w:tcBorders>
              <w:top w:val="single" w:sz="6" w:space="0" w:color="78A22F"/>
              <w:left w:val="nil"/>
              <w:bottom w:val="nil"/>
              <w:right w:val="nil"/>
            </w:tcBorders>
          </w:tcPr>
          <w:p w14:paraId="7D37D1CE" w14:textId="77777777" w:rsidR="00FC14FC" w:rsidRPr="00626D32" w:rsidRDefault="00FC14FC" w:rsidP="00D11B9D">
            <w:pPr>
              <w:pStyle w:val="BoxSpaceBelow"/>
            </w:pPr>
          </w:p>
        </w:tc>
      </w:tr>
    </w:tbl>
    <w:p w14:paraId="6F38EFD5"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5A900928" w14:textId="77777777" w:rsidTr="00D11B9D">
        <w:trPr>
          <w:tblHeader/>
        </w:trPr>
        <w:tc>
          <w:tcPr>
            <w:tcW w:w="5000" w:type="pct"/>
            <w:tcBorders>
              <w:top w:val="single" w:sz="6" w:space="0" w:color="78A22F"/>
              <w:left w:val="nil"/>
              <w:bottom w:val="nil"/>
              <w:right w:val="nil"/>
            </w:tcBorders>
            <w:shd w:val="clear" w:color="auto" w:fill="auto"/>
          </w:tcPr>
          <w:p w14:paraId="7655B1EA" w14:textId="77777777" w:rsidR="00FC14FC" w:rsidRDefault="00FC14FC" w:rsidP="00D11B9D">
            <w:pPr>
              <w:pStyle w:val="TableTitle"/>
            </w:pPr>
            <w:r>
              <w:rPr>
                <w:b w:val="0"/>
              </w:rPr>
              <w:t>Table 4.3</w:t>
            </w:r>
            <w:r>
              <w:tab/>
              <w:t>CEM Benchmarking: net investment returns</w:t>
            </w:r>
            <w:r w:rsidRPr="006D7C43">
              <w:rPr>
                <w:rStyle w:val="NoteLabel"/>
              </w:rPr>
              <w:t>a</w:t>
            </w:r>
          </w:p>
          <w:p w14:paraId="509761CE" w14:textId="77777777" w:rsidR="00FC14FC" w:rsidRPr="00784A05" w:rsidRDefault="00FC14FC" w:rsidP="00D11B9D">
            <w:pPr>
              <w:pStyle w:val="Subtitle"/>
            </w:pPr>
            <w:r>
              <w:t>Asset</w:t>
            </w:r>
            <w:r>
              <w:noBreakHyphen/>
              <w:t xml:space="preserve">weighted average net investment returns by asset class, 2007–2016 </w:t>
            </w:r>
          </w:p>
        </w:tc>
      </w:tr>
      <w:tr w:rsidR="00FC14FC" w14:paraId="50582BD8" w14:textId="77777777" w:rsidTr="00D11B9D">
        <w:trPr>
          <w:trHeight w:val="3164"/>
        </w:trPr>
        <w:tc>
          <w:tcPr>
            <w:tcW w:w="5000" w:type="pct"/>
            <w:tcBorders>
              <w:top w:val="nil"/>
              <w:left w:val="nil"/>
              <w:bottom w:val="single" w:sz="4" w:space="0" w:color="BFBFBF" w:themeColor="background1" w:themeShade="BF"/>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972"/>
              <w:gridCol w:w="817"/>
              <w:gridCol w:w="817"/>
              <w:gridCol w:w="816"/>
              <w:gridCol w:w="816"/>
              <w:gridCol w:w="856"/>
              <w:gridCol w:w="851"/>
              <w:gridCol w:w="851"/>
              <w:gridCol w:w="709"/>
            </w:tblGrid>
            <w:tr w:rsidR="00FC14FC" w14:paraId="6B920DC7" w14:textId="77777777" w:rsidTr="00D11B9D">
              <w:trPr>
                <w:tblHeader/>
              </w:trPr>
              <w:tc>
                <w:tcPr>
                  <w:tcW w:w="1159" w:type="pct"/>
                  <w:tcBorders>
                    <w:top w:val="single" w:sz="6" w:space="0" w:color="BFBFBF"/>
                    <w:bottom w:val="single" w:sz="6" w:space="0" w:color="BFBFBF"/>
                  </w:tcBorders>
                  <w:shd w:val="clear" w:color="auto" w:fill="auto"/>
                  <w:tcMar>
                    <w:top w:w="28" w:type="dxa"/>
                  </w:tcMar>
                  <w:vAlign w:val="bottom"/>
                </w:tcPr>
                <w:p w14:paraId="62BC1DE5" w14:textId="77777777" w:rsidR="00FC14FC" w:rsidRDefault="00FC14FC" w:rsidP="00D11B9D">
                  <w:pPr>
                    <w:pStyle w:val="TableColumnHeading"/>
                    <w:jc w:val="left"/>
                  </w:pPr>
                  <w:r>
                    <w:t>Asset class</w:t>
                  </w:r>
                </w:p>
              </w:tc>
              <w:tc>
                <w:tcPr>
                  <w:tcW w:w="480" w:type="pct"/>
                  <w:tcBorders>
                    <w:top w:val="single" w:sz="6" w:space="0" w:color="BFBFBF"/>
                    <w:bottom w:val="single" w:sz="6" w:space="0" w:color="BFBFBF"/>
                  </w:tcBorders>
                  <w:shd w:val="clear" w:color="auto" w:fill="auto"/>
                  <w:vAlign w:val="bottom"/>
                </w:tcPr>
                <w:p w14:paraId="65D3B647" w14:textId="77777777" w:rsidR="00FC14FC" w:rsidRDefault="00FC14FC" w:rsidP="00D11B9D">
                  <w:pPr>
                    <w:pStyle w:val="TableColumnHeading"/>
                  </w:pPr>
                  <w:r>
                    <w:t>US DC</w:t>
                  </w:r>
                </w:p>
              </w:tc>
              <w:tc>
                <w:tcPr>
                  <w:tcW w:w="480" w:type="pct"/>
                  <w:tcBorders>
                    <w:top w:val="single" w:sz="6" w:space="0" w:color="BFBFBF"/>
                    <w:bottom w:val="single" w:sz="6" w:space="0" w:color="BFBFBF"/>
                  </w:tcBorders>
                  <w:shd w:val="clear" w:color="auto" w:fill="auto"/>
                  <w:tcMar>
                    <w:top w:w="28" w:type="dxa"/>
                  </w:tcMar>
                  <w:vAlign w:val="bottom"/>
                </w:tcPr>
                <w:p w14:paraId="0604A4B4" w14:textId="77777777" w:rsidR="00FC14FC" w:rsidRDefault="00FC14FC" w:rsidP="00D11B9D">
                  <w:pPr>
                    <w:pStyle w:val="TableColumnHeading"/>
                  </w:pPr>
                  <w:r>
                    <w:t>US DB</w:t>
                  </w:r>
                </w:p>
              </w:tc>
              <w:tc>
                <w:tcPr>
                  <w:tcW w:w="480" w:type="pct"/>
                  <w:tcBorders>
                    <w:top w:val="single" w:sz="6" w:space="0" w:color="BFBFBF"/>
                    <w:bottom w:val="single" w:sz="6" w:space="0" w:color="BFBFBF"/>
                  </w:tcBorders>
                  <w:shd w:val="clear" w:color="auto" w:fill="auto"/>
                  <w:tcMar>
                    <w:top w:w="28" w:type="dxa"/>
                  </w:tcMar>
                  <w:vAlign w:val="bottom"/>
                </w:tcPr>
                <w:p w14:paraId="7B2F37DF" w14:textId="77777777" w:rsidR="00FC14FC" w:rsidRDefault="00FC14FC" w:rsidP="00D11B9D">
                  <w:pPr>
                    <w:pStyle w:val="TableColumnHeading"/>
                  </w:pPr>
                  <w:r>
                    <w:t>Canada</w:t>
                  </w:r>
                </w:p>
              </w:tc>
              <w:tc>
                <w:tcPr>
                  <w:tcW w:w="480" w:type="pct"/>
                  <w:tcBorders>
                    <w:top w:val="single" w:sz="6" w:space="0" w:color="BFBFBF"/>
                    <w:bottom w:val="single" w:sz="6" w:space="0" w:color="BFBFBF"/>
                  </w:tcBorders>
                  <w:shd w:val="clear" w:color="auto" w:fill="auto"/>
                  <w:vAlign w:val="bottom"/>
                </w:tcPr>
                <w:p w14:paraId="5D7F65D7" w14:textId="77777777" w:rsidR="00FC14FC" w:rsidRDefault="00FC14FC" w:rsidP="00D11B9D">
                  <w:pPr>
                    <w:pStyle w:val="TableColumnHeading"/>
                  </w:pPr>
                  <w:r>
                    <w:t>Nether-lands</w:t>
                  </w:r>
                </w:p>
              </w:tc>
              <w:tc>
                <w:tcPr>
                  <w:tcW w:w="503" w:type="pct"/>
                  <w:tcBorders>
                    <w:top w:val="single" w:sz="6" w:space="0" w:color="BFBFBF"/>
                    <w:bottom w:val="single" w:sz="6" w:space="0" w:color="BFBFBF"/>
                  </w:tcBorders>
                  <w:shd w:val="clear" w:color="auto" w:fill="auto"/>
                  <w:vAlign w:val="bottom"/>
                </w:tcPr>
                <w:p w14:paraId="7B72BE72" w14:textId="77777777" w:rsidR="00FC14FC" w:rsidRDefault="00FC14FC" w:rsidP="00D11B9D">
                  <w:pPr>
                    <w:pStyle w:val="TableColumnHeading"/>
                  </w:pPr>
                  <w:r>
                    <w:t>United Kingdom</w:t>
                  </w:r>
                </w:p>
              </w:tc>
              <w:tc>
                <w:tcPr>
                  <w:tcW w:w="500" w:type="pct"/>
                  <w:tcBorders>
                    <w:top w:val="single" w:sz="6" w:space="0" w:color="BFBFBF"/>
                    <w:bottom w:val="single" w:sz="6" w:space="0" w:color="BFBFBF"/>
                  </w:tcBorders>
                  <w:shd w:val="clear" w:color="auto" w:fill="auto"/>
                  <w:vAlign w:val="bottom"/>
                </w:tcPr>
                <w:p w14:paraId="7C011758" w14:textId="77777777" w:rsidR="00FC14FC" w:rsidRDefault="00FC14FC" w:rsidP="00D11B9D">
                  <w:pPr>
                    <w:pStyle w:val="TableColumnHeading"/>
                  </w:pPr>
                  <w:r>
                    <w:t>Rest of Europe</w:t>
                  </w:r>
                </w:p>
              </w:tc>
              <w:tc>
                <w:tcPr>
                  <w:tcW w:w="500" w:type="pct"/>
                  <w:tcBorders>
                    <w:top w:val="single" w:sz="6" w:space="0" w:color="BFBFBF"/>
                    <w:bottom w:val="single" w:sz="6" w:space="0" w:color="BFBFBF"/>
                  </w:tcBorders>
                  <w:shd w:val="clear" w:color="auto" w:fill="auto"/>
                  <w:vAlign w:val="bottom"/>
                </w:tcPr>
                <w:p w14:paraId="50E97597" w14:textId="77777777" w:rsidR="00FC14FC" w:rsidRDefault="00FC14FC" w:rsidP="00D11B9D">
                  <w:pPr>
                    <w:pStyle w:val="TableColumnHeading"/>
                  </w:pPr>
                  <w:r>
                    <w:t>Asia–Pacific</w:t>
                  </w:r>
                </w:p>
              </w:tc>
              <w:tc>
                <w:tcPr>
                  <w:tcW w:w="417" w:type="pct"/>
                  <w:tcBorders>
                    <w:top w:val="single" w:sz="6" w:space="0" w:color="BFBFBF"/>
                    <w:bottom w:val="single" w:sz="6" w:space="0" w:color="BFBFBF"/>
                  </w:tcBorders>
                  <w:shd w:val="clear" w:color="auto" w:fill="auto"/>
                  <w:vAlign w:val="bottom"/>
                </w:tcPr>
                <w:p w14:paraId="27510DFB" w14:textId="77777777" w:rsidR="00FC14FC" w:rsidRDefault="00FC14FC" w:rsidP="00D11B9D">
                  <w:pPr>
                    <w:pStyle w:val="TableColumnHeading"/>
                    <w:ind w:right="28"/>
                  </w:pPr>
                  <w:r>
                    <w:t>Total</w:t>
                  </w:r>
                </w:p>
              </w:tc>
            </w:tr>
            <w:tr w:rsidR="00FC14FC" w14:paraId="144033D0" w14:textId="77777777" w:rsidTr="00D11B9D">
              <w:tc>
                <w:tcPr>
                  <w:tcW w:w="1159" w:type="pct"/>
                  <w:tcBorders>
                    <w:top w:val="single" w:sz="6" w:space="0" w:color="BFBFBF"/>
                  </w:tcBorders>
                </w:tcPr>
                <w:p w14:paraId="5D2782F4" w14:textId="77777777" w:rsidR="00FC14FC" w:rsidRDefault="00FC14FC" w:rsidP="00D11B9D">
                  <w:pPr>
                    <w:pStyle w:val="TableBodyText"/>
                    <w:jc w:val="left"/>
                  </w:pPr>
                  <w:r w:rsidRPr="009B0B20">
                    <w:t>Domestic equities</w:t>
                  </w:r>
                </w:p>
              </w:tc>
              <w:tc>
                <w:tcPr>
                  <w:tcW w:w="480" w:type="pct"/>
                  <w:tcBorders>
                    <w:top w:val="single" w:sz="6" w:space="0" w:color="BFBFBF"/>
                  </w:tcBorders>
                  <w:vAlign w:val="bottom"/>
                </w:tcPr>
                <w:p w14:paraId="4FD7A7A0" w14:textId="77777777" w:rsidR="00FC14FC" w:rsidRPr="00B44EAF" w:rsidRDefault="00FC14FC" w:rsidP="00D11B9D">
                  <w:pPr>
                    <w:pStyle w:val="TableBodyText"/>
                  </w:pPr>
                  <w:r w:rsidRPr="00B44EAF">
                    <w:t>7.1</w:t>
                  </w:r>
                </w:p>
              </w:tc>
              <w:tc>
                <w:tcPr>
                  <w:tcW w:w="480" w:type="pct"/>
                  <w:tcBorders>
                    <w:top w:val="single" w:sz="6" w:space="0" w:color="BFBFBF"/>
                  </w:tcBorders>
                  <w:vAlign w:val="bottom"/>
                </w:tcPr>
                <w:p w14:paraId="1F468EED" w14:textId="77777777" w:rsidR="00FC14FC" w:rsidRPr="00B90305" w:rsidRDefault="00FC14FC" w:rsidP="00D11B9D">
                  <w:pPr>
                    <w:pStyle w:val="TableBodyText"/>
                  </w:pPr>
                  <w:r w:rsidRPr="00B90305">
                    <w:t>7.0</w:t>
                  </w:r>
                </w:p>
              </w:tc>
              <w:tc>
                <w:tcPr>
                  <w:tcW w:w="480" w:type="pct"/>
                  <w:tcBorders>
                    <w:top w:val="single" w:sz="6" w:space="0" w:color="BFBFBF"/>
                  </w:tcBorders>
                  <w:vAlign w:val="bottom"/>
                </w:tcPr>
                <w:p w14:paraId="70E5DFDA" w14:textId="77777777" w:rsidR="00FC14FC" w:rsidRPr="00B90305" w:rsidRDefault="00FC14FC" w:rsidP="00D11B9D">
                  <w:pPr>
                    <w:pStyle w:val="TableBodyText"/>
                  </w:pPr>
                  <w:r w:rsidRPr="00B90305">
                    <w:t>5.1</w:t>
                  </w:r>
                </w:p>
              </w:tc>
              <w:tc>
                <w:tcPr>
                  <w:tcW w:w="480" w:type="pct"/>
                  <w:tcBorders>
                    <w:top w:val="single" w:sz="6" w:space="0" w:color="BFBFBF"/>
                  </w:tcBorders>
                  <w:vAlign w:val="bottom"/>
                </w:tcPr>
                <w:p w14:paraId="3DC9B285" w14:textId="77777777" w:rsidR="00FC14FC" w:rsidRPr="002D6FAC" w:rsidRDefault="00FC14FC" w:rsidP="00D11B9D">
                  <w:pPr>
                    <w:pStyle w:val="TableBodyText"/>
                  </w:pPr>
                  <w:r w:rsidRPr="002D6FAC">
                    <w:t>na</w:t>
                  </w:r>
                </w:p>
              </w:tc>
              <w:tc>
                <w:tcPr>
                  <w:tcW w:w="503" w:type="pct"/>
                  <w:tcBorders>
                    <w:top w:val="single" w:sz="6" w:space="0" w:color="BFBFBF"/>
                  </w:tcBorders>
                  <w:vAlign w:val="bottom"/>
                </w:tcPr>
                <w:p w14:paraId="7DD269C3" w14:textId="77777777" w:rsidR="00FC14FC" w:rsidRPr="002D6FAC" w:rsidRDefault="00FC14FC" w:rsidP="00D11B9D">
                  <w:pPr>
                    <w:pStyle w:val="TableBodyText"/>
                  </w:pPr>
                  <w:r w:rsidRPr="002D6FAC">
                    <w:t>na</w:t>
                  </w:r>
                </w:p>
              </w:tc>
              <w:tc>
                <w:tcPr>
                  <w:tcW w:w="500" w:type="pct"/>
                  <w:tcBorders>
                    <w:top w:val="single" w:sz="6" w:space="0" w:color="BFBFBF"/>
                  </w:tcBorders>
                  <w:vAlign w:val="bottom"/>
                </w:tcPr>
                <w:p w14:paraId="0C3048B1" w14:textId="77777777" w:rsidR="00FC14FC" w:rsidRPr="002D6FAC" w:rsidRDefault="00FC14FC" w:rsidP="00D11B9D">
                  <w:pPr>
                    <w:pStyle w:val="TableBodyText"/>
                  </w:pPr>
                  <w:r w:rsidRPr="002D6FAC">
                    <w:t>na</w:t>
                  </w:r>
                </w:p>
              </w:tc>
              <w:tc>
                <w:tcPr>
                  <w:tcW w:w="500" w:type="pct"/>
                  <w:tcBorders>
                    <w:top w:val="single" w:sz="6" w:space="0" w:color="BFBFBF"/>
                  </w:tcBorders>
                  <w:vAlign w:val="bottom"/>
                </w:tcPr>
                <w:p w14:paraId="336162AD" w14:textId="77777777" w:rsidR="00FC14FC" w:rsidRPr="002D6FAC" w:rsidRDefault="00FC14FC" w:rsidP="00D11B9D">
                  <w:pPr>
                    <w:pStyle w:val="TableBodyText"/>
                  </w:pPr>
                  <w:r w:rsidRPr="002D6FAC">
                    <w:t>na</w:t>
                  </w:r>
                </w:p>
              </w:tc>
              <w:tc>
                <w:tcPr>
                  <w:tcW w:w="417" w:type="pct"/>
                  <w:tcBorders>
                    <w:top w:val="single" w:sz="6" w:space="0" w:color="BFBFBF"/>
                  </w:tcBorders>
                  <w:vAlign w:val="bottom"/>
                </w:tcPr>
                <w:p w14:paraId="3A135F6A" w14:textId="77777777" w:rsidR="00FC14FC" w:rsidRPr="002D6FAC" w:rsidRDefault="00FC14FC" w:rsidP="00D11B9D">
                  <w:pPr>
                    <w:pStyle w:val="TableBodyText"/>
                    <w:ind w:right="28"/>
                  </w:pPr>
                  <w:r w:rsidRPr="002D6FAC">
                    <w:t>na</w:t>
                  </w:r>
                </w:p>
              </w:tc>
            </w:tr>
            <w:tr w:rsidR="00FC14FC" w14:paraId="1FC3BAB0" w14:textId="77777777" w:rsidTr="00D11B9D">
              <w:tc>
                <w:tcPr>
                  <w:tcW w:w="1159" w:type="pct"/>
                  <w:shd w:val="clear" w:color="auto" w:fill="F2F2F2" w:themeFill="background1" w:themeFillShade="F2"/>
                </w:tcPr>
                <w:p w14:paraId="7E105EEB" w14:textId="77777777" w:rsidR="00FC14FC" w:rsidRDefault="00FC14FC" w:rsidP="00D11B9D">
                  <w:pPr>
                    <w:pStyle w:val="TableBodyText"/>
                    <w:jc w:val="left"/>
                  </w:pPr>
                  <w:r w:rsidRPr="009B0B20">
                    <w:t>International equities</w:t>
                  </w:r>
                </w:p>
              </w:tc>
              <w:tc>
                <w:tcPr>
                  <w:tcW w:w="480" w:type="pct"/>
                  <w:shd w:val="clear" w:color="auto" w:fill="F2F2F2" w:themeFill="background1" w:themeFillShade="F2"/>
                  <w:vAlign w:val="bottom"/>
                </w:tcPr>
                <w:p w14:paraId="55164B97" w14:textId="77777777" w:rsidR="00FC14FC" w:rsidRPr="00B44EAF" w:rsidRDefault="00FC14FC" w:rsidP="00D11B9D">
                  <w:pPr>
                    <w:pStyle w:val="TableBodyText"/>
                  </w:pPr>
                  <w:r w:rsidRPr="00B44EAF">
                    <w:t>5.2</w:t>
                  </w:r>
                </w:p>
              </w:tc>
              <w:tc>
                <w:tcPr>
                  <w:tcW w:w="480" w:type="pct"/>
                  <w:shd w:val="clear" w:color="auto" w:fill="F2F2F2" w:themeFill="background1" w:themeFillShade="F2"/>
                  <w:vAlign w:val="bottom"/>
                </w:tcPr>
                <w:p w14:paraId="535EC130" w14:textId="77777777" w:rsidR="00FC14FC" w:rsidRPr="00B90305" w:rsidRDefault="00FC14FC" w:rsidP="00D11B9D">
                  <w:pPr>
                    <w:pStyle w:val="TableBodyText"/>
                  </w:pPr>
                  <w:r w:rsidRPr="00B90305">
                    <w:t>2.1</w:t>
                  </w:r>
                </w:p>
              </w:tc>
              <w:tc>
                <w:tcPr>
                  <w:tcW w:w="480" w:type="pct"/>
                  <w:shd w:val="clear" w:color="auto" w:fill="F2F2F2" w:themeFill="background1" w:themeFillShade="F2"/>
                  <w:vAlign w:val="bottom"/>
                </w:tcPr>
                <w:p w14:paraId="75262667" w14:textId="77777777" w:rsidR="00FC14FC" w:rsidRPr="00B90305" w:rsidRDefault="00FC14FC" w:rsidP="00D11B9D">
                  <w:pPr>
                    <w:pStyle w:val="TableBodyText"/>
                  </w:pPr>
                  <w:r w:rsidRPr="00B90305">
                    <w:t>5.3</w:t>
                  </w:r>
                </w:p>
              </w:tc>
              <w:tc>
                <w:tcPr>
                  <w:tcW w:w="480" w:type="pct"/>
                  <w:shd w:val="clear" w:color="auto" w:fill="F2F2F2" w:themeFill="background1" w:themeFillShade="F2"/>
                  <w:vAlign w:val="bottom"/>
                </w:tcPr>
                <w:p w14:paraId="539C20B2" w14:textId="77777777" w:rsidR="00FC14FC" w:rsidRPr="002D6FAC" w:rsidRDefault="00FC14FC" w:rsidP="00D11B9D">
                  <w:pPr>
                    <w:pStyle w:val="TableBodyText"/>
                  </w:pPr>
                  <w:r w:rsidRPr="002D6FAC">
                    <w:t>na</w:t>
                  </w:r>
                </w:p>
              </w:tc>
              <w:tc>
                <w:tcPr>
                  <w:tcW w:w="503" w:type="pct"/>
                  <w:shd w:val="clear" w:color="auto" w:fill="F2F2F2" w:themeFill="background1" w:themeFillShade="F2"/>
                  <w:vAlign w:val="bottom"/>
                </w:tcPr>
                <w:p w14:paraId="279F406E" w14:textId="77777777" w:rsidR="00FC14FC" w:rsidRPr="002D6FAC" w:rsidRDefault="00FC14FC" w:rsidP="00D11B9D">
                  <w:pPr>
                    <w:pStyle w:val="TableBodyText"/>
                  </w:pPr>
                  <w:r w:rsidRPr="002D6FAC">
                    <w:t>na</w:t>
                  </w:r>
                </w:p>
              </w:tc>
              <w:tc>
                <w:tcPr>
                  <w:tcW w:w="500" w:type="pct"/>
                  <w:shd w:val="clear" w:color="auto" w:fill="F2F2F2" w:themeFill="background1" w:themeFillShade="F2"/>
                  <w:vAlign w:val="bottom"/>
                </w:tcPr>
                <w:p w14:paraId="237787CA" w14:textId="77777777" w:rsidR="00FC14FC" w:rsidRPr="002D6FAC" w:rsidRDefault="00FC14FC" w:rsidP="00D11B9D">
                  <w:pPr>
                    <w:pStyle w:val="TableBodyText"/>
                  </w:pPr>
                  <w:r w:rsidRPr="002D6FAC">
                    <w:t>na</w:t>
                  </w:r>
                </w:p>
              </w:tc>
              <w:tc>
                <w:tcPr>
                  <w:tcW w:w="500" w:type="pct"/>
                  <w:shd w:val="clear" w:color="auto" w:fill="F2F2F2" w:themeFill="background1" w:themeFillShade="F2"/>
                  <w:vAlign w:val="bottom"/>
                </w:tcPr>
                <w:p w14:paraId="3BA12354" w14:textId="77777777" w:rsidR="00FC14FC" w:rsidRPr="002D6FAC" w:rsidRDefault="00FC14FC" w:rsidP="00D11B9D">
                  <w:pPr>
                    <w:pStyle w:val="TableBodyText"/>
                  </w:pPr>
                  <w:r w:rsidRPr="002D6FAC">
                    <w:t>na</w:t>
                  </w:r>
                </w:p>
              </w:tc>
              <w:tc>
                <w:tcPr>
                  <w:tcW w:w="417" w:type="pct"/>
                  <w:shd w:val="clear" w:color="auto" w:fill="F2F2F2" w:themeFill="background1" w:themeFillShade="F2"/>
                  <w:vAlign w:val="bottom"/>
                </w:tcPr>
                <w:p w14:paraId="2FD52A47" w14:textId="77777777" w:rsidR="00FC14FC" w:rsidRPr="002D6FAC" w:rsidRDefault="00FC14FC" w:rsidP="00D11B9D">
                  <w:pPr>
                    <w:pStyle w:val="TableBodyText"/>
                    <w:ind w:right="28"/>
                  </w:pPr>
                  <w:r w:rsidRPr="002D6FAC">
                    <w:t>na</w:t>
                  </w:r>
                </w:p>
              </w:tc>
            </w:tr>
            <w:tr w:rsidR="00FC14FC" w14:paraId="58BDFE1E" w14:textId="77777777" w:rsidTr="00D11B9D">
              <w:tc>
                <w:tcPr>
                  <w:tcW w:w="1159" w:type="pct"/>
                  <w:shd w:val="clear" w:color="auto" w:fill="auto"/>
                </w:tcPr>
                <w:p w14:paraId="32DDC40F" w14:textId="77777777" w:rsidR="00FC14FC" w:rsidRPr="009B0B20" w:rsidRDefault="00FC14FC" w:rsidP="00D11B9D">
                  <w:pPr>
                    <w:pStyle w:val="TableBodyText"/>
                    <w:jc w:val="left"/>
                  </w:pPr>
                  <w:r w:rsidRPr="009B0B20">
                    <w:t>Domestic fixed in</w:t>
                  </w:r>
                  <w:r>
                    <w:t>come</w:t>
                  </w:r>
                </w:p>
              </w:tc>
              <w:tc>
                <w:tcPr>
                  <w:tcW w:w="480" w:type="pct"/>
                  <w:shd w:val="clear" w:color="auto" w:fill="auto"/>
                  <w:vAlign w:val="bottom"/>
                </w:tcPr>
                <w:p w14:paraId="00B7504A" w14:textId="77777777" w:rsidR="00FC14FC" w:rsidRPr="00B44EAF" w:rsidRDefault="00FC14FC" w:rsidP="00D11B9D">
                  <w:pPr>
                    <w:pStyle w:val="TableBodyText"/>
                  </w:pPr>
                  <w:r w:rsidRPr="00B44EAF">
                    <w:t>4.3</w:t>
                  </w:r>
                </w:p>
              </w:tc>
              <w:tc>
                <w:tcPr>
                  <w:tcW w:w="480" w:type="pct"/>
                  <w:shd w:val="clear" w:color="auto" w:fill="auto"/>
                  <w:vAlign w:val="bottom"/>
                </w:tcPr>
                <w:p w14:paraId="138FDC62" w14:textId="77777777" w:rsidR="00FC14FC" w:rsidRPr="00B90305" w:rsidRDefault="00FC14FC" w:rsidP="00D11B9D">
                  <w:pPr>
                    <w:pStyle w:val="TableBodyText"/>
                  </w:pPr>
                  <w:r w:rsidRPr="00B90305">
                    <w:t>5.2</w:t>
                  </w:r>
                </w:p>
              </w:tc>
              <w:tc>
                <w:tcPr>
                  <w:tcW w:w="480" w:type="pct"/>
                  <w:shd w:val="clear" w:color="auto" w:fill="auto"/>
                  <w:vAlign w:val="bottom"/>
                </w:tcPr>
                <w:p w14:paraId="1106699B" w14:textId="77777777" w:rsidR="00FC14FC" w:rsidRPr="00B90305" w:rsidRDefault="00FC14FC" w:rsidP="00D11B9D">
                  <w:pPr>
                    <w:pStyle w:val="TableBodyText"/>
                  </w:pPr>
                  <w:r w:rsidRPr="00B90305">
                    <w:t>5.0</w:t>
                  </w:r>
                </w:p>
              </w:tc>
              <w:tc>
                <w:tcPr>
                  <w:tcW w:w="480" w:type="pct"/>
                  <w:shd w:val="clear" w:color="auto" w:fill="auto"/>
                  <w:vAlign w:val="bottom"/>
                </w:tcPr>
                <w:p w14:paraId="3E0E21A8" w14:textId="77777777" w:rsidR="00FC14FC" w:rsidRPr="002D6FAC" w:rsidRDefault="00FC14FC" w:rsidP="00D11B9D">
                  <w:pPr>
                    <w:pStyle w:val="TableBodyText"/>
                  </w:pPr>
                  <w:r w:rsidRPr="002D6FAC">
                    <w:t>na</w:t>
                  </w:r>
                </w:p>
              </w:tc>
              <w:tc>
                <w:tcPr>
                  <w:tcW w:w="503" w:type="pct"/>
                  <w:shd w:val="clear" w:color="auto" w:fill="auto"/>
                  <w:vAlign w:val="bottom"/>
                </w:tcPr>
                <w:p w14:paraId="3F2E1105" w14:textId="77777777" w:rsidR="00FC14FC" w:rsidRPr="002D6FAC" w:rsidRDefault="00FC14FC" w:rsidP="00D11B9D">
                  <w:pPr>
                    <w:pStyle w:val="TableBodyText"/>
                  </w:pPr>
                  <w:r w:rsidRPr="002D6FAC">
                    <w:t>na</w:t>
                  </w:r>
                </w:p>
              </w:tc>
              <w:tc>
                <w:tcPr>
                  <w:tcW w:w="500" w:type="pct"/>
                  <w:shd w:val="clear" w:color="auto" w:fill="auto"/>
                  <w:vAlign w:val="bottom"/>
                </w:tcPr>
                <w:p w14:paraId="654FCD06" w14:textId="77777777" w:rsidR="00FC14FC" w:rsidRPr="002D6FAC" w:rsidRDefault="00FC14FC" w:rsidP="00D11B9D">
                  <w:pPr>
                    <w:pStyle w:val="TableBodyText"/>
                  </w:pPr>
                  <w:r w:rsidRPr="002D6FAC">
                    <w:t>na</w:t>
                  </w:r>
                </w:p>
              </w:tc>
              <w:tc>
                <w:tcPr>
                  <w:tcW w:w="500" w:type="pct"/>
                  <w:shd w:val="clear" w:color="auto" w:fill="auto"/>
                  <w:vAlign w:val="bottom"/>
                </w:tcPr>
                <w:p w14:paraId="417941B6" w14:textId="77777777" w:rsidR="00FC14FC" w:rsidRPr="002D6FAC" w:rsidRDefault="00FC14FC" w:rsidP="00D11B9D">
                  <w:pPr>
                    <w:pStyle w:val="TableBodyText"/>
                  </w:pPr>
                  <w:r w:rsidRPr="002D6FAC">
                    <w:t>na</w:t>
                  </w:r>
                </w:p>
              </w:tc>
              <w:tc>
                <w:tcPr>
                  <w:tcW w:w="417" w:type="pct"/>
                  <w:shd w:val="clear" w:color="auto" w:fill="auto"/>
                  <w:vAlign w:val="bottom"/>
                </w:tcPr>
                <w:p w14:paraId="63DAB77C" w14:textId="77777777" w:rsidR="00FC14FC" w:rsidRPr="002D6FAC" w:rsidRDefault="00FC14FC" w:rsidP="00D11B9D">
                  <w:pPr>
                    <w:pStyle w:val="TableBodyText"/>
                    <w:ind w:right="28"/>
                  </w:pPr>
                  <w:r w:rsidRPr="002D6FAC">
                    <w:t>na</w:t>
                  </w:r>
                </w:p>
              </w:tc>
            </w:tr>
            <w:tr w:rsidR="00FC14FC" w14:paraId="0A3210DB" w14:textId="77777777" w:rsidTr="00D11B9D">
              <w:tc>
                <w:tcPr>
                  <w:tcW w:w="1159" w:type="pct"/>
                  <w:shd w:val="clear" w:color="auto" w:fill="F2F2F2" w:themeFill="background1" w:themeFillShade="F2"/>
                </w:tcPr>
                <w:p w14:paraId="0BCA9839" w14:textId="77777777" w:rsidR="00FC14FC" w:rsidRPr="009B0B20" w:rsidRDefault="00FC14FC" w:rsidP="00D11B9D">
                  <w:pPr>
                    <w:pStyle w:val="TableBodyText"/>
                    <w:jc w:val="left"/>
                  </w:pPr>
                  <w:r w:rsidRPr="009B0B20">
                    <w:t>All other fixed in</w:t>
                  </w:r>
                  <w:r>
                    <w:t>come</w:t>
                  </w:r>
                </w:p>
              </w:tc>
              <w:tc>
                <w:tcPr>
                  <w:tcW w:w="480" w:type="pct"/>
                  <w:shd w:val="clear" w:color="auto" w:fill="F2F2F2" w:themeFill="background1" w:themeFillShade="F2"/>
                  <w:vAlign w:val="bottom"/>
                </w:tcPr>
                <w:p w14:paraId="763E7595" w14:textId="77777777" w:rsidR="00FC14FC" w:rsidRPr="00B44EAF" w:rsidRDefault="00FC14FC" w:rsidP="00D11B9D">
                  <w:pPr>
                    <w:pStyle w:val="TableBodyText"/>
                  </w:pPr>
                  <w:r w:rsidRPr="00B44EAF">
                    <w:t>4.4</w:t>
                  </w:r>
                </w:p>
              </w:tc>
              <w:tc>
                <w:tcPr>
                  <w:tcW w:w="480" w:type="pct"/>
                  <w:shd w:val="clear" w:color="auto" w:fill="F2F2F2" w:themeFill="background1" w:themeFillShade="F2"/>
                  <w:vAlign w:val="bottom"/>
                </w:tcPr>
                <w:p w14:paraId="5531BBC8" w14:textId="77777777" w:rsidR="00FC14FC" w:rsidRPr="00B90305" w:rsidRDefault="00FC14FC" w:rsidP="00D11B9D">
                  <w:pPr>
                    <w:pStyle w:val="TableBodyText"/>
                  </w:pPr>
                  <w:r w:rsidRPr="00B90305">
                    <w:t>6.3</w:t>
                  </w:r>
                </w:p>
              </w:tc>
              <w:tc>
                <w:tcPr>
                  <w:tcW w:w="480" w:type="pct"/>
                  <w:shd w:val="clear" w:color="auto" w:fill="F2F2F2" w:themeFill="background1" w:themeFillShade="F2"/>
                  <w:vAlign w:val="bottom"/>
                </w:tcPr>
                <w:p w14:paraId="6FFDBBCC" w14:textId="77777777" w:rsidR="00FC14FC" w:rsidRPr="00B90305" w:rsidRDefault="00FC14FC" w:rsidP="00D11B9D">
                  <w:pPr>
                    <w:pStyle w:val="TableBodyText"/>
                  </w:pPr>
                  <w:r w:rsidRPr="00B90305">
                    <w:t>5.7</w:t>
                  </w:r>
                </w:p>
              </w:tc>
              <w:tc>
                <w:tcPr>
                  <w:tcW w:w="480" w:type="pct"/>
                  <w:shd w:val="clear" w:color="auto" w:fill="F2F2F2" w:themeFill="background1" w:themeFillShade="F2"/>
                  <w:vAlign w:val="bottom"/>
                </w:tcPr>
                <w:p w14:paraId="741A80A2" w14:textId="77777777" w:rsidR="00FC14FC" w:rsidRPr="002D6FAC" w:rsidRDefault="00FC14FC" w:rsidP="00D11B9D">
                  <w:pPr>
                    <w:pStyle w:val="TableBodyText"/>
                  </w:pPr>
                  <w:r w:rsidRPr="002D6FAC">
                    <w:t>na</w:t>
                  </w:r>
                </w:p>
              </w:tc>
              <w:tc>
                <w:tcPr>
                  <w:tcW w:w="503" w:type="pct"/>
                  <w:shd w:val="clear" w:color="auto" w:fill="F2F2F2" w:themeFill="background1" w:themeFillShade="F2"/>
                  <w:vAlign w:val="bottom"/>
                </w:tcPr>
                <w:p w14:paraId="37C5CD0D" w14:textId="77777777" w:rsidR="00FC14FC" w:rsidRPr="002D6FAC" w:rsidRDefault="00FC14FC" w:rsidP="00D11B9D">
                  <w:pPr>
                    <w:pStyle w:val="TableBodyText"/>
                  </w:pPr>
                  <w:r w:rsidRPr="002D6FAC">
                    <w:t>na</w:t>
                  </w:r>
                </w:p>
              </w:tc>
              <w:tc>
                <w:tcPr>
                  <w:tcW w:w="500" w:type="pct"/>
                  <w:shd w:val="clear" w:color="auto" w:fill="F2F2F2" w:themeFill="background1" w:themeFillShade="F2"/>
                  <w:vAlign w:val="bottom"/>
                </w:tcPr>
                <w:p w14:paraId="3A582B7D" w14:textId="77777777" w:rsidR="00FC14FC" w:rsidRPr="002D6FAC" w:rsidRDefault="00FC14FC" w:rsidP="00D11B9D">
                  <w:pPr>
                    <w:pStyle w:val="TableBodyText"/>
                  </w:pPr>
                  <w:r w:rsidRPr="002D6FAC">
                    <w:t>na</w:t>
                  </w:r>
                </w:p>
              </w:tc>
              <w:tc>
                <w:tcPr>
                  <w:tcW w:w="500" w:type="pct"/>
                  <w:shd w:val="clear" w:color="auto" w:fill="F2F2F2" w:themeFill="background1" w:themeFillShade="F2"/>
                  <w:vAlign w:val="bottom"/>
                </w:tcPr>
                <w:p w14:paraId="638923FD" w14:textId="77777777" w:rsidR="00FC14FC" w:rsidRPr="002D6FAC" w:rsidRDefault="00FC14FC" w:rsidP="00D11B9D">
                  <w:pPr>
                    <w:pStyle w:val="TableBodyText"/>
                  </w:pPr>
                  <w:r w:rsidRPr="002D6FAC">
                    <w:t>na</w:t>
                  </w:r>
                </w:p>
              </w:tc>
              <w:tc>
                <w:tcPr>
                  <w:tcW w:w="417" w:type="pct"/>
                  <w:shd w:val="clear" w:color="auto" w:fill="F2F2F2" w:themeFill="background1" w:themeFillShade="F2"/>
                  <w:vAlign w:val="bottom"/>
                </w:tcPr>
                <w:p w14:paraId="1F3688FD" w14:textId="77777777" w:rsidR="00FC14FC" w:rsidRPr="002D6FAC" w:rsidRDefault="00FC14FC" w:rsidP="00D11B9D">
                  <w:pPr>
                    <w:pStyle w:val="TableBodyText"/>
                    <w:ind w:right="28"/>
                  </w:pPr>
                  <w:r w:rsidRPr="002D6FAC">
                    <w:t>na</w:t>
                  </w:r>
                </w:p>
              </w:tc>
            </w:tr>
            <w:tr w:rsidR="00FC14FC" w14:paraId="6BBCAB74" w14:textId="77777777" w:rsidTr="00D11B9D">
              <w:tc>
                <w:tcPr>
                  <w:tcW w:w="1159" w:type="pct"/>
                  <w:shd w:val="clear" w:color="auto" w:fill="auto"/>
                </w:tcPr>
                <w:p w14:paraId="3DBD44DA" w14:textId="77777777" w:rsidR="00FC14FC" w:rsidRPr="009B0B20" w:rsidRDefault="00FC14FC" w:rsidP="00D11B9D">
                  <w:pPr>
                    <w:pStyle w:val="TableBodyText"/>
                    <w:jc w:val="left"/>
                  </w:pPr>
                  <w:r w:rsidRPr="009B0B20">
                    <w:t>Cash</w:t>
                  </w:r>
                </w:p>
              </w:tc>
              <w:tc>
                <w:tcPr>
                  <w:tcW w:w="480" w:type="pct"/>
                  <w:vAlign w:val="bottom"/>
                </w:tcPr>
                <w:p w14:paraId="210727E1" w14:textId="77777777" w:rsidR="00FC14FC" w:rsidRPr="00B44EAF" w:rsidRDefault="00FC14FC" w:rsidP="00D11B9D">
                  <w:pPr>
                    <w:pStyle w:val="TableBodyText"/>
                  </w:pPr>
                  <w:r w:rsidRPr="00B44EAF">
                    <w:t>1.7</w:t>
                  </w:r>
                </w:p>
              </w:tc>
              <w:tc>
                <w:tcPr>
                  <w:tcW w:w="480" w:type="pct"/>
                  <w:shd w:val="clear" w:color="auto" w:fill="auto"/>
                  <w:vAlign w:val="bottom"/>
                </w:tcPr>
                <w:p w14:paraId="2A919D8F" w14:textId="77777777" w:rsidR="00FC14FC" w:rsidRPr="00B90305" w:rsidRDefault="00FC14FC" w:rsidP="00D11B9D">
                  <w:pPr>
                    <w:pStyle w:val="TableBodyText"/>
                  </w:pPr>
                  <w:r w:rsidRPr="00B90305">
                    <w:t>1.2</w:t>
                  </w:r>
                </w:p>
              </w:tc>
              <w:tc>
                <w:tcPr>
                  <w:tcW w:w="480" w:type="pct"/>
                  <w:shd w:val="clear" w:color="auto" w:fill="auto"/>
                  <w:vAlign w:val="bottom"/>
                </w:tcPr>
                <w:p w14:paraId="2F5640FB" w14:textId="77777777" w:rsidR="00FC14FC" w:rsidRPr="00B90305" w:rsidRDefault="00FC14FC" w:rsidP="00D11B9D">
                  <w:pPr>
                    <w:pStyle w:val="TableBodyText"/>
                  </w:pPr>
                  <w:r w:rsidRPr="00B90305">
                    <w:t>1.7</w:t>
                  </w:r>
                </w:p>
              </w:tc>
              <w:tc>
                <w:tcPr>
                  <w:tcW w:w="480" w:type="pct"/>
                  <w:vAlign w:val="bottom"/>
                </w:tcPr>
                <w:p w14:paraId="1B07A258" w14:textId="77777777" w:rsidR="00FC14FC" w:rsidRPr="00B90305" w:rsidRDefault="00FC14FC" w:rsidP="00D11B9D">
                  <w:pPr>
                    <w:pStyle w:val="TableBodyText"/>
                  </w:pPr>
                  <w:r w:rsidRPr="00B90305">
                    <w:t>2.3</w:t>
                  </w:r>
                </w:p>
              </w:tc>
              <w:tc>
                <w:tcPr>
                  <w:tcW w:w="503" w:type="pct"/>
                  <w:vAlign w:val="bottom"/>
                </w:tcPr>
                <w:p w14:paraId="0EEBD68C" w14:textId="77777777" w:rsidR="00FC14FC" w:rsidRPr="002D6FAC" w:rsidRDefault="00FC14FC" w:rsidP="00D11B9D">
                  <w:pPr>
                    <w:pStyle w:val="TableBodyText"/>
                  </w:pPr>
                  <w:r w:rsidRPr="002D6FAC">
                    <w:t>na</w:t>
                  </w:r>
                </w:p>
              </w:tc>
              <w:tc>
                <w:tcPr>
                  <w:tcW w:w="500" w:type="pct"/>
                  <w:vAlign w:val="bottom"/>
                </w:tcPr>
                <w:p w14:paraId="089284C4" w14:textId="77777777" w:rsidR="00FC14FC" w:rsidRPr="00B44EAF" w:rsidRDefault="00FC14FC" w:rsidP="00D11B9D">
                  <w:pPr>
                    <w:pStyle w:val="TableBodyText"/>
                  </w:pPr>
                  <w:r w:rsidRPr="00B44EAF">
                    <w:t>1.3</w:t>
                  </w:r>
                </w:p>
              </w:tc>
              <w:tc>
                <w:tcPr>
                  <w:tcW w:w="500" w:type="pct"/>
                  <w:vAlign w:val="bottom"/>
                </w:tcPr>
                <w:p w14:paraId="77FC06C0" w14:textId="77777777" w:rsidR="00FC14FC" w:rsidRPr="002D6FAC" w:rsidRDefault="00FC14FC" w:rsidP="00D11B9D">
                  <w:pPr>
                    <w:pStyle w:val="TableBodyText"/>
                  </w:pPr>
                  <w:r w:rsidRPr="002D6FAC">
                    <w:t>na</w:t>
                  </w:r>
                </w:p>
              </w:tc>
              <w:tc>
                <w:tcPr>
                  <w:tcW w:w="417" w:type="pct"/>
                  <w:vAlign w:val="bottom"/>
                </w:tcPr>
                <w:p w14:paraId="1A9BF2C2" w14:textId="77777777" w:rsidR="00FC14FC" w:rsidRPr="00B44EAF" w:rsidRDefault="00FC14FC" w:rsidP="00D11B9D">
                  <w:pPr>
                    <w:pStyle w:val="TableBodyText"/>
                    <w:ind w:right="28"/>
                  </w:pPr>
                  <w:r w:rsidRPr="00B44EAF">
                    <w:t>2.0</w:t>
                  </w:r>
                </w:p>
              </w:tc>
            </w:tr>
            <w:tr w:rsidR="00FC14FC" w14:paraId="03C96153" w14:textId="77777777" w:rsidTr="00D11B9D">
              <w:tc>
                <w:tcPr>
                  <w:tcW w:w="1159" w:type="pct"/>
                  <w:shd w:val="clear" w:color="auto" w:fill="F2F2F2" w:themeFill="background1" w:themeFillShade="F2"/>
                </w:tcPr>
                <w:p w14:paraId="400A7D13" w14:textId="77777777" w:rsidR="00FC14FC" w:rsidRPr="009B0B20" w:rsidRDefault="00FC14FC" w:rsidP="00D11B9D">
                  <w:pPr>
                    <w:pStyle w:val="TableBodyText"/>
                    <w:jc w:val="left"/>
                  </w:pPr>
                  <w:r w:rsidRPr="009B0B20">
                    <w:t>Listed property</w:t>
                  </w:r>
                </w:p>
              </w:tc>
              <w:tc>
                <w:tcPr>
                  <w:tcW w:w="480" w:type="pct"/>
                  <w:shd w:val="clear" w:color="auto" w:fill="F2F2F2" w:themeFill="background1" w:themeFillShade="F2"/>
                  <w:vAlign w:val="bottom"/>
                </w:tcPr>
                <w:p w14:paraId="6D6D0629" w14:textId="77777777" w:rsidR="00FC14FC" w:rsidRPr="00B44EAF" w:rsidRDefault="00FC14FC" w:rsidP="00D11B9D">
                  <w:pPr>
                    <w:pStyle w:val="TableBodyText"/>
                  </w:pPr>
                  <w:r w:rsidRPr="00B44EAF">
                    <w:t>4.6</w:t>
                  </w:r>
                </w:p>
              </w:tc>
              <w:tc>
                <w:tcPr>
                  <w:tcW w:w="480" w:type="pct"/>
                  <w:shd w:val="clear" w:color="auto" w:fill="F2F2F2" w:themeFill="background1" w:themeFillShade="F2"/>
                  <w:vAlign w:val="bottom"/>
                </w:tcPr>
                <w:p w14:paraId="0A923EF2" w14:textId="77777777" w:rsidR="00FC14FC" w:rsidRPr="00B90305" w:rsidRDefault="00FC14FC" w:rsidP="00D11B9D">
                  <w:pPr>
                    <w:pStyle w:val="TableBodyText"/>
                  </w:pPr>
                  <w:r w:rsidRPr="00B90305">
                    <w:t>3.9</w:t>
                  </w:r>
                </w:p>
              </w:tc>
              <w:tc>
                <w:tcPr>
                  <w:tcW w:w="480" w:type="pct"/>
                  <w:shd w:val="clear" w:color="auto" w:fill="F2F2F2" w:themeFill="background1" w:themeFillShade="F2"/>
                  <w:vAlign w:val="bottom"/>
                </w:tcPr>
                <w:p w14:paraId="27857AB2" w14:textId="77777777" w:rsidR="00FC14FC" w:rsidRPr="00B90305" w:rsidRDefault="00FC14FC" w:rsidP="00D11B9D">
                  <w:pPr>
                    <w:pStyle w:val="TableBodyText"/>
                  </w:pPr>
                  <w:r w:rsidRPr="00B90305">
                    <w:t>5.5</w:t>
                  </w:r>
                </w:p>
              </w:tc>
              <w:tc>
                <w:tcPr>
                  <w:tcW w:w="480" w:type="pct"/>
                  <w:shd w:val="clear" w:color="auto" w:fill="F2F2F2" w:themeFill="background1" w:themeFillShade="F2"/>
                  <w:vAlign w:val="bottom"/>
                </w:tcPr>
                <w:p w14:paraId="46C0BBA8" w14:textId="77777777" w:rsidR="00FC14FC" w:rsidRPr="002D6FAC" w:rsidRDefault="00FC14FC" w:rsidP="00D11B9D">
                  <w:pPr>
                    <w:pStyle w:val="TableBodyText"/>
                  </w:pPr>
                  <w:r w:rsidRPr="002D6FAC">
                    <w:t>na</w:t>
                  </w:r>
                </w:p>
              </w:tc>
              <w:tc>
                <w:tcPr>
                  <w:tcW w:w="503" w:type="pct"/>
                  <w:shd w:val="clear" w:color="auto" w:fill="F2F2F2" w:themeFill="background1" w:themeFillShade="F2"/>
                  <w:vAlign w:val="bottom"/>
                </w:tcPr>
                <w:p w14:paraId="6AEBF053" w14:textId="77777777" w:rsidR="00FC14FC" w:rsidRPr="002D6FAC" w:rsidRDefault="00FC14FC" w:rsidP="00D11B9D">
                  <w:pPr>
                    <w:pStyle w:val="TableBodyText"/>
                  </w:pPr>
                  <w:r w:rsidRPr="002D6FAC">
                    <w:t>na</w:t>
                  </w:r>
                </w:p>
              </w:tc>
              <w:tc>
                <w:tcPr>
                  <w:tcW w:w="500" w:type="pct"/>
                  <w:shd w:val="clear" w:color="auto" w:fill="F2F2F2" w:themeFill="background1" w:themeFillShade="F2"/>
                  <w:vAlign w:val="bottom"/>
                </w:tcPr>
                <w:p w14:paraId="786F8740" w14:textId="77777777" w:rsidR="00FC14FC" w:rsidRPr="002D6FAC" w:rsidRDefault="00FC14FC" w:rsidP="00D11B9D">
                  <w:pPr>
                    <w:pStyle w:val="TableBodyText"/>
                  </w:pPr>
                  <w:r w:rsidRPr="002D6FAC">
                    <w:t>na</w:t>
                  </w:r>
                </w:p>
              </w:tc>
              <w:tc>
                <w:tcPr>
                  <w:tcW w:w="500" w:type="pct"/>
                  <w:shd w:val="clear" w:color="auto" w:fill="F2F2F2" w:themeFill="background1" w:themeFillShade="F2"/>
                  <w:vAlign w:val="bottom"/>
                </w:tcPr>
                <w:p w14:paraId="69A4A00D" w14:textId="77777777" w:rsidR="00FC14FC" w:rsidRPr="002D6FAC" w:rsidRDefault="00FC14FC" w:rsidP="00D11B9D">
                  <w:pPr>
                    <w:pStyle w:val="TableBodyText"/>
                  </w:pPr>
                  <w:r w:rsidRPr="002D6FAC">
                    <w:t>na</w:t>
                  </w:r>
                </w:p>
              </w:tc>
              <w:tc>
                <w:tcPr>
                  <w:tcW w:w="417" w:type="pct"/>
                  <w:shd w:val="clear" w:color="auto" w:fill="F2F2F2" w:themeFill="background1" w:themeFillShade="F2"/>
                  <w:vAlign w:val="bottom"/>
                </w:tcPr>
                <w:p w14:paraId="6B9D1206" w14:textId="77777777" w:rsidR="00FC14FC" w:rsidRPr="002D6FAC" w:rsidRDefault="00FC14FC" w:rsidP="00D11B9D">
                  <w:pPr>
                    <w:pStyle w:val="TableBodyText"/>
                    <w:ind w:right="28"/>
                  </w:pPr>
                  <w:r w:rsidRPr="002D6FAC">
                    <w:t>na</w:t>
                  </w:r>
                </w:p>
              </w:tc>
            </w:tr>
            <w:tr w:rsidR="00FC14FC" w14:paraId="68861FBF" w14:textId="77777777" w:rsidTr="00D11B9D">
              <w:trPr>
                <w:trHeight w:val="106"/>
              </w:trPr>
              <w:tc>
                <w:tcPr>
                  <w:tcW w:w="1159" w:type="pct"/>
                  <w:shd w:val="clear" w:color="auto" w:fill="auto"/>
                </w:tcPr>
                <w:p w14:paraId="5FA76B6B" w14:textId="77777777" w:rsidR="00FC14FC" w:rsidRPr="009B0B20" w:rsidRDefault="00FC14FC" w:rsidP="00D11B9D">
                  <w:pPr>
                    <w:pStyle w:val="TableBodyText"/>
                    <w:jc w:val="left"/>
                  </w:pPr>
                  <w:r w:rsidRPr="009B0B20">
                    <w:t>Unlisted property</w:t>
                  </w:r>
                </w:p>
              </w:tc>
              <w:tc>
                <w:tcPr>
                  <w:tcW w:w="480" w:type="pct"/>
                  <w:shd w:val="clear" w:color="auto" w:fill="auto"/>
                  <w:vAlign w:val="bottom"/>
                </w:tcPr>
                <w:p w14:paraId="34D0BF8A" w14:textId="77777777" w:rsidR="00FC14FC" w:rsidRPr="00B44EAF" w:rsidRDefault="00FC14FC" w:rsidP="00D11B9D">
                  <w:pPr>
                    <w:pStyle w:val="TableBodyText"/>
                  </w:pPr>
                  <w:r w:rsidRPr="00B44EAF">
                    <w:t>5.0</w:t>
                  </w:r>
                </w:p>
              </w:tc>
              <w:tc>
                <w:tcPr>
                  <w:tcW w:w="480" w:type="pct"/>
                  <w:shd w:val="clear" w:color="auto" w:fill="auto"/>
                  <w:vAlign w:val="bottom"/>
                </w:tcPr>
                <w:p w14:paraId="4750D88A" w14:textId="77777777" w:rsidR="00FC14FC" w:rsidRPr="00B90305" w:rsidRDefault="00FC14FC" w:rsidP="00D11B9D">
                  <w:pPr>
                    <w:pStyle w:val="TableBodyText"/>
                  </w:pPr>
                  <w:r w:rsidRPr="00B90305">
                    <w:t>0.6</w:t>
                  </w:r>
                </w:p>
              </w:tc>
              <w:tc>
                <w:tcPr>
                  <w:tcW w:w="480" w:type="pct"/>
                  <w:shd w:val="clear" w:color="auto" w:fill="auto"/>
                  <w:vAlign w:val="bottom"/>
                </w:tcPr>
                <w:p w14:paraId="039003F2" w14:textId="77777777" w:rsidR="00FC14FC" w:rsidRPr="00B90305" w:rsidRDefault="00FC14FC" w:rsidP="00D11B9D">
                  <w:pPr>
                    <w:pStyle w:val="TableBodyText"/>
                  </w:pPr>
                  <w:r w:rsidRPr="00B90305">
                    <w:t>0.3</w:t>
                  </w:r>
                </w:p>
              </w:tc>
              <w:tc>
                <w:tcPr>
                  <w:tcW w:w="480" w:type="pct"/>
                  <w:shd w:val="clear" w:color="auto" w:fill="auto"/>
                  <w:vAlign w:val="bottom"/>
                </w:tcPr>
                <w:p w14:paraId="46F41E46" w14:textId="77777777" w:rsidR="00FC14FC" w:rsidRPr="002D6FAC" w:rsidRDefault="00FC14FC" w:rsidP="00D11B9D">
                  <w:pPr>
                    <w:pStyle w:val="TableBodyText"/>
                  </w:pPr>
                  <w:r w:rsidRPr="002D6FAC">
                    <w:t>na</w:t>
                  </w:r>
                </w:p>
              </w:tc>
              <w:tc>
                <w:tcPr>
                  <w:tcW w:w="503" w:type="pct"/>
                  <w:shd w:val="clear" w:color="auto" w:fill="auto"/>
                  <w:vAlign w:val="bottom"/>
                </w:tcPr>
                <w:p w14:paraId="1E3A4896" w14:textId="77777777" w:rsidR="00FC14FC" w:rsidRPr="002D6FAC" w:rsidRDefault="00FC14FC" w:rsidP="00D11B9D">
                  <w:pPr>
                    <w:pStyle w:val="TableBodyText"/>
                  </w:pPr>
                  <w:r w:rsidRPr="002D6FAC">
                    <w:t>na</w:t>
                  </w:r>
                </w:p>
              </w:tc>
              <w:tc>
                <w:tcPr>
                  <w:tcW w:w="500" w:type="pct"/>
                  <w:shd w:val="clear" w:color="auto" w:fill="auto"/>
                  <w:vAlign w:val="bottom"/>
                </w:tcPr>
                <w:p w14:paraId="3CFF5E36" w14:textId="77777777" w:rsidR="00FC14FC" w:rsidRPr="002D6FAC" w:rsidRDefault="00FC14FC" w:rsidP="00D11B9D">
                  <w:pPr>
                    <w:pStyle w:val="TableBodyText"/>
                  </w:pPr>
                  <w:r w:rsidRPr="002D6FAC">
                    <w:t>na</w:t>
                  </w:r>
                </w:p>
              </w:tc>
              <w:tc>
                <w:tcPr>
                  <w:tcW w:w="500" w:type="pct"/>
                  <w:shd w:val="clear" w:color="auto" w:fill="auto"/>
                  <w:vAlign w:val="bottom"/>
                </w:tcPr>
                <w:p w14:paraId="2BCE0E8B" w14:textId="77777777" w:rsidR="00FC14FC" w:rsidRPr="002D6FAC" w:rsidRDefault="00FC14FC" w:rsidP="00D11B9D">
                  <w:pPr>
                    <w:pStyle w:val="TableBodyText"/>
                  </w:pPr>
                  <w:r w:rsidRPr="002D6FAC">
                    <w:t>na</w:t>
                  </w:r>
                </w:p>
              </w:tc>
              <w:tc>
                <w:tcPr>
                  <w:tcW w:w="417" w:type="pct"/>
                  <w:shd w:val="clear" w:color="auto" w:fill="auto"/>
                  <w:vAlign w:val="bottom"/>
                </w:tcPr>
                <w:p w14:paraId="1B10A491" w14:textId="77777777" w:rsidR="00FC14FC" w:rsidRPr="002D6FAC" w:rsidRDefault="00FC14FC" w:rsidP="00D11B9D">
                  <w:pPr>
                    <w:pStyle w:val="TableBodyText"/>
                    <w:ind w:right="28"/>
                  </w:pPr>
                  <w:r w:rsidRPr="002D6FAC">
                    <w:t>na</w:t>
                  </w:r>
                </w:p>
              </w:tc>
            </w:tr>
            <w:tr w:rsidR="00FC14FC" w14:paraId="140D4701" w14:textId="77777777" w:rsidTr="00D11B9D">
              <w:tc>
                <w:tcPr>
                  <w:tcW w:w="1159" w:type="pct"/>
                  <w:shd w:val="clear" w:color="auto" w:fill="F2F2F2" w:themeFill="background1" w:themeFillShade="F2"/>
                </w:tcPr>
                <w:p w14:paraId="7C7CD0C1" w14:textId="77777777" w:rsidR="00FC14FC" w:rsidRPr="009B0B20" w:rsidRDefault="00FC14FC" w:rsidP="00D11B9D">
                  <w:pPr>
                    <w:pStyle w:val="TableBodyText"/>
                    <w:jc w:val="left"/>
                  </w:pPr>
                  <w:r w:rsidRPr="009B0B20">
                    <w:t>Private equity</w:t>
                  </w:r>
                </w:p>
              </w:tc>
              <w:tc>
                <w:tcPr>
                  <w:tcW w:w="480" w:type="pct"/>
                  <w:shd w:val="clear" w:color="auto" w:fill="F2F2F2" w:themeFill="background1" w:themeFillShade="F2"/>
                  <w:vAlign w:val="bottom"/>
                </w:tcPr>
                <w:p w14:paraId="5B616B4E" w14:textId="77777777" w:rsidR="00FC14FC" w:rsidRPr="002D6FAC" w:rsidRDefault="00FC14FC" w:rsidP="00D11B9D">
                  <w:pPr>
                    <w:pStyle w:val="TableBodyText"/>
                  </w:pPr>
                  <w:r w:rsidRPr="002D6FAC">
                    <w:t>na</w:t>
                  </w:r>
                </w:p>
              </w:tc>
              <w:tc>
                <w:tcPr>
                  <w:tcW w:w="480" w:type="pct"/>
                  <w:shd w:val="clear" w:color="auto" w:fill="F2F2F2" w:themeFill="background1" w:themeFillShade="F2"/>
                  <w:vAlign w:val="bottom"/>
                </w:tcPr>
                <w:p w14:paraId="435E7E74" w14:textId="77777777" w:rsidR="00FC14FC" w:rsidRPr="00B44EAF" w:rsidRDefault="00FC14FC" w:rsidP="00D11B9D">
                  <w:pPr>
                    <w:pStyle w:val="TableBodyText"/>
                  </w:pPr>
                  <w:r w:rsidRPr="00B44EAF">
                    <w:t>10.0</w:t>
                  </w:r>
                </w:p>
              </w:tc>
              <w:tc>
                <w:tcPr>
                  <w:tcW w:w="480" w:type="pct"/>
                  <w:shd w:val="clear" w:color="auto" w:fill="F2F2F2" w:themeFill="background1" w:themeFillShade="F2"/>
                  <w:vAlign w:val="bottom"/>
                </w:tcPr>
                <w:p w14:paraId="1B26104B" w14:textId="77777777" w:rsidR="00FC14FC" w:rsidRPr="00B90305" w:rsidRDefault="00FC14FC" w:rsidP="00D11B9D">
                  <w:pPr>
                    <w:pStyle w:val="TableBodyText"/>
                  </w:pPr>
                  <w:r w:rsidRPr="00B90305">
                    <w:t>10.7</w:t>
                  </w:r>
                </w:p>
              </w:tc>
              <w:tc>
                <w:tcPr>
                  <w:tcW w:w="480" w:type="pct"/>
                  <w:shd w:val="clear" w:color="auto" w:fill="F2F2F2" w:themeFill="background1" w:themeFillShade="F2"/>
                  <w:vAlign w:val="bottom"/>
                </w:tcPr>
                <w:p w14:paraId="1E4BD328" w14:textId="77777777" w:rsidR="00FC14FC" w:rsidRPr="00B90305" w:rsidRDefault="00FC14FC" w:rsidP="00D11B9D">
                  <w:pPr>
                    <w:pStyle w:val="TableBodyText"/>
                  </w:pPr>
                  <w:r w:rsidRPr="00B90305">
                    <w:t>12.3</w:t>
                  </w:r>
                </w:p>
              </w:tc>
              <w:tc>
                <w:tcPr>
                  <w:tcW w:w="503" w:type="pct"/>
                  <w:shd w:val="clear" w:color="auto" w:fill="F2F2F2" w:themeFill="background1" w:themeFillShade="F2"/>
                  <w:vAlign w:val="bottom"/>
                </w:tcPr>
                <w:p w14:paraId="5DF06B10" w14:textId="77777777" w:rsidR="00FC14FC" w:rsidRPr="002D6FAC" w:rsidRDefault="00FC14FC" w:rsidP="00D11B9D">
                  <w:pPr>
                    <w:pStyle w:val="TableBodyText"/>
                  </w:pPr>
                  <w:r w:rsidRPr="002D6FAC">
                    <w:t>na</w:t>
                  </w:r>
                </w:p>
              </w:tc>
              <w:tc>
                <w:tcPr>
                  <w:tcW w:w="500" w:type="pct"/>
                  <w:shd w:val="clear" w:color="auto" w:fill="F2F2F2" w:themeFill="background1" w:themeFillShade="F2"/>
                  <w:vAlign w:val="bottom"/>
                </w:tcPr>
                <w:p w14:paraId="6B48343B" w14:textId="77777777" w:rsidR="00FC14FC" w:rsidRPr="00B44EAF" w:rsidRDefault="00FC14FC" w:rsidP="00D11B9D">
                  <w:pPr>
                    <w:pStyle w:val="TableBodyText"/>
                  </w:pPr>
                  <w:r w:rsidRPr="00B44EAF">
                    <w:t>10.4</w:t>
                  </w:r>
                </w:p>
              </w:tc>
              <w:tc>
                <w:tcPr>
                  <w:tcW w:w="500" w:type="pct"/>
                  <w:shd w:val="clear" w:color="auto" w:fill="F2F2F2" w:themeFill="background1" w:themeFillShade="F2"/>
                  <w:vAlign w:val="bottom"/>
                </w:tcPr>
                <w:p w14:paraId="4C089918" w14:textId="77777777" w:rsidR="00FC14FC" w:rsidRPr="00B90305" w:rsidRDefault="00FC14FC" w:rsidP="00D11B9D">
                  <w:pPr>
                    <w:pStyle w:val="TableBodyText"/>
                  </w:pPr>
                  <w:r w:rsidRPr="00B90305">
                    <w:t>14.5</w:t>
                  </w:r>
                </w:p>
              </w:tc>
              <w:tc>
                <w:tcPr>
                  <w:tcW w:w="417" w:type="pct"/>
                  <w:shd w:val="clear" w:color="auto" w:fill="F2F2F2" w:themeFill="background1" w:themeFillShade="F2"/>
                  <w:vAlign w:val="bottom"/>
                </w:tcPr>
                <w:p w14:paraId="00E609A9" w14:textId="77777777" w:rsidR="00FC14FC" w:rsidRPr="00B90305" w:rsidRDefault="00FC14FC" w:rsidP="00D11B9D">
                  <w:pPr>
                    <w:pStyle w:val="TableBodyText"/>
                    <w:ind w:right="28"/>
                  </w:pPr>
                  <w:r w:rsidRPr="00B90305">
                    <w:t>10.5</w:t>
                  </w:r>
                </w:p>
              </w:tc>
            </w:tr>
            <w:tr w:rsidR="00FC14FC" w14:paraId="1D4EFB97" w14:textId="77777777" w:rsidTr="00D11B9D">
              <w:tc>
                <w:tcPr>
                  <w:tcW w:w="1159" w:type="pct"/>
                  <w:shd w:val="clear" w:color="auto" w:fill="auto"/>
                </w:tcPr>
                <w:p w14:paraId="5C69A417" w14:textId="77777777" w:rsidR="00FC14FC" w:rsidRPr="009B0B20" w:rsidRDefault="00FC14FC" w:rsidP="00D11B9D">
                  <w:pPr>
                    <w:pStyle w:val="TableBodyText"/>
                    <w:jc w:val="left"/>
                  </w:pPr>
                  <w:r w:rsidRPr="009B0B20">
                    <w:t>Unlisted infrastructure</w:t>
                  </w:r>
                </w:p>
              </w:tc>
              <w:tc>
                <w:tcPr>
                  <w:tcW w:w="480" w:type="pct"/>
                  <w:shd w:val="clear" w:color="auto" w:fill="auto"/>
                </w:tcPr>
                <w:p w14:paraId="5BC8EA92" w14:textId="77777777" w:rsidR="00FC14FC" w:rsidRPr="002D6FAC" w:rsidRDefault="00FC14FC" w:rsidP="00D11B9D">
                  <w:pPr>
                    <w:pStyle w:val="TableBodyText"/>
                  </w:pPr>
                  <w:r w:rsidRPr="002D6FAC">
                    <w:t>na</w:t>
                  </w:r>
                </w:p>
              </w:tc>
              <w:tc>
                <w:tcPr>
                  <w:tcW w:w="480" w:type="pct"/>
                  <w:shd w:val="clear" w:color="auto" w:fill="auto"/>
                  <w:vAlign w:val="bottom"/>
                </w:tcPr>
                <w:p w14:paraId="45DBCDE3" w14:textId="77777777" w:rsidR="00FC14FC" w:rsidRPr="00B44EAF" w:rsidRDefault="00FC14FC" w:rsidP="00D11B9D">
                  <w:pPr>
                    <w:pStyle w:val="TableBodyText"/>
                  </w:pPr>
                  <w:r w:rsidRPr="00B44EAF">
                    <w:t>6.0</w:t>
                  </w:r>
                </w:p>
              </w:tc>
              <w:tc>
                <w:tcPr>
                  <w:tcW w:w="480" w:type="pct"/>
                  <w:shd w:val="clear" w:color="auto" w:fill="auto"/>
                  <w:vAlign w:val="bottom"/>
                </w:tcPr>
                <w:p w14:paraId="1C76580E" w14:textId="77777777" w:rsidR="00FC14FC" w:rsidRPr="00B90305" w:rsidRDefault="00FC14FC" w:rsidP="00D11B9D">
                  <w:pPr>
                    <w:pStyle w:val="TableBodyText"/>
                  </w:pPr>
                  <w:r w:rsidRPr="00B90305">
                    <w:t>7.5</w:t>
                  </w:r>
                </w:p>
              </w:tc>
              <w:tc>
                <w:tcPr>
                  <w:tcW w:w="480" w:type="pct"/>
                  <w:shd w:val="clear" w:color="auto" w:fill="auto"/>
                  <w:vAlign w:val="bottom"/>
                </w:tcPr>
                <w:p w14:paraId="031CDBB8" w14:textId="77777777" w:rsidR="00FC14FC" w:rsidRPr="00B90305" w:rsidRDefault="00FC14FC" w:rsidP="00D11B9D">
                  <w:pPr>
                    <w:pStyle w:val="TableBodyText"/>
                  </w:pPr>
                  <w:r w:rsidRPr="00B90305">
                    <w:t>6.4</w:t>
                  </w:r>
                </w:p>
              </w:tc>
              <w:tc>
                <w:tcPr>
                  <w:tcW w:w="503" w:type="pct"/>
                  <w:shd w:val="clear" w:color="auto" w:fill="auto"/>
                  <w:vAlign w:val="bottom"/>
                </w:tcPr>
                <w:p w14:paraId="0525D207" w14:textId="77777777" w:rsidR="00FC14FC" w:rsidRPr="002D6FAC" w:rsidRDefault="00FC14FC" w:rsidP="00D11B9D">
                  <w:pPr>
                    <w:pStyle w:val="TableBodyText"/>
                  </w:pPr>
                  <w:r w:rsidRPr="002D6FAC">
                    <w:t>na</w:t>
                  </w:r>
                </w:p>
              </w:tc>
              <w:tc>
                <w:tcPr>
                  <w:tcW w:w="500" w:type="pct"/>
                  <w:shd w:val="clear" w:color="auto" w:fill="auto"/>
                  <w:vAlign w:val="bottom"/>
                </w:tcPr>
                <w:p w14:paraId="16F70228" w14:textId="77777777" w:rsidR="00FC14FC" w:rsidRPr="00B44EAF" w:rsidRDefault="00FC14FC" w:rsidP="00D11B9D">
                  <w:pPr>
                    <w:pStyle w:val="TableBodyText"/>
                  </w:pPr>
                  <w:r w:rsidRPr="00B44EAF">
                    <w:t>5.9</w:t>
                  </w:r>
                </w:p>
              </w:tc>
              <w:tc>
                <w:tcPr>
                  <w:tcW w:w="500" w:type="pct"/>
                  <w:shd w:val="clear" w:color="auto" w:fill="auto"/>
                  <w:vAlign w:val="bottom"/>
                </w:tcPr>
                <w:p w14:paraId="1D1A7810" w14:textId="77777777" w:rsidR="00FC14FC" w:rsidRPr="00B90305" w:rsidRDefault="00FC14FC" w:rsidP="00D11B9D">
                  <w:pPr>
                    <w:pStyle w:val="TableBodyText"/>
                  </w:pPr>
                  <w:r w:rsidRPr="00B90305">
                    <w:t>5.8</w:t>
                  </w:r>
                </w:p>
              </w:tc>
              <w:tc>
                <w:tcPr>
                  <w:tcW w:w="417" w:type="pct"/>
                  <w:shd w:val="clear" w:color="auto" w:fill="auto"/>
                  <w:vAlign w:val="bottom"/>
                </w:tcPr>
                <w:p w14:paraId="1B7CC99B" w14:textId="77777777" w:rsidR="00FC14FC" w:rsidRPr="00B90305" w:rsidRDefault="00FC14FC" w:rsidP="00D11B9D">
                  <w:pPr>
                    <w:pStyle w:val="TableBodyText"/>
                    <w:ind w:right="28"/>
                  </w:pPr>
                  <w:r w:rsidRPr="00B90305">
                    <w:t>7.7</w:t>
                  </w:r>
                </w:p>
              </w:tc>
            </w:tr>
          </w:tbl>
          <w:p w14:paraId="7A169B7E" w14:textId="77777777" w:rsidR="00FC14FC" w:rsidRDefault="00FC14FC" w:rsidP="00D11B9D">
            <w:pPr>
              <w:pStyle w:val="Box"/>
            </w:pPr>
          </w:p>
        </w:tc>
      </w:tr>
      <w:tr w:rsidR="00FC14FC" w14:paraId="71EE8D75" w14:textId="77777777" w:rsidTr="00D11B9D">
        <w:tc>
          <w:tcPr>
            <w:tcW w:w="5000" w:type="pct"/>
            <w:tcBorders>
              <w:top w:val="single" w:sz="4" w:space="0" w:color="BFBFBF" w:themeColor="background1" w:themeShade="BF"/>
              <w:left w:val="nil"/>
              <w:bottom w:val="nil"/>
              <w:right w:val="nil"/>
            </w:tcBorders>
            <w:shd w:val="clear" w:color="auto" w:fill="auto"/>
          </w:tcPr>
          <w:p w14:paraId="6196D176" w14:textId="77777777" w:rsidR="00FC14FC" w:rsidRDefault="00FC14FC" w:rsidP="00D11B9D">
            <w:pPr>
              <w:pStyle w:val="Note"/>
              <w:rPr>
                <w:i/>
              </w:rPr>
            </w:pPr>
            <w:r>
              <w:rPr>
                <w:rStyle w:val="NoteLabel"/>
              </w:rPr>
              <w:t xml:space="preserve">a </w:t>
            </w:r>
            <w:r w:rsidRPr="002F7892">
              <w:t>DC denotes</w:t>
            </w:r>
            <w:r>
              <w:rPr>
                <w:b/>
              </w:rPr>
              <w:t xml:space="preserve"> </w:t>
            </w:r>
            <w:r>
              <w:t xml:space="preserve">defined contribution. </w:t>
            </w:r>
            <w:r w:rsidRPr="002F7892">
              <w:t>DB</w:t>
            </w:r>
            <w:r>
              <w:rPr>
                <w:b/>
              </w:rPr>
              <w:t xml:space="preserve"> </w:t>
            </w:r>
            <w:r>
              <w:t xml:space="preserve">denotes defined benefit. </w:t>
            </w:r>
            <w:r w:rsidRPr="006D7C43">
              <w:rPr>
                <w:b/>
              </w:rPr>
              <w:t>na</w:t>
            </w:r>
            <w:r>
              <w:t xml:space="preserve"> Not available.</w:t>
            </w:r>
          </w:p>
        </w:tc>
      </w:tr>
      <w:tr w:rsidR="00FC14FC" w14:paraId="3F31B867" w14:textId="77777777" w:rsidTr="00D11B9D">
        <w:tc>
          <w:tcPr>
            <w:tcW w:w="5000" w:type="pct"/>
            <w:tcBorders>
              <w:top w:val="nil"/>
              <w:left w:val="nil"/>
              <w:bottom w:val="nil"/>
              <w:right w:val="nil"/>
            </w:tcBorders>
            <w:shd w:val="clear" w:color="auto" w:fill="auto"/>
          </w:tcPr>
          <w:p w14:paraId="67B5A96D" w14:textId="77777777" w:rsidR="00FC14FC" w:rsidRDefault="00FC14FC" w:rsidP="00D11B9D">
            <w:pPr>
              <w:pStyle w:val="Source"/>
            </w:pPr>
            <w:r>
              <w:rPr>
                <w:i/>
              </w:rPr>
              <w:t>Source</w:t>
            </w:r>
            <w:r w:rsidRPr="00167F06">
              <w:t>:</w:t>
            </w:r>
            <w:r>
              <w:t xml:space="preserve"> CEM Benchmarking.</w:t>
            </w:r>
          </w:p>
        </w:tc>
      </w:tr>
      <w:tr w:rsidR="00FC14FC" w14:paraId="41EF5454" w14:textId="77777777" w:rsidTr="00D11B9D">
        <w:tc>
          <w:tcPr>
            <w:tcW w:w="5000" w:type="pct"/>
            <w:tcBorders>
              <w:top w:val="nil"/>
              <w:left w:val="nil"/>
              <w:bottom w:val="single" w:sz="6" w:space="0" w:color="78A22F"/>
              <w:right w:val="nil"/>
            </w:tcBorders>
            <w:shd w:val="clear" w:color="auto" w:fill="auto"/>
          </w:tcPr>
          <w:p w14:paraId="717C2048" w14:textId="77777777" w:rsidR="00FC14FC" w:rsidRDefault="00FC14FC" w:rsidP="00D11B9D">
            <w:pPr>
              <w:pStyle w:val="Box"/>
              <w:spacing w:before="0" w:line="120" w:lineRule="exact"/>
            </w:pPr>
          </w:p>
        </w:tc>
      </w:tr>
      <w:tr w:rsidR="00FC14FC" w:rsidRPr="000863A5" w14:paraId="5E1E3F1F" w14:textId="77777777" w:rsidTr="00D11B9D">
        <w:tc>
          <w:tcPr>
            <w:tcW w:w="5000" w:type="pct"/>
            <w:tcBorders>
              <w:top w:val="single" w:sz="6" w:space="0" w:color="78A22F"/>
              <w:left w:val="nil"/>
              <w:bottom w:val="nil"/>
              <w:right w:val="nil"/>
            </w:tcBorders>
          </w:tcPr>
          <w:p w14:paraId="15830332" w14:textId="77777777" w:rsidR="00FC14FC" w:rsidRPr="00626D32" w:rsidRDefault="00FC14FC" w:rsidP="00D11B9D">
            <w:pPr>
              <w:pStyle w:val="BoxSpaceBelow"/>
            </w:pPr>
          </w:p>
        </w:tc>
      </w:tr>
    </w:tbl>
    <w:p w14:paraId="49687DAD" w14:textId="77777777" w:rsidR="00FC14FC" w:rsidRDefault="00FC14FC" w:rsidP="00FC14FC">
      <w:pPr>
        <w:pStyle w:val="BodyText"/>
      </w:pPr>
    </w:p>
    <w:p w14:paraId="48AA2186" w14:textId="77777777" w:rsidR="00FC14FC" w:rsidRDefault="00FC14FC" w:rsidP="00FC14FC">
      <w:pPr>
        <w:rPr>
          <w:rFonts w:ascii="Arial" w:hAnsi="Arial"/>
        </w:rPr>
      </w:pPr>
      <w:r>
        <w:br w:type="page"/>
      </w:r>
    </w:p>
    <w:p w14:paraId="41D4FD0D" w14:textId="77777777" w:rsidR="00FC14FC" w:rsidRPr="00A42FD7" w:rsidRDefault="00FC14FC" w:rsidP="00FC14FC">
      <w:pPr>
        <w:pStyle w:val="Heading4"/>
      </w:pPr>
      <w:r>
        <w:lastRenderedPageBreak/>
        <w:t>Selection bias</w:t>
      </w:r>
    </w:p>
    <w:p w14:paraId="22FCC0BA" w14:textId="77777777" w:rsidR="00FC14FC" w:rsidRDefault="00FC14FC" w:rsidP="00FC14FC">
      <w:pPr>
        <w:pStyle w:val="BodyText"/>
      </w:pPr>
      <w:r>
        <w:t>In order to measure any potential selection bias in research firm data, the Commission compared SuperRatings and Rainmaker data to APRA data on the full population of large APRA</w:t>
      </w:r>
      <w:r>
        <w:noBreakHyphen/>
        <w:t>regulated funds. The Commission counted an entire fund’s assets and accounts as being present in a research firm dataset if at least one option from that fund appears.</w:t>
      </w:r>
      <w:r w:rsidRPr="00CF15EF">
        <w:rPr>
          <w:rStyle w:val="FootnoteReference"/>
        </w:rPr>
        <w:footnoteReference w:id="3"/>
      </w:r>
      <w:r>
        <w:t xml:space="preserve"> Effectively, this approach produced an ‘upper bound’ of coverage. While the coverage has improved over time, large gaps remain (figure 4.1). </w:t>
      </w:r>
    </w:p>
    <w:p w14:paraId="557A73B7"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440FF5A0" w14:textId="77777777" w:rsidTr="00D11B9D">
        <w:trPr>
          <w:tblHeader/>
        </w:trPr>
        <w:tc>
          <w:tcPr>
            <w:tcW w:w="5000" w:type="pct"/>
            <w:tcBorders>
              <w:top w:val="single" w:sz="6" w:space="0" w:color="78A22F"/>
              <w:left w:val="nil"/>
              <w:bottom w:val="nil"/>
              <w:right w:val="nil"/>
            </w:tcBorders>
            <w:shd w:val="clear" w:color="auto" w:fill="auto"/>
          </w:tcPr>
          <w:p w14:paraId="55B60CA5" w14:textId="77777777" w:rsidR="00FC14FC" w:rsidRPr="00176D3F" w:rsidRDefault="00FC14FC" w:rsidP="00D11B9D">
            <w:pPr>
              <w:pStyle w:val="FigureTitle"/>
            </w:pPr>
            <w:r w:rsidRPr="00784A05">
              <w:rPr>
                <w:b w:val="0"/>
              </w:rPr>
              <w:t xml:space="preserve">Figure </w:t>
            </w:r>
            <w:r>
              <w:rPr>
                <w:b w:val="0"/>
              </w:rPr>
              <w:t>4.</w:t>
            </w:r>
            <w:r>
              <w:rPr>
                <w:b w:val="0"/>
                <w:noProof/>
              </w:rPr>
              <w:t>1</w:t>
            </w:r>
            <w:r>
              <w:tab/>
              <w:t>Research firm data coverage</w:t>
            </w:r>
            <w:r w:rsidRPr="00714F95">
              <w:rPr>
                <w:rStyle w:val="NoteLabel"/>
              </w:rPr>
              <w:t>a</w:t>
            </w:r>
          </w:p>
        </w:tc>
      </w:tr>
      <w:tr w:rsidR="00FC14FC" w14:paraId="3CD227E9"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720ABC60" w14:textId="77777777" w:rsidTr="00D11B9D">
              <w:trPr>
                <w:tblHeader/>
                <w:jc w:val="center"/>
              </w:trPr>
              <w:tc>
                <w:tcPr>
                  <w:tcW w:w="5000" w:type="pct"/>
                  <w:tcBorders>
                    <w:top w:val="nil"/>
                    <w:bottom w:val="nil"/>
                  </w:tcBorders>
                </w:tcPr>
                <w:p w14:paraId="334ED33E" w14:textId="77777777" w:rsidR="00FC14FC" w:rsidRPr="00B1465D" w:rsidRDefault="00FC14FC" w:rsidP="00D11B9D">
                  <w:pPr>
                    <w:pStyle w:val="Figure"/>
                    <w:spacing w:before="60" w:after="60"/>
                    <w:rPr>
                      <w:rFonts w:ascii="Arial" w:hAnsi="Arial" w:cs="Arial"/>
                      <w:sz w:val="18"/>
                      <w:szCs w:val="18"/>
                    </w:rPr>
                  </w:pPr>
                  <w:r>
                    <w:rPr>
                      <w:rFonts w:ascii="Arial" w:hAnsi="Arial" w:cs="Arial"/>
                      <w:sz w:val="18"/>
                      <w:szCs w:val="18"/>
                    </w:rPr>
                    <w:t xml:space="preserve"> </w:t>
                  </w:r>
                  <w:r w:rsidRPr="00AB7AC3">
                    <w:rPr>
                      <w:rFonts w:ascii="Arial" w:hAnsi="Arial" w:cs="Arial"/>
                      <w:noProof/>
                      <w:sz w:val="18"/>
                      <w:szCs w:val="18"/>
                    </w:rPr>
                    <w:drawing>
                      <wp:inline distT="0" distB="0" distL="0" distR="0" wp14:anchorId="2313F037" wp14:editId="4EF32354">
                        <wp:extent cx="4894970" cy="4533900"/>
                        <wp:effectExtent l="0" t="0" r="1270" b="0"/>
                        <wp:docPr id="24" name="Picture 24" descr="Fig 4.1. This stacked bar chart shows the coverage of the SuperRatings and Rainmaker datasets. It shows that SuperRatings has superior coverage of the system in terms of funds, asset and accounts. Both get better coverage over time. " title="Research firm data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5603" cy="4562274"/>
                                </a:xfrm>
                                <a:prstGeom prst="rect">
                                  <a:avLst/>
                                </a:prstGeom>
                                <a:noFill/>
                                <a:ln>
                                  <a:noFill/>
                                </a:ln>
                              </pic:spPr>
                            </pic:pic>
                          </a:graphicData>
                        </a:graphic>
                      </wp:inline>
                    </w:drawing>
                  </w:r>
                  <w:r>
                    <w:rPr>
                      <w:rFonts w:ascii="Arial" w:hAnsi="Arial" w:cs="Arial"/>
                      <w:sz w:val="18"/>
                      <w:szCs w:val="18"/>
                    </w:rPr>
                    <w:t xml:space="preserve"> </w:t>
                  </w:r>
                </w:p>
              </w:tc>
            </w:tr>
          </w:tbl>
          <w:p w14:paraId="20E99A53" w14:textId="77777777" w:rsidR="00FC14FC" w:rsidRDefault="00FC14FC" w:rsidP="00D11B9D">
            <w:pPr>
              <w:pStyle w:val="Figure"/>
            </w:pPr>
          </w:p>
        </w:tc>
      </w:tr>
      <w:tr w:rsidR="00FC14FC" w:rsidRPr="00176D3F" w14:paraId="13FB529C" w14:textId="77777777" w:rsidTr="00D11B9D">
        <w:tc>
          <w:tcPr>
            <w:tcW w:w="5000" w:type="pct"/>
            <w:tcBorders>
              <w:top w:val="nil"/>
              <w:left w:val="nil"/>
              <w:bottom w:val="nil"/>
              <w:right w:val="nil"/>
            </w:tcBorders>
            <w:shd w:val="clear" w:color="auto" w:fill="auto"/>
          </w:tcPr>
          <w:p w14:paraId="6551F39A" w14:textId="77777777" w:rsidR="00FC14FC" w:rsidRPr="00176D3F" w:rsidRDefault="00FC14FC" w:rsidP="00D11B9D">
            <w:pPr>
              <w:pStyle w:val="Note"/>
            </w:pPr>
            <w:r>
              <w:rPr>
                <w:rStyle w:val="NoteLabel"/>
              </w:rPr>
              <w:t>a</w:t>
            </w:r>
            <w:r>
              <w:t xml:space="preserve"> Coverage is measured as a per cent of the system of large APRA</w:t>
            </w:r>
            <w:r>
              <w:noBreakHyphen/>
              <w:t>regulated funds.</w:t>
            </w:r>
            <w:r w:rsidRPr="00692A17">
              <w:rPr>
                <w:rStyle w:val="NoteLabel"/>
              </w:rPr>
              <w:t xml:space="preserve"> b</w:t>
            </w:r>
            <w:r>
              <w:t xml:space="preserve"> Approximately 9000 out of 29 000 (about 33 per cent) of the option</w:t>
            </w:r>
            <w:r>
              <w:noBreakHyphen/>
              <w:t>year combinations in the Rainmaker dataset could not be matched to funds in the APRA data (based on the Australian Business Number), meaning the Rainmaker coverage ‘upper bound’ is underestimated.</w:t>
            </w:r>
          </w:p>
        </w:tc>
      </w:tr>
      <w:tr w:rsidR="00FC14FC" w:rsidRPr="00176D3F" w14:paraId="3C79042D" w14:textId="77777777" w:rsidTr="00D11B9D">
        <w:tc>
          <w:tcPr>
            <w:tcW w:w="5000" w:type="pct"/>
            <w:tcBorders>
              <w:top w:val="nil"/>
              <w:left w:val="nil"/>
              <w:bottom w:val="nil"/>
              <w:right w:val="nil"/>
            </w:tcBorders>
            <w:shd w:val="clear" w:color="auto" w:fill="auto"/>
          </w:tcPr>
          <w:p w14:paraId="2B9CE139" w14:textId="77777777" w:rsidR="00FC14FC" w:rsidRPr="00176D3F" w:rsidRDefault="00FC14FC" w:rsidP="00D11B9D">
            <w:pPr>
              <w:pStyle w:val="Source"/>
            </w:pPr>
            <w:r>
              <w:rPr>
                <w:i/>
              </w:rPr>
              <w:t>S</w:t>
            </w:r>
            <w:r w:rsidRPr="00784A05">
              <w:rPr>
                <w:i/>
              </w:rPr>
              <w:t>ource</w:t>
            </w:r>
            <w:r>
              <w:rPr>
                <w:i/>
              </w:rPr>
              <w:t>s</w:t>
            </w:r>
            <w:r w:rsidRPr="00176D3F">
              <w:t xml:space="preserve">: </w:t>
            </w:r>
            <w:r>
              <w:t>PC analysis of unpublished APRA data, Rainmaker data and SuperRatings data.</w:t>
            </w:r>
          </w:p>
        </w:tc>
      </w:tr>
      <w:tr w:rsidR="00FC14FC" w14:paraId="26561AA8" w14:textId="77777777" w:rsidTr="00D11B9D">
        <w:tc>
          <w:tcPr>
            <w:tcW w:w="5000" w:type="pct"/>
            <w:tcBorders>
              <w:top w:val="nil"/>
              <w:left w:val="nil"/>
              <w:bottom w:val="single" w:sz="6" w:space="0" w:color="78A22F"/>
              <w:right w:val="nil"/>
            </w:tcBorders>
            <w:shd w:val="clear" w:color="auto" w:fill="auto"/>
          </w:tcPr>
          <w:p w14:paraId="09A1FC3B" w14:textId="77777777" w:rsidR="00FC14FC" w:rsidRDefault="00FC14FC" w:rsidP="00D11B9D">
            <w:pPr>
              <w:pStyle w:val="Figurespace"/>
            </w:pPr>
          </w:p>
        </w:tc>
      </w:tr>
      <w:tr w:rsidR="00FC14FC" w:rsidRPr="000863A5" w14:paraId="2CEE3D5A" w14:textId="77777777" w:rsidTr="00D11B9D">
        <w:tc>
          <w:tcPr>
            <w:tcW w:w="5000" w:type="pct"/>
            <w:tcBorders>
              <w:top w:val="single" w:sz="6" w:space="0" w:color="78A22F"/>
              <w:left w:val="nil"/>
              <w:bottom w:val="nil"/>
              <w:right w:val="nil"/>
            </w:tcBorders>
          </w:tcPr>
          <w:p w14:paraId="504973D9" w14:textId="77777777" w:rsidR="00FC14FC" w:rsidRPr="00626D32" w:rsidRDefault="00FC14FC" w:rsidP="00D11B9D">
            <w:pPr>
              <w:pStyle w:val="BoxSpaceBelow"/>
            </w:pPr>
          </w:p>
        </w:tc>
      </w:tr>
    </w:tbl>
    <w:p w14:paraId="4AB4604A" w14:textId="77777777" w:rsidR="00FC14FC" w:rsidRDefault="00FC14FC" w:rsidP="00FC14FC">
      <w:pPr>
        <w:pStyle w:val="BodyText"/>
      </w:pPr>
      <w:r>
        <w:lastRenderedPageBreak/>
        <w:t>The fact that research firm data are a subset of the broader population does not imply selection bias in itself. To assess whether the sample is biased, the Commission assessed representation by</w:t>
      </w:r>
      <w:r w:rsidRPr="00CF15EF">
        <w:rPr>
          <w:rStyle w:val="FootnoteReference"/>
        </w:rPr>
        <w:footnoteReference w:id="4"/>
      </w:r>
      <w:r>
        <w:t>:</w:t>
      </w:r>
    </w:p>
    <w:p w14:paraId="04DED260" w14:textId="77777777" w:rsidR="00FC14FC" w:rsidRDefault="00FC14FC" w:rsidP="00FC14FC">
      <w:pPr>
        <w:pStyle w:val="ListBullet"/>
      </w:pPr>
      <w:r>
        <w:t>fund type (figure 4.2): industry funds are much better represented in both datasets than other fund types, and corporate and retail funds are generally poorly represented</w:t>
      </w:r>
    </w:p>
    <w:p w14:paraId="73395808" w14:textId="77777777" w:rsidR="00FC14FC" w:rsidRDefault="00FC14FC" w:rsidP="00FC14FC">
      <w:pPr>
        <w:pStyle w:val="ListBullet"/>
      </w:pPr>
      <w:r>
        <w:t>fund size (table 4.4): funds missing from research firm databases are typically much smaller</w:t>
      </w:r>
    </w:p>
    <w:p w14:paraId="79F31CB8" w14:textId="77777777" w:rsidR="00FC14FC" w:rsidRDefault="00FC14FC" w:rsidP="00FC14FC">
      <w:pPr>
        <w:pStyle w:val="ListBullet"/>
      </w:pPr>
      <w:r>
        <w:t>fund returns (table 4.4): funds missing from research firm databases typically have lower returns.</w:t>
      </w:r>
    </w:p>
    <w:p w14:paraId="7EA1BBBF" w14:textId="77777777" w:rsidR="00FC14FC" w:rsidRPr="000136CC" w:rsidRDefault="00FC14FC" w:rsidP="00FC14FC">
      <w:pPr>
        <w:pStyle w:val="BodyText"/>
        <w:rPr>
          <w:spacing w:val="-2"/>
        </w:rPr>
      </w:pPr>
      <w:r w:rsidRPr="000136CC">
        <w:rPr>
          <w:spacing w:val="-2"/>
        </w:rPr>
        <w:t>Overall, analyses using research firm data are likely to be subject to selection bias in terms of fund type, fund size and fund returns. The combination of these factors is likely to produce a positive bias. That is, investment performance may appear better than is actually the case. And further, while overall coverage improves over time, this selection bias persists over time.</w:t>
      </w:r>
    </w:p>
    <w:p w14:paraId="1DAC86CD"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10A6D7AD" w14:textId="77777777" w:rsidTr="00D11B9D">
        <w:trPr>
          <w:tblHeader/>
        </w:trPr>
        <w:tc>
          <w:tcPr>
            <w:tcW w:w="5000" w:type="pct"/>
            <w:tcBorders>
              <w:top w:val="single" w:sz="6" w:space="0" w:color="78A22F"/>
              <w:left w:val="nil"/>
              <w:bottom w:val="nil"/>
              <w:right w:val="nil"/>
            </w:tcBorders>
            <w:shd w:val="clear" w:color="auto" w:fill="auto"/>
          </w:tcPr>
          <w:p w14:paraId="7EBC160C" w14:textId="77777777" w:rsidR="00FC14FC" w:rsidRPr="00CB32BE" w:rsidRDefault="00FC14FC" w:rsidP="00D11B9D">
            <w:pPr>
              <w:pStyle w:val="FigureTitle"/>
            </w:pPr>
            <w:r>
              <w:rPr>
                <w:b w:val="0"/>
              </w:rPr>
              <w:t>Table 4.</w:t>
            </w:r>
            <w:r>
              <w:rPr>
                <w:b w:val="0"/>
                <w:noProof/>
              </w:rPr>
              <w:t>4</w:t>
            </w:r>
            <w:r>
              <w:tab/>
              <w:t>Research firm data coverage</w:t>
            </w:r>
            <w:r w:rsidRPr="00487BB1">
              <w:rPr>
                <w:rStyle w:val="NoteLabel"/>
              </w:rPr>
              <w:t>a</w:t>
            </w:r>
          </w:p>
        </w:tc>
      </w:tr>
      <w:tr w:rsidR="00FC14FC" w14:paraId="5242FBCB"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827"/>
              <w:gridCol w:w="716"/>
              <w:gridCol w:w="1514"/>
              <w:gridCol w:w="1283"/>
              <w:gridCol w:w="1165"/>
            </w:tblGrid>
            <w:tr w:rsidR="00FC14FC" w14:paraId="081651A3" w14:textId="77777777" w:rsidTr="00D11B9D">
              <w:trPr>
                <w:tblHeader/>
              </w:trPr>
              <w:tc>
                <w:tcPr>
                  <w:tcW w:w="2250" w:type="pct"/>
                  <w:tcBorders>
                    <w:top w:val="single" w:sz="6" w:space="0" w:color="BFBFBF"/>
                    <w:bottom w:val="single" w:sz="6" w:space="0" w:color="BFBFBF"/>
                  </w:tcBorders>
                  <w:shd w:val="clear" w:color="auto" w:fill="auto"/>
                  <w:tcMar>
                    <w:top w:w="28" w:type="dxa"/>
                  </w:tcMar>
                </w:tcPr>
                <w:p w14:paraId="6BACD180" w14:textId="77777777" w:rsidR="00FC14FC" w:rsidRDefault="00FC14FC" w:rsidP="00D11B9D">
                  <w:pPr>
                    <w:pStyle w:val="TableColumnHeading"/>
                    <w:jc w:val="left"/>
                  </w:pPr>
                </w:p>
              </w:tc>
              <w:tc>
                <w:tcPr>
                  <w:tcW w:w="421" w:type="pct"/>
                  <w:tcBorders>
                    <w:top w:val="single" w:sz="6" w:space="0" w:color="BFBFBF"/>
                    <w:bottom w:val="single" w:sz="6" w:space="0" w:color="BFBFBF"/>
                  </w:tcBorders>
                </w:tcPr>
                <w:p w14:paraId="5FEE0A8B" w14:textId="77777777" w:rsidR="00FC14FC" w:rsidRDefault="00FC14FC" w:rsidP="00D11B9D">
                  <w:pPr>
                    <w:pStyle w:val="TableColumnHeading"/>
                  </w:pPr>
                  <w:r>
                    <w:t>Units</w:t>
                  </w:r>
                </w:p>
              </w:tc>
              <w:tc>
                <w:tcPr>
                  <w:tcW w:w="890" w:type="pct"/>
                  <w:tcBorders>
                    <w:top w:val="single" w:sz="6" w:space="0" w:color="BFBFBF"/>
                    <w:bottom w:val="single" w:sz="6" w:space="0" w:color="BFBFBF"/>
                  </w:tcBorders>
                  <w:shd w:val="clear" w:color="auto" w:fill="auto"/>
                </w:tcPr>
                <w:p w14:paraId="4A1757D4" w14:textId="77777777" w:rsidR="00FC14FC" w:rsidRDefault="00FC14FC" w:rsidP="00D11B9D">
                  <w:pPr>
                    <w:pStyle w:val="TableColumnHeading"/>
                  </w:pPr>
                  <w:r>
                    <w:t>2005</w:t>
                  </w:r>
                </w:p>
              </w:tc>
              <w:tc>
                <w:tcPr>
                  <w:tcW w:w="754" w:type="pct"/>
                  <w:tcBorders>
                    <w:top w:val="single" w:sz="6" w:space="0" w:color="BFBFBF"/>
                    <w:bottom w:val="single" w:sz="6" w:space="0" w:color="BFBFBF"/>
                  </w:tcBorders>
                  <w:shd w:val="clear" w:color="auto" w:fill="auto"/>
                  <w:tcMar>
                    <w:top w:w="28" w:type="dxa"/>
                  </w:tcMar>
                </w:tcPr>
                <w:p w14:paraId="7C9137FA" w14:textId="77777777" w:rsidR="00FC14FC" w:rsidRDefault="00FC14FC" w:rsidP="00D11B9D">
                  <w:pPr>
                    <w:pStyle w:val="TableColumnHeading"/>
                  </w:pPr>
                  <w:r>
                    <w:t>2010</w:t>
                  </w:r>
                </w:p>
              </w:tc>
              <w:tc>
                <w:tcPr>
                  <w:tcW w:w="685" w:type="pct"/>
                  <w:tcBorders>
                    <w:top w:val="single" w:sz="6" w:space="0" w:color="BFBFBF"/>
                    <w:bottom w:val="single" w:sz="6" w:space="0" w:color="BFBFBF"/>
                  </w:tcBorders>
                  <w:shd w:val="clear" w:color="auto" w:fill="auto"/>
                  <w:tcMar>
                    <w:top w:w="28" w:type="dxa"/>
                  </w:tcMar>
                </w:tcPr>
                <w:p w14:paraId="6A1D7B76" w14:textId="77777777" w:rsidR="00FC14FC" w:rsidRDefault="00FC14FC" w:rsidP="00D11B9D">
                  <w:pPr>
                    <w:pStyle w:val="TableColumnHeading"/>
                    <w:ind w:right="28"/>
                  </w:pPr>
                  <w:r>
                    <w:t>2015</w:t>
                  </w:r>
                </w:p>
              </w:tc>
            </w:tr>
            <w:tr w:rsidR="00FC14FC" w14:paraId="0A563E5E" w14:textId="77777777" w:rsidTr="00D11B9D">
              <w:tc>
                <w:tcPr>
                  <w:tcW w:w="2250" w:type="pct"/>
                  <w:tcBorders>
                    <w:top w:val="single" w:sz="6" w:space="0" w:color="BFBFBF"/>
                  </w:tcBorders>
                  <w:shd w:val="clear" w:color="auto" w:fill="auto"/>
                </w:tcPr>
                <w:p w14:paraId="5B467FAD" w14:textId="77777777" w:rsidR="00FC14FC" w:rsidRPr="00CB32BE" w:rsidRDefault="00FC14FC" w:rsidP="00D11B9D">
                  <w:pPr>
                    <w:pStyle w:val="TableUnitsRow"/>
                    <w:jc w:val="left"/>
                    <w:rPr>
                      <w:b/>
                    </w:rPr>
                  </w:pPr>
                  <w:r w:rsidRPr="00CB32BE">
                    <w:rPr>
                      <w:b/>
                    </w:rPr>
                    <w:t>SuperRatings</w:t>
                  </w:r>
                </w:p>
              </w:tc>
              <w:tc>
                <w:tcPr>
                  <w:tcW w:w="421" w:type="pct"/>
                  <w:tcBorders>
                    <w:top w:val="single" w:sz="6" w:space="0" w:color="BFBFBF"/>
                  </w:tcBorders>
                </w:tcPr>
                <w:p w14:paraId="3A9D0928" w14:textId="77777777" w:rsidR="00FC14FC" w:rsidRDefault="00FC14FC" w:rsidP="00D11B9D">
                  <w:pPr>
                    <w:pStyle w:val="TableUnitsRow"/>
                  </w:pPr>
                </w:p>
              </w:tc>
              <w:tc>
                <w:tcPr>
                  <w:tcW w:w="890" w:type="pct"/>
                  <w:tcBorders>
                    <w:top w:val="single" w:sz="6" w:space="0" w:color="BFBFBF"/>
                  </w:tcBorders>
                  <w:shd w:val="clear" w:color="auto" w:fill="auto"/>
                </w:tcPr>
                <w:p w14:paraId="3575204B" w14:textId="77777777" w:rsidR="00FC14FC" w:rsidRDefault="00FC14FC" w:rsidP="00D11B9D">
                  <w:pPr>
                    <w:pStyle w:val="TableUnitsRow"/>
                  </w:pPr>
                </w:p>
              </w:tc>
              <w:tc>
                <w:tcPr>
                  <w:tcW w:w="754" w:type="pct"/>
                  <w:tcBorders>
                    <w:top w:val="single" w:sz="6" w:space="0" w:color="BFBFBF"/>
                  </w:tcBorders>
                  <w:shd w:val="clear" w:color="auto" w:fill="auto"/>
                </w:tcPr>
                <w:p w14:paraId="6964B223" w14:textId="77777777" w:rsidR="00FC14FC" w:rsidRDefault="00FC14FC" w:rsidP="00D11B9D">
                  <w:pPr>
                    <w:pStyle w:val="TableUnitsRow"/>
                  </w:pPr>
                </w:p>
              </w:tc>
              <w:tc>
                <w:tcPr>
                  <w:tcW w:w="685" w:type="pct"/>
                  <w:tcBorders>
                    <w:top w:val="single" w:sz="6" w:space="0" w:color="BFBFBF"/>
                  </w:tcBorders>
                  <w:shd w:val="clear" w:color="auto" w:fill="auto"/>
                </w:tcPr>
                <w:p w14:paraId="5712E133" w14:textId="77777777" w:rsidR="00FC14FC" w:rsidRDefault="00FC14FC" w:rsidP="00D11B9D">
                  <w:pPr>
                    <w:pStyle w:val="TableUnitsRow"/>
                    <w:ind w:right="28"/>
                  </w:pPr>
                </w:p>
              </w:tc>
            </w:tr>
            <w:tr w:rsidR="00FC14FC" w14:paraId="398F3A9B" w14:textId="77777777" w:rsidTr="00D11B9D">
              <w:tc>
                <w:tcPr>
                  <w:tcW w:w="2250" w:type="pct"/>
                  <w:shd w:val="clear" w:color="auto" w:fill="F2F2F2" w:themeFill="background1" w:themeFillShade="F2"/>
                  <w:vAlign w:val="bottom"/>
                </w:tcPr>
                <w:p w14:paraId="29A351A6" w14:textId="77777777" w:rsidR="00FC14FC" w:rsidRPr="00CB32BE" w:rsidRDefault="00FC14FC" w:rsidP="00D11B9D">
                  <w:pPr>
                    <w:pStyle w:val="TableBodyText"/>
                    <w:jc w:val="left"/>
                  </w:pPr>
                  <w:r w:rsidRPr="00CB32BE">
                    <w:t>Me</w:t>
                  </w:r>
                  <w:r>
                    <w:t>dian return of funds in both</w:t>
                  </w:r>
                </w:p>
              </w:tc>
              <w:tc>
                <w:tcPr>
                  <w:tcW w:w="421" w:type="pct"/>
                  <w:shd w:val="clear" w:color="auto" w:fill="F2F2F2" w:themeFill="background1" w:themeFillShade="F2"/>
                </w:tcPr>
                <w:p w14:paraId="79801B4D" w14:textId="77777777" w:rsidR="00FC14FC" w:rsidRPr="00CB32BE" w:rsidRDefault="00FC14FC" w:rsidP="00D11B9D">
                  <w:pPr>
                    <w:pStyle w:val="TableBodyText"/>
                  </w:pPr>
                  <w:r>
                    <w:t>%</w:t>
                  </w:r>
                </w:p>
              </w:tc>
              <w:tc>
                <w:tcPr>
                  <w:tcW w:w="890" w:type="pct"/>
                  <w:shd w:val="clear" w:color="auto" w:fill="F2F2F2" w:themeFill="background1" w:themeFillShade="F2"/>
                  <w:vAlign w:val="bottom"/>
                </w:tcPr>
                <w:p w14:paraId="42A45C8C" w14:textId="77777777" w:rsidR="00FC14FC" w:rsidRPr="00CB32BE" w:rsidRDefault="00FC14FC" w:rsidP="00D11B9D">
                  <w:pPr>
                    <w:pStyle w:val="TableBodyText"/>
                  </w:pPr>
                  <w:r w:rsidRPr="00CB32BE">
                    <w:t>12.2</w:t>
                  </w:r>
                </w:p>
              </w:tc>
              <w:tc>
                <w:tcPr>
                  <w:tcW w:w="754" w:type="pct"/>
                  <w:shd w:val="clear" w:color="auto" w:fill="F2F2F2" w:themeFill="background1" w:themeFillShade="F2"/>
                  <w:vAlign w:val="bottom"/>
                </w:tcPr>
                <w:p w14:paraId="367F3F33" w14:textId="77777777" w:rsidR="00FC14FC" w:rsidRPr="00CB32BE" w:rsidRDefault="00FC14FC" w:rsidP="00D11B9D">
                  <w:pPr>
                    <w:pStyle w:val="TableBodyText"/>
                  </w:pPr>
                  <w:r w:rsidRPr="00CB32BE">
                    <w:t>8.6</w:t>
                  </w:r>
                </w:p>
              </w:tc>
              <w:tc>
                <w:tcPr>
                  <w:tcW w:w="685" w:type="pct"/>
                  <w:shd w:val="clear" w:color="auto" w:fill="F2F2F2" w:themeFill="background1" w:themeFillShade="F2"/>
                  <w:vAlign w:val="bottom"/>
                </w:tcPr>
                <w:p w14:paraId="4AA86749" w14:textId="77777777" w:rsidR="00FC14FC" w:rsidRPr="00CB32BE" w:rsidRDefault="00FC14FC" w:rsidP="00D11B9D">
                  <w:pPr>
                    <w:pStyle w:val="TableBodyText"/>
                    <w:ind w:right="28"/>
                  </w:pPr>
                  <w:r w:rsidRPr="00CB32BE">
                    <w:t>8.1</w:t>
                  </w:r>
                </w:p>
              </w:tc>
            </w:tr>
            <w:tr w:rsidR="00FC14FC" w14:paraId="56A2890A" w14:textId="77777777" w:rsidTr="00D11B9D">
              <w:tc>
                <w:tcPr>
                  <w:tcW w:w="2250" w:type="pct"/>
                  <w:shd w:val="clear" w:color="auto" w:fill="auto"/>
                  <w:vAlign w:val="bottom"/>
                </w:tcPr>
                <w:p w14:paraId="46C8130A" w14:textId="77777777" w:rsidR="00FC14FC" w:rsidRPr="00CB32BE" w:rsidRDefault="00FC14FC" w:rsidP="00D11B9D">
                  <w:pPr>
                    <w:pStyle w:val="TableBodyText"/>
                    <w:jc w:val="left"/>
                  </w:pPr>
                  <w:r w:rsidRPr="00CB32BE">
                    <w:t>Median return of funds</w:t>
                  </w:r>
                  <w:r>
                    <w:t xml:space="preserve"> in APRA only</w:t>
                  </w:r>
                </w:p>
              </w:tc>
              <w:tc>
                <w:tcPr>
                  <w:tcW w:w="421" w:type="pct"/>
                </w:tcPr>
                <w:p w14:paraId="048F5275" w14:textId="77777777" w:rsidR="00FC14FC" w:rsidRPr="00CB32BE" w:rsidRDefault="00FC14FC" w:rsidP="00D11B9D">
                  <w:pPr>
                    <w:pStyle w:val="TableBodyText"/>
                  </w:pPr>
                  <w:r>
                    <w:t>%</w:t>
                  </w:r>
                </w:p>
              </w:tc>
              <w:tc>
                <w:tcPr>
                  <w:tcW w:w="890" w:type="pct"/>
                  <w:shd w:val="clear" w:color="auto" w:fill="auto"/>
                  <w:vAlign w:val="bottom"/>
                </w:tcPr>
                <w:p w14:paraId="095B1498" w14:textId="77777777" w:rsidR="00FC14FC" w:rsidRPr="00CB32BE" w:rsidRDefault="00FC14FC" w:rsidP="00D11B9D">
                  <w:pPr>
                    <w:pStyle w:val="TableBodyText"/>
                  </w:pPr>
                  <w:r w:rsidRPr="00CB32BE">
                    <w:t>11.8</w:t>
                  </w:r>
                </w:p>
              </w:tc>
              <w:tc>
                <w:tcPr>
                  <w:tcW w:w="754" w:type="pct"/>
                  <w:shd w:val="clear" w:color="auto" w:fill="auto"/>
                  <w:vAlign w:val="bottom"/>
                </w:tcPr>
                <w:p w14:paraId="0631C6A4" w14:textId="77777777" w:rsidR="00FC14FC" w:rsidRPr="00CB32BE" w:rsidRDefault="00FC14FC" w:rsidP="00D11B9D">
                  <w:pPr>
                    <w:pStyle w:val="TableBodyText"/>
                  </w:pPr>
                  <w:r w:rsidRPr="00CB32BE">
                    <w:t>9.1</w:t>
                  </w:r>
                </w:p>
              </w:tc>
              <w:tc>
                <w:tcPr>
                  <w:tcW w:w="685" w:type="pct"/>
                  <w:shd w:val="clear" w:color="auto" w:fill="auto"/>
                  <w:vAlign w:val="bottom"/>
                </w:tcPr>
                <w:p w14:paraId="3E9E36A1" w14:textId="77777777" w:rsidR="00FC14FC" w:rsidRPr="00CB32BE" w:rsidRDefault="00FC14FC" w:rsidP="00D11B9D">
                  <w:pPr>
                    <w:pStyle w:val="TableBodyText"/>
                    <w:ind w:right="28"/>
                  </w:pPr>
                  <w:r w:rsidRPr="00CB32BE">
                    <w:t>6.8</w:t>
                  </w:r>
                </w:p>
              </w:tc>
            </w:tr>
            <w:tr w:rsidR="00FC14FC" w14:paraId="3C95E8D0" w14:textId="77777777" w:rsidTr="00D11B9D">
              <w:tc>
                <w:tcPr>
                  <w:tcW w:w="2250" w:type="pct"/>
                  <w:shd w:val="clear" w:color="auto" w:fill="F2F2F2" w:themeFill="background1" w:themeFillShade="F2"/>
                  <w:vAlign w:val="bottom"/>
                </w:tcPr>
                <w:p w14:paraId="34703A92" w14:textId="77777777" w:rsidR="00FC14FC" w:rsidRPr="00CB32BE" w:rsidRDefault="00FC14FC" w:rsidP="00D11B9D">
                  <w:pPr>
                    <w:pStyle w:val="TableBodyText"/>
                    <w:jc w:val="left"/>
                  </w:pPr>
                  <w:r w:rsidRPr="00CB32BE">
                    <w:t xml:space="preserve">Median </w:t>
                  </w:r>
                  <w:r>
                    <w:t>assets of funds in both</w:t>
                  </w:r>
                </w:p>
              </w:tc>
              <w:tc>
                <w:tcPr>
                  <w:tcW w:w="421" w:type="pct"/>
                  <w:shd w:val="clear" w:color="auto" w:fill="F2F2F2" w:themeFill="background1" w:themeFillShade="F2"/>
                </w:tcPr>
                <w:p w14:paraId="5083C922" w14:textId="77777777" w:rsidR="00FC14FC" w:rsidRPr="00CB32BE" w:rsidRDefault="00FC14FC" w:rsidP="00D11B9D">
                  <w:pPr>
                    <w:pStyle w:val="TableBodyText"/>
                  </w:pPr>
                  <w:r>
                    <w:t>$b</w:t>
                  </w:r>
                </w:p>
              </w:tc>
              <w:tc>
                <w:tcPr>
                  <w:tcW w:w="890" w:type="pct"/>
                  <w:shd w:val="clear" w:color="auto" w:fill="F2F2F2" w:themeFill="background1" w:themeFillShade="F2"/>
                  <w:vAlign w:val="bottom"/>
                </w:tcPr>
                <w:p w14:paraId="6AC7EBE0" w14:textId="77777777" w:rsidR="00FC14FC" w:rsidRPr="00CB32BE" w:rsidRDefault="00FC14FC" w:rsidP="00D11B9D">
                  <w:pPr>
                    <w:pStyle w:val="TableBodyText"/>
                  </w:pPr>
                  <w:r w:rsidRPr="00CB32BE">
                    <w:t>0.8</w:t>
                  </w:r>
                  <w:r>
                    <w:t>0</w:t>
                  </w:r>
                </w:p>
              </w:tc>
              <w:tc>
                <w:tcPr>
                  <w:tcW w:w="754" w:type="pct"/>
                  <w:shd w:val="clear" w:color="auto" w:fill="F2F2F2" w:themeFill="background1" w:themeFillShade="F2"/>
                  <w:vAlign w:val="bottom"/>
                </w:tcPr>
                <w:p w14:paraId="12B0D801" w14:textId="77777777" w:rsidR="00FC14FC" w:rsidRPr="00CB32BE" w:rsidRDefault="00FC14FC" w:rsidP="00D11B9D">
                  <w:pPr>
                    <w:pStyle w:val="TableBodyText"/>
                  </w:pPr>
                  <w:r w:rsidRPr="00CB32BE">
                    <w:t>1.3</w:t>
                  </w:r>
                  <w:r>
                    <w:t>0</w:t>
                  </w:r>
                </w:p>
              </w:tc>
              <w:tc>
                <w:tcPr>
                  <w:tcW w:w="685" w:type="pct"/>
                  <w:shd w:val="clear" w:color="auto" w:fill="F2F2F2" w:themeFill="background1" w:themeFillShade="F2"/>
                  <w:vAlign w:val="bottom"/>
                </w:tcPr>
                <w:p w14:paraId="255B59EF" w14:textId="77777777" w:rsidR="00FC14FC" w:rsidRPr="00CB32BE" w:rsidRDefault="00FC14FC" w:rsidP="00D11B9D">
                  <w:pPr>
                    <w:pStyle w:val="TableBodyText"/>
                    <w:ind w:right="28"/>
                  </w:pPr>
                  <w:r w:rsidRPr="00CB32BE">
                    <w:t>2.</w:t>
                  </w:r>
                  <w:r>
                    <w:t>70</w:t>
                  </w:r>
                </w:p>
              </w:tc>
            </w:tr>
            <w:tr w:rsidR="00FC14FC" w14:paraId="1DD1F07B" w14:textId="77777777" w:rsidTr="00D11B9D">
              <w:tc>
                <w:tcPr>
                  <w:tcW w:w="2250" w:type="pct"/>
                  <w:shd w:val="clear" w:color="auto" w:fill="auto"/>
                  <w:vAlign w:val="bottom"/>
                </w:tcPr>
                <w:p w14:paraId="5E1135DF" w14:textId="77777777" w:rsidR="00FC14FC" w:rsidRPr="00CB32BE" w:rsidRDefault="00FC14FC" w:rsidP="00D11B9D">
                  <w:pPr>
                    <w:pStyle w:val="TableBodyText"/>
                    <w:jc w:val="left"/>
                  </w:pPr>
                  <w:r w:rsidRPr="00CB32BE">
                    <w:t xml:space="preserve">Median </w:t>
                  </w:r>
                  <w:r>
                    <w:t>assets of funds in APRA only</w:t>
                  </w:r>
                </w:p>
              </w:tc>
              <w:tc>
                <w:tcPr>
                  <w:tcW w:w="421" w:type="pct"/>
                </w:tcPr>
                <w:p w14:paraId="554CA2B2" w14:textId="77777777" w:rsidR="00FC14FC" w:rsidRPr="00CB32BE" w:rsidRDefault="00FC14FC" w:rsidP="00D11B9D">
                  <w:pPr>
                    <w:pStyle w:val="TableBodyText"/>
                  </w:pPr>
                  <w:r>
                    <w:t>$b</w:t>
                  </w:r>
                </w:p>
              </w:tc>
              <w:tc>
                <w:tcPr>
                  <w:tcW w:w="890" w:type="pct"/>
                  <w:shd w:val="clear" w:color="auto" w:fill="auto"/>
                  <w:vAlign w:val="bottom"/>
                </w:tcPr>
                <w:p w14:paraId="780A7C13" w14:textId="77777777" w:rsidR="00FC14FC" w:rsidRPr="00CB32BE" w:rsidRDefault="00FC14FC" w:rsidP="00D11B9D">
                  <w:pPr>
                    <w:pStyle w:val="TableBodyText"/>
                  </w:pPr>
                  <w:r w:rsidRPr="00CB32BE">
                    <w:t>0.01</w:t>
                  </w:r>
                </w:p>
              </w:tc>
              <w:tc>
                <w:tcPr>
                  <w:tcW w:w="754" w:type="pct"/>
                  <w:shd w:val="clear" w:color="auto" w:fill="auto"/>
                  <w:vAlign w:val="bottom"/>
                </w:tcPr>
                <w:p w14:paraId="4546D6F1" w14:textId="77777777" w:rsidR="00FC14FC" w:rsidRPr="00CB32BE" w:rsidRDefault="00FC14FC" w:rsidP="00D11B9D">
                  <w:pPr>
                    <w:pStyle w:val="TableBodyText"/>
                  </w:pPr>
                  <w:r w:rsidRPr="00CB32BE">
                    <w:t>0.06</w:t>
                  </w:r>
                </w:p>
              </w:tc>
              <w:tc>
                <w:tcPr>
                  <w:tcW w:w="685" w:type="pct"/>
                  <w:shd w:val="clear" w:color="auto" w:fill="auto"/>
                  <w:vAlign w:val="bottom"/>
                </w:tcPr>
                <w:p w14:paraId="49B0C713" w14:textId="77777777" w:rsidR="00FC14FC" w:rsidRPr="00CB32BE" w:rsidRDefault="00FC14FC" w:rsidP="00D11B9D">
                  <w:pPr>
                    <w:pStyle w:val="TableBodyText"/>
                    <w:ind w:right="28"/>
                  </w:pPr>
                  <w:r w:rsidRPr="00CB32BE">
                    <w:t>0.09</w:t>
                  </w:r>
                </w:p>
              </w:tc>
            </w:tr>
            <w:tr w:rsidR="00FC14FC" w14:paraId="55DC5476" w14:textId="77777777" w:rsidTr="00D11B9D">
              <w:tc>
                <w:tcPr>
                  <w:tcW w:w="2250" w:type="pct"/>
                  <w:shd w:val="clear" w:color="auto" w:fill="auto"/>
                  <w:vAlign w:val="bottom"/>
                </w:tcPr>
                <w:p w14:paraId="1A036A97" w14:textId="77777777" w:rsidR="00FC14FC" w:rsidRPr="00CB32BE" w:rsidRDefault="00FC14FC" w:rsidP="00D11B9D">
                  <w:pPr>
                    <w:pStyle w:val="TableUnitsRow"/>
                    <w:jc w:val="left"/>
                    <w:rPr>
                      <w:b/>
                    </w:rPr>
                  </w:pPr>
                  <w:r w:rsidRPr="00CB32BE">
                    <w:rPr>
                      <w:b/>
                    </w:rPr>
                    <w:t>Rainmaker</w:t>
                  </w:r>
                  <w:r w:rsidRPr="00487BB1">
                    <w:rPr>
                      <w:rStyle w:val="NoteLabel"/>
                      <w:sz w:val="16"/>
                    </w:rPr>
                    <w:t>b</w:t>
                  </w:r>
                </w:p>
              </w:tc>
              <w:tc>
                <w:tcPr>
                  <w:tcW w:w="421" w:type="pct"/>
                </w:tcPr>
                <w:p w14:paraId="101CD669" w14:textId="77777777" w:rsidR="00FC14FC" w:rsidRPr="00CB32BE" w:rsidRDefault="00FC14FC" w:rsidP="00D11B9D">
                  <w:pPr>
                    <w:pStyle w:val="TableUnitsRow"/>
                    <w:jc w:val="left"/>
                    <w:rPr>
                      <w:b/>
                    </w:rPr>
                  </w:pPr>
                </w:p>
              </w:tc>
              <w:tc>
                <w:tcPr>
                  <w:tcW w:w="890" w:type="pct"/>
                  <w:vAlign w:val="bottom"/>
                </w:tcPr>
                <w:p w14:paraId="3D5A2C6C" w14:textId="77777777" w:rsidR="00FC14FC" w:rsidRPr="00CB32BE" w:rsidRDefault="00FC14FC" w:rsidP="00D11B9D">
                  <w:pPr>
                    <w:pStyle w:val="TableUnitsRow"/>
                    <w:jc w:val="left"/>
                    <w:rPr>
                      <w:b/>
                    </w:rPr>
                  </w:pPr>
                </w:p>
              </w:tc>
              <w:tc>
                <w:tcPr>
                  <w:tcW w:w="754" w:type="pct"/>
                  <w:shd w:val="clear" w:color="auto" w:fill="auto"/>
                  <w:vAlign w:val="bottom"/>
                </w:tcPr>
                <w:p w14:paraId="47670081" w14:textId="77777777" w:rsidR="00FC14FC" w:rsidRPr="00CB32BE" w:rsidRDefault="00FC14FC" w:rsidP="00D11B9D">
                  <w:pPr>
                    <w:pStyle w:val="TableUnitsRow"/>
                  </w:pPr>
                </w:p>
              </w:tc>
              <w:tc>
                <w:tcPr>
                  <w:tcW w:w="685" w:type="pct"/>
                  <w:shd w:val="clear" w:color="auto" w:fill="auto"/>
                  <w:vAlign w:val="bottom"/>
                </w:tcPr>
                <w:p w14:paraId="558B2376" w14:textId="77777777" w:rsidR="00FC14FC" w:rsidRPr="00CB32BE" w:rsidRDefault="00FC14FC" w:rsidP="00D11B9D">
                  <w:pPr>
                    <w:pStyle w:val="TableUnitsRow"/>
                    <w:ind w:right="28"/>
                  </w:pPr>
                </w:p>
              </w:tc>
            </w:tr>
            <w:tr w:rsidR="00FC14FC" w14:paraId="6CAA84FA" w14:textId="77777777" w:rsidTr="00D11B9D">
              <w:tc>
                <w:tcPr>
                  <w:tcW w:w="2250" w:type="pct"/>
                  <w:shd w:val="clear" w:color="auto" w:fill="F2F2F2" w:themeFill="background1" w:themeFillShade="F2"/>
                  <w:vAlign w:val="bottom"/>
                </w:tcPr>
                <w:p w14:paraId="00A1109B" w14:textId="77777777" w:rsidR="00FC14FC" w:rsidRPr="00CB32BE" w:rsidRDefault="00FC14FC" w:rsidP="00D11B9D">
                  <w:pPr>
                    <w:pStyle w:val="TableBodyText"/>
                    <w:jc w:val="left"/>
                  </w:pPr>
                  <w:r w:rsidRPr="00CB32BE">
                    <w:t>Me</w:t>
                  </w:r>
                  <w:r>
                    <w:t>dian return of funds in both</w:t>
                  </w:r>
                </w:p>
              </w:tc>
              <w:tc>
                <w:tcPr>
                  <w:tcW w:w="421" w:type="pct"/>
                  <w:shd w:val="clear" w:color="auto" w:fill="F2F2F2" w:themeFill="background1" w:themeFillShade="F2"/>
                </w:tcPr>
                <w:p w14:paraId="3E06C6B4" w14:textId="77777777" w:rsidR="00FC14FC" w:rsidRPr="00CB32BE" w:rsidRDefault="00FC14FC" w:rsidP="00D11B9D">
                  <w:pPr>
                    <w:pStyle w:val="TableBodyText"/>
                  </w:pPr>
                  <w:r>
                    <w:t>%</w:t>
                  </w:r>
                </w:p>
              </w:tc>
              <w:tc>
                <w:tcPr>
                  <w:tcW w:w="890" w:type="pct"/>
                  <w:shd w:val="clear" w:color="auto" w:fill="F2F2F2" w:themeFill="background1" w:themeFillShade="F2"/>
                  <w:vAlign w:val="bottom"/>
                </w:tcPr>
                <w:p w14:paraId="2501AA4E" w14:textId="77777777" w:rsidR="00FC14FC" w:rsidRPr="00CB32BE" w:rsidRDefault="00FC14FC" w:rsidP="00D11B9D">
                  <w:pPr>
                    <w:pStyle w:val="TableBodyText"/>
                  </w:pPr>
                  <w:r w:rsidRPr="00CB32BE">
                    <w:t>13</w:t>
                  </w:r>
                  <w:r>
                    <w:t>.0</w:t>
                  </w:r>
                </w:p>
              </w:tc>
              <w:tc>
                <w:tcPr>
                  <w:tcW w:w="754" w:type="pct"/>
                  <w:shd w:val="clear" w:color="auto" w:fill="F2F2F2" w:themeFill="background1" w:themeFillShade="F2"/>
                  <w:vAlign w:val="bottom"/>
                </w:tcPr>
                <w:p w14:paraId="4BEF3925" w14:textId="77777777" w:rsidR="00FC14FC" w:rsidRPr="00CB32BE" w:rsidRDefault="00FC14FC" w:rsidP="00D11B9D">
                  <w:pPr>
                    <w:pStyle w:val="TableBodyText"/>
                  </w:pPr>
                  <w:r>
                    <w:t>9.0</w:t>
                  </w:r>
                </w:p>
              </w:tc>
              <w:tc>
                <w:tcPr>
                  <w:tcW w:w="685" w:type="pct"/>
                  <w:shd w:val="clear" w:color="auto" w:fill="F2F2F2" w:themeFill="background1" w:themeFillShade="F2"/>
                  <w:vAlign w:val="bottom"/>
                </w:tcPr>
                <w:p w14:paraId="33700CDF" w14:textId="77777777" w:rsidR="00FC14FC" w:rsidRPr="00CB32BE" w:rsidRDefault="00FC14FC" w:rsidP="00D11B9D">
                  <w:pPr>
                    <w:pStyle w:val="TableBodyText"/>
                    <w:ind w:right="28"/>
                  </w:pPr>
                  <w:r w:rsidRPr="00CB32BE">
                    <w:t>8.6</w:t>
                  </w:r>
                </w:p>
              </w:tc>
            </w:tr>
            <w:tr w:rsidR="00FC14FC" w14:paraId="678A52D0" w14:textId="77777777" w:rsidTr="00D11B9D">
              <w:tc>
                <w:tcPr>
                  <w:tcW w:w="2250" w:type="pct"/>
                  <w:shd w:val="clear" w:color="auto" w:fill="auto"/>
                  <w:vAlign w:val="bottom"/>
                </w:tcPr>
                <w:p w14:paraId="64BC4CF9" w14:textId="77777777" w:rsidR="00FC14FC" w:rsidRPr="00CB32BE" w:rsidRDefault="00FC14FC" w:rsidP="00D11B9D">
                  <w:pPr>
                    <w:pStyle w:val="TableBodyText"/>
                    <w:jc w:val="left"/>
                  </w:pPr>
                  <w:r w:rsidRPr="00CB32BE">
                    <w:t xml:space="preserve">Median </w:t>
                  </w:r>
                  <w:r>
                    <w:t>return of funds in APRA only</w:t>
                  </w:r>
                </w:p>
              </w:tc>
              <w:tc>
                <w:tcPr>
                  <w:tcW w:w="421" w:type="pct"/>
                </w:tcPr>
                <w:p w14:paraId="26E1EADD" w14:textId="77777777" w:rsidR="00FC14FC" w:rsidRPr="00CB32BE" w:rsidRDefault="00FC14FC" w:rsidP="00D11B9D">
                  <w:pPr>
                    <w:pStyle w:val="TableBodyText"/>
                  </w:pPr>
                  <w:r>
                    <w:t>%</w:t>
                  </w:r>
                </w:p>
              </w:tc>
              <w:tc>
                <w:tcPr>
                  <w:tcW w:w="890" w:type="pct"/>
                  <w:shd w:val="clear" w:color="auto" w:fill="auto"/>
                  <w:vAlign w:val="bottom"/>
                </w:tcPr>
                <w:p w14:paraId="43FBE42C" w14:textId="77777777" w:rsidR="00FC14FC" w:rsidRPr="00CB32BE" w:rsidRDefault="00FC14FC" w:rsidP="00D11B9D">
                  <w:pPr>
                    <w:pStyle w:val="TableBodyText"/>
                  </w:pPr>
                  <w:r w:rsidRPr="00CB32BE">
                    <w:t>11.8</w:t>
                  </w:r>
                </w:p>
              </w:tc>
              <w:tc>
                <w:tcPr>
                  <w:tcW w:w="754" w:type="pct"/>
                  <w:shd w:val="clear" w:color="auto" w:fill="auto"/>
                  <w:vAlign w:val="bottom"/>
                </w:tcPr>
                <w:p w14:paraId="316D3531" w14:textId="77777777" w:rsidR="00FC14FC" w:rsidRPr="00CB32BE" w:rsidRDefault="00FC14FC" w:rsidP="00D11B9D">
                  <w:pPr>
                    <w:pStyle w:val="TableBodyText"/>
                  </w:pPr>
                  <w:r w:rsidRPr="00CB32BE">
                    <w:t>8.8</w:t>
                  </w:r>
                </w:p>
              </w:tc>
              <w:tc>
                <w:tcPr>
                  <w:tcW w:w="685" w:type="pct"/>
                  <w:shd w:val="clear" w:color="auto" w:fill="auto"/>
                  <w:vAlign w:val="bottom"/>
                </w:tcPr>
                <w:p w14:paraId="459E5E09" w14:textId="77777777" w:rsidR="00FC14FC" w:rsidRPr="00CB32BE" w:rsidRDefault="00FC14FC" w:rsidP="00D11B9D">
                  <w:pPr>
                    <w:pStyle w:val="TableBodyText"/>
                    <w:ind w:right="28"/>
                  </w:pPr>
                  <w:r w:rsidRPr="00CB32BE">
                    <w:t>7.1</w:t>
                  </w:r>
                </w:p>
              </w:tc>
            </w:tr>
            <w:tr w:rsidR="00FC14FC" w14:paraId="69796F27" w14:textId="77777777" w:rsidTr="00D11B9D">
              <w:tc>
                <w:tcPr>
                  <w:tcW w:w="2250" w:type="pct"/>
                  <w:shd w:val="clear" w:color="auto" w:fill="F2F2F2" w:themeFill="background1" w:themeFillShade="F2"/>
                  <w:vAlign w:val="bottom"/>
                </w:tcPr>
                <w:p w14:paraId="4097E3B5" w14:textId="77777777" w:rsidR="00FC14FC" w:rsidRPr="00CB32BE" w:rsidRDefault="00FC14FC" w:rsidP="00D11B9D">
                  <w:pPr>
                    <w:pStyle w:val="TableBodyText"/>
                    <w:jc w:val="left"/>
                  </w:pPr>
                  <w:r w:rsidRPr="00CB32BE">
                    <w:t xml:space="preserve">Median </w:t>
                  </w:r>
                  <w:r>
                    <w:t>assets of funds in both</w:t>
                  </w:r>
                </w:p>
              </w:tc>
              <w:tc>
                <w:tcPr>
                  <w:tcW w:w="421" w:type="pct"/>
                  <w:shd w:val="clear" w:color="auto" w:fill="F2F2F2" w:themeFill="background1" w:themeFillShade="F2"/>
                </w:tcPr>
                <w:p w14:paraId="1E07710B" w14:textId="77777777" w:rsidR="00FC14FC" w:rsidRPr="00CB32BE" w:rsidRDefault="00FC14FC" w:rsidP="00D11B9D">
                  <w:pPr>
                    <w:pStyle w:val="TableBodyText"/>
                  </w:pPr>
                  <w:r>
                    <w:t>$b</w:t>
                  </w:r>
                </w:p>
              </w:tc>
              <w:tc>
                <w:tcPr>
                  <w:tcW w:w="890" w:type="pct"/>
                  <w:shd w:val="clear" w:color="auto" w:fill="F2F2F2" w:themeFill="background1" w:themeFillShade="F2"/>
                  <w:vAlign w:val="bottom"/>
                </w:tcPr>
                <w:p w14:paraId="1E88881E" w14:textId="77777777" w:rsidR="00FC14FC" w:rsidRPr="00CB32BE" w:rsidRDefault="00FC14FC" w:rsidP="00D11B9D">
                  <w:pPr>
                    <w:pStyle w:val="TableBodyText"/>
                  </w:pPr>
                  <w:r w:rsidRPr="00CB32BE">
                    <w:t>0.8</w:t>
                  </w:r>
                  <w:r>
                    <w:t>0</w:t>
                  </w:r>
                </w:p>
              </w:tc>
              <w:tc>
                <w:tcPr>
                  <w:tcW w:w="754" w:type="pct"/>
                  <w:shd w:val="clear" w:color="auto" w:fill="F2F2F2" w:themeFill="background1" w:themeFillShade="F2"/>
                  <w:vAlign w:val="bottom"/>
                </w:tcPr>
                <w:p w14:paraId="76DAA78F" w14:textId="77777777" w:rsidR="00FC14FC" w:rsidRPr="00CB32BE" w:rsidRDefault="00FC14FC" w:rsidP="00D11B9D">
                  <w:pPr>
                    <w:pStyle w:val="TableBodyText"/>
                  </w:pPr>
                  <w:r w:rsidRPr="00CB32BE">
                    <w:t>1.4</w:t>
                  </w:r>
                  <w:r>
                    <w:t>0</w:t>
                  </w:r>
                </w:p>
              </w:tc>
              <w:tc>
                <w:tcPr>
                  <w:tcW w:w="685" w:type="pct"/>
                  <w:shd w:val="clear" w:color="auto" w:fill="F2F2F2" w:themeFill="background1" w:themeFillShade="F2"/>
                  <w:vAlign w:val="bottom"/>
                </w:tcPr>
                <w:p w14:paraId="3D5B0FC9" w14:textId="77777777" w:rsidR="00FC14FC" w:rsidRPr="00CB32BE" w:rsidRDefault="00FC14FC" w:rsidP="00D11B9D">
                  <w:pPr>
                    <w:pStyle w:val="TableBodyText"/>
                    <w:ind w:right="28"/>
                  </w:pPr>
                  <w:r w:rsidRPr="00CB32BE">
                    <w:t>2.6</w:t>
                  </w:r>
                  <w:r>
                    <w:t>0</w:t>
                  </w:r>
                </w:p>
              </w:tc>
            </w:tr>
            <w:tr w:rsidR="00FC14FC" w14:paraId="247AA7BB" w14:textId="77777777" w:rsidTr="00D11B9D">
              <w:tc>
                <w:tcPr>
                  <w:tcW w:w="2250" w:type="pct"/>
                  <w:tcBorders>
                    <w:bottom w:val="single" w:sz="6" w:space="0" w:color="BFBFBF"/>
                  </w:tcBorders>
                  <w:shd w:val="clear" w:color="auto" w:fill="auto"/>
                  <w:vAlign w:val="bottom"/>
                </w:tcPr>
                <w:p w14:paraId="72AA22E7" w14:textId="77777777" w:rsidR="00FC14FC" w:rsidRPr="00CB32BE" w:rsidRDefault="00FC14FC" w:rsidP="00D11B9D">
                  <w:pPr>
                    <w:pStyle w:val="TableBodyText"/>
                    <w:jc w:val="left"/>
                  </w:pPr>
                  <w:r w:rsidRPr="00CB32BE">
                    <w:t xml:space="preserve">Median </w:t>
                  </w:r>
                  <w:r>
                    <w:t>assets of funds in APRA only</w:t>
                  </w:r>
                </w:p>
              </w:tc>
              <w:tc>
                <w:tcPr>
                  <w:tcW w:w="421" w:type="pct"/>
                  <w:tcBorders>
                    <w:bottom w:val="single" w:sz="6" w:space="0" w:color="BFBFBF"/>
                  </w:tcBorders>
                </w:tcPr>
                <w:p w14:paraId="0409DBCD" w14:textId="77777777" w:rsidR="00FC14FC" w:rsidRPr="00CB32BE" w:rsidRDefault="00FC14FC" w:rsidP="00D11B9D">
                  <w:pPr>
                    <w:pStyle w:val="TableBodyText"/>
                  </w:pPr>
                  <w:r>
                    <w:t>$b</w:t>
                  </w:r>
                </w:p>
              </w:tc>
              <w:tc>
                <w:tcPr>
                  <w:tcW w:w="890" w:type="pct"/>
                  <w:tcBorders>
                    <w:bottom w:val="single" w:sz="6" w:space="0" w:color="BFBFBF"/>
                  </w:tcBorders>
                  <w:shd w:val="clear" w:color="auto" w:fill="auto"/>
                  <w:vAlign w:val="bottom"/>
                </w:tcPr>
                <w:p w14:paraId="0941FFE6" w14:textId="77777777" w:rsidR="00FC14FC" w:rsidRPr="00CB32BE" w:rsidRDefault="00FC14FC" w:rsidP="00D11B9D">
                  <w:pPr>
                    <w:pStyle w:val="TableBodyText"/>
                  </w:pPr>
                  <w:r w:rsidRPr="00CB32BE">
                    <w:t>0.02</w:t>
                  </w:r>
                </w:p>
              </w:tc>
              <w:tc>
                <w:tcPr>
                  <w:tcW w:w="754" w:type="pct"/>
                  <w:tcBorders>
                    <w:bottom w:val="single" w:sz="6" w:space="0" w:color="BFBFBF"/>
                  </w:tcBorders>
                  <w:shd w:val="clear" w:color="auto" w:fill="auto"/>
                  <w:vAlign w:val="bottom"/>
                </w:tcPr>
                <w:p w14:paraId="4402C56A" w14:textId="77777777" w:rsidR="00FC14FC" w:rsidRPr="00CB32BE" w:rsidRDefault="00FC14FC" w:rsidP="00D11B9D">
                  <w:pPr>
                    <w:pStyle w:val="TableBodyText"/>
                  </w:pPr>
                  <w:r w:rsidRPr="00CB32BE">
                    <w:t>0.14</w:t>
                  </w:r>
                </w:p>
              </w:tc>
              <w:tc>
                <w:tcPr>
                  <w:tcW w:w="685" w:type="pct"/>
                  <w:tcBorders>
                    <w:bottom w:val="single" w:sz="6" w:space="0" w:color="BFBFBF"/>
                  </w:tcBorders>
                  <w:shd w:val="clear" w:color="auto" w:fill="auto"/>
                  <w:vAlign w:val="bottom"/>
                </w:tcPr>
                <w:p w14:paraId="395C4974" w14:textId="77777777" w:rsidR="00FC14FC" w:rsidRPr="00CB32BE" w:rsidRDefault="00FC14FC" w:rsidP="00D11B9D">
                  <w:pPr>
                    <w:pStyle w:val="TableBodyText"/>
                    <w:ind w:right="28"/>
                  </w:pPr>
                  <w:r w:rsidRPr="00CB32BE">
                    <w:t>0.4</w:t>
                  </w:r>
                  <w:r>
                    <w:t>0</w:t>
                  </w:r>
                </w:p>
              </w:tc>
            </w:tr>
          </w:tbl>
          <w:p w14:paraId="10817A71" w14:textId="77777777" w:rsidR="00FC14FC" w:rsidRDefault="00FC14FC" w:rsidP="00D11B9D">
            <w:pPr>
              <w:pStyle w:val="Box"/>
            </w:pPr>
          </w:p>
        </w:tc>
      </w:tr>
      <w:tr w:rsidR="00FC14FC" w:rsidRPr="00176D3F" w14:paraId="37555544" w14:textId="77777777" w:rsidTr="00D11B9D">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6EC2842B" w14:textId="77777777" w:rsidR="00FC14FC" w:rsidRPr="00176D3F" w:rsidRDefault="00FC14FC" w:rsidP="00D11B9D">
            <w:pPr>
              <w:pStyle w:val="Note"/>
            </w:pPr>
            <w:r>
              <w:rPr>
                <w:rStyle w:val="NoteLabel"/>
              </w:rPr>
              <w:t>a</w:t>
            </w:r>
            <w:r>
              <w:t xml:space="preserve"> Coverage is measured as a percentage of all APRA</w:t>
            </w:r>
            <w:r>
              <w:noBreakHyphen/>
              <w:t>regulated funds.</w:t>
            </w:r>
            <w:r w:rsidRPr="00692A17">
              <w:rPr>
                <w:rStyle w:val="NoteLabel"/>
              </w:rPr>
              <w:t xml:space="preserve"> b</w:t>
            </w:r>
            <w:r>
              <w:t xml:space="preserve"> Approximately 9000 out of 29 000 (about 33 per cent) of the option</w:t>
            </w:r>
            <w:r>
              <w:noBreakHyphen/>
              <w:t>year combinations in the Rainmaker dataset could not be matched to funds in the APRA data (based on the Australian Business Number), meaning the Rainmaker coverage ‘upper bound’ is underestimated.</w:t>
            </w:r>
          </w:p>
        </w:tc>
      </w:tr>
      <w:tr w:rsidR="00FC14FC" w:rsidRPr="00176D3F" w14:paraId="38B79C73" w14:textId="77777777" w:rsidTr="00D11B9D">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5FB4DE0E" w14:textId="77777777" w:rsidR="00FC14FC" w:rsidRPr="00176D3F" w:rsidRDefault="00FC14FC" w:rsidP="00D11B9D">
            <w:pPr>
              <w:pStyle w:val="Source"/>
            </w:pPr>
            <w:r>
              <w:rPr>
                <w:i/>
              </w:rPr>
              <w:t>S</w:t>
            </w:r>
            <w:r w:rsidRPr="00784A05">
              <w:rPr>
                <w:i/>
              </w:rPr>
              <w:t>ource</w:t>
            </w:r>
            <w:r>
              <w:rPr>
                <w:i/>
              </w:rPr>
              <w:t>s</w:t>
            </w:r>
            <w:r w:rsidRPr="00176D3F">
              <w:t xml:space="preserve">: </w:t>
            </w:r>
            <w:r>
              <w:t>PC analysis of unpublished APRA data, Rainmaker data and SuperRatings data.</w:t>
            </w:r>
          </w:p>
        </w:tc>
      </w:tr>
      <w:tr w:rsidR="00FC14FC" w14:paraId="62A308D1" w14:textId="77777777" w:rsidTr="00D11B9D">
        <w:tc>
          <w:tcPr>
            <w:tcW w:w="5000" w:type="pct"/>
            <w:tcBorders>
              <w:top w:val="nil"/>
              <w:left w:val="nil"/>
              <w:bottom w:val="single" w:sz="6" w:space="0" w:color="78A22F"/>
              <w:right w:val="nil"/>
            </w:tcBorders>
            <w:shd w:val="clear" w:color="auto" w:fill="auto"/>
          </w:tcPr>
          <w:p w14:paraId="76F9A7B0" w14:textId="77777777" w:rsidR="00FC14FC" w:rsidRDefault="00FC14FC" w:rsidP="00D11B9D">
            <w:pPr>
              <w:pStyle w:val="Box"/>
              <w:spacing w:before="0" w:line="120" w:lineRule="exact"/>
            </w:pPr>
          </w:p>
        </w:tc>
      </w:tr>
      <w:tr w:rsidR="00FC14FC" w:rsidRPr="000863A5" w14:paraId="50670D87" w14:textId="77777777" w:rsidTr="00D11B9D">
        <w:tc>
          <w:tcPr>
            <w:tcW w:w="5000" w:type="pct"/>
            <w:tcBorders>
              <w:top w:val="single" w:sz="6" w:space="0" w:color="78A22F"/>
              <w:left w:val="nil"/>
              <w:bottom w:val="nil"/>
              <w:right w:val="nil"/>
            </w:tcBorders>
          </w:tcPr>
          <w:p w14:paraId="239619C3" w14:textId="77777777" w:rsidR="00FC14FC" w:rsidRPr="00626D32" w:rsidRDefault="00FC14FC" w:rsidP="00D11B9D">
            <w:pPr>
              <w:pStyle w:val="BoxSpaceBelow"/>
            </w:pPr>
          </w:p>
        </w:tc>
      </w:tr>
    </w:tbl>
    <w:p w14:paraId="1C7EDD05"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5C919B3B" w14:textId="77777777" w:rsidTr="00D11B9D">
        <w:trPr>
          <w:tblHeader/>
        </w:trPr>
        <w:tc>
          <w:tcPr>
            <w:tcW w:w="5000" w:type="pct"/>
            <w:tcBorders>
              <w:top w:val="single" w:sz="6" w:space="0" w:color="78A22F"/>
              <w:left w:val="nil"/>
              <w:bottom w:val="nil"/>
              <w:right w:val="nil"/>
            </w:tcBorders>
            <w:shd w:val="clear" w:color="auto" w:fill="auto"/>
          </w:tcPr>
          <w:p w14:paraId="49F1CEA6" w14:textId="77777777" w:rsidR="00FC14FC" w:rsidRPr="00176D3F" w:rsidRDefault="00FC14FC" w:rsidP="00D11B9D">
            <w:pPr>
              <w:pStyle w:val="FigureTitle"/>
            </w:pPr>
            <w:r w:rsidRPr="00784A05">
              <w:rPr>
                <w:b w:val="0"/>
              </w:rPr>
              <w:t xml:space="preserve">Figure </w:t>
            </w:r>
            <w:r>
              <w:rPr>
                <w:b w:val="0"/>
              </w:rPr>
              <w:t>4.</w:t>
            </w:r>
            <w:r>
              <w:rPr>
                <w:b w:val="0"/>
                <w:noProof/>
              </w:rPr>
              <w:t>2</w:t>
            </w:r>
            <w:r>
              <w:tab/>
              <w:t>Research firm data coverage</w:t>
            </w:r>
            <w:r w:rsidRPr="00714F95">
              <w:rPr>
                <w:rStyle w:val="NoteLabel"/>
              </w:rPr>
              <w:t>a</w:t>
            </w:r>
          </w:p>
        </w:tc>
      </w:tr>
      <w:tr w:rsidR="00FC14FC" w14:paraId="28466285"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00DA42BF" w14:textId="77777777" w:rsidTr="00D11B9D">
              <w:trPr>
                <w:tblHeader/>
                <w:jc w:val="center"/>
              </w:trPr>
              <w:tc>
                <w:tcPr>
                  <w:tcW w:w="5000" w:type="pct"/>
                  <w:tcBorders>
                    <w:top w:val="nil"/>
                    <w:bottom w:val="nil"/>
                  </w:tcBorders>
                </w:tcPr>
                <w:p w14:paraId="58FD19F9" w14:textId="77777777" w:rsidR="00FC14FC" w:rsidRPr="00B1465D" w:rsidRDefault="00FC14FC" w:rsidP="00D11B9D">
                  <w:pPr>
                    <w:pStyle w:val="Figure"/>
                    <w:spacing w:before="60" w:after="60"/>
                    <w:rPr>
                      <w:rFonts w:ascii="Arial" w:hAnsi="Arial" w:cs="Arial"/>
                      <w:sz w:val="18"/>
                      <w:szCs w:val="18"/>
                    </w:rPr>
                  </w:pPr>
                  <w:r>
                    <w:rPr>
                      <w:rFonts w:ascii="Arial" w:hAnsi="Arial" w:cs="Arial"/>
                      <w:sz w:val="18"/>
                      <w:szCs w:val="18"/>
                    </w:rPr>
                    <w:t xml:space="preserve"> </w:t>
                  </w:r>
                  <w:r w:rsidRPr="00AD558F">
                    <w:rPr>
                      <w:rFonts w:ascii="Arial" w:hAnsi="Arial" w:cs="Arial"/>
                      <w:noProof/>
                      <w:sz w:val="18"/>
                      <w:szCs w:val="18"/>
                    </w:rPr>
                    <w:drawing>
                      <wp:inline distT="0" distB="0" distL="0" distR="0" wp14:anchorId="609F33F1" wp14:editId="56988A01">
                        <wp:extent cx="5284254" cy="5548745"/>
                        <wp:effectExtent l="0" t="0" r="0" b="0"/>
                        <wp:docPr id="4" name="Picture 4" descr="Fig 4.2 This stacked bar chart shows the coverage of the SuperRatings and Rainmaker datasets in terms of fund count by fund type. It shows that both datasets have better coverage of industry funds that other types (currently both covering 100%). Retail and corporate funds particularly poorly represented." title="Research firm data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02101" cy="5567486"/>
                                </a:xfrm>
                                <a:prstGeom prst="rect">
                                  <a:avLst/>
                                </a:prstGeom>
                                <a:noFill/>
                                <a:ln>
                                  <a:noFill/>
                                </a:ln>
                              </pic:spPr>
                            </pic:pic>
                          </a:graphicData>
                        </a:graphic>
                      </wp:inline>
                    </w:drawing>
                  </w:r>
                </w:p>
              </w:tc>
            </w:tr>
          </w:tbl>
          <w:p w14:paraId="503F5255" w14:textId="77777777" w:rsidR="00FC14FC" w:rsidRDefault="00FC14FC" w:rsidP="00D11B9D">
            <w:pPr>
              <w:pStyle w:val="Figure"/>
            </w:pPr>
          </w:p>
        </w:tc>
      </w:tr>
      <w:tr w:rsidR="00FC14FC" w:rsidRPr="00176D3F" w14:paraId="04180EF0" w14:textId="77777777" w:rsidTr="00D11B9D">
        <w:trPr>
          <w:trHeight w:val="618"/>
        </w:trPr>
        <w:tc>
          <w:tcPr>
            <w:tcW w:w="5000" w:type="pct"/>
            <w:tcBorders>
              <w:top w:val="nil"/>
              <w:left w:val="nil"/>
              <w:bottom w:val="nil"/>
              <w:right w:val="nil"/>
            </w:tcBorders>
            <w:shd w:val="clear" w:color="auto" w:fill="auto"/>
          </w:tcPr>
          <w:p w14:paraId="2F3E4CE1" w14:textId="77777777" w:rsidR="00FC14FC" w:rsidRPr="00176D3F" w:rsidRDefault="00FC14FC" w:rsidP="00D11B9D">
            <w:pPr>
              <w:pStyle w:val="Note"/>
            </w:pPr>
            <w:r>
              <w:rPr>
                <w:rStyle w:val="NoteLabel"/>
              </w:rPr>
              <w:t>a</w:t>
            </w:r>
            <w:r>
              <w:t xml:space="preserve"> Coverage is measured as a percentage of all APRA</w:t>
            </w:r>
            <w:r>
              <w:noBreakHyphen/>
              <w:t>regulated funds.</w:t>
            </w:r>
            <w:r w:rsidRPr="00692A17">
              <w:rPr>
                <w:rStyle w:val="NoteLabel"/>
              </w:rPr>
              <w:t xml:space="preserve"> b</w:t>
            </w:r>
            <w:r>
              <w:t xml:space="preserve"> Approximately 9000 out of 29 000 (about 33 per cent) of the option</w:t>
            </w:r>
            <w:r>
              <w:noBreakHyphen/>
              <w:t>year combinations in the Rainmaker dataset could not be matched to funds in the APRA data (based on the Australian Business Number), meaning the Rainmaker coverage ‘upper bound’ is underestimated.</w:t>
            </w:r>
          </w:p>
        </w:tc>
      </w:tr>
      <w:tr w:rsidR="00FC14FC" w:rsidRPr="00176D3F" w14:paraId="1D636CCC" w14:textId="77777777" w:rsidTr="00D11B9D">
        <w:tc>
          <w:tcPr>
            <w:tcW w:w="5000" w:type="pct"/>
            <w:tcBorders>
              <w:top w:val="nil"/>
              <w:left w:val="nil"/>
              <w:bottom w:val="nil"/>
              <w:right w:val="nil"/>
            </w:tcBorders>
            <w:shd w:val="clear" w:color="auto" w:fill="auto"/>
          </w:tcPr>
          <w:p w14:paraId="2A01AD55" w14:textId="77777777" w:rsidR="00FC14FC" w:rsidRPr="00176D3F" w:rsidRDefault="00FC14FC" w:rsidP="00D11B9D">
            <w:pPr>
              <w:pStyle w:val="Source"/>
            </w:pPr>
            <w:r>
              <w:rPr>
                <w:i/>
              </w:rPr>
              <w:t>S</w:t>
            </w:r>
            <w:r w:rsidRPr="00784A05">
              <w:rPr>
                <w:i/>
              </w:rPr>
              <w:t>ource</w:t>
            </w:r>
            <w:r>
              <w:rPr>
                <w:i/>
              </w:rPr>
              <w:t>s</w:t>
            </w:r>
            <w:r w:rsidRPr="00176D3F">
              <w:t xml:space="preserve">: </w:t>
            </w:r>
            <w:r>
              <w:t>PC analysis of unpublished APRA data, Rainmaker data and SuperRatings data.</w:t>
            </w:r>
          </w:p>
        </w:tc>
      </w:tr>
      <w:tr w:rsidR="00FC14FC" w14:paraId="77EFFA9B" w14:textId="77777777" w:rsidTr="00D11B9D">
        <w:tc>
          <w:tcPr>
            <w:tcW w:w="5000" w:type="pct"/>
            <w:tcBorders>
              <w:top w:val="nil"/>
              <w:left w:val="nil"/>
              <w:bottom w:val="single" w:sz="6" w:space="0" w:color="78A22F"/>
              <w:right w:val="nil"/>
            </w:tcBorders>
            <w:shd w:val="clear" w:color="auto" w:fill="auto"/>
          </w:tcPr>
          <w:p w14:paraId="0A519C90" w14:textId="77777777" w:rsidR="00FC14FC" w:rsidRDefault="00FC14FC" w:rsidP="00D11B9D">
            <w:pPr>
              <w:pStyle w:val="Figurespace"/>
            </w:pPr>
          </w:p>
        </w:tc>
      </w:tr>
      <w:tr w:rsidR="00FC14FC" w:rsidRPr="000863A5" w14:paraId="30F4BC9A" w14:textId="77777777" w:rsidTr="00D11B9D">
        <w:tc>
          <w:tcPr>
            <w:tcW w:w="5000" w:type="pct"/>
            <w:tcBorders>
              <w:top w:val="single" w:sz="6" w:space="0" w:color="78A22F"/>
              <w:left w:val="nil"/>
              <w:bottom w:val="nil"/>
              <w:right w:val="nil"/>
            </w:tcBorders>
          </w:tcPr>
          <w:p w14:paraId="4C6DF249" w14:textId="77777777" w:rsidR="00FC14FC" w:rsidRPr="00626D32" w:rsidRDefault="00FC14FC" w:rsidP="00D11B9D">
            <w:pPr>
              <w:pStyle w:val="BoxSpaceBelow"/>
            </w:pPr>
          </w:p>
        </w:tc>
      </w:tr>
    </w:tbl>
    <w:p w14:paraId="37F430DE" w14:textId="77777777" w:rsidR="00FC14FC" w:rsidRDefault="00FC14FC" w:rsidP="00FC14FC">
      <w:pPr>
        <w:rPr>
          <w:rFonts w:ascii="Arial" w:hAnsi="Arial"/>
        </w:rPr>
      </w:pPr>
      <w:r>
        <w:br w:type="page"/>
      </w:r>
    </w:p>
    <w:p w14:paraId="2E039515" w14:textId="77777777" w:rsidR="00FC14FC" w:rsidRDefault="00FC14FC" w:rsidP="00FC14FC">
      <w:pPr>
        <w:pStyle w:val="Heading4"/>
      </w:pPr>
      <w:r>
        <w:lastRenderedPageBreak/>
        <w:t>Matching and linking of options</w:t>
      </w:r>
    </w:p>
    <w:p w14:paraId="5A7B17B3" w14:textId="77777777" w:rsidR="00FC14FC" w:rsidRDefault="00FC14FC" w:rsidP="00FC14FC">
      <w:pPr>
        <w:pStyle w:val="BodyText"/>
      </w:pPr>
      <w:r>
        <w:t>A key aspect of the Commission’s assessment was to assess the long</w:t>
      </w:r>
      <w:r>
        <w:noBreakHyphen/>
        <w:t xml:space="preserve">term performance of individual products or options, both in the default and choice segments. </w:t>
      </w:r>
    </w:p>
    <w:p w14:paraId="3F491C66" w14:textId="77777777" w:rsidR="00FC14FC" w:rsidRDefault="00FC14FC" w:rsidP="00FC14FC">
      <w:pPr>
        <w:pStyle w:val="BodyText"/>
      </w:pPr>
      <w:r>
        <w:t>For the default segment, product</w:t>
      </w:r>
      <w:r>
        <w:noBreakHyphen/>
        <w:t>level analysis with SuperRatings data</w:t>
      </w:r>
      <w:r w:rsidRPr="00CF15EF">
        <w:rPr>
          <w:rStyle w:val="FootnoteReference"/>
        </w:rPr>
        <w:footnoteReference w:id="5"/>
      </w:r>
      <w:r>
        <w:t xml:space="preserve"> necessitated linking current MySuper products with pre</w:t>
      </w:r>
      <w:r>
        <w:noBreakHyphen/>
        <w:t xml:space="preserve">2013 precursor products. 64 of 105 current MySuper products were linked backwards to produce 11 years of returns data (only 53 were linked for 11 years of returns </w:t>
      </w:r>
      <w:r>
        <w:rPr>
          <w:i/>
        </w:rPr>
        <w:t xml:space="preserve">and </w:t>
      </w:r>
      <w:r>
        <w:t>asset allocation data). For most products, this process was relatively simple as the pre</w:t>
      </w:r>
      <w:r>
        <w:noBreakHyphen/>
        <w:t xml:space="preserve"> and post</w:t>
      </w:r>
      <w:r>
        <w:noBreakHyphen/>
        <w:t>2013 product names were very similar. This linking was done with the support of SuperRatings where requested.</w:t>
      </w:r>
    </w:p>
    <w:p w14:paraId="72D33DE2" w14:textId="77777777" w:rsidR="00FC14FC" w:rsidRDefault="00FC14FC" w:rsidP="00FC14FC">
      <w:pPr>
        <w:pStyle w:val="BodyText"/>
      </w:pPr>
      <w:r>
        <w:t>It is important to note that this linking exacerbates the selection bias in the SuperRatings data. Many retail MySuper products are new to the MySuper era, and could not be matched with a precursor. While SuperRatings data cover upwards of 50 per cent of retail funds in the APRA</w:t>
      </w:r>
      <w:r>
        <w:noBreakHyphen/>
        <w:t>regulated system overall (figure 4.2), only 32 per cent of current retail MySuper products could be linked with precursor returns and asset allocation data. Rainmaker data are sourced from funds’ annual reports, product disclosure statements and other public information. Many options in the Rainmaker dataset have slight variations in names across years. The Commission has transformed the data and undertaken its own linking of investment options over time. This was necessary to undertake individual product</w:t>
      </w:r>
      <w:r>
        <w:noBreakHyphen/>
        <w:t xml:space="preserve"> and option</w:t>
      </w:r>
      <w:r>
        <w:noBreakHyphen/>
        <w:t xml:space="preserve">level analysis. </w:t>
      </w:r>
    </w:p>
    <w:p w14:paraId="2CF9F639" w14:textId="77777777" w:rsidR="00FC14FC" w:rsidRPr="00A42FD7" w:rsidRDefault="00FC14FC" w:rsidP="00FC14FC">
      <w:pPr>
        <w:pStyle w:val="BodyText"/>
      </w:pPr>
      <w:r>
        <w:t>In both these processes, the Commission was conservative, only matching options over time where there were obvious links (for example, minor rewording of option names). Inevitably, there are likely to be many products in both datasets that have existed for the relevant period but were not able to be linked due to being substantively renamed.</w:t>
      </w:r>
    </w:p>
    <w:p w14:paraId="0C67AA93" w14:textId="77777777" w:rsidR="00FC14FC" w:rsidRDefault="00FC14FC" w:rsidP="00FC14FC">
      <w:pPr>
        <w:pStyle w:val="Heading3"/>
      </w:pPr>
      <w:r>
        <w:t>Funds survey data</w:t>
      </w:r>
    </w:p>
    <w:p w14:paraId="00076FEB" w14:textId="77777777" w:rsidR="00FC14FC" w:rsidRDefault="00FC14FC" w:rsidP="00FC14FC">
      <w:pPr>
        <w:pStyle w:val="BodyText"/>
      </w:pPr>
      <w:r>
        <w:t>The Commission undertook two surveys of APRA</w:t>
      </w:r>
      <w:r>
        <w:noBreakHyphen/>
        <w:t>regulated superannuation funds, which included collecting data on returns (gross of tax but net of all investment fees and costs) by asset class, investment management costs by asset class, and fund expenses by expense category and related/unrelated parties (tech. supp. 2). Funds were asked to provide the data going back to 2008. While some of the data provided to the initial survey were of poor quality, responses to the supplementary survey (which focused on key evidence gaps remaining from the initial survey) were better.</w:t>
      </w:r>
    </w:p>
    <w:p w14:paraId="385D4BC9" w14:textId="77777777" w:rsidR="00FC14FC" w:rsidRDefault="00FC14FC" w:rsidP="00FC14FC">
      <w:pPr>
        <w:pStyle w:val="BodyText"/>
      </w:pPr>
      <w:r>
        <w:t>In total, responses to the supplementary survey were received for 137 funds (out of a possible 186), with 104 of these funds providing data for the returns analysis by asset class. Not all funds were able to provide data for the entire time period, nor for all asset classes, particularly for earlier years (table 4.5).</w:t>
      </w:r>
    </w:p>
    <w:p w14:paraId="6E312773"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55A96717" w14:textId="77777777" w:rsidTr="00D11B9D">
        <w:trPr>
          <w:tblHeader/>
        </w:trPr>
        <w:tc>
          <w:tcPr>
            <w:tcW w:w="5000" w:type="pct"/>
            <w:tcBorders>
              <w:top w:val="single" w:sz="6" w:space="0" w:color="78A22F"/>
              <w:left w:val="nil"/>
              <w:bottom w:val="nil"/>
              <w:right w:val="nil"/>
            </w:tcBorders>
            <w:shd w:val="clear" w:color="auto" w:fill="auto"/>
          </w:tcPr>
          <w:p w14:paraId="6EC34E8D" w14:textId="77777777" w:rsidR="00FC14FC" w:rsidRPr="00784A05" w:rsidRDefault="00FC14FC" w:rsidP="00D11B9D">
            <w:pPr>
              <w:pStyle w:val="TableTitle"/>
            </w:pPr>
            <w:r>
              <w:rPr>
                <w:b w:val="0"/>
              </w:rPr>
              <w:t xml:space="preserve">Table </w:t>
            </w:r>
            <w:r>
              <w:rPr>
                <w:b w:val="0"/>
                <w:noProof/>
              </w:rPr>
              <w:t>4.5</w:t>
            </w:r>
            <w:r>
              <w:tab/>
              <w:t>Survey responses: number of observations for asset class returns (2008–2017)</w:t>
            </w:r>
            <w:r w:rsidRPr="00E42AC5">
              <w:rPr>
                <w:rStyle w:val="NoteLabel"/>
              </w:rPr>
              <w:t>a</w:t>
            </w:r>
          </w:p>
        </w:tc>
      </w:tr>
      <w:tr w:rsidR="00FC14FC" w14:paraId="2F8B3867"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23"/>
              <w:gridCol w:w="708"/>
              <w:gridCol w:w="708"/>
              <w:gridCol w:w="708"/>
              <w:gridCol w:w="708"/>
              <w:gridCol w:w="709"/>
              <w:gridCol w:w="708"/>
              <w:gridCol w:w="708"/>
              <w:gridCol w:w="708"/>
              <w:gridCol w:w="708"/>
              <w:gridCol w:w="709"/>
            </w:tblGrid>
            <w:tr w:rsidR="00FC14FC" w14:paraId="15E618C2" w14:textId="77777777" w:rsidTr="00D11B9D">
              <w:trPr>
                <w:tblHeader/>
              </w:trPr>
              <w:tc>
                <w:tcPr>
                  <w:tcW w:w="837" w:type="pct"/>
                  <w:tcBorders>
                    <w:top w:val="single" w:sz="6" w:space="0" w:color="BFBFBF"/>
                    <w:bottom w:val="single" w:sz="6" w:space="0" w:color="BFBFBF"/>
                  </w:tcBorders>
                  <w:shd w:val="clear" w:color="auto" w:fill="auto"/>
                  <w:tcMar>
                    <w:top w:w="28" w:type="dxa"/>
                  </w:tcMar>
                </w:tcPr>
                <w:p w14:paraId="5EE4BE89" w14:textId="77777777" w:rsidR="00FC14FC" w:rsidRDefault="00FC14FC" w:rsidP="00D11B9D">
                  <w:pPr>
                    <w:pStyle w:val="TableColumnHeading"/>
                    <w:jc w:val="left"/>
                  </w:pPr>
                  <w:r>
                    <w:t>Asset class</w:t>
                  </w:r>
                </w:p>
              </w:tc>
              <w:tc>
                <w:tcPr>
                  <w:tcW w:w="416" w:type="pct"/>
                  <w:tcBorders>
                    <w:top w:val="single" w:sz="6" w:space="0" w:color="BFBFBF"/>
                    <w:bottom w:val="single" w:sz="6" w:space="0" w:color="BFBFBF"/>
                  </w:tcBorders>
                </w:tcPr>
                <w:p w14:paraId="086E7E2A" w14:textId="77777777" w:rsidR="00FC14FC" w:rsidRDefault="00FC14FC" w:rsidP="00D11B9D">
                  <w:pPr>
                    <w:pStyle w:val="TableColumnHeading"/>
                  </w:pPr>
                  <w:r>
                    <w:t>2008</w:t>
                  </w:r>
                </w:p>
              </w:tc>
              <w:tc>
                <w:tcPr>
                  <w:tcW w:w="416" w:type="pct"/>
                  <w:tcBorders>
                    <w:top w:val="single" w:sz="6" w:space="0" w:color="BFBFBF"/>
                    <w:bottom w:val="single" w:sz="6" w:space="0" w:color="BFBFBF"/>
                  </w:tcBorders>
                  <w:shd w:val="clear" w:color="auto" w:fill="auto"/>
                  <w:tcMar>
                    <w:top w:w="28" w:type="dxa"/>
                  </w:tcMar>
                </w:tcPr>
                <w:p w14:paraId="11EAD66B" w14:textId="77777777" w:rsidR="00FC14FC" w:rsidRDefault="00FC14FC" w:rsidP="00D11B9D">
                  <w:pPr>
                    <w:pStyle w:val="TableColumnHeading"/>
                  </w:pPr>
                  <w:r>
                    <w:t>2009</w:t>
                  </w:r>
                </w:p>
              </w:tc>
              <w:tc>
                <w:tcPr>
                  <w:tcW w:w="416" w:type="pct"/>
                  <w:tcBorders>
                    <w:top w:val="single" w:sz="6" w:space="0" w:color="BFBFBF"/>
                    <w:bottom w:val="single" w:sz="6" w:space="0" w:color="BFBFBF"/>
                  </w:tcBorders>
                  <w:shd w:val="clear" w:color="auto" w:fill="auto"/>
                  <w:tcMar>
                    <w:top w:w="28" w:type="dxa"/>
                  </w:tcMar>
                </w:tcPr>
                <w:p w14:paraId="79309372" w14:textId="77777777" w:rsidR="00FC14FC" w:rsidRDefault="00FC14FC" w:rsidP="00D11B9D">
                  <w:pPr>
                    <w:pStyle w:val="TableColumnHeading"/>
                    <w:ind w:right="28"/>
                  </w:pPr>
                  <w:r>
                    <w:t>2010</w:t>
                  </w:r>
                </w:p>
              </w:tc>
              <w:tc>
                <w:tcPr>
                  <w:tcW w:w="416" w:type="pct"/>
                  <w:tcBorders>
                    <w:top w:val="single" w:sz="6" w:space="0" w:color="BFBFBF"/>
                    <w:bottom w:val="single" w:sz="6" w:space="0" w:color="BFBFBF"/>
                  </w:tcBorders>
                </w:tcPr>
                <w:p w14:paraId="57956EAE" w14:textId="77777777" w:rsidR="00FC14FC" w:rsidRDefault="00FC14FC" w:rsidP="00D11B9D">
                  <w:pPr>
                    <w:pStyle w:val="TableColumnHeading"/>
                  </w:pPr>
                  <w:r>
                    <w:t>2011</w:t>
                  </w:r>
                </w:p>
              </w:tc>
              <w:tc>
                <w:tcPr>
                  <w:tcW w:w="417" w:type="pct"/>
                  <w:tcBorders>
                    <w:top w:val="single" w:sz="6" w:space="0" w:color="BFBFBF"/>
                    <w:bottom w:val="single" w:sz="6" w:space="0" w:color="BFBFBF"/>
                  </w:tcBorders>
                </w:tcPr>
                <w:p w14:paraId="1AC3E334" w14:textId="77777777" w:rsidR="00FC14FC" w:rsidRDefault="00FC14FC" w:rsidP="00D11B9D">
                  <w:pPr>
                    <w:pStyle w:val="TableColumnHeading"/>
                  </w:pPr>
                  <w:r>
                    <w:t>2012</w:t>
                  </w:r>
                </w:p>
              </w:tc>
              <w:tc>
                <w:tcPr>
                  <w:tcW w:w="416" w:type="pct"/>
                  <w:tcBorders>
                    <w:top w:val="single" w:sz="6" w:space="0" w:color="BFBFBF"/>
                    <w:bottom w:val="single" w:sz="6" w:space="0" w:color="BFBFBF"/>
                  </w:tcBorders>
                </w:tcPr>
                <w:p w14:paraId="67EFFB22" w14:textId="77777777" w:rsidR="00FC14FC" w:rsidRDefault="00FC14FC" w:rsidP="00D11B9D">
                  <w:pPr>
                    <w:pStyle w:val="TableColumnHeading"/>
                  </w:pPr>
                  <w:r>
                    <w:t>2013</w:t>
                  </w:r>
                </w:p>
              </w:tc>
              <w:tc>
                <w:tcPr>
                  <w:tcW w:w="416" w:type="pct"/>
                  <w:tcBorders>
                    <w:top w:val="single" w:sz="6" w:space="0" w:color="BFBFBF"/>
                    <w:bottom w:val="single" w:sz="6" w:space="0" w:color="BFBFBF"/>
                  </w:tcBorders>
                </w:tcPr>
                <w:p w14:paraId="7C823EDC" w14:textId="77777777" w:rsidR="00FC14FC" w:rsidRDefault="00FC14FC" w:rsidP="00D11B9D">
                  <w:pPr>
                    <w:pStyle w:val="TableColumnHeading"/>
                  </w:pPr>
                  <w:r>
                    <w:t>2014</w:t>
                  </w:r>
                </w:p>
              </w:tc>
              <w:tc>
                <w:tcPr>
                  <w:tcW w:w="416" w:type="pct"/>
                  <w:tcBorders>
                    <w:top w:val="single" w:sz="6" w:space="0" w:color="BFBFBF"/>
                    <w:bottom w:val="single" w:sz="6" w:space="0" w:color="BFBFBF"/>
                  </w:tcBorders>
                </w:tcPr>
                <w:p w14:paraId="2BB27343" w14:textId="77777777" w:rsidR="00FC14FC" w:rsidRDefault="00FC14FC" w:rsidP="00D11B9D">
                  <w:pPr>
                    <w:pStyle w:val="TableColumnHeading"/>
                  </w:pPr>
                  <w:r>
                    <w:t>2015</w:t>
                  </w:r>
                </w:p>
              </w:tc>
              <w:tc>
                <w:tcPr>
                  <w:tcW w:w="416" w:type="pct"/>
                  <w:tcBorders>
                    <w:top w:val="single" w:sz="6" w:space="0" w:color="BFBFBF"/>
                    <w:bottom w:val="single" w:sz="6" w:space="0" w:color="BFBFBF"/>
                  </w:tcBorders>
                </w:tcPr>
                <w:p w14:paraId="77FC9632" w14:textId="77777777" w:rsidR="00FC14FC" w:rsidRDefault="00FC14FC" w:rsidP="00D11B9D">
                  <w:pPr>
                    <w:pStyle w:val="TableColumnHeading"/>
                  </w:pPr>
                  <w:r>
                    <w:t>2016</w:t>
                  </w:r>
                </w:p>
              </w:tc>
              <w:tc>
                <w:tcPr>
                  <w:tcW w:w="417" w:type="pct"/>
                  <w:tcBorders>
                    <w:top w:val="single" w:sz="6" w:space="0" w:color="BFBFBF"/>
                    <w:bottom w:val="single" w:sz="6" w:space="0" w:color="BFBFBF"/>
                  </w:tcBorders>
                </w:tcPr>
                <w:p w14:paraId="301AF998" w14:textId="77777777" w:rsidR="00FC14FC" w:rsidRDefault="00FC14FC" w:rsidP="00D11B9D">
                  <w:pPr>
                    <w:pStyle w:val="TableColumnHeading"/>
                    <w:ind w:right="28"/>
                  </w:pPr>
                  <w:r>
                    <w:t>2017</w:t>
                  </w:r>
                </w:p>
              </w:tc>
            </w:tr>
            <w:tr w:rsidR="00FC14FC" w14:paraId="4FC8AF99" w14:textId="77777777" w:rsidTr="00D11B9D">
              <w:tc>
                <w:tcPr>
                  <w:tcW w:w="837" w:type="pct"/>
                  <w:tcBorders>
                    <w:top w:val="single" w:sz="6" w:space="0" w:color="BFBFBF"/>
                  </w:tcBorders>
                  <w:shd w:val="clear" w:color="auto" w:fill="F2F2F2" w:themeFill="background1" w:themeFillShade="F2"/>
                  <w:vAlign w:val="bottom"/>
                </w:tcPr>
                <w:p w14:paraId="37508A77" w14:textId="77777777" w:rsidR="00FC14FC" w:rsidRDefault="00FC14FC" w:rsidP="00D11B9D">
                  <w:pPr>
                    <w:pStyle w:val="TableUnitsRow"/>
                    <w:jc w:val="left"/>
                  </w:pPr>
                  <w:r>
                    <w:t>Cash</w:t>
                  </w:r>
                </w:p>
              </w:tc>
              <w:tc>
                <w:tcPr>
                  <w:tcW w:w="416" w:type="pct"/>
                  <w:tcBorders>
                    <w:top w:val="single" w:sz="6" w:space="0" w:color="BFBFBF"/>
                  </w:tcBorders>
                  <w:shd w:val="clear" w:color="auto" w:fill="F2F2F2" w:themeFill="background1" w:themeFillShade="F2"/>
                  <w:vAlign w:val="bottom"/>
                </w:tcPr>
                <w:p w14:paraId="27DCD5B8" w14:textId="77777777" w:rsidR="00FC14FC" w:rsidRPr="00C81966" w:rsidRDefault="00FC14FC" w:rsidP="00D11B9D">
                  <w:pPr>
                    <w:pStyle w:val="TableUnitsRow"/>
                  </w:pPr>
                  <w:r w:rsidRPr="0051056A">
                    <w:t>53</w:t>
                  </w:r>
                </w:p>
              </w:tc>
              <w:tc>
                <w:tcPr>
                  <w:tcW w:w="416" w:type="pct"/>
                  <w:tcBorders>
                    <w:top w:val="single" w:sz="6" w:space="0" w:color="BFBFBF"/>
                  </w:tcBorders>
                  <w:shd w:val="clear" w:color="auto" w:fill="F2F2F2" w:themeFill="background1" w:themeFillShade="F2"/>
                  <w:vAlign w:val="bottom"/>
                </w:tcPr>
                <w:p w14:paraId="5DFFA931" w14:textId="77777777" w:rsidR="00FC14FC" w:rsidRPr="00C81966" w:rsidRDefault="00FC14FC" w:rsidP="00D11B9D">
                  <w:pPr>
                    <w:pStyle w:val="TableUnitsRow"/>
                  </w:pPr>
                  <w:r w:rsidRPr="0051056A">
                    <w:t>56</w:t>
                  </w:r>
                </w:p>
              </w:tc>
              <w:tc>
                <w:tcPr>
                  <w:tcW w:w="416" w:type="pct"/>
                  <w:tcBorders>
                    <w:top w:val="single" w:sz="6" w:space="0" w:color="BFBFBF"/>
                  </w:tcBorders>
                  <w:shd w:val="clear" w:color="auto" w:fill="F2F2F2" w:themeFill="background1" w:themeFillShade="F2"/>
                  <w:vAlign w:val="bottom"/>
                </w:tcPr>
                <w:p w14:paraId="340AA33B" w14:textId="77777777" w:rsidR="00FC14FC" w:rsidRPr="00C81966" w:rsidRDefault="00FC14FC" w:rsidP="00D11B9D">
                  <w:pPr>
                    <w:pStyle w:val="TableUnitsRow"/>
                  </w:pPr>
                  <w:r w:rsidRPr="0051056A">
                    <w:t>61</w:t>
                  </w:r>
                </w:p>
              </w:tc>
              <w:tc>
                <w:tcPr>
                  <w:tcW w:w="416" w:type="pct"/>
                  <w:tcBorders>
                    <w:top w:val="single" w:sz="6" w:space="0" w:color="BFBFBF"/>
                  </w:tcBorders>
                  <w:shd w:val="clear" w:color="auto" w:fill="F2F2F2" w:themeFill="background1" w:themeFillShade="F2"/>
                  <w:vAlign w:val="bottom"/>
                </w:tcPr>
                <w:p w14:paraId="1724CD87" w14:textId="77777777" w:rsidR="00FC14FC" w:rsidRPr="00C81966" w:rsidRDefault="00FC14FC" w:rsidP="00D11B9D">
                  <w:pPr>
                    <w:pStyle w:val="TableUnitsRow"/>
                  </w:pPr>
                  <w:r w:rsidRPr="0051056A">
                    <w:t>64</w:t>
                  </w:r>
                </w:p>
              </w:tc>
              <w:tc>
                <w:tcPr>
                  <w:tcW w:w="417" w:type="pct"/>
                  <w:tcBorders>
                    <w:top w:val="single" w:sz="6" w:space="0" w:color="BFBFBF"/>
                  </w:tcBorders>
                  <w:shd w:val="clear" w:color="auto" w:fill="F2F2F2" w:themeFill="background1" w:themeFillShade="F2"/>
                  <w:vAlign w:val="bottom"/>
                </w:tcPr>
                <w:p w14:paraId="79ED6545" w14:textId="77777777" w:rsidR="00FC14FC" w:rsidRPr="00C81966" w:rsidRDefault="00FC14FC" w:rsidP="00D11B9D">
                  <w:pPr>
                    <w:pStyle w:val="TableUnitsRow"/>
                  </w:pPr>
                  <w:r w:rsidRPr="0051056A">
                    <w:t>68</w:t>
                  </w:r>
                </w:p>
              </w:tc>
              <w:tc>
                <w:tcPr>
                  <w:tcW w:w="416" w:type="pct"/>
                  <w:tcBorders>
                    <w:top w:val="single" w:sz="6" w:space="0" w:color="BFBFBF"/>
                  </w:tcBorders>
                  <w:shd w:val="clear" w:color="auto" w:fill="F2F2F2" w:themeFill="background1" w:themeFillShade="F2"/>
                  <w:vAlign w:val="bottom"/>
                </w:tcPr>
                <w:p w14:paraId="2352EEDF" w14:textId="77777777" w:rsidR="00FC14FC" w:rsidRPr="00C81966" w:rsidRDefault="00FC14FC" w:rsidP="00D11B9D">
                  <w:pPr>
                    <w:pStyle w:val="TableUnitsRow"/>
                  </w:pPr>
                  <w:r w:rsidRPr="0051056A">
                    <w:t>71</w:t>
                  </w:r>
                </w:p>
              </w:tc>
              <w:tc>
                <w:tcPr>
                  <w:tcW w:w="416" w:type="pct"/>
                  <w:tcBorders>
                    <w:top w:val="single" w:sz="6" w:space="0" w:color="BFBFBF"/>
                  </w:tcBorders>
                  <w:shd w:val="clear" w:color="auto" w:fill="F2F2F2" w:themeFill="background1" w:themeFillShade="F2"/>
                  <w:vAlign w:val="bottom"/>
                </w:tcPr>
                <w:p w14:paraId="3FA29C94" w14:textId="77777777" w:rsidR="00FC14FC" w:rsidRPr="00C81966" w:rsidRDefault="00FC14FC" w:rsidP="00D11B9D">
                  <w:pPr>
                    <w:pStyle w:val="TableUnitsRow"/>
                  </w:pPr>
                  <w:r w:rsidRPr="0051056A">
                    <w:t>90</w:t>
                  </w:r>
                </w:p>
              </w:tc>
              <w:tc>
                <w:tcPr>
                  <w:tcW w:w="416" w:type="pct"/>
                  <w:tcBorders>
                    <w:top w:val="single" w:sz="6" w:space="0" w:color="BFBFBF"/>
                  </w:tcBorders>
                  <w:shd w:val="clear" w:color="auto" w:fill="F2F2F2" w:themeFill="background1" w:themeFillShade="F2"/>
                  <w:vAlign w:val="bottom"/>
                </w:tcPr>
                <w:p w14:paraId="5C5DC31D" w14:textId="77777777" w:rsidR="00FC14FC" w:rsidRPr="00C81966" w:rsidRDefault="00FC14FC" w:rsidP="00D11B9D">
                  <w:pPr>
                    <w:pStyle w:val="TableUnitsRow"/>
                  </w:pPr>
                  <w:r w:rsidRPr="0051056A">
                    <w:t>95</w:t>
                  </w:r>
                </w:p>
              </w:tc>
              <w:tc>
                <w:tcPr>
                  <w:tcW w:w="416" w:type="pct"/>
                  <w:tcBorders>
                    <w:top w:val="single" w:sz="6" w:space="0" w:color="BFBFBF"/>
                  </w:tcBorders>
                  <w:shd w:val="clear" w:color="auto" w:fill="F2F2F2" w:themeFill="background1" w:themeFillShade="F2"/>
                  <w:vAlign w:val="bottom"/>
                </w:tcPr>
                <w:p w14:paraId="14131837" w14:textId="77777777" w:rsidR="00FC14FC" w:rsidRPr="00C81966" w:rsidRDefault="00FC14FC" w:rsidP="00D11B9D">
                  <w:pPr>
                    <w:pStyle w:val="TableUnitsRow"/>
                  </w:pPr>
                  <w:r w:rsidRPr="0051056A">
                    <w:t>95</w:t>
                  </w:r>
                </w:p>
              </w:tc>
              <w:tc>
                <w:tcPr>
                  <w:tcW w:w="417" w:type="pct"/>
                  <w:tcBorders>
                    <w:top w:val="single" w:sz="6" w:space="0" w:color="BFBFBF"/>
                  </w:tcBorders>
                  <w:shd w:val="clear" w:color="auto" w:fill="F2F2F2" w:themeFill="background1" w:themeFillShade="F2"/>
                  <w:vAlign w:val="bottom"/>
                </w:tcPr>
                <w:p w14:paraId="3B949FF1" w14:textId="77777777" w:rsidR="00FC14FC" w:rsidRPr="00C81966" w:rsidRDefault="00FC14FC" w:rsidP="00D11B9D">
                  <w:pPr>
                    <w:pStyle w:val="TableUnitsRow"/>
                    <w:ind w:right="28"/>
                  </w:pPr>
                  <w:r w:rsidRPr="0051056A">
                    <w:t>97</w:t>
                  </w:r>
                </w:p>
              </w:tc>
            </w:tr>
            <w:tr w:rsidR="00FC14FC" w14:paraId="705CC557" w14:textId="77777777" w:rsidTr="00D11B9D">
              <w:tc>
                <w:tcPr>
                  <w:tcW w:w="837" w:type="pct"/>
                  <w:vAlign w:val="bottom"/>
                </w:tcPr>
                <w:p w14:paraId="6105729F" w14:textId="77777777" w:rsidR="00FC14FC" w:rsidRDefault="00FC14FC" w:rsidP="00D11B9D">
                  <w:pPr>
                    <w:pStyle w:val="TableBodyText"/>
                    <w:jc w:val="left"/>
                  </w:pPr>
                  <w:r>
                    <w:t>Australian listed equity</w:t>
                  </w:r>
                </w:p>
              </w:tc>
              <w:tc>
                <w:tcPr>
                  <w:tcW w:w="416" w:type="pct"/>
                  <w:vAlign w:val="bottom"/>
                </w:tcPr>
                <w:p w14:paraId="290B2923" w14:textId="77777777" w:rsidR="00FC14FC" w:rsidRPr="00C81966" w:rsidRDefault="00FC14FC" w:rsidP="00D11B9D">
                  <w:pPr>
                    <w:pStyle w:val="TableUnitsRow"/>
                    <w:spacing w:before="0"/>
                  </w:pPr>
                  <w:r w:rsidRPr="0051056A">
                    <w:t>54</w:t>
                  </w:r>
                </w:p>
              </w:tc>
              <w:tc>
                <w:tcPr>
                  <w:tcW w:w="416" w:type="pct"/>
                  <w:vAlign w:val="bottom"/>
                </w:tcPr>
                <w:p w14:paraId="2C35E25B" w14:textId="77777777" w:rsidR="00FC14FC" w:rsidRPr="00C81966" w:rsidRDefault="00FC14FC" w:rsidP="00D11B9D">
                  <w:pPr>
                    <w:pStyle w:val="TableUnitsRow"/>
                    <w:spacing w:before="0"/>
                  </w:pPr>
                  <w:r w:rsidRPr="0051056A">
                    <w:t>57</w:t>
                  </w:r>
                </w:p>
              </w:tc>
              <w:tc>
                <w:tcPr>
                  <w:tcW w:w="416" w:type="pct"/>
                  <w:vAlign w:val="bottom"/>
                </w:tcPr>
                <w:p w14:paraId="2A399134" w14:textId="77777777" w:rsidR="00FC14FC" w:rsidRPr="00C81966" w:rsidRDefault="00FC14FC" w:rsidP="00D11B9D">
                  <w:pPr>
                    <w:pStyle w:val="TableUnitsRow"/>
                    <w:spacing w:before="0"/>
                  </w:pPr>
                  <w:r w:rsidRPr="0051056A">
                    <w:t>60</w:t>
                  </w:r>
                </w:p>
              </w:tc>
              <w:tc>
                <w:tcPr>
                  <w:tcW w:w="416" w:type="pct"/>
                  <w:vAlign w:val="bottom"/>
                </w:tcPr>
                <w:p w14:paraId="7D84510D" w14:textId="77777777" w:rsidR="00FC14FC" w:rsidRPr="00C81966" w:rsidRDefault="00FC14FC" w:rsidP="00D11B9D">
                  <w:pPr>
                    <w:pStyle w:val="TableUnitsRow"/>
                    <w:spacing w:before="0"/>
                  </w:pPr>
                  <w:r w:rsidRPr="0051056A">
                    <w:t>63</w:t>
                  </w:r>
                </w:p>
              </w:tc>
              <w:tc>
                <w:tcPr>
                  <w:tcW w:w="417" w:type="pct"/>
                  <w:vAlign w:val="bottom"/>
                </w:tcPr>
                <w:p w14:paraId="582665C5" w14:textId="77777777" w:rsidR="00FC14FC" w:rsidRPr="00C81966" w:rsidRDefault="00FC14FC" w:rsidP="00D11B9D">
                  <w:pPr>
                    <w:pStyle w:val="TableUnitsRow"/>
                    <w:spacing w:before="0"/>
                  </w:pPr>
                  <w:r w:rsidRPr="0051056A">
                    <w:t>67</w:t>
                  </w:r>
                </w:p>
              </w:tc>
              <w:tc>
                <w:tcPr>
                  <w:tcW w:w="416" w:type="pct"/>
                  <w:vAlign w:val="bottom"/>
                </w:tcPr>
                <w:p w14:paraId="541B0EC2" w14:textId="77777777" w:rsidR="00FC14FC" w:rsidRPr="00C81966" w:rsidRDefault="00FC14FC" w:rsidP="00D11B9D">
                  <w:pPr>
                    <w:pStyle w:val="TableUnitsRow"/>
                    <w:spacing w:before="0"/>
                  </w:pPr>
                  <w:r w:rsidRPr="0051056A">
                    <w:t>70</w:t>
                  </w:r>
                </w:p>
              </w:tc>
              <w:tc>
                <w:tcPr>
                  <w:tcW w:w="416" w:type="pct"/>
                  <w:vAlign w:val="bottom"/>
                </w:tcPr>
                <w:p w14:paraId="2D11FA4D" w14:textId="77777777" w:rsidR="00FC14FC" w:rsidRPr="00C81966" w:rsidRDefault="00FC14FC" w:rsidP="00D11B9D">
                  <w:pPr>
                    <w:pStyle w:val="TableUnitsRow"/>
                    <w:spacing w:before="0"/>
                  </w:pPr>
                  <w:r w:rsidRPr="0051056A">
                    <w:t>91</w:t>
                  </w:r>
                </w:p>
              </w:tc>
              <w:tc>
                <w:tcPr>
                  <w:tcW w:w="416" w:type="pct"/>
                  <w:vAlign w:val="bottom"/>
                </w:tcPr>
                <w:p w14:paraId="25BC1CF0" w14:textId="77777777" w:rsidR="00FC14FC" w:rsidRPr="00C81966" w:rsidRDefault="00FC14FC" w:rsidP="00D11B9D">
                  <w:pPr>
                    <w:pStyle w:val="TableUnitsRow"/>
                    <w:spacing w:before="0"/>
                  </w:pPr>
                  <w:r w:rsidRPr="0051056A">
                    <w:t>95</w:t>
                  </w:r>
                </w:p>
              </w:tc>
              <w:tc>
                <w:tcPr>
                  <w:tcW w:w="416" w:type="pct"/>
                  <w:vAlign w:val="bottom"/>
                </w:tcPr>
                <w:p w14:paraId="3CAEE92C" w14:textId="77777777" w:rsidR="00FC14FC" w:rsidRPr="00C81966" w:rsidRDefault="00FC14FC" w:rsidP="00D11B9D">
                  <w:pPr>
                    <w:pStyle w:val="TableUnitsRow"/>
                    <w:spacing w:before="0"/>
                  </w:pPr>
                  <w:r w:rsidRPr="0051056A">
                    <w:t>95</w:t>
                  </w:r>
                </w:p>
              </w:tc>
              <w:tc>
                <w:tcPr>
                  <w:tcW w:w="417" w:type="pct"/>
                  <w:vAlign w:val="bottom"/>
                </w:tcPr>
                <w:p w14:paraId="1D34097D" w14:textId="77777777" w:rsidR="00FC14FC" w:rsidRPr="00C81966" w:rsidRDefault="00FC14FC" w:rsidP="00D11B9D">
                  <w:pPr>
                    <w:pStyle w:val="TableUnitsRow"/>
                    <w:spacing w:before="0"/>
                    <w:ind w:right="28"/>
                  </w:pPr>
                  <w:r w:rsidRPr="0051056A">
                    <w:t>97</w:t>
                  </w:r>
                </w:p>
              </w:tc>
            </w:tr>
            <w:tr w:rsidR="00FC14FC" w14:paraId="65A48C53" w14:textId="77777777" w:rsidTr="00D11B9D">
              <w:tc>
                <w:tcPr>
                  <w:tcW w:w="837" w:type="pct"/>
                  <w:shd w:val="clear" w:color="auto" w:fill="F2F2F2" w:themeFill="background1" w:themeFillShade="F2"/>
                  <w:vAlign w:val="bottom"/>
                </w:tcPr>
                <w:p w14:paraId="320B9F01" w14:textId="77777777" w:rsidR="00FC14FC" w:rsidRDefault="00FC14FC" w:rsidP="00D11B9D">
                  <w:pPr>
                    <w:pStyle w:val="TableBodyText"/>
                    <w:jc w:val="left"/>
                  </w:pPr>
                  <w:r>
                    <w:t>International listed equity</w:t>
                  </w:r>
                </w:p>
              </w:tc>
              <w:tc>
                <w:tcPr>
                  <w:tcW w:w="416" w:type="pct"/>
                  <w:shd w:val="clear" w:color="auto" w:fill="F2F2F2" w:themeFill="background1" w:themeFillShade="F2"/>
                  <w:vAlign w:val="bottom"/>
                </w:tcPr>
                <w:p w14:paraId="02DFC1B5" w14:textId="77777777" w:rsidR="00FC14FC" w:rsidRPr="00C81966" w:rsidRDefault="00FC14FC" w:rsidP="00D11B9D">
                  <w:pPr>
                    <w:pStyle w:val="TableUnitsRow"/>
                    <w:spacing w:before="0"/>
                  </w:pPr>
                  <w:r w:rsidRPr="0051056A">
                    <w:t>53</w:t>
                  </w:r>
                </w:p>
              </w:tc>
              <w:tc>
                <w:tcPr>
                  <w:tcW w:w="416" w:type="pct"/>
                  <w:shd w:val="clear" w:color="auto" w:fill="F2F2F2" w:themeFill="background1" w:themeFillShade="F2"/>
                  <w:vAlign w:val="bottom"/>
                </w:tcPr>
                <w:p w14:paraId="5D16F626" w14:textId="77777777" w:rsidR="00FC14FC" w:rsidRPr="00C81966" w:rsidRDefault="00FC14FC" w:rsidP="00D11B9D">
                  <w:pPr>
                    <w:pStyle w:val="TableUnitsRow"/>
                    <w:spacing w:before="0"/>
                  </w:pPr>
                  <w:r w:rsidRPr="0051056A">
                    <w:t>56</w:t>
                  </w:r>
                </w:p>
              </w:tc>
              <w:tc>
                <w:tcPr>
                  <w:tcW w:w="416" w:type="pct"/>
                  <w:shd w:val="clear" w:color="auto" w:fill="F2F2F2" w:themeFill="background1" w:themeFillShade="F2"/>
                  <w:vAlign w:val="bottom"/>
                </w:tcPr>
                <w:p w14:paraId="54EDEEE4" w14:textId="77777777" w:rsidR="00FC14FC" w:rsidRPr="00C81966" w:rsidRDefault="00FC14FC" w:rsidP="00D11B9D">
                  <w:pPr>
                    <w:pStyle w:val="TableUnitsRow"/>
                    <w:spacing w:before="0"/>
                  </w:pPr>
                  <w:r w:rsidRPr="0051056A">
                    <w:t>59</w:t>
                  </w:r>
                </w:p>
              </w:tc>
              <w:tc>
                <w:tcPr>
                  <w:tcW w:w="416" w:type="pct"/>
                  <w:shd w:val="clear" w:color="auto" w:fill="F2F2F2" w:themeFill="background1" w:themeFillShade="F2"/>
                  <w:vAlign w:val="bottom"/>
                </w:tcPr>
                <w:p w14:paraId="46F27E90" w14:textId="77777777" w:rsidR="00FC14FC" w:rsidRPr="00C81966" w:rsidRDefault="00FC14FC" w:rsidP="00D11B9D">
                  <w:pPr>
                    <w:pStyle w:val="TableUnitsRow"/>
                    <w:spacing w:before="0"/>
                  </w:pPr>
                  <w:r w:rsidRPr="0051056A">
                    <w:t>61</w:t>
                  </w:r>
                </w:p>
              </w:tc>
              <w:tc>
                <w:tcPr>
                  <w:tcW w:w="417" w:type="pct"/>
                  <w:shd w:val="clear" w:color="auto" w:fill="F2F2F2" w:themeFill="background1" w:themeFillShade="F2"/>
                  <w:vAlign w:val="bottom"/>
                </w:tcPr>
                <w:p w14:paraId="5FEE3D11" w14:textId="77777777" w:rsidR="00FC14FC" w:rsidRPr="00C81966" w:rsidRDefault="00FC14FC" w:rsidP="00D11B9D">
                  <w:pPr>
                    <w:pStyle w:val="TableUnitsRow"/>
                    <w:spacing w:before="0"/>
                  </w:pPr>
                  <w:r w:rsidRPr="0051056A">
                    <w:t>65</w:t>
                  </w:r>
                </w:p>
              </w:tc>
              <w:tc>
                <w:tcPr>
                  <w:tcW w:w="416" w:type="pct"/>
                  <w:shd w:val="clear" w:color="auto" w:fill="F2F2F2" w:themeFill="background1" w:themeFillShade="F2"/>
                  <w:vAlign w:val="bottom"/>
                </w:tcPr>
                <w:p w14:paraId="51A99E73" w14:textId="77777777" w:rsidR="00FC14FC" w:rsidRPr="00C81966" w:rsidRDefault="00FC14FC" w:rsidP="00D11B9D">
                  <w:pPr>
                    <w:pStyle w:val="TableUnitsRow"/>
                    <w:spacing w:before="0"/>
                  </w:pPr>
                  <w:r w:rsidRPr="0051056A">
                    <w:t>68</w:t>
                  </w:r>
                </w:p>
              </w:tc>
              <w:tc>
                <w:tcPr>
                  <w:tcW w:w="416" w:type="pct"/>
                  <w:shd w:val="clear" w:color="auto" w:fill="F2F2F2" w:themeFill="background1" w:themeFillShade="F2"/>
                  <w:vAlign w:val="bottom"/>
                </w:tcPr>
                <w:p w14:paraId="7330837B" w14:textId="77777777" w:rsidR="00FC14FC" w:rsidRPr="00C81966" w:rsidRDefault="00FC14FC" w:rsidP="00D11B9D">
                  <w:pPr>
                    <w:pStyle w:val="TableUnitsRow"/>
                    <w:spacing w:before="0"/>
                  </w:pPr>
                  <w:r w:rsidRPr="0051056A">
                    <w:t>88</w:t>
                  </w:r>
                </w:p>
              </w:tc>
              <w:tc>
                <w:tcPr>
                  <w:tcW w:w="416" w:type="pct"/>
                  <w:shd w:val="clear" w:color="auto" w:fill="F2F2F2" w:themeFill="background1" w:themeFillShade="F2"/>
                  <w:vAlign w:val="bottom"/>
                </w:tcPr>
                <w:p w14:paraId="2731007E" w14:textId="77777777" w:rsidR="00FC14FC" w:rsidRPr="00C81966" w:rsidRDefault="00FC14FC" w:rsidP="00D11B9D">
                  <w:pPr>
                    <w:pStyle w:val="TableUnitsRow"/>
                    <w:spacing w:before="0"/>
                  </w:pPr>
                  <w:r w:rsidRPr="0051056A">
                    <w:t>95</w:t>
                  </w:r>
                </w:p>
              </w:tc>
              <w:tc>
                <w:tcPr>
                  <w:tcW w:w="416" w:type="pct"/>
                  <w:shd w:val="clear" w:color="auto" w:fill="F2F2F2" w:themeFill="background1" w:themeFillShade="F2"/>
                  <w:vAlign w:val="bottom"/>
                </w:tcPr>
                <w:p w14:paraId="1DECB087" w14:textId="77777777" w:rsidR="00FC14FC" w:rsidRPr="00C81966" w:rsidRDefault="00FC14FC" w:rsidP="00D11B9D">
                  <w:pPr>
                    <w:pStyle w:val="TableUnitsRow"/>
                    <w:spacing w:before="0"/>
                  </w:pPr>
                  <w:r w:rsidRPr="0051056A">
                    <w:t>94</w:t>
                  </w:r>
                </w:p>
              </w:tc>
              <w:tc>
                <w:tcPr>
                  <w:tcW w:w="417" w:type="pct"/>
                  <w:shd w:val="clear" w:color="auto" w:fill="F2F2F2" w:themeFill="background1" w:themeFillShade="F2"/>
                  <w:vAlign w:val="bottom"/>
                </w:tcPr>
                <w:p w14:paraId="1C3CDADA" w14:textId="77777777" w:rsidR="00FC14FC" w:rsidRPr="00C81966" w:rsidRDefault="00FC14FC" w:rsidP="00D11B9D">
                  <w:pPr>
                    <w:pStyle w:val="TableUnitsRow"/>
                    <w:spacing w:before="0"/>
                    <w:ind w:right="28"/>
                  </w:pPr>
                  <w:r w:rsidRPr="0051056A">
                    <w:t>95</w:t>
                  </w:r>
                </w:p>
              </w:tc>
            </w:tr>
            <w:tr w:rsidR="00FC14FC" w14:paraId="45C4E430" w14:textId="77777777" w:rsidTr="00D11B9D">
              <w:tc>
                <w:tcPr>
                  <w:tcW w:w="837" w:type="pct"/>
                  <w:vAlign w:val="bottom"/>
                </w:tcPr>
                <w:p w14:paraId="74A82FA7" w14:textId="77777777" w:rsidR="00FC14FC" w:rsidRDefault="00FC14FC" w:rsidP="00D11B9D">
                  <w:pPr>
                    <w:pStyle w:val="TableBodyText"/>
                    <w:jc w:val="left"/>
                  </w:pPr>
                  <w:r>
                    <w:t>Australian fixed income</w:t>
                  </w:r>
                </w:p>
              </w:tc>
              <w:tc>
                <w:tcPr>
                  <w:tcW w:w="416" w:type="pct"/>
                  <w:vAlign w:val="bottom"/>
                </w:tcPr>
                <w:p w14:paraId="73392242" w14:textId="77777777" w:rsidR="00FC14FC" w:rsidRPr="00C81966" w:rsidRDefault="00FC14FC" w:rsidP="00D11B9D">
                  <w:pPr>
                    <w:pStyle w:val="TableUnitsRow"/>
                    <w:spacing w:before="0"/>
                  </w:pPr>
                  <w:r w:rsidRPr="0051056A">
                    <w:t>41</w:t>
                  </w:r>
                </w:p>
              </w:tc>
              <w:tc>
                <w:tcPr>
                  <w:tcW w:w="416" w:type="pct"/>
                  <w:vAlign w:val="bottom"/>
                </w:tcPr>
                <w:p w14:paraId="71E44345" w14:textId="77777777" w:rsidR="00FC14FC" w:rsidRPr="00C81966" w:rsidRDefault="00FC14FC" w:rsidP="00D11B9D">
                  <w:pPr>
                    <w:pStyle w:val="TableUnitsRow"/>
                    <w:spacing w:before="0"/>
                  </w:pPr>
                  <w:r w:rsidRPr="0051056A">
                    <w:t>49</w:t>
                  </w:r>
                </w:p>
              </w:tc>
              <w:tc>
                <w:tcPr>
                  <w:tcW w:w="416" w:type="pct"/>
                  <w:vAlign w:val="bottom"/>
                </w:tcPr>
                <w:p w14:paraId="5CF5B3AA" w14:textId="77777777" w:rsidR="00FC14FC" w:rsidRPr="00C81966" w:rsidRDefault="00FC14FC" w:rsidP="00D11B9D">
                  <w:pPr>
                    <w:pStyle w:val="TableUnitsRow"/>
                    <w:spacing w:before="0"/>
                  </w:pPr>
                  <w:r w:rsidRPr="0051056A">
                    <w:t>51</w:t>
                  </w:r>
                </w:p>
              </w:tc>
              <w:tc>
                <w:tcPr>
                  <w:tcW w:w="416" w:type="pct"/>
                  <w:vAlign w:val="bottom"/>
                </w:tcPr>
                <w:p w14:paraId="58FA5580" w14:textId="77777777" w:rsidR="00FC14FC" w:rsidRPr="00C81966" w:rsidRDefault="00FC14FC" w:rsidP="00D11B9D">
                  <w:pPr>
                    <w:pStyle w:val="TableUnitsRow"/>
                    <w:spacing w:before="0"/>
                  </w:pPr>
                  <w:r w:rsidRPr="0051056A">
                    <w:t>52</w:t>
                  </w:r>
                </w:p>
              </w:tc>
              <w:tc>
                <w:tcPr>
                  <w:tcW w:w="417" w:type="pct"/>
                  <w:vAlign w:val="bottom"/>
                </w:tcPr>
                <w:p w14:paraId="16AEFA0D" w14:textId="77777777" w:rsidR="00FC14FC" w:rsidRPr="00C81966" w:rsidRDefault="00FC14FC" w:rsidP="00D11B9D">
                  <w:pPr>
                    <w:pStyle w:val="TableUnitsRow"/>
                    <w:spacing w:before="0"/>
                  </w:pPr>
                  <w:r w:rsidRPr="0051056A">
                    <w:t>54</w:t>
                  </w:r>
                </w:p>
              </w:tc>
              <w:tc>
                <w:tcPr>
                  <w:tcW w:w="416" w:type="pct"/>
                  <w:vAlign w:val="bottom"/>
                </w:tcPr>
                <w:p w14:paraId="51BB8370" w14:textId="77777777" w:rsidR="00FC14FC" w:rsidRPr="00C81966" w:rsidRDefault="00FC14FC" w:rsidP="00D11B9D">
                  <w:pPr>
                    <w:pStyle w:val="TableUnitsRow"/>
                    <w:spacing w:before="0"/>
                  </w:pPr>
                  <w:r w:rsidRPr="0051056A">
                    <w:t>57</w:t>
                  </w:r>
                </w:p>
              </w:tc>
              <w:tc>
                <w:tcPr>
                  <w:tcW w:w="416" w:type="pct"/>
                  <w:vAlign w:val="bottom"/>
                </w:tcPr>
                <w:p w14:paraId="21AE3ACD" w14:textId="77777777" w:rsidR="00FC14FC" w:rsidRPr="00C81966" w:rsidRDefault="00FC14FC" w:rsidP="00D11B9D">
                  <w:pPr>
                    <w:pStyle w:val="TableUnitsRow"/>
                    <w:spacing w:before="0"/>
                  </w:pPr>
                  <w:r w:rsidRPr="0051056A">
                    <w:t>74</w:t>
                  </w:r>
                </w:p>
              </w:tc>
              <w:tc>
                <w:tcPr>
                  <w:tcW w:w="416" w:type="pct"/>
                  <w:vAlign w:val="bottom"/>
                </w:tcPr>
                <w:p w14:paraId="34129F84" w14:textId="77777777" w:rsidR="00FC14FC" w:rsidRPr="00C81966" w:rsidRDefault="00FC14FC" w:rsidP="00D11B9D">
                  <w:pPr>
                    <w:pStyle w:val="TableUnitsRow"/>
                    <w:spacing w:before="0"/>
                  </w:pPr>
                  <w:r w:rsidRPr="0051056A">
                    <w:t>80</w:t>
                  </w:r>
                </w:p>
              </w:tc>
              <w:tc>
                <w:tcPr>
                  <w:tcW w:w="416" w:type="pct"/>
                  <w:vAlign w:val="bottom"/>
                </w:tcPr>
                <w:p w14:paraId="497E6B03" w14:textId="77777777" w:rsidR="00FC14FC" w:rsidRPr="00C81966" w:rsidRDefault="00FC14FC" w:rsidP="00D11B9D">
                  <w:pPr>
                    <w:pStyle w:val="TableUnitsRow"/>
                    <w:spacing w:before="0"/>
                  </w:pPr>
                  <w:r w:rsidRPr="0051056A">
                    <w:t>81</w:t>
                  </w:r>
                </w:p>
              </w:tc>
              <w:tc>
                <w:tcPr>
                  <w:tcW w:w="417" w:type="pct"/>
                  <w:vAlign w:val="bottom"/>
                </w:tcPr>
                <w:p w14:paraId="11DC26B0" w14:textId="77777777" w:rsidR="00FC14FC" w:rsidRPr="00C81966" w:rsidRDefault="00FC14FC" w:rsidP="00D11B9D">
                  <w:pPr>
                    <w:pStyle w:val="TableUnitsRow"/>
                    <w:spacing w:before="0"/>
                    <w:ind w:right="28"/>
                  </w:pPr>
                  <w:r w:rsidRPr="0051056A">
                    <w:t>83</w:t>
                  </w:r>
                </w:p>
              </w:tc>
            </w:tr>
            <w:tr w:rsidR="00FC14FC" w14:paraId="08F5E1AA" w14:textId="77777777" w:rsidTr="00D11B9D">
              <w:tc>
                <w:tcPr>
                  <w:tcW w:w="837" w:type="pct"/>
                  <w:shd w:val="clear" w:color="auto" w:fill="F2F2F2" w:themeFill="background1" w:themeFillShade="F2"/>
                  <w:vAlign w:val="bottom"/>
                </w:tcPr>
                <w:p w14:paraId="2D72CC65" w14:textId="77777777" w:rsidR="00FC14FC" w:rsidRDefault="00FC14FC" w:rsidP="00D11B9D">
                  <w:pPr>
                    <w:pStyle w:val="TableBodyText"/>
                    <w:jc w:val="left"/>
                  </w:pPr>
                  <w:r>
                    <w:t>International fixed income</w:t>
                  </w:r>
                </w:p>
              </w:tc>
              <w:tc>
                <w:tcPr>
                  <w:tcW w:w="416" w:type="pct"/>
                  <w:shd w:val="clear" w:color="auto" w:fill="F2F2F2" w:themeFill="background1" w:themeFillShade="F2"/>
                  <w:vAlign w:val="bottom"/>
                </w:tcPr>
                <w:p w14:paraId="2818190F" w14:textId="77777777" w:rsidR="00FC14FC" w:rsidRPr="00C81966" w:rsidRDefault="00FC14FC" w:rsidP="00D11B9D">
                  <w:pPr>
                    <w:pStyle w:val="TableUnitsRow"/>
                    <w:spacing w:before="0"/>
                  </w:pPr>
                  <w:r w:rsidRPr="0051056A">
                    <w:t>40</w:t>
                  </w:r>
                </w:p>
              </w:tc>
              <w:tc>
                <w:tcPr>
                  <w:tcW w:w="416" w:type="pct"/>
                  <w:shd w:val="clear" w:color="auto" w:fill="F2F2F2" w:themeFill="background1" w:themeFillShade="F2"/>
                  <w:vAlign w:val="bottom"/>
                </w:tcPr>
                <w:p w14:paraId="3F860A2C" w14:textId="77777777" w:rsidR="00FC14FC" w:rsidRPr="00C81966" w:rsidRDefault="00FC14FC" w:rsidP="00D11B9D">
                  <w:pPr>
                    <w:pStyle w:val="TableUnitsRow"/>
                    <w:spacing w:before="0"/>
                  </w:pPr>
                  <w:r w:rsidRPr="0051056A">
                    <w:t>43</w:t>
                  </w:r>
                </w:p>
              </w:tc>
              <w:tc>
                <w:tcPr>
                  <w:tcW w:w="416" w:type="pct"/>
                  <w:shd w:val="clear" w:color="auto" w:fill="F2F2F2" w:themeFill="background1" w:themeFillShade="F2"/>
                  <w:vAlign w:val="bottom"/>
                </w:tcPr>
                <w:p w14:paraId="14411CE5" w14:textId="77777777" w:rsidR="00FC14FC" w:rsidRPr="00C81966" w:rsidRDefault="00FC14FC" w:rsidP="00D11B9D">
                  <w:pPr>
                    <w:pStyle w:val="TableUnitsRow"/>
                    <w:spacing w:before="0"/>
                  </w:pPr>
                  <w:r w:rsidRPr="0051056A">
                    <w:t>44</w:t>
                  </w:r>
                </w:p>
              </w:tc>
              <w:tc>
                <w:tcPr>
                  <w:tcW w:w="416" w:type="pct"/>
                  <w:shd w:val="clear" w:color="auto" w:fill="F2F2F2" w:themeFill="background1" w:themeFillShade="F2"/>
                  <w:vAlign w:val="bottom"/>
                </w:tcPr>
                <w:p w14:paraId="20FE27AE" w14:textId="77777777" w:rsidR="00FC14FC" w:rsidRPr="00C81966" w:rsidRDefault="00FC14FC" w:rsidP="00D11B9D">
                  <w:pPr>
                    <w:pStyle w:val="TableUnitsRow"/>
                    <w:spacing w:before="0"/>
                  </w:pPr>
                  <w:r w:rsidRPr="0051056A">
                    <w:t>46</w:t>
                  </w:r>
                </w:p>
              </w:tc>
              <w:tc>
                <w:tcPr>
                  <w:tcW w:w="417" w:type="pct"/>
                  <w:shd w:val="clear" w:color="auto" w:fill="F2F2F2" w:themeFill="background1" w:themeFillShade="F2"/>
                  <w:vAlign w:val="bottom"/>
                </w:tcPr>
                <w:p w14:paraId="5144F150" w14:textId="77777777" w:rsidR="00FC14FC" w:rsidRPr="00C81966" w:rsidRDefault="00FC14FC" w:rsidP="00D11B9D">
                  <w:pPr>
                    <w:pStyle w:val="TableUnitsRow"/>
                    <w:spacing w:before="0"/>
                  </w:pPr>
                  <w:r w:rsidRPr="0051056A">
                    <w:t>46</w:t>
                  </w:r>
                </w:p>
              </w:tc>
              <w:tc>
                <w:tcPr>
                  <w:tcW w:w="416" w:type="pct"/>
                  <w:shd w:val="clear" w:color="auto" w:fill="F2F2F2" w:themeFill="background1" w:themeFillShade="F2"/>
                  <w:vAlign w:val="bottom"/>
                </w:tcPr>
                <w:p w14:paraId="5CEA5F41" w14:textId="77777777" w:rsidR="00FC14FC" w:rsidRPr="00C81966" w:rsidRDefault="00FC14FC" w:rsidP="00D11B9D">
                  <w:pPr>
                    <w:pStyle w:val="TableUnitsRow"/>
                    <w:spacing w:before="0"/>
                  </w:pPr>
                  <w:r w:rsidRPr="0051056A">
                    <w:t>48</w:t>
                  </w:r>
                </w:p>
              </w:tc>
              <w:tc>
                <w:tcPr>
                  <w:tcW w:w="416" w:type="pct"/>
                  <w:shd w:val="clear" w:color="auto" w:fill="F2F2F2" w:themeFill="background1" w:themeFillShade="F2"/>
                  <w:vAlign w:val="bottom"/>
                </w:tcPr>
                <w:p w14:paraId="26552E9C" w14:textId="77777777" w:rsidR="00FC14FC" w:rsidRPr="00C81966" w:rsidRDefault="00FC14FC" w:rsidP="00D11B9D">
                  <w:pPr>
                    <w:pStyle w:val="TableUnitsRow"/>
                    <w:spacing w:before="0"/>
                  </w:pPr>
                  <w:r w:rsidRPr="0051056A">
                    <w:t>63</w:t>
                  </w:r>
                </w:p>
              </w:tc>
              <w:tc>
                <w:tcPr>
                  <w:tcW w:w="416" w:type="pct"/>
                  <w:shd w:val="clear" w:color="auto" w:fill="F2F2F2" w:themeFill="background1" w:themeFillShade="F2"/>
                  <w:vAlign w:val="bottom"/>
                </w:tcPr>
                <w:p w14:paraId="2CE9E306" w14:textId="77777777" w:rsidR="00FC14FC" w:rsidRPr="00C81966" w:rsidRDefault="00FC14FC" w:rsidP="00D11B9D">
                  <w:pPr>
                    <w:pStyle w:val="TableUnitsRow"/>
                    <w:spacing w:before="0"/>
                  </w:pPr>
                  <w:r w:rsidRPr="0051056A">
                    <w:t>70</w:t>
                  </w:r>
                </w:p>
              </w:tc>
              <w:tc>
                <w:tcPr>
                  <w:tcW w:w="416" w:type="pct"/>
                  <w:shd w:val="clear" w:color="auto" w:fill="F2F2F2" w:themeFill="background1" w:themeFillShade="F2"/>
                  <w:vAlign w:val="bottom"/>
                </w:tcPr>
                <w:p w14:paraId="23B73A8B" w14:textId="77777777" w:rsidR="00FC14FC" w:rsidRPr="00C81966" w:rsidRDefault="00FC14FC" w:rsidP="00D11B9D">
                  <w:pPr>
                    <w:pStyle w:val="TableUnitsRow"/>
                    <w:spacing w:before="0"/>
                  </w:pPr>
                  <w:r w:rsidRPr="0051056A">
                    <w:t>72</w:t>
                  </w:r>
                </w:p>
              </w:tc>
              <w:tc>
                <w:tcPr>
                  <w:tcW w:w="417" w:type="pct"/>
                  <w:shd w:val="clear" w:color="auto" w:fill="F2F2F2" w:themeFill="background1" w:themeFillShade="F2"/>
                  <w:vAlign w:val="bottom"/>
                </w:tcPr>
                <w:p w14:paraId="474DA669" w14:textId="77777777" w:rsidR="00FC14FC" w:rsidRPr="00C81966" w:rsidRDefault="00FC14FC" w:rsidP="00D11B9D">
                  <w:pPr>
                    <w:pStyle w:val="TableUnitsRow"/>
                    <w:spacing w:before="0"/>
                    <w:ind w:right="28"/>
                  </w:pPr>
                  <w:r w:rsidRPr="0051056A">
                    <w:t>74</w:t>
                  </w:r>
                </w:p>
              </w:tc>
            </w:tr>
            <w:tr w:rsidR="00FC14FC" w14:paraId="2E66CB68" w14:textId="77777777" w:rsidTr="00D11B9D">
              <w:tc>
                <w:tcPr>
                  <w:tcW w:w="837" w:type="pct"/>
                  <w:vAlign w:val="bottom"/>
                </w:tcPr>
                <w:p w14:paraId="5BDEF03A" w14:textId="77777777" w:rsidR="00FC14FC" w:rsidRDefault="00FC14FC" w:rsidP="00D11B9D">
                  <w:pPr>
                    <w:pStyle w:val="TableBodyText"/>
                    <w:jc w:val="left"/>
                  </w:pPr>
                  <w:r>
                    <w:t>Private equity</w:t>
                  </w:r>
                </w:p>
              </w:tc>
              <w:tc>
                <w:tcPr>
                  <w:tcW w:w="416" w:type="pct"/>
                  <w:vAlign w:val="bottom"/>
                </w:tcPr>
                <w:p w14:paraId="12B2C720" w14:textId="77777777" w:rsidR="00FC14FC" w:rsidRPr="00C81966" w:rsidRDefault="00FC14FC" w:rsidP="00D11B9D">
                  <w:pPr>
                    <w:pStyle w:val="TableUnitsRow"/>
                    <w:spacing w:before="0"/>
                  </w:pPr>
                  <w:r w:rsidRPr="0051056A">
                    <w:t>30</w:t>
                  </w:r>
                </w:p>
              </w:tc>
              <w:tc>
                <w:tcPr>
                  <w:tcW w:w="416" w:type="pct"/>
                  <w:vAlign w:val="bottom"/>
                </w:tcPr>
                <w:p w14:paraId="6F8DD93C" w14:textId="77777777" w:rsidR="00FC14FC" w:rsidRPr="00C81966" w:rsidRDefault="00FC14FC" w:rsidP="00D11B9D">
                  <w:pPr>
                    <w:pStyle w:val="TableUnitsRow"/>
                    <w:spacing w:before="0"/>
                  </w:pPr>
                  <w:r w:rsidRPr="0051056A">
                    <w:t>32</w:t>
                  </w:r>
                </w:p>
              </w:tc>
              <w:tc>
                <w:tcPr>
                  <w:tcW w:w="416" w:type="pct"/>
                  <w:vAlign w:val="bottom"/>
                </w:tcPr>
                <w:p w14:paraId="2FD3BEFF" w14:textId="77777777" w:rsidR="00FC14FC" w:rsidRPr="00C81966" w:rsidRDefault="00FC14FC" w:rsidP="00D11B9D">
                  <w:pPr>
                    <w:pStyle w:val="TableUnitsRow"/>
                    <w:spacing w:before="0"/>
                  </w:pPr>
                  <w:r w:rsidRPr="0051056A">
                    <w:t>34</w:t>
                  </w:r>
                </w:p>
              </w:tc>
              <w:tc>
                <w:tcPr>
                  <w:tcW w:w="416" w:type="pct"/>
                  <w:vAlign w:val="bottom"/>
                </w:tcPr>
                <w:p w14:paraId="6952FB33" w14:textId="77777777" w:rsidR="00FC14FC" w:rsidRPr="00C81966" w:rsidRDefault="00FC14FC" w:rsidP="00D11B9D">
                  <w:pPr>
                    <w:pStyle w:val="TableUnitsRow"/>
                    <w:spacing w:before="0"/>
                  </w:pPr>
                  <w:r w:rsidRPr="0051056A">
                    <w:t>35</w:t>
                  </w:r>
                </w:p>
              </w:tc>
              <w:tc>
                <w:tcPr>
                  <w:tcW w:w="417" w:type="pct"/>
                  <w:vAlign w:val="bottom"/>
                </w:tcPr>
                <w:p w14:paraId="2F7BC711" w14:textId="77777777" w:rsidR="00FC14FC" w:rsidRPr="00C81966" w:rsidRDefault="00FC14FC" w:rsidP="00D11B9D">
                  <w:pPr>
                    <w:pStyle w:val="TableUnitsRow"/>
                    <w:spacing w:before="0"/>
                  </w:pPr>
                  <w:r w:rsidRPr="0051056A">
                    <w:t>36</w:t>
                  </w:r>
                </w:p>
              </w:tc>
              <w:tc>
                <w:tcPr>
                  <w:tcW w:w="416" w:type="pct"/>
                  <w:vAlign w:val="bottom"/>
                </w:tcPr>
                <w:p w14:paraId="3A90B476" w14:textId="77777777" w:rsidR="00FC14FC" w:rsidRPr="00C81966" w:rsidRDefault="00FC14FC" w:rsidP="00D11B9D">
                  <w:pPr>
                    <w:pStyle w:val="TableUnitsRow"/>
                    <w:spacing w:before="0"/>
                  </w:pPr>
                  <w:r w:rsidRPr="0051056A">
                    <w:t>38</w:t>
                  </w:r>
                </w:p>
              </w:tc>
              <w:tc>
                <w:tcPr>
                  <w:tcW w:w="416" w:type="pct"/>
                  <w:vAlign w:val="bottom"/>
                </w:tcPr>
                <w:p w14:paraId="5C67F22D" w14:textId="77777777" w:rsidR="00FC14FC" w:rsidRPr="00C81966" w:rsidRDefault="00FC14FC" w:rsidP="00D11B9D">
                  <w:pPr>
                    <w:pStyle w:val="TableUnitsRow"/>
                    <w:spacing w:before="0"/>
                  </w:pPr>
                  <w:r w:rsidRPr="0051056A">
                    <w:t>41</w:t>
                  </w:r>
                </w:p>
              </w:tc>
              <w:tc>
                <w:tcPr>
                  <w:tcW w:w="416" w:type="pct"/>
                  <w:vAlign w:val="bottom"/>
                </w:tcPr>
                <w:p w14:paraId="1AC283FD" w14:textId="77777777" w:rsidR="00FC14FC" w:rsidRPr="00C81966" w:rsidRDefault="00FC14FC" w:rsidP="00D11B9D">
                  <w:pPr>
                    <w:pStyle w:val="TableUnitsRow"/>
                    <w:spacing w:before="0"/>
                  </w:pPr>
                  <w:r w:rsidRPr="0051056A">
                    <w:t>43</w:t>
                  </w:r>
                </w:p>
              </w:tc>
              <w:tc>
                <w:tcPr>
                  <w:tcW w:w="416" w:type="pct"/>
                  <w:vAlign w:val="bottom"/>
                </w:tcPr>
                <w:p w14:paraId="334E3A02" w14:textId="77777777" w:rsidR="00FC14FC" w:rsidRPr="00C81966" w:rsidRDefault="00FC14FC" w:rsidP="00D11B9D">
                  <w:pPr>
                    <w:pStyle w:val="TableUnitsRow"/>
                    <w:spacing w:before="0"/>
                  </w:pPr>
                  <w:r w:rsidRPr="0051056A">
                    <w:t>44</w:t>
                  </w:r>
                </w:p>
              </w:tc>
              <w:tc>
                <w:tcPr>
                  <w:tcW w:w="417" w:type="pct"/>
                  <w:vAlign w:val="bottom"/>
                </w:tcPr>
                <w:p w14:paraId="5B1421F0" w14:textId="77777777" w:rsidR="00FC14FC" w:rsidRPr="00C81966" w:rsidRDefault="00FC14FC" w:rsidP="00D11B9D">
                  <w:pPr>
                    <w:pStyle w:val="TableUnitsRow"/>
                    <w:spacing w:before="0"/>
                    <w:ind w:right="28"/>
                  </w:pPr>
                  <w:r w:rsidRPr="0051056A">
                    <w:t>46</w:t>
                  </w:r>
                </w:p>
              </w:tc>
            </w:tr>
            <w:tr w:rsidR="00FC14FC" w14:paraId="6D2E4139" w14:textId="77777777" w:rsidTr="00D11B9D">
              <w:tc>
                <w:tcPr>
                  <w:tcW w:w="837" w:type="pct"/>
                  <w:shd w:val="clear" w:color="auto" w:fill="F2F2F2" w:themeFill="background1" w:themeFillShade="F2"/>
                  <w:vAlign w:val="bottom"/>
                </w:tcPr>
                <w:p w14:paraId="389618BE" w14:textId="77777777" w:rsidR="00FC14FC" w:rsidRDefault="00FC14FC" w:rsidP="00D11B9D">
                  <w:pPr>
                    <w:pStyle w:val="TableBodyText"/>
                    <w:jc w:val="left"/>
                  </w:pPr>
                  <w:r>
                    <w:t>Listed infrastructure</w:t>
                  </w:r>
                </w:p>
              </w:tc>
              <w:tc>
                <w:tcPr>
                  <w:tcW w:w="416" w:type="pct"/>
                  <w:shd w:val="clear" w:color="auto" w:fill="F2F2F2" w:themeFill="background1" w:themeFillShade="F2"/>
                  <w:vAlign w:val="bottom"/>
                </w:tcPr>
                <w:p w14:paraId="71400132" w14:textId="77777777" w:rsidR="00FC14FC" w:rsidRPr="00C81966" w:rsidRDefault="00FC14FC" w:rsidP="00D11B9D">
                  <w:pPr>
                    <w:pStyle w:val="TableUnitsRow"/>
                    <w:spacing w:before="0"/>
                  </w:pPr>
                  <w:r w:rsidRPr="007A17AE">
                    <w:t>3</w:t>
                  </w:r>
                </w:p>
              </w:tc>
              <w:tc>
                <w:tcPr>
                  <w:tcW w:w="416" w:type="pct"/>
                  <w:shd w:val="clear" w:color="auto" w:fill="F2F2F2" w:themeFill="background1" w:themeFillShade="F2"/>
                  <w:vAlign w:val="bottom"/>
                </w:tcPr>
                <w:p w14:paraId="3F7AC2A4" w14:textId="77777777" w:rsidR="00FC14FC" w:rsidRPr="00C81966" w:rsidRDefault="00FC14FC" w:rsidP="00D11B9D">
                  <w:pPr>
                    <w:pStyle w:val="TableUnitsRow"/>
                    <w:spacing w:before="0"/>
                  </w:pPr>
                  <w:r w:rsidRPr="007A17AE">
                    <w:t>3</w:t>
                  </w:r>
                </w:p>
              </w:tc>
              <w:tc>
                <w:tcPr>
                  <w:tcW w:w="416" w:type="pct"/>
                  <w:shd w:val="clear" w:color="auto" w:fill="F2F2F2" w:themeFill="background1" w:themeFillShade="F2"/>
                  <w:vAlign w:val="bottom"/>
                </w:tcPr>
                <w:p w14:paraId="6389E192" w14:textId="77777777" w:rsidR="00FC14FC" w:rsidRPr="00C81966" w:rsidRDefault="00FC14FC" w:rsidP="00D11B9D">
                  <w:pPr>
                    <w:pStyle w:val="TableUnitsRow"/>
                    <w:spacing w:before="0"/>
                  </w:pPr>
                  <w:r w:rsidRPr="007A17AE">
                    <w:t>7</w:t>
                  </w:r>
                </w:p>
              </w:tc>
              <w:tc>
                <w:tcPr>
                  <w:tcW w:w="416" w:type="pct"/>
                  <w:shd w:val="clear" w:color="auto" w:fill="F2F2F2" w:themeFill="background1" w:themeFillShade="F2"/>
                  <w:vAlign w:val="bottom"/>
                </w:tcPr>
                <w:p w14:paraId="3B9F8FA2" w14:textId="77777777" w:rsidR="00FC14FC" w:rsidRPr="00C81966" w:rsidRDefault="00FC14FC" w:rsidP="00D11B9D">
                  <w:pPr>
                    <w:pStyle w:val="TableUnitsRow"/>
                    <w:spacing w:before="0"/>
                  </w:pPr>
                  <w:r w:rsidRPr="007A17AE">
                    <w:t>11</w:t>
                  </w:r>
                </w:p>
              </w:tc>
              <w:tc>
                <w:tcPr>
                  <w:tcW w:w="417" w:type="pct"/>
                  <w:shd w:val="clear" w:color="auto" w:fill="F2F2F2" w:themeFill="background1" w:themeFillShade="F2"/>
                  <w:vAlign w:val="bottom"/>
                </w:tcPr>
                <w:p w14:paraId="7355FB69" w14:textId="77777777" w:rsidR="00FC14FC" w:rsidRPr="00C81966" w:rsidRDefault="00FC14FC" w:rsidP="00D11B9D">
                  <w:pPr>
                    <w:pStyle w:val="TableUnitsRow"/>
                    <w:spacing w:before="0"/>
                  </w:pPr>
                  <w:r w:rsidRPr="007A17AE">
                    <w:t>11</w:t>
                  </w:r>
                </w:p>
              </w:tc>
              <w:tc>
                <w:tcPr>
                  <w:tcW w:w="416" w:type="pct"/>
                  <w:shd w:val="clear" w:color="auto" w:fill="F2F2F2" w:themeFill="background1" w:themeFillShade="F2"/>
                  <w:vAlign w:val="bottom"/>
                </w:tcPr>
                <w:p w14:paraId="449AE8E0" w14:textId="77777777" w:rsidR="00FC14FC" w:rsidRPr="00C81966" w:rsidRDefault="00FC14FC" w:rsidP="00D11B9D">
                  <w:pPr>
                    <w:pStyle w:val="TableUnitsRow"/>
                    <w:spacing w:before="0"/>
                  </w:pPr>
                  <w:r w:rsidRPr="007A17AE">
                    <w:t>12</w:t>
                  </w:r>
                </w:p>
              </w:tc>
              <w:tc>
                <w:tcPr>
                  <w:tcW w:w="416" w:type="pct"/>
                  <w:shd w:val="clear" w:color="auto" w:fill="F2F2F2" w:themeFill="background1" w:themeFillShade="F2"/>
                  <w:vAlign w:val="bottom"/>
                </w:tcPr>
                <w:p w14:paraId="05E4AB6D" w14:textId="77777777" w:rsidR="00FC14FC" w:rsidRPr="00C81966" w:rsidRDefault="00FC14FC" w:rsidP="00D11B9D">
                  <w:pPr>
                    <w:pStyle w:val="TableUnitsRow"/>
                    <w:spacing w:before="0"/>
                  </w:pPr>
                  <w:r w:rsidRPr="007A17AE">
                    <w:t>22</w:t>
                  </w:r>
                </w:p>
              </w:tc>
              <w:tc>
                <w:tcPr>
                  <w:tcW w:w="416" w:type="pct"/>
                  <w:shd w:val="clear" w:color="auto" w:fill="F2F2F2" w:themeFill="background1" w:themeFillShade="F2"/>
                  <w:vAlign w:val="bottom"/>
                </w:tcPr>
                <w:p w14:paraId="3091241A" w14:textId="77777777" w:rsidR="00FC14FC" w:rsidRPr="00C81966" w:rsidRDefault="00FC14FC" w:rsidP="00D11B9D">
                  <w:pPr>
                    <w:pStyle w:val="TableUnitsRow"/>
                    <w:spacing w:before="0"/>
                  </w:pPr>
                  <w:r w:rsidRPr="007A17AE">
                    <w:t>28</w:t>
                  </w:r>
                </w:p>
              </w:tc>
              <w:tc>
                <w:tcPr>
                  <w:tcW w:w="416" w:type="pct"/>
                  <w:shd w:val="clear" w:color="auto" w:fill="F2F2F2" w:themeFill="background1" w:themeFillShade="F2"/>
                  <w:vAlign w:val="bottom"/>
                </w:tcPr>
                <w:p w14:paraId="4B22D96E" w14:textId="77777777" w:rsidR="00FC14FC" w:rsidRPr="00C81966" w:rsidRDefault="00FC14FC" w:rsidP="00D11B9D">
                  <w:pPr>
                    <w:pStyle w:val="TableUnitsRow"/>
                    <w:spacing w:before="0"/>
                  </w:pPr>
                  <w:r w:rsidRPr="007A17AE">
                    <w:t>32</w:t>
                  </w:r>
                </w:p>
              </w:tc>
              <w:tc>
                <w:tcPr>
                  <w:tcW w:w="417" w:type="pct"/>
                  <w:shd w:val="clear" w:color="auto" w:fill="F2F2F2" w:themeFill="background1" w:themeFillShade="F2"/>
                  <w:vAlign w:val="bottom"/>
                </w:tcPr>
                <w:p w14:paraId="12FC1E97" w14:textId="77777777" w:rsidR="00FC14FC" w:rsidRPr="00C81966" w:rsidRDefault="00FC14FC" w:rsidP="00D11B9D">
                  <w:pPr>
                    <w:pStyle w:val="TableUnitsRow"/>
                    <w:spacing w:before="0"/>
                    <w:ind w:right="28"/>
                  </w:pPr>
                  <w:r w:rsidRPr="007A17AE">
                    <w:t>32</w:t>
                  </w:r>
                </w:p>
              </w:tc>
            </w:tr>
            <w:tr w:rsidR="00FC14FC" w14:paraId="650BA830" w14:textId="77777777" w:rsidTr="00D11B9D">
              <w:tc>
                <w:tcPr>
                  <w:tcW w:w="837" w:type="pct"/>
                  <w:vAlign w:val="bottom"/>
                </w:tcPr>
                <w:p w14:paraId="228914A8" w14:textId="77777777" w:rsidR="00FC14FC" w:rsidRDefault="00FC14FC" w:rsidP="00D11B9D">
                  <w:pPr>
                    <w:pStyle w:val="TableBodyText"/>
                    <w:jc w:val="left"/>
                  </w:pPr>
                  <w:r>
                    <w:t>Unlisted infrastructure</w:t>
                  </w:r>
                </w:p>
              </w:tc>
              <w:tc>
                <w:tcPr>
                  <w:tcW w:w="416" w:type="pct"/>
                  <w:vAlign w:val="bottom"/>
                </w:tcPr>
                <w:p w14:paraId="7FEA28B3" w14:textId="77777777" w:rsidR="00FC14FC" w:rsidRPr="00C81966" w:rsidRDefault="00FC14FC" w:rsidP="00D11B9D">
                  <w:pPr>
                    <w:pStyle w:val="TableUnitsRow"/>
                    <w:spacing w:before="0"/>
                  </w:pPr>
                  <w:r w:rsidRPr="007A17AE">
                    <w:t>15</w:t>
                  </w:r>
                </w:p>
              </w:tc>
              <w:tc>
                <w:tcPr>
                  <w:tcW w:w="416" w:type="pct"/>
                  <w:vAlign w:val="bottom"/>
                </w:tcPr>
                <w:p w14:paraId="552859A8" w14:textId="77777777" w:rsidR="00FC14FC" w:rsidRPr="00C81966" w:rsidRDefault="00FC14FC" w:rsidP="00D11B9D">
                  <w:pPr>
                    <w:pStyle w:val="TableUnitsRow"/>
                    <w:spacing w:before="0"/>
                  </w:pPr>
                  <w:r w:rsidRPr="007A17AE">
                    <w:t>18</w:t>
                  </w:r>
                </w:p>
              </w:tc>
              <w:tc>
                <w:tcPr>
                  <w:tcW w:w="416" w:type="pct"/>
                  <w:vAlign w:val="bottom"/>
                </w:tcPr>
                <w:p w14:paraId="08045AFA" w14:textId="77777777" w:rsidR="00FC14FC" w:rsidRPr="00C81966" w:rsidRDefault="00FC14FC" w:rsidP="00D11B9D">
                  <w:pPr>
                    <w:pStyle w:val="TableUnitsRow"/>
                    <w:spacing w:before="0"/>
                  </w:pPr>
                  <w:r w:rsidRPr="007A17AE">
                    <w:t>22</w:t>
                  </w:r>
                </w:p>
              </w:tc>
              <w:tc>
                <w:tcPr>
                  <w:tcW w:w="416" w:type="pct"/>
                  <w:vAlign w:val="bottom"/>
                </w:tcPr>
                <w:p w14:paraId="2A22CD3D" w14:textId="77777777" w:rsidR="00FC14FC" w:rsidRPr="00C81966" w:rsidRDefault="00FC14FC" w:rsidP="00D11B9D">
                  <w:pPr>
                    <w:pStyle w:val="TableUnitsRow"/>
                    <w:spacing w:before="0"/>
                  </w:pPr>
                  <w:r w:rsidRPr="007A17AE">
                    <w:t>25</w:t>
                  </w:r>
                </w:p>
              </w:tc>
              <w:tc>
                <w:tcPr>
                  <w:tcW w:w="417" w:type="pct"/>
                  <w:vAlign w:val="bottom"/>
                </w:tcPr>
                <w:p w14:paraId="14285B47" w14:textId="77777777" w:rsidR="00FC14FC" w:rsidRPr="00C81966" w:rsidRDefault="00FC14FC" w:rsidP="00D11B9D">
                  <w:pPr>
                    <w:pStyle w:val="TableUnitsRow"/>
                    <w:spacing w:before="0"/>
                  </w:pPr>
                  <w:r w:rsidRPr="007A17AE">
                    <w:t>27</w:t>
                  </w:r>
                </w:p>
              </w:tc>
              <w:tc>
                <w:tcPr>
                  <w:tcW w:w="416" w:type="pct"/>
                  <w:vAlign w:val="bottom"/>
                </w:tcPr>
                <w:p w14:paraId="6B427C85" w14:textId="77777777" w:rsidR="00FC14FC" w:rsidRPr="00C81966" w:rsidRDefault="00FC14FC" w:rsidP="00D11B9D">
                  <w:pPr>
                    <w:pStyle w:val="TableUnitsRow"/>
                    <w:spacing w:before="0"/>
                  </w:pPr>
                  <w:r w:rsidRPr="007A17AE">
                    <w:t>31</w:t>
                  </w:r>
                </w:p>
              </w:tc>
              <w:tc>
                <w:tcPr>
                  <w:tcW w:w="416" w:type="pct"/>
                  <w:vAlign w:val="bottom"/>
                </w:tcPr>
                <w:p w14:paraId="70AFF053" w14:textId="77777777" w:rsidR="00FC14FC" w:rsidRPr="00C81966" w:rsidRDefault="00FC14FC" w:rsidP="00D11B9D">
                  <w:pPr>
                    <w:pStyle w:val="TableUnitsRow"/>
                    <w:spacing w:before="0"/>
                  </w:pPr>
                  <w:r w:rsidRPr="007A17AE">
                    <w:t>40</w:t>
                  </w:r>
                </w:p>
              </w:tc>
              <w:tc>
                <w:tcPr>
                  <w:tcW w:w="416" w:type="pct"/>
                  <w:vAlign w:val="bottom"/>
                </w:tcPr>
                <w:p w14:paraId="28A3A3A7" w14:textId="77777777" w:rsidR="00FC14FC" w:rsidRPr="00C81966" w:rsidRDefault="00FC14FC" w:rsidP="00D11B9D">
                  <w:pPr>
                    <w:pStyle w:val="TableUnitsRow"/>
                    <w:spacing w:before="0"/>
                  </w:pPr>
                  <w:r w:rsidRPr="007A17AE">
                    <w:t>43</w:t>
                  </w:r>
                </w:p>
              </w:tc>
              <w:tc>
                <w:tcPr>
                  <w:tcW w:w="416" w:type="pct"/>
                  <w:vAlign w:val="bottom"/>
                </w:tcPr>
                <w:p w14:paraId="28CA0F1E" w14:textId="77777777" w:rsidR="00FC14FC" w:rsidRPr="00C81966" w:rsidRDefault="00FC14FC" w:rsidP="00D11B9D">
                  <w:pPr>
                    <w:pStyle w:val="TableUnitsRow"/>
                    <w:spacing w:before="0"/>
                  </w:pPr>
                  <w:r w:rsidRPr="007A17AE">
                    <w:t>47</w:t>
                  </w:r>
                </w:p>
              </w:tc>
              <w:tc>
                <w:tcPr>
                  <w:tcW w:w="417" w:type="pct"/>
                  <w:vAlign w:val="bottom"/>
                </w:tcPr>
                <w:p w14:paraId="6AB2B661" w14:textId="77777777" w:rsidR="00FC14FC" w:rsidRPr="00C81966" w:rsidRDefault="00FC14FC" w:rsidP="00D11B9D">
                  <w:pPr>
                    <w:pStyle w:val="TableUnitsRow"/>
                    <w:spacing w:before="0"/>
                    <w:ind w:right="28"/>
                  </w:pPr>
                  <w:r w:rsidRPr="007A17AE">
                    <w:t>46</w:t>
                  </w:r>
                </w:p>
              </w:tc>
            </w:tr>
            <w:tr w:rsidR="00FC14FC" w14:paraId="2C1228DA" w14:textId="77777777" w:rsidTr="00D11B9D">
              <w:tc>
                <w:tcPr>
                  <w:tcW w:w="837" w:type="pct"/>
                  <w:shd w:val="clear" w:color="auto" w:fill="F2F2F2" w:themeFill="background1" w:themeFillShade="F2"/>
                  <w:vAlign w:val="bottom"/>
                </w:tcPr>
                <w:p w14:paraId="0B402A6F" w14:textId="77777777" w:rsidR="00FC14FC" w:rsidRDefault="00FC14FC" w:rsidP="00D11B9D">
                  <w:pPr>
                    <w:pStyle w:val="TableBodyText"/>
                    <w:jc w:val="left"/>
                  </w:pPr>
                  <w:r>
                    <w:t>Total infrastructure</w:t>
                  </w:r>
                </w:p>
              </w:tc>
              <w:tc>
                <w:tcPr>
                  <w:tcW w:w="416" w:type="pct"/>
                  <w:shd w:val="clear" w:color="auto" w:fill="F2F2F2" w:themeFill="background1" w:themeFillShade="F2"/>
                  <w:vAlign w:val="bottom"/>
                </w:tcPr>
                <w:p w14:paraId="37A89481" w14:textId="77777777" w:rsidR="00FC14FC" w:rsidRPr="00C81966" w:rsidRDefault="00FC14FC" w:rsidP="00D11B9D">
                  <w:pPr>
                    <w:pStyle w:val="TableUnitsRow"/>
                    <w:spacing w:before="0"/>
                  </w:pPr>
                  <w:r w:rsidRPr="007A17AE">
                    <w:t>20</w:t>
                  </w:r>
                </w:p>
              </w:tc>
              <w:tc>
                <w:tcPr>
                  <w:tcW w:w="416" w:type="pct"/>
                  <w:shd w:val="clear" w:color="auto" w:fill="F2F2F2" w:themeFill="background1" w:themeFillShade="F2"/>
                  <w:vAlign w:val="bottom"/>
                </w:tcPr>
                <w:p w14:paraId="5955EAD5" w14:textId="77777777" w:rsidR="00FC14FC" w:rsidRPr="00C81966" w:rsidRDefault="00FC14FC" w:rsidP="00D11B9D">
                  <w:pPr>
                    <w:pStyle w:val="TableUnitsRow"/>
                    <w:spacing w:before="0"/>
                  </w:pPr>
                  <w:r w:rsidRPr="007A17AE">
                    <w:t>22</w:t>
                  </w:r>
                </w:p>
              </w:tc>
              <w:tc>
                <w:tcPr>
                  <w:tcW w:w="416" w:type="pct"/>
                  <w:shd w:val="clear" w:color="auto" w:fill="F2F2F2" w:themeFill="background1" w:themeFillShade="F2"/>
                  <w:vAlign w:val="bottom"/>
                </w:tcPr>
                <w:p w14:paraId="501EE2A4" w14:textId="77777777" w:rsidR="00FC14FC" w:rsidRPr="00C81966" w:rsidRDefault="00FC14FC" w:rsidP="00D11B9D">
                  <w:pPr>
                    <w:pStyle w:val="TableUnitsRow"/>
                    <w:spacing w:before="0"/>
                  </w:pPr>
                  <w:r w:rsidRPr="007A17AE">
                    <w:t>29</w:t>
                  </w:r>
                </w:p>
              </w:tc>
              <w:tc>
                <w:tcPr>
                  <w:tcW w:w="416" w:type="pct"/>
                  <w:shd w:val="clear" w:color="auto" w:fill="F2F2F2" w:themeFill="background1" w:themeFillShade="F2"/>
                  <w:vAlign w:val="bottom"/>
                </w:tcPr>
                <w:p w14:paraId="4BE991AF" w14:textId="77777777" w:rsidR="00FC14FC" w:rsidRPr="00C81966" w:rsidRDefault="00FC14FC" w:rsidP="00D11B9D">
                  <w:pPr>
                    <w:pStyle w:val="TableUnitsRow"/>
                    <w:spacing w:before="0"/>
                  </w:pPr>
                  <w:r w:rsidRPr="007A17AE">
                    <w:t>34</w:t>
                  </w:r>
                </w:p>
              </w:tc>
              <w:tc>
                <w:tcPr>
                  <w:tcW w:w="417" w:type="pct"/>
                  <w:shd w:val="clear" w:color="auto" w:fill="F2F2F2" w:themeFill="background1" w:themeFillShade="F2"/>
                  <w:vAlign w:val="bottom"/>
                </w:tcPr>
                <w:p w14:paraId="5A86B3D3" w14:textId="77777777" w:rsidR="00FC14FC" w:rsidRPr="00C81966" w:rsidRDefault="00FC14FC" w:rsidP="00D11B9D">
                  <w:pPr>
                    <w:pStyle w:val="TableUnitsRow"/>
                    <w:spacing w:before="0"/>
                  </w:pPr>
                  <w:r w:rsidRPr="007A17AE">
                    <w:t>38</w:t>
                  </w:r>
                </w:p>
              </w:tc>
              <w:tc>
                <w:tcPr>
                  <w:tcW w:w="416" w:type="pct"/>
                  <w:shd w:val="clear" w:color="auto" w:fill="F2F2F2" w:themeFill="background1" w:themeFillShade="F2"/>
                  <w:vAlign w:val="bottom"/>
                </w:tcPr>
                <w:p w14:paraId="7CAD89E7" w14:textId="77777777" w:rsidR="00FC14FC" w:rsidRPr="00C81966" w:rsidRDefault="00FC14FC" w:rsidP="00D11B9D">
                  <w:pPr>
                    <w:pStyle w:val="TableUnitsRow"/>
                    <w:spacing w:before="0"/>
                  </w:pPr>
                  <w:r w:rsidRPr="007A17AE">
                    <w:t>43</w:t>
                  </w:r>
                </w:p>
              </w:tc>
              <w:tc>
                <w:tcPr>
                  <w:tcW w:w="416" w:type="pct"/>
                  <w:shd w:val="clear" w:color="auto" w:fill="F2F2F2" w:themeFill="background1" w:themeFillShade="F2"/>
                  <w:vAlign w:val="bottom"/>
                </w:tcPr>
                <w:p w14:paraId="28906479" w14:textId="77777777" w:rsidR="00FC14FC" w:rsidRPr="00C81966" w:rsidRDefault="00FC14FC" w:rsidP="00D11B9D">
                  <w:pPr>
                    <w:pStyle w:val="TableUnitsRow"/>
                    <w:spacing w:before="0"/>
                  </w:pPr>
                  <w:r w:rsidRPr="007A17AE">
                    <w:t>58</w:t>
                  </w:r>
                </w:p>
              </w:tc>
              <w:tc>
                <w:tcPr>
                  <w:tcW w:w="416" w:type="pct"/>
                  <w:shd w:val="clear" w:color="auto" w:fill="F2F2F2" w:themeFill="background1" w:themeFillShade="F2"/>
                  <w:vAlign w:val="bottom"/>
                </w:tcPr>
                <w:p w14:paraId="466B2BAE" w14:textId="77777777" w:rsidR="00FC14FC" w:rsidRPr="00C81966" w:rsidRDefault="00FC14FC" w:rsidP="00D11B9D">
                  <w:pPr>
                    <w:pStyle w:val="TableUnitsRow"/>
                    <w:spacing w:before="0"/>
                  </w:pPr>
                  <w:r w:rsidRPr="007A17AE">
                    <w:t>63</w:t>
                  </w:r>
                </w:p>
              </w:tc>
              <w:tc>
                <w:tcPr>
                  <w:tcW w:w="416" w:type="pct"/>
                  <w:shd w:val="clear" w:color="auto" w:fill="F2F2F2" w:themeFill="background1" w:themeFillShade="F2"/>
                  <w:vAlign w:val="bottom"/>
                </w:tcPr>
                <w:p w14:paraId="1877951E" w14:textId="77777777" w:rsidR="00FC14FC" w:rsidRPr="00C81966" w:rsidRDefault="00FC14FC" w:rsidP="00D11B9D">
                  <w:pPr>
                    <w:pStyle w:val="TableUnitsRow"/>
                    <w:spacing w:before="0"/>
                  </w:pPr>
                  <w:r w:rsidRPr="007A17AE">
                    <w:t>68</w:t>
                  </w:r>
                </w:p>
              </w:tc>
              <w:tc>
                <w:tcPr>
                  <w:tcW w:w="417" w:type="pct"/>
                  <w:shd w:val="clear" w:color="auto" w:fill="F2F2F2" w:themeFill="background1" w:themeFillShade="F2"/>
                  <w:vAlign w:val="bottom"/>
                </w:tcPr>
                <w:p w14:paraId="3EA070BF" w14:textId="77777777" w:rsidR="00FC14FC" w:rsidRPr="00C81966" w:rsidRDefault="00FC14FC" w:rsidP="00D11B9D">
                  <w:pPr>
                    <w:pStyle w:val="TableUnitsRow"/>
                    <w:spacing w:before="0"/>
                    <w:ind w:right="28"/>
                  </w:pPr>
                  <w:r w:rsidRPr="007A17AE">
                    <w:t>68</w:t>
                  </w:r>
                </w:p>
              </w:tc>
            </w:tr>
            <w:tr w:rsidR="00FC14FC" w14:paraId="09105B93" w14:textId="77777777" w:rsidTr="00D11B9D">
              <w:tc>
                <w:tcPr>
                  <w:tcW w:w="837" w:type="pct"/>
                  <w:vAlign w:val="bottom"/>
                </w:tcPr>
                <w:p w14:paraId="4FB60863" w14:textId="77777777" w:rsidR="00FC14FC" w:rsidRDefault="00FC14FC" w:rsidP="00D11B9D">
                  <w:pPr>
                    <w:pStyle w:val="TableBodyText"/>
                    <w:jc w:val="left"/>
                  </w:pPr>
                  <w:r>
                    <w:t>Listed property</w:t>
                  </w:r>
                </w:p>
              </w:tc>
              <w:tc>
                <w:tcPr>
                  <w:tcW w:w="416" w:type="pct"/>
                  <w:vAlign w:val="bottom"/>
                </w:tcPr>
                <w:p w14:paraId="156CABF6" w14:textId="77777777" w:rsidR="00FC14FC" w:rsidRPr="00C81966" w:rsidRDefault="00FC14FC" w:rsidP="00D11B9D">
                  <w:pPr>
                    <w:pStyle w:val="TableUnitsRow"/>
                    <w:spacing w:before="0"/>
                  </w:pPr>
                  <w:r w:rsidRPr="007A17AE">
                    <w:t>22</w:t>
                  </w:r>
                </w:p>
              </w:tc>
              <w:tc>
                <w:tcPr>
                  <w:tcW w:w="416" w:type="pct"/>
                  <w:vAlign w:val="bottom"/>
                </w:tcPr>
                <w:p w14:paraId="050DC8B9" w14:textId="77777777" w:rsidR="00FC14FC" w:rsidRPr="00C81966" w:rsidRDefault="00FC14FC" w:rsidP="00D11B9D">
                  <w:pPr>
                    <w:pStyle w:val="TableUnitsRow"/>
                    <w:spacing w:before="0"/>
                  </w:pPr>
                  <w:r w:rsidRPr="007A17AE">
                    <w:t>24</w:t>
                  </w:r>
                </w:p>
              </w:tc>
              <w:tc>
                <w:tcPr>
                  <w:tcW w:w="416" w:type="pct"/>
                  <w:vAlign w:val="bottom"/>
                </w:tcPr>
                <w:p w14:paraId="7CDA1833" w14:textId="77777777" w:rsidR="00FC14FC" w:rsidRPr="00C81966" w:rsidRDefault="00FC14FC" w:rsidP="00D11B9D">
                  <w:pPr>
                    <w:pStyle w:val="TableUnitsRow"/>
                    <w:spacing w:before="0"/>
                  </w:pPr>
                  <w:r w:rsidRPr="007A17AE">
                    <w:t>24</w:t>
                  </w:r>
                </w:p>
              </w:tc>
              <w:tc>
                <w:tcPr>
                  <w:tcW w:w="416" w:type="pct"/>
                  <w:vAlign w:val="bottom"/>
                </w:tcPr>
                <w:p w14:paraId="55DF692B" w14:textId="77777777" w:rsidR="00FC14FC" w:rsidRPr="00C81966" w:rsidRDefault="00FC14FC" w:rsidP="00D11B9D">
                  <w:pPr>
                    <w:pStyle w:val="TableUnitsRow"/>
                    <w:spacing w:before="0"/>
                  </w:pPr>
                  <w:r w:rsidRPr="007A17AE">
                    <w:t>22</w:t>
                  </w:r>
                </w:p>
              </w:tc>
              <w:tc>
                <w:tcPr>
                  <w:tcW w:w="417" w:type="pct"/>
                  <w:vAlign w:val="bottom"/>
                </w:tcPr>
                <w:p w14:paraId="76D26E36" w14:textId="77777777" w:rsidR="00FC14FC" w:rsidRPr="00C81966" w:rsidRDefault="00FC14FC" w:rsidP="00D11B9D">
                  <w:pPr>
                    <w:pStyle w:val="TableUnitsRow"/>
                    <w:spacing w:before="0"/>
                  </w:pPr>
                  <w:r w:rsidRPr="007A17AE">
                    <w:t>22</w:t>
                  </w:r>
                </w:p>
              </w:tc>
              <w:tc>
                <w:tcPr>
                  <w:tcW w:w="416" w:type="pct"/>
                  <w:vAlign w:val="bottom"/>
                </w:tcPr>
                <w:p w14:paraId="01DAF46C" w14:textId="77777777" w:rsidR="00FC14FC" w:rsidRPr="00C81966" w:rsidRDefault="00FC14FC" w:rsidP="00D11B9D">
                  <w:pPr>
                    <w:pStyle w:val="TableUnitsRow"/>
                    <w:spacing w:before="0"/>
                  </w:pPr>
                  <w:r w:rsidRPr="007A17AE">
                    <w:t>29</w:t>
                  </w:r>
                </w:p>
              </w:tc>
              <w:tc>
                <w:tcPr>
                  <w:tcW w:w="416" w:type="pct"/>
                  <w:vAlign w:val="bottom"/>
                </w:tcPr>
                <w:p w14:paraId="47DF8ECD" w14:textId="77777777" w:rsidR="00FC14FC" w:rsidRPr="00C81966" w:rsidRDefault="00FC14FC" w:rsidP="00D11B9D">
                  <w:pPr>
                    <w:pStyle w:val="TableUnitsRow"/>
                    <w:spacing w:before="0"/>
                  </w:pPr>
                  <w:r w:rsidRPr="007A17AE">
                    <w:t>43</w:t>
                  </w:r>
                </w:p>
              </w:tc>
              <w:tc>
                <w:tcPr>
                  <w:tcW w:w="416" w:type="pct"/>
                  <w:vAlign w:val="bottom"/>
                </w:tcPr>
                <w:p w14:paraId="667637D2" w14:textId="77777777" w:rsidR="00FC14FC" w:rsidRPr="00C81966" w:rsidRDefault="00FC14FC" w:rsidP="00D11B9D">
                  <w:pPr>
                    <w:pStyle w:val="TableUnitsRow"/>
                    <w:spacing w:before="0"/>
                  </w:pPr>
                  <w:r w:rsidRPr="007A17AE">
                    <w:t>49</w:t>
                  </w:r>
                </w:p>
              </w:tc>
              <w:tc>
                <w:tcPr>
                  <w:tcW w:w="416" w:type="pct"/>
                  <w:vAlign w:val="bottom"/>
                </w:tcPr>
                <w:p w14:paraId="604872F7" w14:textId="77777777" w:rsidR="00FC14FC" w:rsidRPr="00C81966" w:rsidRDefault="00FC14FC" w:rsidP="00D11B9D">
                  <w:pPr>
                    <w:pStyle w:val="TableUnitsRow"/>
                    <w:spacing w:before="0"/>
                  </w:pPr>
                  <w:r w:rsidRPr="007A17AE">
                    <w:t>52</w:t>
                  </w:r>
                </w:p>
              </w:tc>
              <w:tc>
                <w:tcPr>
                  <w:tcW w:w="417" w:type="pct"/>
                  <w:vAlign w:val="bottom"/>
                </w:tcPr>
                <w:p w14:paraId="566F5B59" w14:textId="77777777" w:rsidR="00FC14FC" w:rsidRPr="00C81966" w:rsidRDefault="00FC14FC" w:rsidP="00D11B9D">
                  <w:pPr>
                    <w:pStyle w:val="TableUnitsRow"/>
                    <w:spacing w:before="0"/>
                    <w:ind w:right="28"/>
                  </w:pPr>
                  <w:r w:rsidRPr="007A17AE">
                    <w:t>51</w:t>
                  </w:r>
                </w:p>
              </w:tc>
            </w:tr>
            <w:tr w:rsidR="00FC14FC" w14:paraId="30F9CCA7" w14:textId="77777777" w:rsidTr="00D11B9D">
              <w:tc>
                <w:tcPr>
                  <w:tcW w:w="837" w:type="pct"/>
                  <w:shd w:val="clear" w:color="auto" w:fill="F2F2F2" w:themeFill="background1" w:themeFillShade="F2"/>
                  <w:vAlign w:val="bottom"/>
                </w:tcPr>
                <w:p w14:paraId="5395BBA4" w14:textId="77777777" w:rsidR="00FC14FC" w:rsidRDefault="00FC14FC" w:rsidP="00D11B9D">
                  <w:pPr>
                    <w:pStyle w:val="TableBodyText"/>
                    <w:jc w:val="left"/>
                  </w:pPr>
                  <w:r>
                    <w:t>Unlisted property</w:t>
                  </w:r>
                </w:p>
              </w:tc>
              <w:tc>
                <w:tcPr>
                  <w:tcW w:w="416" w:type="pct"/>
                  <w:shd w:val="clear" w:color="auto" w:fill="F2F2F2" w:themeFill="background1" w:themeFillShade="F2"/>
                  <w:vAlign w:val="bottom"/>
                </w:tcPr>
                <w:p w14:paraId="324C66FC" w14:textId="77777777" w:rsidR="00FC14FC" w:rsidRPr="00C81966" w:rsidRDefault="00FC14FC" w:rsidP="00D11B9D">
                  <w:pPr>
                    <w:pStyle w:val="TableUnitsRow"/>
                    <w:spacing w:before="0"/>
                  </w:pPr>
                  <w:r w:rsidRPr="007A17AE">
                    <w:t>28</w:t>
                  </w:r>
                </w:p>
              </w:tc>
              <w:tc>
                <w:tcPr>
                  <w:tcW w:w="416" w:type="pct"/>
                  <w:shd w:val="clear" w:color="auto" w:fill="F2F2F2" w:themeFill="background1" w:themeFillShade="F2"/>
                  <w:vAlign w:val="bottom"/>
                </w:tcPr>
                <w:p w14:paraId="3817944F" w14:textId="77777777" w:rsidR="00FC14FC" w:rsidRPr="00C81966" w:rsidRDefault="00FC14FC" w:rsidP="00D11B9D">
                  <w:pPr>
                    <w:pStyle w:val="TableUnitsRow"/>
                    <w:spacing w:before="0"/>
                  </w:pPr>
                  <w:r w:rsidRPr="007A17AE">
                    <w:t>32</w:t>
                  </w:r>
                </w:p>
              </w:tc>
              <w:tc>
                <w:tcPr>
                  <w:tcW w:w="416" w:type="pct"/>
                  <w:shd w:val="clear" w:color="auto" w:fill="F2F2F2" w:themeFill="background1" w:themeFillShade="F2"/>
                  <w:vAlign w:val="bottom"/>
                </w:tcPr>
                <w:p w14:paraId="7BA16E77" w14:textId="77777777" w:rsidR="00FC14FC" w:rsidRPr="00C81966" w:rsidRDefault="00FC14FC" w:rsidP="00D11B9D">
                  <w:pPr>
                    <w:pStyle w:val="TableUnitsRow"/>
                    <w:spacing w:before="0"/>
                  </w:pPr>
                  <w:r w:rsidRPr="007A17AE">
                    <w:t>36</w:t>
                  </w:r>
                </w:p>
              </w:tc>
              <w:tc>
                <w:tcPr>
                  <w:tcW w:w="416" w:type="pct"/>
                  <w:shd w:val="clear" w:color="auto" w:fill="F2F2F2" w:themeFill="background1" w:themeFillShade="F2"/>
                  <w:vAlign w:val="bottom"/>
                </w:tcPr>
                <w:p w14:paraId="7B17CE47" w14:textId="77777777" w:rsidR="00FC14FC" w:rsidRPr="00C81966" w:rsidRDefault="00FC14FC" w:rsidP="00D11B9D">
                  <w:pPr>
                    <w:pStyle w:val="TableUnitsRow"/>
                    <w:spacing w:before="0"/>
                  </w:pPr>
                  <w:r w:rsidRPr="007A17AE">
                    <w:t>39</w:t>
                  </w:r>
                </w:p>
              </w:tc>
              <w:tc>
                <w:tcPr>
                  <w:tcW w:w="417" w:type="pct"/>
                  <w:shd w:val="clear" w:color="auto" w:fill="F2F2F2" w:themeFill="background1" w:themeFillShade="F2"/>
                  <w:vAlign w:val="bottom"/>
                </w:tcPr>
                <w:p w14:paraId="5B516E28" w14:textId="77777777" w:rsidR="00FC14FC" w:rsidRPr="00C81966" w:rsidRDefault="00FC14FC" w:rsidP="00D11B9D">
                  <w:pPr>
                    <w:pStyle w:val="TableUnitsRow"/>
                    <w:spacing w:before="0"/>
                  </w:pPr>
                  <w:r w:rsidRPr="007A17AE">
                    <w:t>40</w:t>
                  </w:r>
                </w:p>
              </w:tc>
              <w:tc>
                <w:tcPr>
                  <w:tcW w:w="416" w:type="pct"/>
                  <w:shd w:val="clear" w:color="auto" w:fill="F2F2F2" w:themeFill="background1" w:themeFillShade="F2"/>
                  <w:vAlign w:val="bottom"/>
                </w:tcPr>
                <w:p w14:paraId="5DFBD1D1" w14:textId="77777777" w:rsidR="00FC14FC" w:rsidRPr="00C81966" w:rsidRDefault="00FC14FC" w:rsidP="00D11B9D">
                  <w:pPr>
                    <w:pStyle w:val="TableUnitsRow"/>
                    <w:spacing w:before="0"/>
                  </w:pPr>
                  <w:r w:rsidRPr="007A17AE">
                    <w:t>46</w:t>
                  </w:r>
                </w:p>
              </w:tc>
              <w:tc>
                <w:tcPr>
                  <w:tcW w:w="416" w:type="pct"/>
                  <w:shd w:val="clear" w:color="auto" w:fill="F2F2F2" w:themeFill="background1" w:themeFillShade="F2"/>
                  <w:vAlign w:val="bottom"/>
                </w:tcPr>
                <w:p w14:paraId="20AD1E3D" w14:textId="77777777" w:rsidR="00FC14FC" w:rsidRPr="00C81966" w:rsidRDefault="00FC14FC" w:rsidP="00D11B9D">
                  <w:pPr>
                    <w:pStyle w:val="TableUnitsRow"/>
                    <w:spacing w:before="0"/>
                  </w:pPr>
                  <w:r w:rsidRPr="007A17AE">
                    <w:t>54</w:t>
                  </w:r>
                </w:p>
              </w:tc>
              <w:tc>
                <w:tcPr>
                  <w:tcW w:w="416" w:type="pct"/>
                  <w:shd w:val="clear" w:color="auto" w:fill="F2F2F2" w:themeFill="background1" w:themeFillShade="F2"/>
                  <w:vAlign w:val="bottom"/>
                </w:tcPr>
                <w:p w14:paraId="2C6DBF70" w14:textId="77777777" w:rsidR="00FC14FC" w:rsidRPr="00C81966" w:rsidRDefault="00FC14FC" w:rsidP="00D11B9D">
                  <w:pPr>
                    <w:pStyle w:val="TableUnitsRow"/>
                    <w:spacing w:before="0"/>
                  </w:pPr>
                  <w:r w:rsidRPr="007A17AE">
                    <w:t>58</w:t>
                  </w:r>
                </w:p>
              </w:tc>
              <w:tc>
                <w:tcPr>
                  <w:tcW w:w="416" w:type="pct"/>
                  <w:shd w:val="clear" w:color="auto" w:fill="F2F2F2" w:themeFill="background1" w:themeFillShade="F2"/>
                  <w:vAlign w:val="bottom"/>
                </w:tcPr>
                <w:p w14:paraId="0955E4C9" w14:textId="77777777" w:rsidR="00FC14FC" w:rsidRPr="00C81966" w:rsidRDefault="00FC14FC" w:rsidP="00D11B9D">
                  <w:pPr>
                    <w:pStyle w:val="TableUnitsRow"/>
                    <w:spacing w:before="0"/>
                  </w:pPr>
                  <w:r w:rsidRPr="007A17AE">
                    <w:t>57</w:t>
                  </w:r>
                </w:p>
              </w:tc>
              <w:tc>
                <w:tcPr>
                  <w:tcW w:w="417" w:type="pct"/>
                  <w:shd w:val="clear" w:color="auto" w:fill="F2F2F2" w:themeFill="background1" w:themeFillShade="F2"/>
                  <w:vAlign w:val="bottom"/>
                </w:tcPr>
                <w:p w14:paraId="3F36B63B" w14:textId="77777777" w:rsidR="00FC14FC" w:rsidRPr="00C81966" w:rsidRDefault="00FC14FC" w:rsidP="00D11B9D">
                  <w:pPr>
                    <w:pStyle w:val="TableUnitsRow"/>
                    <w:spacing w:before="0"/>
                    <w:ind w:right="28"/>
                  </w:pPr>
                  <w:r w:rsidRPr="007A17AE">
                    <w:t>57</w:t>
                  </w:r>
                </w:p>
              </w:tc>
            </w:tr>
            <w:tr w:rsidR="00FC14FC" w14:paraId="6852B072" w14:textId="77777777" w:rsidTr="00D11B9D">
              <w:tc>
                <w:tcPr>
                  <w:tcW w:w="837" w:type="pct"/>
                  <w:tcBorders>
                    <w:bottom w:val="single" w:sz="6" w:space="0" w:color="BFBFBF"/>
                  </w:tcBorders>
                  <w:shd w:val="clear" w:color="auto" w:fill="auto"/>
                  <w:vAlign w:val="bottom"/>
                </w:tcPr>
                <w:p w14:paraId="7A2CE6A0" w14:textId="77777777" w:rsidR="00FC14FC" w:rsidRDefault="00FC14FC" w:rsidP="00D11B9D">
                  <w:pPr>
                    <w:pStyle w:val="TableBodyText"/>
                    <w:jc w:val="left"/>
                  </w:pPr>
                  <w:r>
                    <w:t>Total property</w:t>
                  </w:r>
                </w:p>
              </w:tc>
              <w:tc>
                <w:tcPr>
                  <w:tcW w:w="416" w:type="pct"/>
                  <w:tcBorders>
                    <w:bottom w:val="single" w:sz="6" w:space="0" w:color="BFBFBF"/>
                  </w:tcBorders>
                  <w:vAlign w:val="bottom"/>
                </w:tcPr>
                <w:p w14:paraId="27987EAA" w14:textId="77777777" w:rsidR="00FC14FC" w:rsidRPr="00C81966" w:rsidRDefault="00FC14FC" w:rsidP="00D11B9D">
                  <w:pPr>
                    <w:pStyle w:val="TableUnitsRow"/>
                    <w:spacing w:before="0"/>
                  </w:pPr>
                  <w:r w:rsidRPr="007A17AE">
                    <w:t>45</w:t>
                  </w:r>
                </w:p>
              </w:tc>
              <w:tc>
                <w:tcPr>
                  <w:tcW w:w="416" w:type="pct"/>
                  <w:tcBorders>
                    <w:bottom w:val="single" w:sz="6" w:space="0" w:color="BFBFBF"/>
                  </w:tcBorders>
                  <w:shd w:val="clear" w:color="auto" w:fill="auto"/>
                  <w:vAlign w:val="bottom"/>
                </w:tcPr>
                <w:p w14:paraId="20400106" w14:textId="77777777" w:rsidR="00FC14FC" w:rsidRPr="00C81966" w:rsidRDefault="00FC14FC" w:rsidP="00D11B9D">
                  <w:pPr>
                    <w:pStyle w:val="TableUnitsRow"/>
                    <w:spacing w:before="0"/>
                  </w:pPr>
                  <w:r w:rsidRPr="007A17AE">
                    <w:t>49</w:t>
                  </w:r>
                </w:p>
              </w:tc>
              <w:tc>
                <w:tcPr>
                  <w:tcW w:w="416" w:type="pct"/>
                  <w:tcBorders>
                    <w:bottom w:val="single" w:sz="6" w:space="0" w:color="BFBFBF"/>
                  </w:tcBorders>
                  <w:shd w:val="clear" w:color="auto" w:fill="auto"/>
                  <w:vAlign w:val="bottom"/>
                </w:tcPr>
                <w:p w14:paraId="5273FEAC" w14:textId="77777777" w:rsidR="00FC14FC" w:rsidRPr="00C81966" w:rsidRDefault="00FC14FC" w:rsidP="00D11B9D">
                  <w:pPr>
                    <w:pStyle w:val="TableUnitsRow"/>
                    <w:spacing w:before="0"/>
                  </w:pPr>
                  <w:r w:rsidRPr="007A17AE">
                    <w:t>53</w:t>
                  </w:r>
                </w:p>
              </w:tc>
              <w:tc>
                <w:tcPr>
                  <w:tcW w:w="416" w:type="pct"/>
                  <w:tcBorders>
                    <w:bottom w:val="single" w:sz="6" w:space="0" w:color="BFBFBF"/>
                  </w:tcBorders>
                  <w:vAlign w:val="bottom"/>
                </w:tcPr>
                <w:p w14:paraId="46FDEEDD" w14:textId="77777777" w:rsidR="00FC14FC" w:rsidRPr="00C81966" w:rsidRDefault="00FC14FC" w:rsidP="00D11B9D">
                  <w:pPr>
                    <w:pStyle w:val="TableUnitsRow"/>
                    <w:spacing w:before="0"/>
                  </w:pPr>
                  <w:r w:rsidRPr="007A17AE">
                    <w:t>56</w:t>
                  </w:r>
                </w:p>
              </w:tc>
              <w:tc>
                <w:tcPr>
                  <w:tcW w:w="417" w:type="pct"/>
                  <w:tcBorders>
                    <w:bottom w:val="single" w:sz="6" w:space="0" w:color="BFBFBF"/>
                  </w:tcBorders>
                  <w:vAlign w:val="bottom"/>
                </w:tcPr>
                <w:p w14:paraId="16C18115" w14:textId="77777777" w:rsidR="00FC14FC" w:rsidRPr="00C81966" w:rsidRDefault="00FC14FC" w:rsidP="00D11B9D">
                  <w:pPr>
                    <w:pStyle w:val="TableUnitsRow"/>
                    <w:spacing w:before="0"/>
                  </w:pPr>
                  <w:r w:rsidRPr="007A17AE">
                    <w:t>59</w:t>
                  </w:r>
                </w:p>
              </w:tc>
              <w:tc>
                <w:tcPr>
                  <w:tcW w:w="416" w:type="pct"/>
                  <w:tcBorders>
                    <w:bottom w:val="single" w:sz="6" w:space="0" w:color="BFBFBF"/>
                  </w:tcBorders>
                  <w:vAlign w:val="bottom"/>
                </w:tcPr>
                <w:p w14:paraId="1881D295" w14:textId="77777777" w:rsidR="00FC14FC" w:rsidRPr="00C81966" w:rsidRDefault="00FC14FC" w:rsidP="00D11B9D">
                  <w:pPr>
                    <w:pStyle w:val="TableUnitsRow"/>
                    <w:spacing w:before="0"/>
                  </w:pPr>
                  <w:r w:rsidRPr="007A17AE">
                    <w:t>63</w:t>
                  </w:r>
                </w:p>
              </w:tc>
              <w:tc>
                <w:tcPr>
                  <w:tcW w:w="416" w:type="pct"/>
                  <w:tcBorders>
                    <w:bottom w:val="single" w:sz="6" w:space="0" w:color="BFBFBF"/>
                  </w:tcBorders>
                  <w:vAlign w:val="bottom"/>
                </w:tcPr>
                <w:p w14:paraId="47784A56" w14:textId="77777777" w:rsidR="00FC14FC" w:rsidRPr="00C81966" w:rsidRDefault="00FC14FC" w:rsidP="00D11B9D">
                  <w:pPr>
                    <w:pStyle w:val="TableUnitsRow"/>
                    <w:spacing w:before="0"/>
                  </w:pPr>
                  <w:r w:rsidRPr="007A17AE">
                    <w:t>82</w:t>
                  </w:r>
                </w:p>
              </w:tc>
              <w:tc>
                <w:tcPr>
                  <w:tcW w:w="416" w:type="pct"/>
                  <w:tcBorders>
                    <w:bottom w:val="single" w:sz="6" w:space="0" w:color="BFBFBF"/>
                  </w:tcBorders>
                  <w:vAlign w:val="bottom"/>
                </w:tcPr>
                <w:p w14:paraId="6CC8A586" w14:textId="77777777" w:rsidR="00FC14FC" w:rsidRPr="00C81966" w:rsidRDefault="00FC14FC" w:rsidP="00D11B9D">
                  <w:pPr>
                    <w:pStyle w:val="TableUnitsRow"/>
                    <w:spacing w:before="0"/>
                  </w:pPr>
                  <w:r w:rsidRPr="007A17AE">
                    <w:t>88</w:t>
                  </w:r>
                </w:p>
              </w:tc>
              <w:tc>
                <w:tcPr>
                  <w:tcW w:w="416" w:type="pct"/>
                  <w:tcBorders>
                    <w:bottom w:val="single" w:sz="6" w:space="0" w:color="BFBFBF"/>
                  </w:tcBorders>
                  <w:vAlign w:val="bottom"/>
                </w:tcPr>
                <w:p w14:paraId="6882EF2D" w14:textId="77777777" w:rsidR="00FC14FC" w:rsidRPr="00C81966" w:rsidRDefault="00FC14FC" w:rsidP="00D11B9D">
                  <w:pPr>
                    <w:pStyle w:val="TableUnitsRow"/>
                    <w:spacing w:before="0"/>
                  </w:pPr>
                  <w:r w:rsidRPr="007A17AE">
                    <w:t>88</w:t>
                  </w:r>
                </w:p>
              </w:tc>
              <w:tc>
                <w:tcPr>
                  <w:tcW w:w="417" w:type="pct"/>
                  <w:tcBorders>
                    <w:bottom w:val="single" w:sz="6" w:space="0" w:color="BFBFBF"/>
                  </w:tcBorders>
                  <w:vAlign w:val="bottom"/>
                </w:tcPr>
                <w:p w14:paraId="021E87F7" w14:textId="77777777" w:rsidR="00FC14FC" w:rsidRPr="00C81966" w:rsidRDefault="00FC14FC" w:rsidP="00D11B9D">
                  <w:pPr>
                    <w:pStyle w:val="TableUnitsRow"/>
                    <w:spacing w:before="0"/>
                    <w:ind w:right="28"/>
                  </w:pPr>
                  <w:r w:rsidRPr="007A17AE">
                    <w:t>87</w:t>
                  </w:r>
                </w:p>
              </w:tc>
            </w:tr>
          </w:tbl>
          <w:p w14:paraId="4747FB94" w14:textId="77777777" w:rsidR="00FC14FC" w:rsidRDefault="00FC14FC" w:rsidP="00D11B9D">
            <w:pPr>
              <w:pStyle w:val="Box"/>
            </w:pPr>
          </w:p>
        </w:tc>
      </w:tr>
      <w:tr w:rsidR="00FC14FC" w14:paraId="0CB1C8F4" w14:textId="77777777" w:rsidTr="00D11B9D">
        <w:tc>
          <w:tcPr>
            <w:tcW w:w="5000" w:type="pct"/>
            <w:tcBorders>
              <w:top w:val="nil"/>
              <w:left w:val="nil"/>
              <w:bottom w:val="nil"/>
              <w:right w:val="nil"/>
            </w:tcBorders>
            <w:shd w:val="clear" w:color="auto" w:fill="auto"/>
          </w:tcPr>
          <w:p w14:paraId="0AFFA6E1" w14:textId="77777777" w:rsidR="00FC14FC" w:rsidRDefault="00FC14FC" w:rsidP="00D11B9D">
            <w:pPr>
              <w:pStyle w:val="Note"/>
              <w:rPr>
                <w:i/>
              </w:rPr>
            </w:pPr>
            <w:r w:rsidRPr="008E77FE">
              <w:rPr>
                <w:rStyle w:val="NoteLabel"/>
              </w:rPr>
              <w:t>a</w:t>
            </w:r>
            <w:r>
              <w:t xml:space="preserve"> Eligible rollover funds and observations where funds did not split fixed income into Australian and international categories have been excluded.</w:t>
            </w:r>
          </w:p>
        </w:tc>
      </w:tr>
      <w:tr w:rsidR="00FC14FC" w14:paraId="3BE87119" w14:textId="77777777" w:rsidTr="00D11B9D">
        <w:tc>
          <w:tcPr>
            <w:tcW w:w="5000" w:type="pct"/>
            <w:tcBorders>
              <w:top w:val="nil"/>
              <w:left w:val="nil"/>
              <w:bottom w:val="nil"/>
              <w:right w:val="nil"/>
            </w:tcBorders>
            <w:shd w:val="clear" w:color="auto" w:fill="auto"/>
          </w:tcPr>
          <w:p w14:paraId="1B76E97F" w14:textId="77777777" w:rsidR="00FC14FC" w:rsidRDefault="00FC14FC" w:rsidP="00D11B9D">
            <w:pPr>
              <w:pStyle w:val="Source"/>
            </w:pPr>
            <w:r>
              <w:rPr>
                <w:i/>
              </w:rPr>
              <w:t>Source</w:t>
            </w:r>
            <w:r w:rsidRPr="00167F06">
              <w:t xml:space="preserve">: </w:t>
            </w:r>
            <w:r>
              <w:t>Supplementary funds survey.</w:t>
            </w:r>
          </w:p>
        </w:tc>
      </w:tr>
      <w:tr w:rsidR="00FC14FC" w14:paraId="59425117" w14:textId="77777777" w:rsidTr="00D11B9D">
        <w:tc>
          <w:tcPr>
            <w:tcW w:w="5000" w:type="pct"/>
            <w:tcBorders>
              <w:top w:val="nil"/>
              <w:left w:val="nil"/>
              <w:bottom w:val="single" w:sz="6" w:space="0" w:color="78A22F"/>
              <w:right w:val="nil"/>
            </w:tcBorders>
            <w:shd w:val="clear" w:color="auto" w:fill="auto"/>
          </w:tcPr>
          <w:p w14:paraId="5F479C41" w14:textId="77777777" w:rsidR="00FC14FC" w:rsidRDefault="00FC14FC" w:rsidP="00D11B9D">
            <w:pPr>
              <w:pStyle w:val="Box"/>
              <w:spacing w:before="0" w:line="120" w:lineRule="exact"/>
            </w:pPr>
          </w:p>
        </w:tc>
      </w:tr>
      <w:tr w:rsidR="00FC14FC" w:rsidRPr="000863A5" w14:paraId="54436F0D" w14:textId="77777777" w:rsidTr="00D11B9D">
        <w:tc>
          <w:tcPr>
            <w:tcW w:w="5000" w:type="pct"/>
            <w:tcBorders>
              <w:top w:val="single" w:sz="6" w:space="0" w:color="78A22F"/>
              <w:left w:val="nil"/>
              <w:bottom w:val="nil"/>
              <w:right w:val="nil"/>
            </w:tcBorders>
          </w:tcPr>
          <w:p w14:paraId="602DB346" w14:textId="77777777" w:rsidR="00FC14FC" w:rsidRPr="00626D32" w:rsidRDefault="00FC14FC" w:rsidP="00D11B9D">
            <w:pPr>
              <w:pStyle w:val="BoxSpaceBelow"/>
            </w:pPr>
          </w:p>
        </w:tc>
      </w:tr>
    </w:tbl>
    <w:p w14:paraId="3A0831C5" w14:textId="77777777" w:rsidR="00FC14FC" w:rsidRDefault="00FC14FC" w:rsidP="00FC14FC">
      <w:pPr>
        <w:pStyle w:val="BodyText"/>
      </w:pPr>
      <w:r>
        <w:t>The funds which provided responses on asset</w:t>
      </w:r>
      <w:r>
        <w:noBreakHyphen/>
        <w:t>class returns accounted for 66 per cent of assets in the APRA</w:t>
      </w:r>
      <w:r>
        <w:noBreakHyphen/>
        <w:t>regulated system in 2008 and 86 per cent of assets in the APRA</w:t>
      </w:r>
      <w:r>
        <w:noBreakHyphen/>
        <w:t>regulated system in 2017. At the segment level, not</w:t>
      </w:r>
      <w:r>
        <w:noBreakHyphen/>
        <w:t>for</w:t>
      </w:r>
      <w:r>
        <w:noBreakHyphen/>
        <w:t>profit funds have a greater representation than retail funds across the time period (figure 4.3). This could be a reflection of t</w:t>
      </w:r>
      <w:r w:rsidRPr="00EE240F">
        <w:t xml:space="preserve">he survey data </w:t>
      </w:r>
      <w:r>
        <w:t>containing</w:t>
      </w:r>
      <w:r w:rsidRPr="00EE240F">
        <w:t xml:space="preserve"> both survivor bias (funds which were wound up during the period are not represented in the survey sample) and selection bias (poorer performing funds being less likely to volunteer data in the survey or only partially volunteering data for some years).</w:t>
      </w:r>
    </w:p>
    <w:p w14:paraId="676A298E" w14:textId="77777777" w:rsidR="00FC14FC" w:rsidRDefault="00FC14FC" w:rsidP="00FC14FC">
      <w:pPr>
        <w:pStyle w:val="BodyText"/>
      </w:pPr>
      <w:r>
        <w:t>Additionally, 13 retail funds were unable to provide data at a fund level. The Commission agreed that these funds could provide product</w:t>
      </w:r>
      <w:r>
        <w:noBreakHyphen/>
        <w:t xml:space="preserve"> or option</w:t>
      </w:r>
      <w:r>
        <w:noBreakHyphen/>
        <w:t>level data that they considered to be broadly representative of within</w:t>
      </w:r>
      <w:r>
        <w:noBreakHyphen/>
        <w:t>asset</w:t>
      </w:r>
      <w:r>
        <w:noBreakHyphen/>
        <w:t>class performance at the fund level. However, some participants argued that such product</w:t>
      </w:r>
      <w:r>
        <w:noBreakHyphen/>
        <w:t xml:space="preserve">level would represent a ‘simplifying assumption’ </w:t>
      </w:r>
      <w:r w:rsidRPr="006F609F">
        <w:t>(</w:t>
      </w:r>
      <w:r>
        <w:t xml:space="preserve">ASFA, sub. DR221, </w:t>
      </w:r>
      <w:r w:rsidRPr="006F609F">
        <w:t>p</w:t>
      </w:r>
      <w:r>
        <w:t>p</w:t>
      </w:r>
      <w:r w:rsidRPr="006F609F">
        <w:t>.</w:t>
      </w:r>
      <w:r>
        <w:t xml:space="preserve"> 2–3) by funds and that some funds ‘are not confident this is [representative] of fund level performance’ </w:t>
      </w:r>
      <w:r w:rsidRPr="006F609F">
        <w:t>(</w:t>
      </w:r>
      <w:r>
        <w:t>FSC, sub. DR218, p. 10</w:t>
      </w:r>
      <w:r w:rsidRPr="006F609F">
        <w:t>)</w:t>
      </w:r>
      <w:r>
        <w:t>.</w:t>
      </w:r>
    </w:p>
    <w:p w14:paraId="6EC9285D"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4A557200" w14:textId="77777777" w:rsidTr="00D11B9D">
        <w:trPr>
          <w:tblHeader/>
        </w:trPr>
        <w:tc>
          <w:tcPr>
            <w:tcW w:w="5000" w:type="pct"/>
            <w:tcBorders>
              <w:top w:val="single" w:sz="6" w:space="0" w:color="78A22F"/>
              <w:left w:val="nil"/>
              <w:bottom w:val="nil"/>
              <w:right w:val="nil"/>
            </w:tcBorders>
            <w:shd w:val="clear" w:color="auto" w:fill="auto"/>
          </w:tcPr>
          <w:p w14:paraId="361E7AB0" w14:textId="77777777" w:rsidR="00FC14FC" w:rsidRPr="00176D3F" w:rsidRDefault="00FC14FC" w:rsidP="00D11B9D">
            <w:pPr>
              <w:pStyle w:val="FigureTitle"/>
            </w:pPr>
            <w:r w:rsidRPr="00784A05">
              <w:rPr>
                <w:b w:val="0"/>
              </w:rPr>
              <w:t xml:space="preserve">Figure </w:t>
            </w:r>
            <w:r>
              <w:rPr>
                <w:b w:val="0"/>
              </w:rPr>
              <w:t>4.3</w:t>
            </w:r>
            <w:r>
              <w:tab/>
              <w:t>Funds survey — returns data coverage</w:t>
            </w:r>
            <w:r w:rsidRPr="00E42AC5">
              <w:rPr>
                <w:rStyle w:val="NoteLabel"/>
              </w:rPr>
              <w:t>a</w:t>
            </w:r>
          </w:p>
        </w:tc>
      </w:tr>
      <w:tr w:rsidR="00FC14FC" w14:paraId="57A7163A" w14:textId="77777777" w:rsidTr="00D11B9D">
        <w:trPr>
          <w:trHeight w:val="4702"/>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C14FC" w:rsidRPr="00B1465D" w14:paraId="590BECBB" w14:textId="77777777" w:rsidTr="00D11B9D">
              <w:trPr>
                <w:tblHeader/>
                <w:jc w:val="center"/>
              </w:trPr>
              <w:tc>
                <w:tcPr>
                  <w:tcW w:w="5000" w:type="pct"/>
                  <w:tcBorders>
                    <w:top w:val="nil"/>
                    <w:bottom w:val="nil"/>
                  </w:tcBorders>
                </w:tcPr>
                <w:p w14:paraId="4B034F74" w14:textId="77777777" w:rsidR="00FC14FC" w:rsidRPr="00B1465D" w:rsidRDefault="00FC14FC" w:rsidP="00D11B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34F31FF5" wp14:editId="6E1DBA71">
                        <wp:extent cx="5581015" cy="2791460"/>
                        <wp:effectExtent l="0" t="0" r="0" b="0"/>
                        <wp:docPr id="22" name="Picture 22" descr="Fig 4.3. The bar chart shows the per of assets covered by the fund survey data over time, for both retail and industry funds. Both improve over time but industry has better coverage than retail (with 90% of assets covered in 2017 versus 78% for retail). " title="Funds survey - returns data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verage.em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81015" cy="2791460"/>
                                </a:xfrm>
                                <a:prstGeom prst="rect">
                                  <a:avLst/>
                                </a:prstGeom>
                              </pic:spPr>
                            </pic:pic>
                          </a:graphicData>
                        </a:graphic>
                      </wp:inline>
                    </w:drawing>
                  </w:r>
                </w:p>
              </w:tc>
            </w:tr>
          </w:tbl>
          <w:p w14:paraId="3985A8BC" w14:textId="77777777" w:rsidR="00FC14FC" w:rsidRDefault="00FC14FC" w:rsidP="00D11B9D">
            <w:pPr>
              <w:pStyle w:val="Figure"/>
            </w:pPr>
          </w:p>
        </w:tc>
      </w:tr>
      <w:tr w:rsidR="00FC14FC" w:rsidRPr="00176D3F" w14:paraId="3E40298C" w14:textId="77777777" w:rsidTr="00D11B9D">
        <w:tc>
          <w:tcPr>
            <w:tcW w:w="5000" w:type="pct"/>
            <w:tcBorders>
              <w:top w:val="nil"/>
              <w:left w:val="nil"/>
              <w:bottom w:val="nil"/>
              <w:right w:val="nil"/>
            </w:tcBorders>
            <w:shd w:val="clear" w:color="auto" w:fill="auto"/>
          </w:tcPr>
          <w:p w14:paraId="400C986B" w14:textId="77777777" w:rsidR="00FC14FC" w:rsidRPr="00176D3F" w:rsidRDefault="00FC14FC" w:rsidP="00D11B9D">
            <w:pPr>
              <w:pStyle w:val="Note"/>
            </w:pPr>
            <w:r>
              <w:rPr>
                <w:rStyle w:val="NoteLabel"/>
              </w:rPr>
              <w:t>a</w:t>
            </w:r>
            <w:r>
              <w:t xml:space="preserve"> Eligible rollover funds</w:t>
            </w:r>
            <w:r w:rsidDel="00790208">
              <w:t xml:space="preserve"> </w:t>
            </w:r>
            <w:r>
              <w:t>are excluded from this analysis.</w:t>
            </w:r>
          </w:p>
        </w:tc>
      </w:tr>
      <w:tr w:rsidR="00FC14FC" w:rsidRPr="00176D3F" w14:paraId="5021CA1F" w14:textId="77777777" w:rsidTr="00D11B9D">
        <w:tc>
          <w:tcPr>
            <w:tcW w:w="5000" w:type="pct"/>
            <w:tcBorders>
              <w:top w:val="nil"/>
              <w:left w:val="nil"/>
              <w:bottom w:val="nil"/>
              <w:right w:val="nil"/>
            </w:tcBorders>
            <w:shd w:val="clear" w:color="auto" w:fill="auto"/>
          </w:tcPr>
          <w:p w14:paraId="3E86B02F" w14:textId="77777777" w:rsidR="00FC14FC" w:rsidRPr="00176D3F" w:rsidRDefault="00FC14FC" w:rsidP="00D11B9D">
            <w:pPr>
              <w:pStyle w:val="Source"/>
            </w:pPr>
            <w:r>
              <w:rPr>
                <w:i/>
              </w:rPr>
              <w:t>S</w:t>
            </w:r>
            <w:r w:rsidRPr="00784A05">
              <w:rPr>
                <w:i/>
              </w:rPr>
              <w:t>ource</w:t>
            </w:r>
            <w:r>
              <w:rPr>
                <w:i/>
              </w:rPr>
              <w:t>s</w:t>
            </w:r>
            <w:r w:rsidRPr="00176D3F">
              <w:t xml:space="preserve">: </w:t>
            </w:r>
            <w:r>
              <w:t>Supplementary funds survey and PC analysis of unpublished APRA data.</w:t>
            </w:r>
          </w:p>
        </w:tc>
      </w:tr>
      <w:tr w:rsidR="00FC14FC" w14:paraId="1F8FEA59" w14:textId="77777777" w:rsidTr="00D11B9D">
        <w:tc>
          <w:tcPr>
            <w:tcW w:w="5000" w:type="pct"/>
            <w:tcBorders>
              <w:top w:val="nil"/>
              <w:left w:val="nil"/>
              <w:bottom w:val="single" w:sz="6" w:space="0" w:color="78A22F"/>
              <w:right w:val="nil"/>
            </w:tcBorders>
            <w:shd w:val="clear" w:color="auto" w:fill="auto"/>
          </w:tcPr>
          <w:p w14:paraId="3B53F94E" w14:textId="77777777" w:rsidR="00FC14FC" w:rsidRDefault="00FC14FC" w:rsidP="00D11B9D">
            <w:pPr>
              <w:pStyle w:val="Figurespace"/>
            </w:pPr>
          </w:p>
        </w:tc>
      </w:tr>
      <w:tr w:rsidR="00FC14FC" w:rsidRPr="000863A5" w14:paraId="70642299" w14:textId="77777777" w:rsidTr="00D11B9D">
        <w:tc>
          <w:tcPr>
            <w:tcW w:w="5000" w:type="pct"/>
            <w:tcBorders>
              <w:top w:val="single" w:sz="6" w:space="0" w:color="78A22F"/>
              <w:left w:val="nil"/>
              <w:bottom w:val="nil"/>
              <w:right w:val="nil"/>
            </w:tcBorders>
          </w:tcPr>
          <w:p w14:paraId="6F1E16F8" w14:textId="77777777" w:rsidR="00FC14FC" w:rsidRPr="00626D32" w:rsidRDefault="00FC14FC" w:rsidP="00D11B9D">
            <w:pPr>
              <w:pStyle w:val="BoxSpaceBelow"/>
            </w:pPr>
          </w:p>
        </w:tc>
      </w:tr>
    </w:tbl>
    <w:p w14:paraId="4C90472F" w14:textId="77777777" w:rsidR="00FC14FC" w:rsidRDefault="00FC14FC" w:rsidP="00FC14FC">
      <w:pPr>
        <w:pStyle w:val="Heading2"/>
      </w:pPr>
      <w:bookmarkStart w:id="8" w:name="_Toc532997258"/>
      <w:bookmarkStart w:id="9" w:name="_Toc534642277"/>
      <w:r>
        <w:t>4.</w:t>
      </w:r>
      <w:r>
        <w:rPr>
          <w:noProof/>
        </w:rPr>
        <w:t>2</w:t>
      </w:r>
      <w:r>
        <w:tab/>
        <w:t>Methods and assumptions</w:t>
      </w:r>
      <w:bookmarkEnd w:id="8"/>
      <w:bookmarkEnd w:id="9"/>
    </w:p>
    <w:p w14:paraId="5607BCCD" w14:textId="77777777" w:rsidR="00FC14FC" w:rsidRDefault="00FC14FC" w:rsidP="00FC14FC">
      <w:pPr>
        <w:pStyle w:val="BodyText"/>
      </w:pPr>
      <w:r>
        <w:t xml:space="preserve">The Commission’s analysis of investment performance can broadly be decomposed into two parts: calculating actual returns and calculating the benchmarks used to assess these returns. This section details the methods and assumptions involved in both parts. </w:t>
      </w:r>
    </w:p>
    <w:p w14:paraId="01E2DF71" w14:textId="77777777" w:rsidR="00FC14FC" w:rsidRDefault="00FC14FC" w:rsidP="00FC14FC">
      <w:pPr>
        <w:pStyle w:val="Heading3"/>
      </w:pPr>
      <w:r>
        <w:t>Calculating net returns</w:t>
      </w:r>
    </w:p>
    <w:p w14:paraId="77A292CB" w14:textId="77777777" w:rsidR="00FC14FC" w:rsidRDefault="00FC14FC" w:rsidP="00FC14FC">
      <w:pPr>
        <w:pStyle w:val="Heading4"/>
        <w:spacing w:before="240"/>
      </w:pPr>
      <w:r>
        <w:t>Net returns and investment returns</w:t>
      </w:r>
    </w:p>
    <w:p w14:paraId="32E65E0D" w14:textId="77777777" w:rsidR="00FC14FC" w:rsidRDefault="00FC14FC" w:rsidP="00FC14FC">
      <w:pPr>
        <w:pStyle w:val="BodyText"/>
        <w:spacing w:before="360"/>
      </w:pPr>
      <w:r>
        <w:t>As in chapter 2, most returns analysis is on a ‘net of everything’ basis — all administration and investment expenses/fees, and tax. There are two exceptions. First, returns for the fund</w:t>
      </w:r>
      <w:r>
        <w:noBreakHyphen/>
        <w:t>level distributional analysis are calculated gross of tax (that is, net of administration and investment expenses only) because making tax adjustments using the available data would have created material distortions to benchmarks (described below).</w:t>
      </w:r>
    </w:p>
    <w:p w14:paraId="4AB2DD48" w14:textId="77777777" w:rsidR="00FC14FC" w:rsidRDefault="00FC14FC" w:rsidP="00FC14FC">
      <w:pPr>
        <w:pStyle w:val="BodyText"/>
        <w:spacing w:before="360"/>
      </w:pPr>
      <w:r>
        <w:t xml:space="preserve">Second, in analyses using SuperRatings returns data, the returns are reported crediting rates which are returns net of investment fees, tax and </w:t>
      </w:r>
      <w:r w:rsidRPr="00296EAC">
        <w:rPr>
          <w:i/>
        </w:rPr>
        <w:t>implicit</w:t>
      </w:r>
      <w:r>
        <w:t xml:space="preserve"> asset</w:t>
      </w:r>
      <w:r>
        <w:noBreakHyphen/>
        <w:t>based administration fees. This means that fixed administration fees (separately levied on a member’s account) are not factored in, and asset</w:t>
      </w:r>
      <w:r>
        <w:noBreakHyphen/>
        <w:t xml:space="preserve">based administration fees are only counted in the case that a fund </w:t>
      </w:r>
      <w:r>
        <w:lastRenderedPageBreak/>
        <w:t>reports a crediting rate that is net of asset</w:t>
      </w:r>
      <w:r>
        <w:noBreakHyphen/>
        <w:t>based administration fees. This latter point represents an inconsistency the Commission was unable to overcome. In these cases, the Commission has calculated BPs net of asset</w:t>
      </w:r>
      <w:r>
        <w:noBreakHyphen/>
        <w:t>based administration fees, investment fees and tax, affording funds the benefit of the doubt.</w:t>
      </w:r>
    </w:p>
    <w:p w14:paraId="4ADFF4B6" w14:textId="77777777" w:rsidR="00FC14FC" w:rsidRDefault="00FC14FC" w:rsidP="00FC14FC">
      <w:pPr>
        <w:pStyle w:val="BodyText"/>
      </w:pPr>
      <w:r>
        <w:t xml:space="preserve">In some cases, pure investment performance is of interest and the Commission has estimated net </w:t>
      </w:r>
      <w:r w:rsidRPr="00073E37">
        <w:rPr>
          <w:i/>
        </w:rPr>
        <w:t>investment</w:t>
      </w:r>
      <w:r>
        <w:t xml:space="preserve"> returns (net of investment fees but not administration fees or taxes). </w:t>
      </w:r>
    </w:p>
    <w:p w14:paraId="0CBBD6FE" w14:textId="77777777" w:rsidR="00FC14FC" w:rsidRDefault="00FC14FC" w:rsidP="00FC14FC">
      <w:pPr>
        <w:pStyle w:val="Heading4"/>
      </w:pPr>
      <w:r>
        <w:t>Time</w:t>
      </w:r>
      <w:r>
        <w:noBreakHyphen/>
        <w:t>weighted and money</w:t>
      </w:r>
      <w:r>
        <w:noBreakHyphen/>
        <w:t>weighted returns</w:t>
      </w:r>
    </w:p>
    <w:p w14:paraId="1D337ED4" w14:textId="77777777" w:rsidR="00FC14FC" w:rsidRPr="000136CC" w:rsidRDefault="00FC14FC" w:rsidP="00FC14FC">
      <w:pPr>
        <w:pStyle w:val="BodyText"/>
        <w:rPr>
          <w:spacing w:val="-2"/>
          <w:lang w:eastAsia="en-US"/>
        </w:rPr>
      </w:pPr>
      <w:r w:rsidRPr="000136CC">
        <w:rPr>
          <w:spacing w:val="-2"/>
        </w:rPr>
        <w:t>In stage 1, the Commission considered using money</w:t>
      </w:r>
      <w:r w:rsidRPr="000136CC">
        <w:rPr>
          <w:spacing w:val="-2"/>
        </w:rPr>
        <w:noBreakHyphen/>
        <w:t>weighted returns in its assessment framework (PC 2016). Money</w:t>
      </w:r>
      <w:r w:rsidRPr="000136CC">
        <w:rPr>
          <w:spacing w:val="-2"/>
        </w:rPr>
        <w:noBreakHyphen/>
        <w:t>weighted returns are also known as internal rates of return and are often used to evaluate prospective investments by a firm. Money</w:t>
      </w:r>
      <w:r w:rsidRPr="000136CC">
        <w:rPr>
          <w:spacing w:val="-2"/>
        </w:rPr>
        <w:noBreakHyphen/>
        <w:t xml:space="preserve">weighted returns are the discount rate that equates the present value of outflows with the present value of inflows. This calculation takes account of the timing of when inflows and outflows are incurred. </w:t>
      </w:r>
    </w:p>
    <w:p w14:paraId="5B955977" w14:textId="77777777" w:rsidR="00FC14FC" w:rsidRPr="000136CC" w:rsidRDefault="00FC14FC" w:rsidP="00FC14FC">
      <w:pPr>
        <w:pStyle w:val="BodyText"/>
        <w:rPr>
          <w:spacing w:val="-2"/>
        </w:rPr>
      </w:pPr>
      <w:r w:rsidRPr="000136CC">
        <w:rPr>
          <w:spacing w:val="-2"/>
        </w:rPr>
        <w:t>APRA’s annual rate of return is a money</w:t>
      </w:r>
      <w:r w:rsidRPr="000136CC">
        <w:rPr>
          <w:spacing w:val="-2"/>
        </w:rPr>
        <w:noBreakHyphen/>
        <w:t>weighted return, as it accounts for inflows and outflows. However, t</w:t>
      </w:r>
      <w:r w:rsidRPr="000136CC">
        <w:rPr>
          <w:spacing w:val="-2"/>
          <w:lang w:eastAsia="en-US"/>
        </w:rPr>
        <w:t>he data required to compute money</w:t>
      </w:r>
      <w:r w:rsidRPr="000136CC">
        <w:rPr>
          <w:spacing w:val="-2"/>
          <w:lang w:eastAsia="en-US"/>
        </w:rPr>
        <w:noBreakHyphen/>
        <w:t xml:space="preserve">weighted returns over time were not fully available, meaning that many assumptions would have been necessary to construct such a measure. Instead, the Commission has used </w:t>
      </w:r>
      <w:r w:rsidRPr="000136CC">
        <w:rPr>
          <w:spacing w:val="-2"/>
        </w:rPr>
        <w:t>a combination of money</w:t>
      </w:r>
      <w:r w:rsidRPr="000136CC">
        <w:rPr>
          <w:spacing w:val="-2"/>
        </w:rPr>
        <w:noBreakHyphen/>
        <w:t xml:space="preserve">weighted </w:t>
      </w:r>
      <w:r w:rsidRPr="000136CC">
        <w:rPr>
          <w:i/>
          <w:spacing w:val="-2"/>
        </w:rPr>
        <w:t>annual</w:t>
      </w:r>
      <w:r w:rsidRPr="000136CC">
        <w:rPr>
          <w:spacing w:val="-2"/>
        </w:rPr>
        <w:t xml:space="preserve"> returns and time</w:t>
      </w:r>
      <w:r w:rsidRPr="000136CC">
        <w:rPr>
          <w:spacing w:val="-2"/>
        </w:rPr>
        <w:noBreakHyphen/>
        <w:t xml:space="preserve">weighted (geometric average) </w:t>
      </w:r>
      <w:r w:rsidRPr="000136CC">
        <w:rPr>
          <w:i/>
          <w:spacing w:val="-2"/>
        </w:rPr>
        <w:t>annualised average</w:t>
      </w:r>
      <w:r w:rsidRPr="000136CC">
        <w:rPr>
          <w:spacing w:val="-2"/>
        </w:rPr>
        <w:t xml:space="preserve"> returns. </w:t>
      </w:r>
      <w:r w:rsidRPr="000136CC">
        <w:rPr>
          <w:spacing w:val="-2"/>
          <w:lang w:eastAsia="en-US"/>
        </w:rPr>
        <w:t>This is also consistent with the available benchmark measures (used to construct BPs), which are time weighted.</w:t>
      </w:r>
    </w:p>
    <w:p w14:paraId="0B960AE4" w14:textId="77777777" w:rsidR="00FC14FC" w:rsidRDefault="00FC14FC" w:rsidP="00FC14FC">
      <w:pPr>
        <w:pStyle w:val="Heading4"/>
      </w:pPr>
      <w:r>
        <w:t>Asset</w:t>
      </w:r>
      <w:r>
        <w:noBreakHyphen/>
        <w:t>weighted and account</w:t>
      </w:r>
      <w:r>
        <w:noBreakHyphen/>
        <w:t>weighted returns</w:t>
      </w:r>
    </w:p>
    <w:p w14:paraId="162C8C72" w14:textId="77777777" w:rsidR="00FC14FC" w:rsidRDefault="00FC14FC" w:rsidP="00FC14FC">
      <w:pPr>
        <w:pStyle w:val="BodyText"/>
      </w:pPr>
      <w:r>
        <w:t>In most cases, the Commission weighted returns by assets, meaning larger funds have a larger impact on system</w:t>
      </w:r>
      <w:r>
        <w:noBreakHyphen/>
        <w:t xml:space="preserve"> or segment</w:t>
      </w:r>
      <w:r>
        <w:noBreakHyphen/>
        <w:t xml:space="preserve">level averages. This is consistent with the inquiry being an assessment of the </w:t>
      </w:r>
      <w:r>
        <w:rPr>
          <w:i/>
        </w:rPr>
        <w:t>system</w:t>
      </w:r>
      <w:r>
        <w:t xml:space="preserve">. Conceiving of the system as a large stock of money under management, asset weighting allows for an assessment of the overall return this aggregate stock produced. However, for analyses of distributions (for example, at the fund or product level), calculating returns at the individual unit level meant no weighting was necessary. </w:t>
      </w:r>
    </w:p>
    <w:p w14:paraId="4614AD0F" w14:textId="77777777" w:rsidR="00FC14FC" w:rsidRDefault="00FC14FC" w:rsidP="00FC14FC">
      <w:pPr>
        <w:pStyle w:val="BodyText"/>
      </w:pPr>
      <w:r>
        <w:t>An alternative to weighting by assets is to weight by the number of member accounts. Such a measure could be more reflective of member experiences as a whole. The Commission has avoided use of account</w:t>
      </w:r>
      <w:r>
        <w:noBreakHyphen/>
        <w:t xml:space="preserve">weighted returns data as the number of member accounts is not available in many cases. </w:t>
      </w:r>
    </w:p>
    <w:p w14:paraId="223FE268" w14:textId="77777777" w:rsidR="00FC14FC" w:rsidRPr="002717AB" w:rsidRDefault="00FC14FC" w:rsidP="00FC14FC">
      <w:pPr>
        <w:pStyle w:val="BodyText"/>
      </w:pPr>
    </w:p>
    <w:p w14:paraId="07DD6DFA" w14:textId="77777777" w:rsidR="00FC14FC" w:rsidRDefault="00FC14FC" w:rsidP="00FC14FC">
      <w:pPr>
        <w:pStyle w:val="Heading4"/>
      </w:pPr>
      <w:r>
        <w:lastRenderedPageBreak/>
        <w:t>Geometric and arithmetic averages</w:t>
      </w:r>
    </w:p>
    <w:p w14:paraId="54D0BA27" w14:textId="77777777" w:rsidR="00FC14FC" w:rsidRDefault="00FC14FC" w:rsidP="00FC14FC">
      <w:pPr>
        <w:pStyle w:val="BodyText"/>
      </w:pPr>
      <w:r>
        <w:t>The Commission has calculated annualised returns as a geometric average of one</w:t>
      </w:r>
      <w:r>
        <w:noBreakHyphen/>
        <w:t>year returns. This</w:t>
      </w:r>
      <w:r w:rsidDel="000E37E2">
        <w:t xml:space="preserve"> </w:t>
      </w:r>
      <w:r>
        <w:t>takes account of compounding returns over time. Geometric returns were calculated as:</w:t>
      </w:r>
    </w:p>
    <w:p w14:paraId="66825C0F" w14:textId="77777777" w:rsidR="00FC14FC" w:rsidRPr="00552FE6" w:rsidRDefault="00F20664" w:rsidP="00FC14FC">
      <w:pPr>
        <w:pStyle w:val="ListBullet"/>
        <w:numPr>
          <w:ilvl w:val="0"/>
          <w:numId w:val="0"/>
        </w:numPr>
        <w:ind w:left="340" w:hanging="340"/>
      </w:pPr>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it</m:t>
                              </m:r>
                            </m:sub>
                          </m:sSub>
                        </m:e>
                      </m:d>
                    </m:e>
                  </m:nary>
                </m:e>
              </m:d>
            </m:e>
            <m:sup>
              <m:f>
                <m:fPr>
                  <m:ctrlPr>
                    <w:rPr>
                      <w:rFonts w:ascii="Cambria Math" w:hAnsi="Cambria Math"/>
                      <w:i/>
                    </w:rPr>
                  </m:ctrlPr>
                </m:fPr>
                <m:num>
                  <m:r>
                    <w:rPr>
                      <w:rFonts w:ascii="Cambria Math" w:hAnsi="Cambria Math"/>
                    </w:rPr>
                    <m:t>1</m:t>
                  </m:r>
                </m:num>
                <m:den>
                  <m:r>
                    <w:rPr>
                      <w:rFonts w:ascii="Cambria Math" w:hAnsi="Cambria Math"/>
                    </w:rPr>
                    <m:t>T</m:t>
                  </m:r>
                </m:den>
              </m:f>
            </m:sup>
          </m:sSup>
          <m:r>
            <w:rPr>
              <w:rFonts w:ascii="Cambria Math" w:hAnsi="Cambria Math"/>
            </w:rPr>
            <m:t>-1</m:t>
          </m:r>
        </m:oMath>
      </m:oMathPara>
    </w:p>
    <w:p w14:paraId="321288E3" w14:textId="77777777" w:rsidR="00FC14FC" w:rsidRDefault="00FC14FC" w:rsidP="00FC14FC">
      <w:pPr>
        <w:pStyle w:val="ListBullet"/>
        <w:numPr>
          <w:ilvl w:val="0"/>
          <w:numId w:val="0"/>
        </w:numPr>
        <w:ind w:left="340" w:hanging="340"/>
      </w:pPr>
      <w:r>
        <w:t>Where:</w:t>
      </w:r>
    </w:p>
    <w:p w14:paraId="0C1A335A" w14:textId="77777777" w:rsidR="00FC14FC" w:rsidRDefault="00F20664" w:rsidP="00FC14FC">
      <w:pPr>
        <w:pStyle w:val="ListBullet"/>
      </w:pPr>
      <m:oMath>
        <m:sSub>
          <m:sSubPr>
            <m:ctrlPr>
              <w:rPr>
                <w:rFonts w:ascii="Cambria Math" w:hAnsi="Cambria Math"/>
                <w:i/>
              </w:rPr>
            </m:ctrlPr>
          </m:sSubPr>
          <m:e>
            <m:r>
              <w:rPr>
                <w:rFonts w:ascii="Cambria Math" w:hAnsi="Cambria Math"/>
              </w:rPr>
              <m:t>R</m:t>
            </m:r>
          </m:e>
          <m:sub>
            <m:r>
              <w:rPr>
                <w:rFonts w:ascii="Cambria Math" w:hAnsi="Cambria Math"/>
              </w:rPr>
              <m:t>iT</m:t>
            </m:r>
          </m:sub>
        </m:sSub>
      </m:oMath>
      <w:r w:rsidR="00FC14FC">
        <w:t xml:space="preserve"> = the annualised return to system/segment/fund/option </w:t>
      </w:r>
      <m:oMath>
        <m:r>
          <w:rPr>
            <w:rFonts w:ascii="Cambria Math" w:hAnsi="Cambria Math"/>
          </w:rPr>
          <m:t xml:space="preserve">i </m:t>
        </m:r>
      </m:oMath>
      <w:r w:rsidR="00FC14FC">
        <w:t xml:space="preserve">across </w:t>
      </w:r>
      <m:oMath>
        <m:r>
          <w:rPr>
            <w:rFonts w:ascii="Cambria Math" w:hAnsi="Cambria Math"/>
          </w:rPr>
          <m:t>T</m:t>
        </m:r>
      </m:oMath>
      <w:r w:rsidR="00FC14FC">
        <w:t xml:space="preserve"> years</w:t>
      </w:r>
    </w:p>
    <w:p w14:paraId="6430B0BA" w14:textId="77777777" w:rsidR="00FC14FC" w:rsidRDefault="00F20664" w:rsidP="00FC14FC">
      <w:pPr>
        <w:pStyle w:val="ListBullet"/>
      </w:pPr>
      <m:oMath>
        <m:sSub>
          <m:sSubPr>
            <m:ctrlPr>
              <w:rPr>
                <w:rFonts w:ascii="Cambria Math" w:hAnsi="Cambria Math"/>
                <w:i/>
              </w:rPr>
            </m:ctrlPr>
          </m:sSubPr>
          <m:e>
            <m:r>
              <w:rPr>
                <w:rFonts w:ascii="Cambria Math" w:hAnsi="Cambria Math"/>
              </w:rPr>
              <m:t>r</m:t>
            </m:r>
          </m:e>
          <m:sub>
            <m:r>
              <w:rPr>
                <w:rFonts w:ascii="Cambria Math" w:hAnsi="Cambria Math"/>
              </w:rPr>
              <m:t>it</m:t>
            </m:r>
          </m:sub>
        </m:sSub>
      </m:oMath>
      <w:r w:rsidR="00FC14FC">
        <w:t xml:space="preserve"> = the return to system/segment/fund/option </w:t>
      </w:r>
      <m:oMath>
        <m:r>
          <w:rPr>
            <w:rFonts w:ascii="Cambria Math" w:hAnsi="Cambria Math"/>
          </w:rPr>
          <m:t>i</m:t>
        </m:r>
      </m:oMath>
      <w:r w:rsidR="00FC14FC">
        <w:t xml:space="preserve"> in year </w:t>
      </w:r>
      <m:oMath>
        <m:r>
          <w:rPr>
            <w:rFonts w:ascii="Cambria Math" w:hAnsi="Cambria Math"/>
          </w:rPr>
          <m:t>t</m:t>
        </m:r>
      </m:oMath>
    </w:p>
    <w:p w14:paraId="3AF8AFC7" w14:textId="77777777" w:rsidR="00FC14FC" w:rsidRDefault="00FC14FC" w:rsidP="00FC14FC">
      <w:pPr>
        <w:pStyle w:val="BodyText"/>
      </w:pPr>
      <w:r>
        <w:t>As can be seen in this formula, geometric averages are non</w:t>
      </w:r>
      <w:r>
        <w:noBreakHyphen/>
        <w:t xml:space="preserve">linear. For the purposes of the Commission’s decomposition analyses (described below), simple arithmetic averages have been used to make the analyses tractable. </w:t>
      </w:r>
    </w:p>
    <w:p w14:paraId="717C47D2" w14:textId="77777777" w:rsidR="00FC14FC" w:rsidRDefault="00FC14FC" w:rsidP="00FC14FC">
      <w:pPr>
        <w:pStyle w:val="Heading3"/>
      </w:pPr>
      <w:r>
        <w:t>Constructing BPs</w:t>
      </w:r>
    </w:p>
    <w:p w14:paraId="47DC3E05" w14:textId="77777777" w:rsidR="00FC14FC" w:rsidRDefault="00FC14FC" w:rsidP="00FC14FC">
      <w:pPr>
        <w:pStyle w:val="BodyText"/>
      </w:pPr>
      <w:r>
        <w:t>BPs are the primary measure used in the Commission’s analysis to evaluate system and segment performance. They aim to account for the many influences on investment markets that are beyond funds’ control, while providing insights into the efficiency by which funds add value for members.</w:t>
      </w:r>
    </w:p>
    <w:p w14:paraId="67443409" w14:textId="77777777" w:rsidR="00FC14FC" w:rsidRDefault="00FC14FC" w:rsidP="00FC14FC">
      <w:pPr>
        <w:pStyle w:val="BodyText"/>
      </w:pPr>
      <w:r>
        <w:t>In chapter 2, the Commission</w:t>
      </w:r>
      <w:r w:rsidDel="0050690F">
        <w:t xml:space="preserve"> </w:t>
      </w:r>
      <w:r>
        <w:t>used two types of BPs. One is based on listed asset classes only (BP1) and the other blends listed with unlisted asset classes (BP2).</w:t>
      </w:r>
    </w:p>
    <w:p w14:paraId="3E8D1E87" w14:textId="77777777" w:rsidR="00FC14FC" w:rsidRDefault="00FC14FC" w:rsidP="00FC14FC">
      <w:pPr>
        <w:pStyle w:val="ListBullet"/>
      </w:pPr>
      <w:r>
        <w:t>BP1 was designed to reflect what the system (or segment/fund/option) could have achieved by passively enacting a purely listed investment strategy.</w:t>
      </w:r>
    </w:p>
    <w:p w14:paraId="46D8F20A" w14:textId="77777777" w:rsidR="00FC14FC" w:rsidRDefault="00FC14FC" w:rsidP="00FC14FC">
      <w:pPr>
        <w:pStyle w:val="ListBullet"/>
      </w:pPr>
      <w:r>
        <w:t xml:space="preserve">BP2 was designed to more closely represent how asset allocations are implemented in practice. This means it was designed to represent (as closely as possible) the </w:t>
      </w:r>
      <w:r w:rsidRPr="00A105A8">
        <w:rPr>
          <w:i/>
        </w:rPr>
        <w:t>expected</w:t>
      </w:r>
      <w:r>
        <w:t xml:space="preserve"> return from the system’s (or segment/fund/option) actual asset allocation, including by investing in unlisted assets.</w:t>
      </w:r>
    </w:p>
    <w:p w14:paraId="0BCA510A" w14:textId="77777777" w:rsidR="00FC14FC" w:rsidRDefault="00FC14FC" w:rsidP="00FC14FC">
      <w:pPr>
        <w:pStyle w:val="BodyText"/>
      </w:pPr>
      <w:r>
        <w:t xml:space="preserve">In this technical supplement, the Commission also presents a BP with a fixed 70 per cent growth allocation. </w:t>
      </w:r>
    </w:p>
    <w:p w14:paraId="6B939338" w14:textId="77777777" w:rsidR="00FC14FC" w:rsidRDefault="00FC14FC" w:rsidP="00FC14FC">
      <w:pPr>
        <w:pStyle w:val="BodyText"/>
      </w:pPr>
      <w:r>
        <w:t>These BPs are weighted averages of financial market index returns, with the weights determined by the asset allocation of the unit under analysis. Because most index data are reported gross of fees and taxes, adjustments</w:t>
      </w:r>
      <w:r w:rsidDel="00D90BC5">
        <w:t xml:space="preserve"> </w:t>
      </w:r>
      <w:r>
        <w:t xml:space="preserve">were made to subtract fees (both investment and administration) and tax from the benchmarks (box 4.1). </w:t>
      </w:r>
    </w:p>
    <w:p w14:paraId="1783BA17"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54F91903" w14:textId="77777777" w:rsidTr="00D11B9D">
        <w:trPr>
          <w:tblHeader/>
        </w:trPr>
        <w:tc>
          <w:tcPr>
            <w:tcW w:w="5000" w:type="pct"/>
            <w:tcBorders>
              <w:top w:val="single" w:sz="6" w:space="0" w:color="78A22F"/>
              <w:left w:val="nil"/>
              <w:bottom w:val="nil"/>
              <w:right w:val="nil"/>
            </w:tcBorders>
            <w:shd w:val="clear" w:color="auto" w:fill="F2F2F2"/>
          </w:tcPr>
          <w:p w14:paraId="3386C9D1" w14:textId="77777777" w:rsidR="00FC14FC" w:rsidRDefault="00FC14FC" w:rsidP="00D11B9D">
            <w:pPr>
              <w:pStyle w:val="BoxTitle"/>
            </w:pPr>
            <w:r>
              <w:rPr>
                <w:b w:val="0"/>
              </w:rPr>
              <w:t>Box 4.1</w:t>
            </w:r>
            <w:r>
              <w:tab/>
              <w:t>Calculating BP returns</w:t>
            </w:r>
          </w:p>
        </w:tc>
      </w:tr>
      <w:tr w:rsidR="00FC14FC" w14:paraId="0828CF11" w14:textId="77777777" w:rsidTr="00D11B9D">
        <w:tc>
          <w:tcPr>
            <w:tcW w:w="5000" w:type="pct"/>
            <w:tcBorders>
              <w:top w:val="nil"/>
              <w:left w:val="nil"/>
              <w:bottom w:val="nil"/>
              <w:right w:val="nil"/>
            </w:tcBorders>
            <w:shd w:val="clear" w:color="auto" w:fill="F2F2F2"/>
          </w:tcPr>
          <w:p w14:paraId="734169DE" w14:textId="77777777" w:rsidR="00FC14FC" w:rsidRDefault="00FC14FC" w:rsidP="00D11B9D">
            <w:pPr>
              <w:pStyle w:val="Box"/>
            </w:pPr>
            <w:r>
              <w:t>The formula for a given year is as follows:</w:t>
            </w:r>
          </w:p>
          <w:p w14:paraId="2F876B6D" w14:textId="77777777" w:rsidR="00FC14FC" w:rsidRPr="000426A8" w:rsidRDefault="00F20664" w:rsidP="00D11B9D">
            <w:pPr>
              <w:pStyle w:val="Box"/>
              <w:rPr>
                <w:iCs/>
              </w:rPr>
            </w:pPr>
            <m:oMathPara>
              <m:oMathParaPr>
                <m:jc m:val="centerGroup"/>
              </m:oMathParaPr>
              <m:oMath>
                <m:sSub>
                  <m:sSubPr>
                    <m:ctrlPr>
                      <w:rPr>
                        <w:rFonts w:ascii="Cambria Math" w:hAnsi="Cambria Math"/>
                        <w:i/>
                        <w:iCs/>
                      </w:rPr>
                    </m:ctrlPr>
                  </m:sSubPr>
                  <m:e>
                    <m:r>
                      <w:rPr>
                        <w:rFonts w:ascii="Cambria Math" w:hAnsi="Cambria Math"/>
                      </w:rPr>
                      <m:t>b</m:t>
                    </m:r>
                  </m:e>
                  <m:sub>
                    <m:r>
                      <w:rPr>
                        <w:rFonts w:ascii="Cambria Math" w:hAnsi="Cambria Math"/>
                      </w:rPr>
                      <m:t>t</m:t>
                    </m:r>
                  </m:sub>
                </m:sSub>
                <m:r>
                  <w:rPr>
                    <w:rFonts w:ascii="Cambria Math" w:hAnsi="Cambria Math"/>
                  </w:rPr>
                  <m:t>=</m:t>
                </m:r>
                <m:d>
                  <m:dPr>
                    <m:begChr m:val="["/>
                    <m:endChr m:val="]"/>
                    <m:ctrlPr>
                      <w:rPr>
                        <w:rFonts w:ascii="Cambria Math" w:hAnsi="Cambria Math"/>
                        <w:i/>
                        <w:iCs/>
                      </w:rPr>
                    </m:ctrlPr>
                  </m:dPr>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I</m:t>
                        </m:r>
                      </m:sup>
                      <m:e>
                        <m:d>
                          <m:dPr>
                            <m:ctrlPr>
                              <w:rPr>
                                <w:rFonts w:ascii="Cambria Math" w:hAnsi="Cambria Math"/>
                                <w:i/>
                                <w:iCs/>
                              </w:rPr>
                            </m:ctrlPr>
                          </m:dPr>
                          <m:e>
                            <m:sSub>
                              <m:sSubPr>
                                <m:ctrlPr>
                                  <w:rPr>
                                    <w:rFonts w:ascii="Cambria Math" w:hAnsi="Cambria Math"/>
                                    <w:i/>
                                    <w:iCs/>
                                  </w:rPr>
                                </m:ctrlPr>
                              </m:sSubPr>
                              <m:e>
                                <m:r>
                                  <w:rPr>
                                    <w:rFonts w:ascii="Cambria Math" w:hAnsi="Cambria Math"/>
                                  </w:rPr>
                                  <m:t>r</m:t>
                                </m:r>
                              </m:e>
                              <m:sub>
                                <m:r>
                                  <w:rPr>
                                    <w:rFonts w:ascii="Cambria Math" w:hAnsi="Cambria Math"/>
                                  </w:rPr>
                                  <m:t>it</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it</m:t>
                                </m:r>
                              </m:sub>
                            </m:sSub>
                          </m:e>
                        </m:d>
                        <m:sSub>
                          <m:sSubPr>
                            <m:ctrlPr>
                              <w:rPr>
                                <w:rFonts w:ascii="Cambria Math" w:hAnsi="Cambria Math"/>
                                <w:i/>
                                <w:iCs/>
                              </w:rPr>
                            </m:ctrlPr>
                          </m:sSubPr>
                          <m:e>
                            <m:r>
                              <w:rPr>
                                <w:rFonts w:ascii="Cambria Math" w:hAnsi="Cambria Math"/>
                              </w:rPr>
                              <m:t>a</m:t>
                            </m:r>
                          </m:e>
                          <m:sub>
                            <m:r>
                              <w:rPr>
                                <w:rFonts w:ascii="Cambria Math" w:hAnsi="Cambria Math"/>
                              </w:rPr>
                              <m:t>it</m:t>
                            </m:r>
                          </m:sub>
                        </m:sSub>
                      </m:e>
                    </m:nary>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t</m:t>
                        </m:r>
                      </m:sub>
                    </m:sSub>
                    <m:nary>
                      <m:naryPr>
                        <m:chr m:val="∑"/>
                        <m:limLoc m:val="undOvr"/>
                        <m:ctrlPr>
                          <w:rPr>
                            <w:rFonts w:ascii="Cambria Math" w:hAnsi="Cambria Math"/>
                            <w:i/>
                            <w:iCs/>
                          </w:rPr>
                        </m:ctrlPr>
                      </m:naryPr>
                      <m:sub>
                        <m:r>
                          <w:rPr>
                            <w:rFonts w:ascii="Cambria Math" w:hAnsi="Cambria Math"/>
                          </w:rPr>
                          <m:t>i=1</m:t>
                        </m:r>
                      </m:sub>
                      <m:sup>
                        <m:r>
                          <w:rPr>
                            <w:rFonts w:ascii="Cambria Math" w:hAnsi="Cambria Math"/>
                          </w:rPr>
                          <m:t>I</m:t>
                        </m:r>
                      </m:sup>
                      <m:e>
                        <m:sSub>
                          <m:sSubPr>
                            <m:ctrlPr>
                              <w:rPr>
                                <w:rFonts w:ascii="Cambria Math" w:hAnsi="Cambria Math"/>
                                <w:i/>
                                <w:iCs/>
                              </w:rPr>
                            </m:ctrlPr>
                          </m:sSubPr>
                          <m:e>
                            <m:r>
                              <w:rPr>
                                <w:rFonts w:ascii="Cambria Math" w:hAnsi="Cambria Math"/>
                              </w:rPr>
                              <m:t>r</m:t>
                            </m:r>
                          </m:e>
                          <m:sub>
                            <m:r>
                              <w:rPr>
                                <w:rFonts w:ascii="Cambria Math" w:hAnsi="Cambria Math"/>
                              </w:rPr>
                              <m:t>it</m:t>
                            </m:r>
                          </m:sub>
                        </m:sSub>
                        <m:sSub>
                          <m:sSubPr>
                            <m:ctrlPr>
                              <w:rPr>
                                <w:rFonts w:ascii="Cambria Math" w:hAnsi="Cambria Math"/>
                                <w:i/>
                                <w:iCs/>
                              </w:rPr>
                            </m:ctrlPr>
                          </m:sSubPr>
                          <m:e>
                            <m:r>
                              <w:rPr>
                                <w:rFonts w:ascii="Cambria Math" w:hAnsi="Cambria Math"/>
                              </w:rPr>
                              <m:t>a</m:t>
                            </m:r>
                          </m:e>
                          <m:sub>
                            <m:r>
                              <w:rPr>
                                <w:rFonts w:ascii="Cambria Math" w:hAnsi="Cambria Math"/>
                              </w:rPr>
                              <m:t>it</m:t>
                            </m:r>
                          </m:sub>
                        </m:sSub>
                      </m:e>
                    </m:nary>
                  </m:e>
                </m:d>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t</m:t>
                    </m:r>
                  </m:sub>
                </m:sSub>
              </m:oMath>
            </m:oMathPara>
          </w:p>
          <w:p w14:paraId="7930FF26" w14:textId="77777777" w:rsidR="00FC14FC" w:rsidRDefault="00FC14FC" w:rsidP="00D11B9D">
            <w:pPr>
              <w:pStyle w:val="Box"/>
              <w:rPr>
                <w:iCs/>
              </w:rPr>
            </w:pPr>
            <w:r>
              <w:rPr>
                <w:iCs/>
              </w:rPr>
              <w:t xml:space="preserve">where: </w:t>
            </w:r>
          </w:p>
          <w:p w14:paraId="67B94ABD" w14:textId="77777777" w:rsidR="00FC14FC" w:rsidRPr="000426A8" w:rsidRDefault="00F20664" w:rsidP="00D11B9D">
            <w:pPr>
              <w:pStyle w:val="BoxListBullet"/>
            </w:pPr>
            <m:oMath>
              <m:sSub>
                <m:sSubPr>
                  <m:ctrlPr>
                    <w:rPr>
                      <w:rFonts w:ascii="Cambria Math" w:hAnsi="Cambria Math"/>
                      <w:i/>
                      <w:iCs/>
                    </w:rPr>
                  </m:ctrlPr>
                </m:sSubPr>
                <m:e>
                  <m:r>
                    <w:rPr>
                      <w:rFonts w:ascii="Cambria Math" w:hAnsi="Cambria Math"/>
                    </w:rPr>
                    <m:t>b</m:t>
                  </m:r>
                </m:e>
                <m:sub>
                  <m:r>
                    <w:rPr>
                      <w:rFonts w:ascii="Cambria Math" w:hAnsi="Cambria Math"/>
                    </w:rPr>
                    <m:t>t</m:t>
                  </m:r>
                </m:sub>
              </m:sSub>
            </m:oMath>
            <w:r w:rsidR="00FC14FC" w:rsidRPr="000426A8">
              <w:t xml:space="preserve"> = the return to the </w:t>
            </w:r>
            <w:r w:rsidR="00FC14FC">
              <w:t>BP</w:t>
            </w:r>
            <w:r w:rsidR="00FC14FC" w:rsidRPr="000426A8">
              <w:t xml:space="preserve"> in year </w:t>
            </w:r>
            <w:r w:rsidR="00FC14FC" w:rsidRPr="000426A8">
              <w:rPr>
                <w:i/>
                <w:iCs/>
              </w:rPr>
              <w:t>t</w:t>
            </w:r>
          </w:p>
          <w:p w14:paraId="4A753144" w14:textId="77777777" w:rsidR="00FC14FC" w:rsidRPr="000426A8" w:rsidRDefault="00FC14FC" w:rsidP="00D11B9D">
            <w:pPr>
              <w:pStyle w:val="BoxListBullet"/>
            </w:pPr>
            <m:oMath>
              <m:r>
                <w:rPr>
                  <w:rFonts w:ascii="Cambria Math" w:hAnsi="Cambria Math"/>
                </w:rPr>
                <m:t>I</m:t>
              </m:r>
            </m:oMath>
            <w:r>
              <w:rPr>
                <w:iCs/>
              </w:rPr>
              <w:t xml:space="preserve"> = the total number of asset classes in the BP</w:t>
            </w:r>
          </w:p>
          <w:p w14:paraId="0CEFDA2B" w14:textId="77777777" w:rsidR="00FC14FC" w:rsidRDefault="00F20664" w:rsidP="00D11B9D">
            <w:pPr>
              <w:pStyle w:val="BoxListBullet"/>
            </w:pPr>
            <m:oMath>
              <m:sSub>
                <m:sSubPr>
                  <m:ctrlPr>
                    <w:rPr>
                      <w:rFonts w:ascii="Cambria Math" w:hAnsi="Cambria Math"/>
                      <w:i/>
                      <w:iCs/>
                    </w:rPr>
                  </m:ctrlPr>
                </m:sSubPr>
                <m:e>
                  <m:r>
                    <w:rPr>
                      <w:rFonts w:ascii="Cambria Math" w:hAnsi="Cambria Math"/>
                    </w:rPr>
                    <m:t>a</m:t>
                  </m:r>
                </m:e>
                <m:sub>
                  <m:r>
                    <w:rPr>
                      <w:rFonts w:ascii="Cambria Math" w:hAnsi="Cambria Math"/>
                    </w:rPr>
                    <m:t>it</m:t>
                  </m:r>
                </m:sub>
              </m:sSub>
            </m:oMath>
            <w:r w:rsidR="00FC14FC" w:rsidRPr="000426A8">
              <w:t xml:space="preserve"> = the allocation to asset class </w:t>
            </w:r>
            <w:r w:rsidR="00FC14FC" w:rsidRPr="000426A8">
              <w:rPr>
                <w:i/>
                <w:iCs/>
              </w:rPr>
              <w:t>i</w:t>
            </w:r>
            <w:r w:rsidR="00FC14FC" w:rsidRPr="000426A8">
              <w:t xml:space="preserve"> in year </w:t>
            </w:r>
            <w:r w:rsidR="00FC14FC" w:rsidRPr="000426A8">
              <w:rPr>
                <w:i/>
                <w:iCs/>
              </w:rPr>
              <w:t>t</w:t>
            </w:r>
            <w:r w:rsidR="00FC14FC" w:rsidRPr="000426A8">
              <w:t xml:space="preserve"> </w:t>
            </w:r>
          </w:p>
          <w:p w14:paraId="68915CA4" w14:textId="77777777" w:rsidR="00FC14FC" w:rsidRPr="000426A8" w:rsidRDefault="00F20664" w:rsidP="00D11B9D">
            <w:pPr>
              <w:pStyle w:val="BoxListBullet"/>
            </w:pPr>
            <m:oMath>
              <m:sSub>
                <m:sSubPr>
                  <m:ctrlPr>
                    <w:rPr>
                      <w:rFonts w:ascii="Cambria Math" w:hAnsi="Cambria Math"/>
                      <w:i/>
                      <w:iCs/>
                    </w:rPr>
                  </m:ctrlPr>
                </m:sSubPr>
                <m:e>
                  <m:r>
                    <w:rPr>
                      <w:rFonts w:ascii="Cambria Math" w:hAnsi="Cambria Math"/>
                    </w:rPr>
                    <m:t>r</m:t>
                  </m:r>
                </m:e>
                <m:sub>
                  <m:r>
                    <w:rPr>
                      <w:rFonts w:ascii="Cambria Math" w:hAnsi="Cambria Math"/>
                    </w:rPr>
                    <m:t>it</m:t>
                  </m:r>
                </m:sub>
              </m:sSub>
            </m:oMath>
            <w:r w:rsidR="00FC14FC" w:rsidRPr="000426A8">
              <w:t xml:space="preserve"> = the return to the relevant index for asset class </w:t>
            </w:r>
            <w:r w:rsidR="00FC14FC" w:rsidRPr="000426A8">
              <w:rPr>
                <w:i/>
                <w:iCs/>
              </w:rPr>
              <w:t xml:space="preserve">i </w:t>
            </w:r>
            <w:r w:rsidR="00FC14FC" w:rsidRPr="000426A8">
              <w:t xml:space="preserve">in year </w:t>
            </w:r>
            <w:r w:rsidR="00FC14FC" w:rsidRPr="000426A8">
              <w:rPr>
                <w:i/>
                <w:iCs/>
              </w:rPr>
              <w:t>t</w:t>
            </w:r>
            <w:r w:rsidR="00FC14FC" w:rsidRPr="000426A8">
              <w:t xml:space="preserve"> </w:t>
            </w:r>
          </w:p>
          <w:p w14:paraId="2B9BE22F" w14:textId="77777777" w:rsidR="00FC14FC" w:rsidRPr="000426A8" w:rsidRDefault="00F20664" w:rsidP="00D11B9D">
            <w:pPr>
              <w:pStyle w:val="BoxListBullet"/>
            </w:pPr>
            <m:oMath>
              <m:sSub>
                <m:sSubPr>
                  <m:ctrlPr>
                    <w:rPr>
                      <w:rFonts w:ascii="Cambria Math" w:hAnsi="Cambria Math"/>
                      <w:i/>
                      <w:iCs/>
                    </w:rPr>
                  </m:ctrlPr>
                </m:sSubPr>
                <m:e>
                  <m:r>
                    <w:rPr>
                      <w:rFonts w:ascii="Cambria Math" w:hAnsi="Cambria Math"/>
                    </w:rPr>
                    <m:t>f</m:t>
                  </m:r>
                </m:e>
                <m:sub>
                  <m:r>
                    <w:rPr>
                      <w:rFonts w:ascii="Cambria Math" w:hAnsi="Cambria Math"/>
                    </w:rPr>
                    <m:t>it</m:t>
                  </m:r>
                </m:sub>
              </m:sSub>
            </m:oMath>
            <w:r w:rsidR="00FC14FC" w:rsidRPr="000426A8">
              <w:rPr>
                <w:i/>
                <w:iCs/>
              </w:rPr>
              <w:t xml:space="preserve"> </w:t>
            </w:r>
            <w:r w:rsidR="00FC14FC" w:rsidRPr="000426A8">
              <w:t xml:space="preserve">= the fee associated with asset class </w:t>
            </w:r>
            <w:r w:rsidR="00FC14FC" w:rsidRPr="000426A8">
              <w:rPr>
                <w:i/>
                <w:iCs/>
              </w:rPr>
              <w:t>i</w:t>
            </w:r>
            <w:r w:rsidR="00FC14FC" w:rsidRPr="000426A8">
              <w:t xml:space="preserve"> in year </w:t>
            </w:r>
            <w:r w:rsidR="00FC14FC" w:rsidRPr="000426A8">
              <w:rPr>
                <w:i/>
                <w:iCs/>
              </w:rPr>
              <w:t>t</w:t>
            </w:r>
            <w:r w:rsidR="00FC14FC">
              <w:t xml:space="preserve"> </w:t>
            </w:r>
          </w:p>
          <w:p w14:paraId="1641006A" w14:textId="77777777" w:rsidR="00FC14FC" w:rsidRPr="000426A8" w:rsidRDefault="00F20664" w:rsidP="00D11B9D">
            <w:pPr>
              <w:pStyle w:val="BoxListBullet"/>
            </w:pPr>
            <m:oMath>
              <m:sSub>
                <m:sSubPr>
                  <m:ctrlPr>
                    <w:rPr>
                      <w:rFonts w:ascii="Cambria Math" w:hAnsi="Cambria Math"/>
                      <w:i/>
                      <w:iCs/>
                    </w:rPr>
                  </m:ctrlPr>
                </m:sSubPr>
                <m:e>
                  <m:r>
                    <w:rPr>
                      <w:rFonts w:ascii="Cambria Math" w:hAnsi="Cambria Math"/>
                    </w:rPr>
                    <m:t>x</m:t>
                  </m:r>
                </m:e>
                <m:sub>
                  <m:r>
                    <w:rPr>
                      <w:rFonts w:ascii="Cambria Math" w:hAnsi="Cambria Math"/>
                    </w:rPr>
                    <m:t>t</m:t>
                  </m:r>
                </m:sub>
              </m:sSub>
            </m:oMath>
            <w:r w:rsidR="00FC14FC" w:rsidRPr="000426A8">
              <w:rPr>
                <w:i/>
                <w:iCs/>
              </w:rPr>
              <w:t xml:space="preserve"> </w:t>
            </w:r>
            <w:r w:rsidR="00FC14FC" w:rsidRPr="000426A8">
              <w:t xml:space="preserve">= the applicable tax rate in year </w:t>
            </w:r>
            <w:r w:rsidR="00FC14FC">
              <w:rPr>
                <w:i/>
                <w:iCs/>
              </w:rPr>
              <w:t xml:space="preserve">t </w:t>
            </w:r>
            <w:r w:rsidR="00FC14FC">
              <w:rPr>
                <w:iCs/>
              </w:rPr>
              <w:t>(not always used)</w:t>
            </w:r>
          </w:p>
          <w:p w14:paraId="56B9A618" w14:textId="77777777" w:rsidR="00FC14FC" w:rsidRPr="000426A8" w:rsidRDefault="00F20664" w:rsidP="00D11B9D">
            <w:pPr>
              <w:pStyle w:val="BoxListBullet"/>
            </w:pPr>
            <m:oMath>
              <m:sSub>
                <m:sSubPr>
                  <m:ctrlPr>
                    <w:rPr>
                      <w:rFonts w:ascii="Cambria Math" w:hAnsi="Cambria Math"/>
                      <w:i/>
                      <w:iCs/>
                    </w:rPr>
                  </m:ctrlPr>
                </m:sSubPr>
                <m:e>
                  <m:r>
                    <w:rPr>
                      <w:rFonts w:ascii="Cambria Math" w:hAnsi="Cambria Math"/>
                    </w:rPr>
                    <m:t>d</m:t>
                  </m:r>
                </m:e>
                <m:sub>
                  <m:r>
                    <w:rPr>
                      <w:rFonts w:ascii="Cambria Math" w:hAnsi="Cambria Math"/>
                    </w:rPr>
                    <m:t>t</m:t>
                  </m:r>
                </m:sub>
              </m:sSub>
            </m:oMath>
            <w:r w:rsidR="00FC14FC" w:rsidRPr="000426A8">
              <w:rPr>
                <w:i/>
                <w:iCs/>
              </w:rPr>
              <w:t xml:space="preserve"> </w:t>
            </w:r>
            <w:r w:rsidR="00FC14FC" w:rsidRPr="000426A8">
              <w:t xml:space="preserve">= the administration fee year in </w:t>
            </w:r>
            <w:r w:rsidR="00FC14FC">
              <w:rPr>
                <w:i/>
                <w:iCs/>
              </w:rPr>
              <w:t>t.</w:t>
            </w:r>
          </w:p>
          <w:p w14:paraId="2B25BA6A" w14:textId="77777777" w:rsidR="00FC14FC" w:rsidRDefault="00FC14FC" w:rsidP="00D11B9D">
            <w:pPr>
              <w:pStyle w:val="Box"/>
            </w:pPr>
            <w:r>
              <w:t>Computing an annualised average return follows as:</w:t>
            </w:r>
          </w:p>
          <w:p w14:paraId="616D4A39" w14:textId="77777777" w:rsidR="00FC14FC" w:rsidRPr="000426A8" w:rsidRDefault="00F20664" w:rsidP="00D11B9D">
            <w:pPr>
              <w:pStyle w:val="Box"/>
            </w:pPr>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b</m:t>
                                    </m:r>
                                  </m:e>
                                  <m:sub>
                                    <m:r>
                                      <w:rPr>
                                        <w:rFonts w:ascii="Cambria Math" w:hAnsi="Cambria Math"/>
                                      </w:rPr>
                                      <m:t>t</m:t>
                                    </m:r>
                                  </m:sub>
                                </m:sSub>
                              </m:e>
                            </m:d>
                          </m:e>
                        </m:nary>
                      </m:e>
                    </m:d>
                  </m:e>
                  <m:sup>
                    <m:f>
                      <m:fPr>
                        <m:ctrlPr>
                          <w:rPr>
                            <w:rFonts w:ascii="Cambria Math" w:hAnsi="Cambria Math"/>
                            <w:i/>
                          </w:rPr>
                        </m:ctrlPr>
                      </m:fPr>
                      <m:num>
                        <m:r>
                          <w:rPr>
                            <w:rFonts w:ascii="Cambria Math" w:hAnsi="Cambria Math"/>
                          </w:rPr>
                          <m:t>1</m:t>
                        </m:r>
                      </m:num>
                      <m:den>
                        <m:r>
                          <w:rPr>
                            <w:rFonts w:ascii="Cambria Math" w:hAnsi="Cambria Math"/>
                          </w:rPr>
                          <m:t>T</m:t>
                        </m:r>
                      </m:den>
                    </m:f>
                  </m:sup>
                </m:sSup>
                <m:r>
                  <w:rPr>
                    <w:rFonts w:ascii="Cambria Math" w:hAnsi="Cambria Math"/>
                  </w:rPr>
                  <m:t>-1</m:t>
                </m:r>
              </m:oMath>
            </m:oMathPara>
          </w:p>
          <w:p w14:paraId="38C5651E" w14:textId="77777777" w:rsidR="00FC14FC" w:rsidRDefault="00FC14FC" w:rsidP="00D11B9D">
            <w:pPr>
              <w:pStyle w:val="Box"/>
            </w:pPr>
            <w:r>
              <w:t>where:</w:t>
            </w:r>
          </w:p>
          <w:p w14:paraId="07C505C5" w14:textId="77777777" w:rsidR="00FC14FC" w:rsidRDefault="00F20664" w:rsidP="00D11B9D">
            <w:pPr>
              <w:pStyle w:val="BoxListBullet"/>
            </w:pPr>
            <m:oMath>
              <m:sSub>
                <m:sSubPr>
                  <m:ctrlPr>
                    <w:rPr>
                      <w:rFonts w:ascii="Cambria Math" w:hAnsi="Cambria Math"/>
                      <w:i/>
                    </w:rPr>
                  </m:ctrlPr>
                </m:sSubPr>
                <m:e>
                  <m:r>
                    <w:rPr>
                      <w:rFonts w:ascii="Cambria Math" w:hAnsi="Cambria Math"/>
                    </w:rPr>
                    <m:t>B</m:t>
                  </m:r>
                </m:e>
                <m:sub>
                  <m:r>
                    <w:rPr>
                      <w:rFonts w:ascii="Cambria Math" w:hAnsi="Cambria Math"/>
                    </w:rPr>
                    <m:t>T</m:t>
                  </m:r>
                </m:sub>
              </m:sSub>
            </m:oMath>
            <w:r w:rsidR="00FC14FC">
              <w:t xml:space="preserve"> = the annualised BP return across </w:t>
            </w:r>
            <m:oMath>
              <m:r>
                <w:rPr>
                  <w:rFonts w:ascii="Cambria Math" w:hAnsi="Cambria Math"/>
                </w:rPr>
                <m:t>T</m:t>
              </m:r>
            </m:oMath>
            <w:r w:rsidR="00FC14FC">
              <w:t xml:space="preserve"> years</w:t>
            </w:r>
          </w:p>
          <w:p w14:paraId="2C7B1030" w14:textId="77777777" w:rsidR="00FC14FC" w:rsidRDefault="00FC14FC" w:rsidP="00D11B9D">
            <w:pPr>
              <w:pStyle w:val="Box"/>
            </w:pPr>
            <w:r>
              <w:t>This methodology implicitly assumes that no expenses are tax deductible, which is consistent with being conservative in constructing benchmarks.</w:t>
            </w:r>
          </w:p>
        </w:tc>
      </w:tr>
      <w:tr w:rsidR="00FC14FC" w14:paraId="2DEFB671" w14:textId="77777777" w:rsidTr="00D11B9D">
        <w:tc>
          <w:tcPr>
            <w:tcW w:w="5000" w:type="pct"/>
            <w:tcBorders>
              <w:top w:val="nil"/>
              <w:left w:val="nil"/>
              <w:bottom w:val="single" w:sz="6" w:space="0" w:color="78A22F"/>
              <w:right w:val="nil"/>
            </w:tcBorders>
            <w:shd w:val="clear" w:color="auto" w:fill="F2F2F2"/>
          </w:tcPr>
          <w:p w14:paraId="209C798C" w14:textId="77777777" w:rsidR="00FC14FC" w:rsidRDefault="00FC14FC" w:rsidP="00D11B9D">
            <w:pPr>
              <w:pStyle w:val="Box"/>
              <w:spacing w:before="0" w:line="120" w:lineRule="exact"/>
            </w:pPr>
          </w:p>
        </w:tc>
      </w:tr>
      <w:tr w:rsidR="00FC14FC" w:rsidRPr="000863A5" w14:paraId="35DFC384" w14:textId="77777777" w:rsidTr="00D11B9D">
        <w:tc>
          <w:tcPr>
            <w:tcW w:w="5000" w:type="pct"/>
            <w:tcBorders>
              <w:top w:val="single" w:sz="6" w:space="0" w:color="78A22F"/>
              <w:left w:val="nil"/>
              <w:bottom w:val="nil"/>
              <w:right w:val="nil"/>
            </w:tcBorders>
          </w:tcPr>
          <w:p w14:paraId="6036EAEF" w14:textId="77777777" w:rsidR="00FC14FC" w:rsidRPr="00626D32" w:rsidRDefault="00FC14FC" w:rsidP="00D11B9D">
            <w:pPr>
              <w:pStyle w:val="BoxSpaceBelow"/>
            </w:pPr>
          </w:p>
        </w:tc>
      </w:tr>
    </w:tbl>
    <w:p w14:paraId="645C7FFC" w14:textId="77777777" w:rsidR="00FC14FC" w:rsidRDefault="00FC14FC" w:rsidP="00FC14FC">
      <w:pPr>
        <w:pStyle w:val="BodyText"/>
      </w:pPr>
      <w:r>
        <w:t xml:space="preserve">The Commission encountered many challenges in constructing BPs. Most of these were driven by the lack of high quality, representative and publicly available data. The BPs constructed for use in this report therefore reflect the Commission’s best efforts. These efforts were guided by transparency and a conservative approach in order to afford funds the benefit of the doubt. That is, where there was considerable uncertainty regarding an input into the BPs, the Commission has tended towards inputs that would </w:t>
      </w:r>
      <w:r>
        <w:rPr>
          <w:i/>
        </w:rPr>
        <w:t xml:space="preserve">reduce </w:t>
      </w:r>
      <w:r>
        <w:t>the overall level of the BP returns (and thus provide a lower benchmark).</w:t>
      </w:r>
    </w:p>
    <w:p w14:paraId="4BA6C901" w14:textId="77777777" w:rsidR="00FC14FC" w:rsidRDefault="00FC14FC" w:rsidP="00FC14FC">
      <w:pPr>
        <w:pStyle w:val="BodyText"/>
      </w:pPr>
      <w:r>
        <w:t xml:space="preserve">Further to this, as outlined in chapter 2, the Commission defines underperformance as falling below BP2 by 0.25 percentage points (25 basis points). This acknowledges the uncertainty in some inputs, and allows a margin of error. </w:t>
      </w:r>
    </w:p>
    <w:p w14:paraId="5879F8C3" w14:textId="77777777" w:rsidR="00FC14FC" w:rsidRDefault="00FC14FC" w:rsidP="00FC14FC">
      <w:pPr>
        <w:pStyle w:val="BodyText"/>
      </w:pPr>
      <w:r>
        <w:t xml:space="preserve">The use of BPs was first flagged in the Commission’s stage 1 study. </w:t>
      </w:r>
      <w:r w:rsidRPr="002856AA">
        <w:rPr>
          <w:szCs w:val="24"/>
        </w:rPr>
        <w:t>(PC 2016)</w:t>
      </w:r>
      <w:r>
        <w:t>. The conceptual basis for using BPs received broad support during that study and prior to the release of the stage 3 draft report, though there were some differences in views on the implementation of the approach (box 4.2). In this stage 3 inquiry, the Commission has further refined the conceptualisation of BPs, drawing on participant feedback and further consultation with industry experts.</w:t>
      </w:r>
    </w:p>
    <w:p w14:paraId="5A494307"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7AFFF3F4" w14:textId="77777777" w:rsidTr="00D11B9D">
        <w:tc>
          <w:tcPr>
            <w:tcW w:w="5000" w:type="pct"/>
            <w:tcBorders>
              <w:top w:val="single" w:sz="6" w:space="0" w:color="78A22F"/>
              <w:left w:val="nil"/>
              <w:bottom w:val="nil"/>
              <w:right w:val="nil"/>
            </w:tcBorders>
            <w:shd w:val="clear" w:color="auto" w:fill="F2F2F2"/>
          </w:tcPr>
          <w:p w14:paraId="479D5CDA" w14:textId="77777777" w:rsidR="00FC14FC" w:rsidRDefault="00FC14FC" w:rsidP="00D11B9D">
            <w:pPr>
              <w:pStyle w:val="BoxTitle"/>
            </w:pPr>
            <w:r>
              <w:rPr>
                <w:b w:val="0"/>
              </w:rPr>
              <w:t xml:space="preserve">Box </w:t>
            </w:r>
            <w:bookmarkStart w:id="10" w:name="OLE_LINK4"/>
            <w:r>
              <w:rPr>
                <w:b w:val="0"/>
              </w:rPr>
              <w:t>4.</w:t>
            </w:r>
            <w:r>
              <w:rPr>
                <w:b w:val="0"/>
                <w:noProof/>
              </w:rPr>
              <w:t>2</w:t>
            </w:r>
            <w:bookmarkEnd w:id="10"/>
            <w:r>
              <w:tab/>
              <w:t>Participant views on BPs prior to the draft report</w:t>
            </w:r>
          </w:p>
        </w:tc>
      </w:tr>
      <w:tr w:rsidR="00FC14FC" w14:paraId="3BAB582D" w14:textId="77777777" w:rsidTr="00D11B9D">
        <w:tc>
          <w:tcPr>
            <w:tcW w:w="5000" w:type="pct"/>
            <w:tcBorders>
              <w:top w:val="nil"/>
              <w:left w:val="nil"/>
              <w:bottom w:val="nil"/>
              <w:right w:val="nil"/>
            </w:tcBorders>
            <w:shd w:val="clear" w:color="auto" w:fill="F2F2F2"/>
          </w:tcPr>
          <w:p w14:paraId="483ED2E6" w14:textId="77777777" w:rsidR="00FC14FC" w:rsidRDefault="00FC14FC" w:rsidP="00D11B9D">
            <w:pPr>
              <w:pStyle w:val="Box"/>
            </w:pPr>
            <w:r>
              <w:t xml:space="preserve">The Association of Superannuation Funds of Australia </w:t>
            </w:r>
            <w:r w:rsidRPr="00045B45">
              <w:t>(sub.</w:t>
            </w:r>
            <w:r>
              <w:t> </w:t>
            </w:r>
            <w:r w:rsidRPr="00045B45">
              <w:t xml:space="preserve">47) suggested the application of different </w:t>
            </w:r>
            <w:r>
              <w:t>benchmark portfolios (BPs)</w:t>
            </w:r>
            <w:r w:rsidRPr="00045B45">
              <w:t xml:space="preserve"> for different groups of products (MySuper, </w:t>
            </w:r>
            <w:r>
              <w:t>c</w:t>
            </w:r>
            <w:r w:rsidRPr="00045B45">
              <w:t>hoice, SMSFs, accumulation, and retirement).</w:t>
            </w:r>
            <w:r>
              <w:t xml:space="preserve"> It</w:t>
            </w:r>
            <w:r w:rsidRPr="00045B45">
              <w:t xml:space="preserve"> also outlined its views on the construction of </w:t>
            </w:r>
            <w:r>
              <w:t>BPs</w:t>
            </w:r>
            <w:r w:rsidRPr="00045B45">
              <w:t xml:space="preserve">, including that it would be appropriate to derive them based on average asset allocations for the different segments, </w:t>
            </w:r>
            <w:r>
              <w:t>and</w:t>
            </w:r>
            <w:r w:rsidRPr="00045B45">
              <w:t xml:space="preserve"> to draw on </w:t>
            </w:r>
            <w:r>
              <w:t xml:space="preserve">indexes for listed asset classes. It also </w:t>
            </w:r>
            <w:r w:rsidRPr="00045B45">
              <w:t xml:space="preserve">noted the challenges in </w:t>
            </w:r>
            <w:r>
              <w:t xml:space="preserve">incorporating </w:t>
            </w:r>
            <w:r w:rsidRPr="00045B45">
              <w:t xml:space="preserve">fees and taxes </w:t>
            </w:r>
            <w:r>
              <w:t>into BPs.</w:t>
            </w:r>
          </w:p>
          <w:p w14:paraId="2D2D93C1" w14:textId="77777777" w:rsidR="00FC14FC" w:rsidRPr="00553C71" w:rsidRDefault="00FC14FC" w:rsidP="00D11B9D">
            <w:pPr>
              <w:pStyle w:val="Box"/>
            </w:pPr>
            <w:r>
              <w:t>AustralianSuper (sub. 43) recommended that a</w:t>
            </w:r>
            <w:r w:rsidRPr="0036118E">
              <w:t xml:space="preserve"> </w:t>
            </w:r>
            <w:r>
              <w:t xml:space="preserve">BP be used that reflected </w:t>
            </w:r>
            <w:r w:rsidRPr="0036118E">
              <w:t>the asset allocation of the average</w:t>
            </w:r>
            <w:r>
              <w:t xml:space="preserve"> or </w:t>
            </w:r>
            <w:r w:rsidRPr="0036118E">
              <w:t>median default fund, with index returns for each major asset class, adjusted for taxes</w:t>
            </w:r>
            <w:r>
              <w:t>.</w:t>
            </w:r>
          </w:p>
          <w:p w14:paraId="488A108E" w14:textId="77777777" w:rsidR="00FC14FC" w:rsidRDefault="00FC14FC" w:rsidP="00D11B9D">
            <w:pPr>
              <w:pStyle w:val="Box"/>
            </w:pPr>
            <w:r>
              <w:t xml:space="preserve">The </w:t>
            </w:r>
            <w:r w:rsidRPr="00DA2D41">
              <w:t>Centre for International Finance and Regulation</w:t>
            </w:r>
            <w:r>
              <w:t xml:space="preserve"> (stage 1, sub. 10) recommended using a simple 70/30 growth/income assets portfolio to compare MySuper balanced products to. The Centre for International Finance and Regulation (stage 1, sub. DR57) also argued that a BP should comprise an investible and passive portfolio that reflects a static strategic asset allocation to the product</w:t>
            </w:r>
            <w:r>
              <w:noBreakHyphen/>
              <w:t xml:space="preserve">class in question. </w:t>
            </w:r>
          </w:p>
          <w:p w14:paraId="73A9EF53" w14:textId="77777777" w:rsidR="00FC14FC" w:rsidRDefault="00FC14FC" w:rsidP="00D11B9D">
            <w:pPr>
              <w:pStyle w:val="Box"/>
            </w:pPr>
            <w:r>
              <w:t xml:space="preserve">Hartley (sub. DR82 to stage 1) argued that the BP asset allocation should be one that matches the overall volatility of returns that have been generated by the industry. Rice Warner (stage 1, sub. DR112) suggested something similar — constructing a number of BPs on the risk/return spectrum. </w:t>
            </w:r>
          </w:p>
          <w:p w14:paraId="594F37E4" w14:textId="77777777" w:rsidR="00FC14FC" w:rsidRDefault="00FC14FC" w:rsidP="00D11B9D">
            <w:pPr>
              <w:pStyle w:val="Box"/>
            </w:pPr>
            <w:r>
              <w:t>Mercer (sub. 57) submitted that to measure system</w:t>
            </w:r>
            <w:r>
              <w:noBreakHyphen/>
              <w:t>wide performance a BP would need to be:</w:t>
            </w:r>
          </w:p>
          <w:p w14:paraId="4F1FFFAB" w14:textId="77777777" w:rsidR="00FC14FC" w:rsidRDefault="00FC14FC" w:rsidP="00D11B9D">
            <w:pPr>
              <w:pStyle w:val="BoxListBullet"/>
            </w:pPr>
            <w:r>
              <w:t>representative of the industry segment to be benchmarked</w:t>
            </w:r>
          </w:p>
          <w:p w14:paraId="19A014CC" w14:textId="77777777" w:rsidR="00FC14FC" w:rsidRDefault="00FC14FC" w:rsidP="00D11B9D">
            <w:pPr>
              <w:pStyle w:val="BoxListBullet"/>
            </w:pPr>
            <w:r>
              <w:t>investable, replicable and relevant for a large Australian institutional investor</w:t>
            </w:r>
          </w:p>
          <w:p w14:paraId="2D4A8923" w14:textId="77777777" w:rsidR="00FC14FC" w:rsidRDefault="00FC14FC" w:rsidP="00D11B9D">
            <w:pPr>
              <w:pStyle w:val="BoxListBullet"/>
            </w:pPr>
            <w:r>
              <w:t>applicable to the member demographics</w:t>
            </w:r>
          </w:p>
          <w:p w14:paraId="1F7BD1F1" w14:textId="77777777" w:rsidR="00FC14FC" w:rsidRDefault="00FC14FC" w:rsidP="00D11B9D">
            <w:pPr>
              <w:pStyle w:val="BoxListBullet"/>
            </w:pPr>
            <w:r>
              <w:t xml:space="preserve">easy to understand, explain and measure. </w:t>
            </w:r>
          </w:p>
          <w:p w14:paraId="6C31D64D" w14:textId="77777777" w:rsidR="00FC14FC" w:rsidRDefault="00FC14FC" w:rsidP="00D11B9D">
            <w:pPr>
              <w:pStyle w:val="Box"/>
            </w:pPr>
            <w:r>
              <w:t>Mercer (stage 1, sub. DR104) also suggested calibrating a selection of BPs to various CPI + X targets, given different members have different investment goals.</w:t>
            </w:r>
          </w:p>
          <w:p w14:paraId="4EF73A50" w14:textId="77777777" w:rsidR="00FC14FC" w:rsidRDefault="00FC14FC" w:rsidP="00D11B9D">
            <w:pPr>
              <w:pStyle w:val="Box"/>
            </w:pPr>
            <w:r>
              <w:t>Rice Warner (sub. 56) suggested that:</w:t>
            </w:r>
          </w:p>
          <w:p w14:paraId="7D84F017" w14:textId="77777777" w:rsidR="00FC14FC" w:rsidRDefault="00FC14FC" w:rsidP="00D11B9D">
            <w:pPr>
              <w:pStyle w:val="BoxListBullet"/>
            </w:pPr>
            <w:r>
              <w:t>system</w:t>
            </w:r>
            <w:r>
              <w:noBreakHyphen/>
              <w:t>level asset allocation should be used as the basis for the BP</w:t>
            </w:r>
          </w:p>
          <w:p w14:paraId="6FFBAB2C" w14:textId="77777777" w:rsidR="00FC14FC" w:rsidRDefault="00FC14FC" w:rsidP="00D11B9D">
            <w:pPr>
              <w:pStyle w:val="BoxListBullet"/>
            </w:pPr>
            <w:r>
              <w:t>unlisted investments could be benchmarked against a listed equivalent if that is the most reflective index</w:t>
            </w:r>
          </w:p>
          <w:p w14:paraId="24E2AAE7" w14:textId="77777777" w:rsidR="00FC14FC" w:rsidRDefault="00FC14FC" w:rsidP="00D11B9D">
            <w:pPr>
              <w:pStyle w:val="BoxListBullet"/>
            </w:pPr>
            <w:r>
              <w:t>taxes could be netted from the BP at 15 per cent, but that would be giving trustees credit for optimising the tax position of the portfolio (via holding assets for the capital gains tax discount or overweighting to assets with franking credits)</w:t>
            </w:r>
          </w:p>
          <w:p w14:paraId="26C31365" w14:textId="77777777" w:rsidR="00FC14FC" w:rsidRDefault="00FC14FC" w:rsidP="00D11B9D">
            <w:pPr>
              <w:pStyle w:val="BoxListBullet"/>
            </w:pPr>
            <w:r>
              <w:t>fees on passive products such as exchange</w:t>
            </w:r>
            <w:r>
              <w:noBreakHyphen/>
              <w:t>traded funds could be used to adjust BPs.</w:t>
            </w:r>
          </w:p>
          <w:p w14:paraId="24CBDB5D" w14:textId="77777777" w:rsidR="00FC14FC" w:rsidRPr="000071F9" w:rsidRDefault="00FC14FC" w:rsidP="00D11B9D">
            <w:pPr>
              <w:pStyle w:val="Box"/>
            </w:pPr>
            <w:r>
              <w:t>PwC (sub. 62) agreed that indexed reference portfolios provide a good measure of the lowest cost option for executing an investment strategy. However, it noted that given such an approach is simply measuring the weighted average performance of individual asset classes, the Commission may do better to focus on individual asset class returns.</w:t>
            </w:r>
            <w:r w:rsidDel="001D3748">
              <w:t xml:space="preserve"> </w:t>
            </w:r>
          </w:p>
        </w:tc>
      </w:tr>
      <w:tr w:rsidR="00FC14FC" w14:paraId="5984C727" w14:textId="77777777" w:rsidTr="00D11B9D">
        <w:tc>
          <w:tcPr>
            <w:tcW w:w="5000" w:type="pct"/>
            <w:tcBorders>
              <w:top w:val="nil"/>
              <w:left w:val="nil"/>
              <w:bottom w:val="single" w:sz="6" w:space="0" w:color="78A22F"/>
              <w:right w:val="nil"/>
            </w:tcBorders>
            <w:shd w:val="clear" w:color="auto" w:fill="F2F2F2"/>
          </w:tcPr>
          <w:p w14:paraId="37628493" w14:textId="77777777" w:rsidR="00FC14FC" w:rsidRDefault="00FC14FC" w:rsidP="00D11B9D">
            <w:pPr>
              <w:pStyle w:val="Box"/>
              <w:spacing w:before="0" w:line="120" w:lineRule="exact"/>
            </w:pPr>
          </w:p>
        </w:tc>
      </w:tr>
      <w:tr w:rsidR="00FC14FC" w:rsidRPr="000863A5" w14:paraId="041AFD1D" w14:textId="77777777" w:rsidTr="00D11B9D">
        <w:tc>
          <w:tcPr>
            <w:tcW w:w="5000" w:type="pct"/>
            <w:tcBorders>
              <w:top w:val="single" w:sz="6" w:space="0" w:color="78A22F"/>
              <w:left w:val="nil"/>
              <w:bottom w:val="nil"/>
              <w:right w:val="nil"/>
            </w:tcBorders>
          </w:tcPr>
          <w:p w14:paraId="55D91582" w14:textId="77777777" w:rsidR="00FC14FC" w:rsidRPr="00626D32" w:rsidRDefault="00FC14FC" w:rsidP="00D11B9D">
            <w:pPr>
              <w:pStyle w:val="BoxSpaceBelow"/>
            </w:pPr>
          </w:p>
        </w:tc>
      </w:tr>
    </w:tbl>
    <w:p w14:paraId="1A6CEFB2" w14:textId="77777777" w:rsidR="00FC14FC" w:rsidRDefault="00FC14FC" w:rsidP="00FC14FC">
      <w:pPr>
        <w:pStyle w:val="BodyText"/>
      </w:pPr>
      <w:r>
        <w:t xml:space="preserve">Table 4.6 summarises major areas of feedback on the draft report and the subsequent supplementary paper on investment performance, along with the Commission’s response to </w:t>
      </w:r>
      <w:r>
        <w:lastRenderedPageBreak/>
        <w:t>this feedback. Some more specific changes arising from participant feedback are explained in greater detail in the following subsections.</w:t>
      </w:r>
    </w:p>
    <w:p w14:paraId="60342EF1"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25071E44" w14:textId="77777777" w:rsidTr="00D11B9D">
        <w:trPr>
          <w:tblHeader/>
        </w:trPr>
        <w:tc>
          <w:tcPr>
            <w:tcW w:w="5000" w:type="pct"/>
            <w:tcBorders>
              <w:top w:val="single" w:sz="6" w:space="0" w:color="78A22F"/>
              <w:left w:val="nil"/>
              <w:bottom w:val="nil"/>
              <w:right w:val="nil"/>
            </w:tcBorders>
            <w:shd w:val="clear" w:color="auto" w:fill="auto"/>
          </w:tcPr>
          <w:p w14:paraId="4CF9C4FE" w14:textId="77777777" w:rsidR="00FC14FC" w:rsidRPr="00784A05" w:rsidRDefault="00FC14FC" w:rsidP="00D11B9D">
            <w:pPr>
              <w:pStyle w:val="TableTitle"/>
            </w:pPr>
            <w:r>
              <w:rPr>
                <w:b w:val="0"/>
              </w:rPr>
              <w:t>Table 4.6</w:t>
            </w:r>
            <w:r>
              <w:tab/>
              <w:t>Feedback on the draft report and supplementary paper</w:t>
            </w:r>
          </w:p>
        </w:tc>
      </w:tr>
      <w:tr w:rsidR="00FC14FC" w14:paraId="21D9CEC6"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52"/>
              <w:gridCol w:w="2267"/>
              <w:gridCol w:w="4086"/>
            </w:tblGrid>
            <w:tr w:rsidR="00FC14FC" w14:paraId="4FA33E1C" w14:textId="77777777" w:rsidTr="00D11B9D">
              <w:trPr>
                <w:tblHeader/>
              </w:trPr>
              <w:tc>
                <w:tcPr>
                  <w:tcW w:w="1265" w:type="pct"/>
                  <w:tcBorders>
                    <w:top w:val="single" w:sz="6" w:space="0" w:color="BFBFBF"/>
                    <w:bottom w:val="single" w:sz="6" w:space="0" w:color="BFBFBF"/>
                  </w:tcBorders>
                  <w:shd w:val="clear" w:color="auto" w:fill="auto"/>
                  <w:tcMar>
                    <w:top w:w="28" w:type="dxa"/>
                  </w:tcMar>
                </w:tcPr>
                <w:p w14:paraId="1D20CFF3" w14:textId="77777777" w:rsidR="00FC14FC" w:rsidRDefault="00FC14FC" w:rsidP="00D11B9D">
                  <w:pPr>
                    <w:pStyle w:val="TableColumnHeading"/>
                    <w:jc w:val="left"/>
                  </w:pPr>
                  <w:r>
                    <w:t>Claim or issue</w:t>
                  </w:r>
                </w:p>
              </w:tc>
              <w:tc>
                <w:tcPr>
                  <w:tcW w:w="1333" w:type="pct"/>
                  <w:tcBorders>
                    <w:top w:val="single" w:sz="6" w:space="0" w:color="BFBFBF"/>
                    <w:bottom w:val="single" w:sz="6" w:space="0" w:color="BFBFBF"/>
                  </w:tcBorders>
                </w:tcPr>
                <w:p w14:paraId="0ED66E6E" w14:textId="77777777" w:rsidR="00FC14FC" w:rsidRDefault="00FC14FC" w:rsidP="00D11B9D">
                  <w:pPr>
                    <w:pStyle w:val="TableColumnHeading"/>
                    <w:jc w:val="left"/>
                  </w:pPr>
                  <w:r>
                    <w:t>Submissions</w:t>
                  </w:r>
                </w:p>
              </w:tc>
              <w:tc>
                <w:tcPr>
                  <w:tcW w:w="2402" w:type="pct"/>
                  <w:tcBorders>
                    <w:top w:val="single" w:sz="6" w:space="0" w:color="BFBFBF"/>
                    <w:bottom w:val="single" w:sz="6" w:space="0" w:color="BFBFBF"/>
                  </w:tcBorders>
                  <w:shd w:val="clear" w:color="auto" w:fill="auto"/>
                  <w:tcMar>
                    <w:top w:w="28" w:type="dxa"/>
                  </w:tcMar>
                </w:tcPr>
                <w:p w14:paraId="53571A92" w14:textId="77777777" w:rsidR="00FC14FC" w:rsidRDefault="00FC14FC" w:rsidP="00D11B9D">
                  <w:pPr>
                    <w:pStyle w:val="TableColumnHeading"/>
                    <w:ind w:right="28"/>
                    <w:jc w:val="left"/>
                  </w:pPr>
                  <w:r>
                    <w:t>Commission’s response</w:t>
                  </w:r>
                </w:p>
              </w:tc>
            </w:tr>
            <w:tr w:rsidR="00FC14FC" w14:paraId="64BBF842" w14:textId="77777777" w:rsidTr="00D11B9D">
              <w:tc>
                <w:tcPr>
                  <w:tcW w:w="1265" w:type="pct"/>
                  <w:tcBorders>
                    <w:top w:val="single" w:sz="6" w:space="0" w:color="BFBFBF"/>
                  </w:tcBorders>
                  <w:shd w:val="clear" w:color="auto" w:fill="auto"/>
                </w:tcPr>
                <w:p w14:paraId="4492A7AA" w14:textId="77777777" w:rsidR="00FC14FC" w:rsidRDefault="00FC14FC" w:rsidP="00D11B9D">
                  <w:pPr>
                    <w:pStyle w:val="TableBodyText"/>
                    <w:spacing w:before="40"/>
                    <w:jc w:val="left"/>
                  </w:pPr>
                  <w:r w:rsidRPr="002D516B">
                    <w:t>Controlling for asset allocation obscures value added by funds through asset allocation</w:t>
                  </w:r>
                </w:p>
              </w:tc>
              <w:tc>
                <w:tcPr>
                  <w:tcW w:w="1333" w:type="pct"/>
                  <w:tcBorders>
                    <w:top w:val="single" w:sz="6" w:space="0" w:color="BFBFBF"/>
                  </w:tcBorders>
                  <w:shd w:val="clear" w:color="auto" w:fill="auto"/>
                </w:tcPr>
                <w:p w14:paraId="49370963" w14:textId="77777777" w:rsidR="00FC14FC" w:rsidRDefault="00FC14FC" w:rsidP="00D11B9D">
                  <w:pPr>
                    <w:pStyle w:val="TableBodyText"/>
                    <w:spacing w:before="40"/>
                    <w:jc w:val="left"/>
                  </w:pPr>
                  <w:r>
                    <w:t xml:space="preserve">Australian Super (sub. DR150); </w:t>
                  </w:r>
                  <w:r w:rsidRPr="001E1910">
                    <w:t>Chant</w:t>
                  </w:r>
                  <w:r w:rsidRPr="00715890">
                    <w:t xml:space="preserve"> West (sub. DR224)</w:t>
                  </w:r>
                  <w:r>
                    <w:t xml:space="preserve">; </w:t>
                  </w:r>
                  <w:r w:rsidRPr="002D516B">
                    <w:t xml:space="preserve">Peterson Research Institute (sub. DR161); Sunsuper </w:t>
                  </w:r>
                  <w:r w:rsidRPr="00934F8B">
                    <w:t>(sub.</w:t>
                  </w:r>
                  <w:r>
                    <w:t> </w:t>
                  </w:r>
                  <w:r w:rsidRPr="00934F8B">
                    <w:t>DR197)</w:t>
                  </w:r>
                  <w:r>
                    <w:t>.</w:t>
                  </w:r>
                </w:p>
              </w:tc>
              <w:tc>
                <w:tcPr>
                  <w:tcW w:w="2402" w:type="pct"/>
                  <w:tcBorders>
                    <w:top w:val="single" w:sz="6" w:space="0" w:color="BFBFBF"/>
                  </w:tcBorders>
                  <w:shd w:val="clear" w:color="auto" w:fill="auto"/>
                </w:tcPr>
                <w:p w14:paraId="5F6FF2A1" w14:textId="77777777" w:rsidR="00FC14FC" w:rsidRDefault="00FC14FC" w:rsidP="00D11B9D">
                  <w:pPr>
                    <w:pStyle w:val="TableBodyText"/>
                    <w:spacing w:before="40"/>
                    <w:ind w:left="0"/>
                    <w:jc w:val="left"/>
                  </w:pPr>
                  <w:r w:rsidRPr="002D516B">
                    <w:t>Fund decisions on investment strategy can be a key source of value for members, but not controlling for asset allocation makes it much more difficult to compare the investment performance of funds and products with very different asset allocations.</w:t>
                  </w:r>
                </w:p>
              </w:tc>
            </w:tr>
            <w:tr w:rsidR="00FC14FC" w14:paraId="1EE43D89" w14:textId="77777777" w:rsidTr="00D11B9D">
              <w:tc>
                <w:tcPr>
                  <w:tcW w:w="1265" w:type="pct"/>
                  <w:shd w:val="pct5" w:color="auto" w:fill="auto"/>
                </w:tcPr>
                <w:p w14:paraId="1A2FD9CA" w14:textId="77777777" w:rsidR="00FC14FC" w:rsidRPr="003E704E" w:rsidRDefault="00FC14FC" w:rsidP="00D11B9D">
                  <w:pPr>
                    <w:pStyle w:val="TableBodyText"/>
                    <w:jc w:val="left"/>
                  </w:pPr>
                  <w:r w:rsidRPr="003E704E">
                    <w:t>Performance has a random element and/or 25 basis points is too small a margin</w:t>
                  </w:r>
                </w:p>
              </w:tc>
              <w:tc>
                <w:tcPr>
                  <w:tcW w:w="1333" w:type="pct"/>
                  <w:shd w:val="pct5" w:color="auto" w:fill="auto"/>
                </w:tcPr>
                <w:p w14:paraId="38C2DDBE" w14:textId="77777777" w:rsidR="00FC14FC" w:rsidRPr="003E704E" w:rsidRDefault="00FC14FC" w:rsidP="00D11B9D">
                  <w:pPr>
                    <w:pStyle w:val="TableBodyText"/>
                    <w:jc w:val="left"/>
                  </w:pPr>
                  <w:r w:rsidRPr="003E704E">
                    <w:t>ASFA (sub. DR148); Asher (sub. DR151); MLC Wealth (sub. DR174); Peterson Research Institute (sub. DR161); Qantas Super (sub. DR137); Warren (sub. DR118).</w:t>
                  </w:r>
                </w:p>
              </w:tc>
              <w:tc>
                <w:tcPr>
                  <w:tcW w:w="2402" w:type="pct"/>
                  <w:shd w:val="pct5" w:color="auto" w:fill="auto"/>
                </w:tcPr>
                <w:p w14:paraId="26C1A72E" w14:textId="77777777" w:rsidR="00FC14FC" w:rsidRPr="003E704E" w:rsidRDefault="00FC14FC" w:rsidP="00D11B9D">
                  <w:pPr>
                    <w:pStyle w:val="TableBodyText"/>
                    <w:ind w:left="0"/>
                    <w:jc w:val="left"/>
                  </w:pPr>
                  <w:r w:rsidRPr="003E704E">
                    <w:t>The analysis is over the longest period permitted by the data, thus should mostly abstract from random variations.</w:t>
                  </w:r>
                </w:p>
                <w:p w14:paraId="6E374B6D" w14:textId="77777777" w:rsidR="00FC14FC" w:rsidRPr="003E704E" w:rsidRDefault="00FC14FC" w:rsidP="00D11B9D">
                  <w:pPr>
                    <w:pStyle w:val="TableBodyText"/>
                    <w:jc w:val="left"/>
                  </w:pPr>
                  <w:r w:rsidRPr="003E704E">
                    <w:t>The 25 basis point margin is intended to offset potential measurement error (not randomness).</w:t>
                  </w:r>
                </w:p>
                <w:p w14:paraId="5A558BE2" w14:textId="77777777" w:rsidR="00FC14FC" w:rsidRPr="003E704E" w:rsidRDefault="00FC14FC" w:rsidP="00D11B9D">
                  <w:pPr>
                    <w:pStyle w:val="TableBodyText"/>
                    <w:jc w:val="left"/>
                  </w:pPr>
                  <w:r w:rsidRPr="003E704E">
                    <w:t>Sensitivity testing over shorter time periods mostly yields similar results.</w:t>
                  </w:r>
                </w:p>
              </w:tc>
            </w:tr>
            <w:tr w:rsidR="00FC14FC" w14:paraId="7AF0CDF5" w14:textId="77777777" w:rsidTr="00D11B9D">
              <w:tc>
                <w:tcPr>
                  <w:tcW w:w="1265" w:type="pct"/>
                  <w:shd w:val="clear" w:color="auto" w:fill="auto"/>
                </w:tcPr>
                <w:p w14:paraId="351981D8" w14:textId="77777777" w:rsidR="00FC14FC" w:rsidRPr="003E704E" w:rsidRDefault="00FC14FC" w:rsidP="00D11B9D">
                  <w:pPr>
                    <w:pStyle w:val="TableBodyText"/>
                    <w:jc w:val="left"/>
                  </w:pPr>
                  <w:r w:rsidRPr="003E704E">
                    <w:t>Returns should be risk adjusted and/or a measure of the persistency of returns should be considered</w:t>
                  </w:r>
                </w:p>
              </w:tc>
              <w:tc>
                <w:tcPr>
                  <w:tcW w:w="1333" w:type="pct"/>
                  <w:shd w:val="clear" w:color="auto" w:fill="auto"/>
                </w:tcPr>
                <w:p w14:paraId="2E97037A" w14:textId="77777777" w:rsidR="00FC14FC" w:rsidRPr="003E704E" w:rsidRDefault="00FC14FC" w:rsidP="00D11B9D">
                  <w:pPr>
                    <w:pStyle w:val="TableBodyText"/>
                    <w:jc w:val="left"/>
                  </w:pPr>
                  <w:r w:rsidRPr="003E704E">
                    <w:t xml:space="preserve">ASFA (sub. DR148); </w:t>
                  </w:r>
                  <w:r>
                    <w:t xml:space="preserve">MTAA Super (pers. comm., 26 October 2018); </w:t>
                  </w:r>
                  <w:r w:rsidRPr="003E704E">
                    <w:t>QSuper (sub. DR168).</w:t>
                  </w:r>
                </w:p>
              </w:tc>
              <w:tc>
                <w:tcPr>
                  <w:tcW w:w="2402" w:type="pct"/>
                  <w:shd w:val="clear" w:color="auto" w:fill="auto"/>
                </w:tcPr>
                <w:p w14:paraId="726D2826" w14:textId="77777777" w:rsidR="00FC14FC" w:rsidRDefault="00FC14FC" w:rsidP="00D11B9D">
                  <w:pPr>
                    <w:pStyle w:val="TableBodyText"/>
                    <w:ind w:right="28"/>
                    <w:jc w:val="left"/>
                  </w:pPr>
                  <w:r w:rsidRPr="003E704E">
                    <w:t>Risk is accounted for by controlling for asset allocation and conducting the analysis over the longest period permitted by the data.</w:t>
                  </w:r>
                </w:p>
                <w:p w14:paraId="60AA28EC" w14:textId="77777777" w:rsidR="00FC14FC" w:rsidRPr="003E704E" w:rsidRDefault="00FC14FC" w:rsidP="00D11B9D">
                  <w:pPr>
                    <w:pStyle w:val="TableBodyText"/>
                    <w:ind w:right="28"/>
                    <w:jc w:val="left"/>
                  </w:pPr>
                  <w:r>
                    <w:t>There is no widely agreed measure for risk adjusting returns over shorter periods.</w:t>
                  </w:r>
                </w:p>
              </w:tc>
            </w:tr>
            <w:tr w:rsidR="00FC14FC" w14:paraId="35034C58" w14:textId="77777777" w:rsidTr="00D11B9D">
              <w:tc>
                <w:tcPr>
                  <w:tcW w:w="1265" w:type="pct"/>
                  <w:shd w:val="pct5" w:color="auto" w:fill="auto"/>
                </w:tcPr>
                <w:p w14:paraId="031A233F" w14:textId="77777777" w:rsidR="00FC14FC" w:rsidRPr="00DC6735" w:rsidRDefault="00FC14FC" w:rsidP="00D11B9D">
                  <w:pPr>
                    <w:pStyle w:val="TableBodyText"/>
                    <w:jc w:val="left"/>
                  </w:pPr>
                  <w:r w:rsidRPr="00DC6735">
                    <w:t>10 years is not long enough to control for risk</w:t>
                  </w:r>
                </w:p>
              </w:tc>
              <w:tc>
                <w:tcPr>
                  <w:tcW w:w="1333" w:type="pct"/>
                  <w:shd w:val="pct5" w:color="auto" w:fill="auto"/>
                </w:tcPr>
                <w:p w14:paraId="1CC6E974" w14:textId="77777777" w:rsidR="00FC14FC" w:rsidRPr="00DC6735" w:rsidRDefault="00FC14FC" w:rsidP="00D11B9D">
                  <w:pPr>
                    <w:pStyle w:val="TableBodyText"/>
                    <w:jc w:val="left"/>
                  </w:pPr>
                  <w:r w:rsidRPr="00DC6735">
                    <w:t>QSuper (subs. DR168 and DR217).</w:t>
                  </w:r>
                </w:p>
              </w:tc>
              <w:tc>
                <w:tcPr>
                  <w:tcW w:w="2402" w:type="pct"/>
                  <w:shd w:val="pct5" w:color="auto" w:fill="auto"/>
                </w:tcPr>
                <w:p w14:paraId="15F6B826" w14:textId="77777777" w:rsidR="00FC14FC" w:rsidRPr="003E704E" w:rsidRDefault="00FC14FC" w:rsidP="00D11B9D">
                  <w:pPr>
                    <w:pStyle w:val="TableBodyText"/>
                    <w:ind w:left="0"/>
                    <w:jc w:val="left"/>
                  </w:pPr>
                  <w:r w:rsidRPr="003E704E">
                    <w:t>The analysis is over the longest period permitted by the data</w:t>
                  </w:r>
                  <w:r>
                    <w:t xml:space="preserve"> and controls for asset allocation.</w:t>
                  </w:r>
                </w:p>
              </w:tc>
            </w:tr>
            <w:tr w:rsidR="00FC14FC" w14:paraId="54A16366" w14:textId="77777777" w:rsidTr="00D11B9D">
              <w:tc>
                <w:tcPr>
                  <w:tcW w:w="1265" w:type="pct"/>
                  <w:shd w:val="clear" w:color="auto" w:fill="auto"/>
                </w:tcPr>
                <w:p w14:paraId="5A948AD5" w14:textId="77777777" w:rsidR="00FC14FC" w:rsidRPr="00DC6735" w:rsidRDefault="00FC14FC" w:rsidP="00D11B9D">
                  <w:pPr>
                    <w:pStyle w:val="TableBodyText"/>
                    <w:jc w:val="left"/>
                  </w:pPr>
                  <w:r w:rsidRPr="00DC6735">
                    <w:t xml:space="preserve">Default asset allocation assumption is misleading as some funds’ MySuper products had higher allocations to growth assets (relative to the fund overall) compared </w:t>
                  </w:r>
                  <w:r>
                    <w:t>with</w:t>
                  </w:r>
                  <w:r w:rsidRPr="00DC6735">
                    <w:t xml:space="preserve"> precursor default products</w:t>
                  </w:r>
                </w:p>
              </w:tc>
              <w:tc>
                <w:tcPr>
                  <w:tcW w:w="1333" w:type="pct"/>
                  <w:shd w:val="clear" w:color="auto" w:fill="auto"/>
                </w:tcPr>
                <w:p w14:paraId="0F9EF66F" w14:textId="77777777" w:rsidR="00FC14FC" w:rsidRPr="00DC6735" w:rsidRDefault="00FC14FC" w:rsidP="00D11B9D">
                  <w:pPr>
                    <w:pStyle w:val="TableBodyText"/>
                    <w:jc w:val="left"/>
                  </w:pPr>
                  <w:r w:rsidRPr="00DC6735">
                    <w:t>CFS (sub.</w:t>
                  </w:r>
                  <w:r>
                    <w:t> </w:t>
                  </w:r>
                  <w:r w:rsidRPr="00DC6735">
                    <w:t>DR163); FSC (subs. DR186 and DR218); MLC Wealth (sub. DR174).</w:t>
                  </w:r>
                </w:p>
              </w:tc>
              <w:tc>
                <w:tcPr>
                  <w:tcW w:w="2402" w:type="pct"/>
                  <w:shd w:val="clear" w:color="auto" w:fill="auto"/>
                </w:tcPr>
                <w:p w14:paraId="6060A6C3" w14:textId="77777777" w:rsidR="00FC14FC" w:rsidRPr="003E704E" w:rsidRDefault="00FC14FC" w:rsidP="00D11B9D">
                  <w:pPr>
                    <w:pStyle w:val="TableBodyText"/>
                    <w:ind w:right="28"/>
                    <w:jc w:val="left"/>
                  </w:pPr>
                  <w:r w:rsidRPr="003E704E">
                    <w:t>Data on fund</w:t>
                  </w:r>
                  <w:r w:rsidRPr="003E704E">
                    <w:noBreakHyphen/>
                    <w:t xml:space="preserve">level asset allocations prior to 2014 are not available. </w:t>
                  </w:r>
                </w:p>
                <w:p w14:paraId="76EA67A5" w14:textId="77777777" w:rsidR="00FC14FC" w:rsidRPr="003E704E" w:rsidRDefault="00FC14FC" w:rsidP="00D11B9D">
                  <w:pPr>
                    <w:pStyle w:val="TableBodyText"/>
                    <w:ind w:right="28"/>
                    <w:jc w:val="left"/>
                  </w:pPr>
                  <w:r w:rsidRPr="003E704E">
                    <w:t>To the extent that some funds may have historically had more conservative whole</w:t>
                  </w:r>
                  <w:r w:rsidRPr="003E704E">
                    <w:noBreakHyphen/>
                    <w:t>of</w:t>
                  </w:r>
                  <w:r w:rsidRPr="003E704E">
                    <w:noBreakHyphen/>
                    <w:t>fund asset allocations than their default allocations, this adjustment is in line with the Commission’s conservative approach to benchmarking.</w:t>
                  </w:r>
                </w:p>
                <w:p w14:paraId="199718DC" w14:textId="77777777" w:rsidR="00FC14FC" w:rsidRPr="003E704E" w:rsidRDefault="00FC14FC" w:rsidP="00D11B9D">
                  <w:pPr>
                    <w:pStyle w:val="TableBodyText"/>
                    <w:ind w:right="28"/>
                    <w:jc w:val="left"/>
                  </w:pPr>
                  <w:r w:rsidRPr="003E704E">
                    <w:t xml:space="preserve">Sensitivity </w:t>
                  </w:r>
                  <w:r>
                    <w:t>testing of</w:t>
                  </w:r>
                  <w:r w:rsidRPr="003E704E">
                    <w:t xml:space="preserve"> alternative assumptions does not lead to fundamentally different results. </w:t>
                  </w:r>
                </w:p>
              </w:tc>
            </w:tr>
            <w:tr w:rsidR="00FC14FC" w14:paraId="3117E270" w14:textId="77777777" w:rsidTr="00D11B9D">
              <w:tc>
                <w:tcPr>
                  <w:tcW w:w="1265" w:type="pct"/>
                  <w:tcBorders>
                    <w:bottom w:val="single" w:sz="6" w:space="0" w:color="BFBFBF"/>
                  </w:tcBorders>
                  <w:shd w:val="pct5" w:color="auto" w:fill="auto"/>
                </w:tcPr>
                <w:p w14:paraId="4E6F11BA" w14:textId="77777777" w:rsidR="00FC14FC" w:rsidRPr="00064A32" w:rsidRDefault="00FC14FC" w:rsidP="00D11B9D">
                  <w:pPr>
                    <w:pStyle w:val="TableBodyText"/>
                    <w:jc w:val="left"/>
                  </w:pPr>
                  <w:r w:rsidRPr="00064A32">
                    <w:t>Linking current MySuper products to precursor default products can generate misleading results as some funds had higher fees (or embedded adviser commissions) on these precursor products</w:t>
                  </w:r>
                </w:p>
              </w:tc>
              <w:tc>
                <w:tcPr>
                  <w:tcW w:w="1333" w:type="pct"/>
                  <w:tcBorders>
                    <w:bottom w:val="single" w:sz="6" w:space="0" w:color="BFBFBF"/>
                  </w:tcBorders>
                  <w:shd w:val="pct5" w:color="auto" w:fill="auto"/>
                </w:tcPr>
                <w:p w14:paraId="1607E5F6" w14:textId="77777777" w:rsidR="00FC14FC" w:rsidRPr="00064A32" w:rsidRDefault="00FC14FC" w:rsidP="00D11B9D">
                  <w:pPr>
                    <w:pStyle w:val="TableBodyText"/>
                    <w:jc w:val="left"/>
                  </w:pPr>
                  <w:r w:rsidRPr="00064A32">
                    <w:t>Chant West (subs. DR191 and DR224); FSC (subs. DR186 and DR218); Rice Warner (sub. DR202).</w:t>
                  </w:r>
                </w:p>
                <w:p w14:paraId="480DDC98" w14:textId="77777777" w:rsidR="00FC14FC" w:rsidRPr="00064A32" w:rsidRDefault="00FC14FC" w:rsidP="00D11B9D">
                  <w:pPr>
                    <w:pStyle w:val="TableBodyText"/>
                    <w:jc w:val="left"/>
                  </w:pPr>
                </w:p>
              </w:tc>
              <w:tc>
                <w:tcPr>
                  <w:tcW w:w="2402" w:type="pct"/>
                  <w:tcBorders>
                    <w:bottom w:val="single" w:sz="6" w:space="0" w:color="BFBFBF"/>
                  </w:tcBorders>
                  <w:shd w:val="pct5" w:color="auto" w:fill="auto"/>
                </w:tcPr>
                <w:p w14:paraId="56D47EF8" w14:textId="77777777" w:rsidR="00FC14FC" w:rsidRDefault="00FC14FC" w:rsidP="00D11B9D">
                  <w:pPr>
                    <w:pStyle w:val="TableBodyText"/>
                    <w:ind w:right="28"/>
                    <w:jc w:val="left"/>
                  </w:pPr>
                  <w:r>
                    <w:t>The benchmarks are intended to reflect the outcomes that members have received, including in prior years.</w:t>
                  </w:r>
                </w:p>
              </w:tc>
            </w:tr>
          </w:tbl>
          <w:p w14:paraId="7C569D34" w14:textId="77777777" w:rsidR="00FC14FC" w:rsidRDefault="00FC14FC" w:rsidP="00D11B9D">
            <w:pPr>
              <w:pStyle w:val="Box"/>
            </w:pPr>
          </w:p>
        </w:tc>
      </w:tr>
      <w:tr w:rsidR="00FC14FC" w14:paraId="5BD26D7B" w14:textId="77777777" w:rsidTr="00D11B9D">
        <w:tc>
          <w:tcPr>
            <w:tcW w:w="5000" w:type="pct"/>
            <w:tcBorders>
              <w:top w:val="nil"/>
              <w:left w:val="nil"/>
              <w:bottom w:val="nil"/>
              <w:right w:val="nil"/>
            </w:tcBorders>
            <w:shd w:val="clear" w:color="auto" w:fill="auto"/>
          </w:tcPr>
          <w:p w14:paraId="3BDE5793" w14:textId="77777777" w:rsidR="00FC14FC" w:rsidRDefault="00FC14FC" w:rsidP="00D11B9D">
            <w:pPr>
              <w:pStyle w:val="Continued"/>
            </w:pPr>
            <w:r>
              <w:t>(continued next page)</w:t>
            </w:r>
          </w:p>
        </w:tc>
      </w:tr>
      <w:tr w:rsidR="00FC14FC" w14:paraId="5FE46317" w14:textId="77777777" w:rsidTr="00D11B9D">
        <w:tc>
          <w:tcPr>
            <w:tcW w:w="5000" w:type="pct"/>
            <w:tcBorders>
              <w:top w:val="nil"/>
              <w:left w:val="nil"/>
              <w:bottom w:val="single" w:sz="6" w:space="0" w:color="78A22F"/>
              <w:right w:val="nil"/>
            </w:tcBorders>
            <w:shd w:val="clear" w:color="auto" w:fill="auto"/>
          </w:tcPr>
          <w:p w14:paraId="32BEE1AC" w14:textId="77777777" w:rsidR="00FC14FC" w:rsidRDefault="00FC14FC" w:rsidP="00D11B9D">
            <w:pPr>
              <w:pStyle w:val="Box"/>
              <w:spacing w:before="0" w:line="120" w:lineRule="exact"/>
            </w:pPr>
          </w:p>
        </w:tc>
      </w:tr>
      <w:tr w:rsidR="00FC14FC" w:rsidRPr="000863A5" w14:paraId="2422F3A0" w14:textId="77777777" w:rsidTr="00D11B9D">
        <w:tc>
          <w:tcPr>
            <w:tcW w:w="5000" w:type="pct"/>
            <w:tcBorders>
              <w:top w:val="single" w:sz="6" w:space="0" w:color="78A22F"/>
              <w:left w:val="nil"/>
              <w:bottom w:val="nil"/>
              <w:right w:val="nil"/>
            </w:tcBorders>
          </w:tcPr>
          <w:p w14:paraId="57BA60DD" w14:textId="77777777" w:rsidR="00FC14FC" w:rsidRPr="00626D32" w:rsidRDefault="00FC14FC" w:rsidP="00D11B9D">
            <w:pPr>
              <w:pStyle w:val="BoxSpaceBelow"/>
            </w:pPr>
          </w:p>
        </w:tc>
      </w:tr>
    </w:tbl>
    <w:p w14:paraId="6BE905D5" w14:textId="77777777" w:rsidR="00FC14FC" w:rsidRPr="008E7347"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rsidRPr="008E7347" w14:paraId="207B6EA5" w14:textId="77777777" w:rsidTr="00D11B9D">
        <w:trPr>
          <w:tblHeader/>
        </w:trPr>
        <w:tc>
          <w:tcPr>
            <w:tcW w:w="5000" w:type="pct"/>
            <w:tcBorders>
              <w:top w:val="single" w:sz="6" w:space="0" w:color="78A22F"/>
              <w:left w:val="nil"/>
              <w:bottom w:val="nil"/>
              <w:right w:val="nil"/>
            </w:tcBorders>
            <w:shd w:val="clear" w:color="auto" w:fill="auto"/>
          </w:tcPr>
          <w:p w14:paraId="6591ABDF" w14:textId="77777777" w:rsidR="00FC14FC" w:rsidRPr="008E7347" w:rsidRDefault="00FC14FC" w:rsidP="00D11B9D">
            <w:pPr>
              <w:pStyle w:val="TableTitle"/>
            </w:pPr>
            <w:r w:rsidRPr="008E7347">
              <w:rPr>
                <w:b w:val="0"/>
              </w:rPr>
              <w:t>Table 4.</w:t>
            </w:r>
            <w:r>
              <w:rPr>
                <w:b w:val="0"/>
              </w:rPr>
              <w:t>6</w:t>
            </w:r>
            <w:r w:rsidRPr="008E7347">
              <w:tab/>
            </w:r>
            <w:r w:rsidRPr="008E7347">
              <w:rPr>
                <w:rStyle w:val="Continuedintitle"/>
              </w:rPr>
              <w:t>(continued)</w:t>
            </w:r>
          </w:p>
        </w:tc>
      </w:tr>
      <w:tr w:rsidR="00FC14FC" w:rsidRPr="008E7347" w14:paraId="1AFC4D64"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2410"/>
              <w:gridCol w:w="3827"/>
            </w:tblGrid>
            <w:tr w:rsidR="00FC14FC" w:rsidRPr="008E7347" w14:paraId="5CF6AECF" w14:textId="77777777" w:rsidTr="00D11B9D">
              <w:trPr>
                <w:tblHeader/>
              </w:trPr>
              <w:tc>
                <w:tcPr>
                  <w:tcW w:w="1333" w:type="pct"/>
                  <w:tcBorders>
                    <w:top w:val="single" w:sz="6" w:space="0" w:color="BFBFBF"/>
                    <w:bottom w:val="single" w:sz="6" w:space="0" w:color="BFBFBF"/>
                  </w:tcBorders>
                  <w:shd w:val="clear" w:color="auto" w:fill="auto"/>
                  <w:tcMar>
                    <w:top w:w="28" w:type="dxa"/>
                  </w:tcMar>
                </w:tcPr>
                <w:p w14:paraId="3A50613F" w14:textId="77777777" w:rsidR="00FC14FC" w:rsidRPr="008E7347" w:rsidRDefault="00FC14FC" w:rsidP="00D11B9D">
                  <w:pPr>
                    <w:pStyle w:val="TableColumnHeading"/>
                    <w:jc w:val="left"/>
                  </w:pPr>
                  <w:r w:rsidRPr="008E7347">
                    <w:t>Claim or issue</w:t>
                  </w:r>
                </w:p>
              </w:tc>
              <w:tc>
                <w:tcPr>
                  <w:tcW w:w="1417" w:type="pct"/>
                  <w:tcBorders>
                    <w:top w:val="single" w:sz="6" w:space="0" w:color="BFBFBF"/>
                    <w:bottom w:val="single" w:sz="6" w:space="0" w:color="BFBFBF"/>
                  </w:tcBorders>
                </w:tcPr>
                <w:p w14:paraId="38AF754B" w14:textId="77777777" w:rsidR="00FC14FC" w:rsidRPr="008E7347" w:rsidRDefault="00FC14FC" w:rsidP="00D11B9D">
                  <w:pPr>
                    <w:pStyle w:val="TableColumnHeading"/>
                    <w:jc w:val="left"/>
                  </w:pPr>
                  <w:r w:rsidRPr="008E7347">
                    <w:t>Submissions</w:t>
                  </w:r>
                </w:p>
              </w:tc>
              <w:tc>
                <w:tcPr>
                  <w:tcW w:w="2250" w:type="pct"/>
                  <w:tcBorders>
                    <w:top w:val="single" w:sz="6" w:space="0" w:color="BFBFBF"/>
                    <w:bottom w:val="single" w:sz="6" w:space="0" w:color="BFBFBF"/>
                  </w:tcBorders>
                  <w:shd w:val="clear" w:color="auto" w:fill="auto"/>
                  <w:tcMar>
                    <w:top w:w="28" w:type="dxa"/>
                  </w:tcMar>
                </w:tcPr>
                <w:p w14:paraId="3E339C0F" w14:textId="77777777" w:rsidR="00FC14FC" w:rsidRPr="008E7347" w:rsidRDefault="00FC14FC" w:rsidP="00D11B9D">
                  <w:pPr>
                    <w:pStyle w:val="TableColumnHeading"/>
                    <w:ind w:right="28"/>
                    <w:jc w:val="left"/>
                  </w:pPr>
                  <w:r w:rsidRPr="008E7347">
                    <w:t>Commission’s response</w:t>
                  </w:r>
                </w:p>
              </w:tc>
            </w:tr>
            <w:tr w:rsidR="00FC14FC" w:rsidRPr="008E7347" w14:paraId="6CEBF83A" w14:textId="77777777" w:rsidTr="00D11B9D">
              <w:tc>
                <w:tcPr>
                  <w:tcW w:w="1333" w:type="pct"/>
                  <w:tcBorders>
                    <w:top w:val="single" w:sz="6" w:space="0" w:color="BFBFBF"/>
                  </w:tcBorders>
                  <w:shd w:val="clear" w:color="auto" w:fill="auto"/>
                </w:tcPr>
                <w:p w14:paraId="7E9D2059" w14:textId="77777777" w:rsidR="00FC14FC" w:rsidRDefault="00FC14FC" w:rsidP="00D11B9D">
                  <w:pPr>
                    <w:pStyle w:val="TableBodyText"/>
                    <w:spacing w:before="40"/>
                    <w:jc w:val="left"/>
                  </w:pPr>
                  <w:r>
                    <w:t>Fund-level analysis is not representative of members’ experiences in particular investment options</w:t>
                  </w:r>
                </w:p>
              </w:tc>
              <w:tc>
                <w:tcPr>
                  <w:tcW w:w="1417" w:type="pct"/>
                  <w:tcBorders>
                    <w:top w:val="single" w:sz="6" w:space="0" w:color="BFBFBF"/>
                  </w:tcBorders>
                  <w:shd w:val="clear" w:color="auto" w:fill="auto"/>
                </w:tcPr>
                <w:p w14:paraId="6CEEFEC6" w14:textId="77777777" w:rsidR="00FC14FC" w:rsidRDefault="00FC14FC" w:rsidP="00D11B9D">
                  <w:pPr>
                    <w:pStyle w:val="TableBodyText"/>
                    <w:spacing w:before="40"/>
                    <w:jc w:val="left"/>
                  </w:pPr>
                  <w:r>
                    <w:t>CFS (sub. DR163); Chant West (subs. DR191 and DR224); FSC (subs. DR186 and DR218); MLC Wealth (sub. DR174).</w:t>
                  </w:r>
                </w:p>
              </w:tc>
              <w:tc>
                <w:tcPr>
                  <w:tcW w:w="2250" w:type="pct"/>
                  <w:tcBorders>
                    <w:top w:val="single" w:sz="6" w:space="0" w:color="BFBFBF"/>
                  </w:tcBorders>
                  <w:shd w:val="clear" w:color="auto" w:fill="auto"/>
                </w:tcPr>
                <w:p w14:paraId="27B0E94B" w14:textId="77777777" w:rsidR="00FC14FC" w:rsidRDefault="00FC14FC" w:rsidP="00D11B9D">
                  <w:pPr>
                    <w:pStyle w:val="TableBodyText"/>
                    <w:spacing w:before="40"/>
                    <w:ind w:right="28"/>
                    <w:jc w:val="left"/>
                  </w:pPr>
                  <w:r>
                    <w:t>Fund</w:t>
                  </w:r>
                  <w:r>
                    <w:noBreakHyphen/>
                    <w:t xml:space="preserve">level returns reflect outcomes that members are collectively receiving and add a useful point of reference for a system-wide analysis. This is complemented by option-level analysis. </w:t>
                  </w:r>
                </w:p>
                <w:p w14:paraId="48F2A35C" w14:textId="77777777" w:rsidR="00FC14FC" w:rsidRDefault="00FC14FC" w:rsidP="00D11B9D">
                  <w:pPr>
                    <w:pStyle w:val="TableBodyText"/>
                    <w:spacing w:before="40"/>
                    <w:ind w:right="28"/>
                    <w:jc w:val="left"/>
                  </w:pPr>
                  <w:r>
                    <w:t>Poor performance at a fund level (controlling for asset allocation) means that members in at least some products must be getting poor returns.</w:t>
                  </w:r>
                </w:p>
                <w:p w14:paraId="1F71D458" w14:textId="77777777" w:rsidR="00FC14FC" w:rsidRDefault="00FC14FC" w:rsidP="00D11B9D">
                  <w:pPr>
                    <w:pStyle w:val="TableBodyText"/>
                    <w:spacing w:before="40"/>
                    <w:ind w:right="28"/>
                    <w:jc w:val="left"/>
                  </w:pPr>
                  <w:r>
                    <w:t>Other research has found that product</w:t>
                  </w:r>
                  <w:r>
                    <w:noBreakHyphen/>
                    <w:t>level returns are correlated with fund</w:t>
                  </w:r>
                  <w:r>
                    <w:noBreakHyphen/>
                    <w:t xml:space="preserve">level returns </w:t>
                  </w:r>
                  <w:r w:rsidRPr="002856AA">
                    <w:rPr>
                      <w:rFonts w:cs="Arial"/>
                      <w:szCs w:val="24"/>
                    </w:rPr>
                    <w:t>(ISA 2018)</w:t>
                  </w:r>
                  <w:r>
                    <w:t>.</w:t>
                  </w:r>
                </w:p>
              </w:tc>
            </w:tr>
            <w:tr w:rsidR="00FC14FC" w:rsidRPr="008E7347" w14:paraId="13481CFF" w14:textId="77777777" w:rsidTr="00D11B9D">
              <w:tc>
                <w:tcPr>
                  <w:tcW w:w="1333" w:type="pct"/>
                  <w:shd w:val="clear" w:color="auto" w:fill="auto"/>
                </w:tcPr>
                <w:p w14:paraId="339EB51E" w14:textId="77777777" w:rsidR="00FC14FC" w:rsidRPr="008E7347" w:rsidRDefault="00FC14FC" w:rsidP="00D11B9D">
                  <w:pPr>
                    <w:pStyle w:val="TableBodyText"/>
                    <w:jc w:val="left"/>
                  </w:pPr>
                  <w:r>
                    <w:t>Fund</w:t>
                  </w:r>
                  <w:r>
                    <w:noBreakHyphen/>
                    <w:t>level data also cover legacy products that are irrelevant for assessing system performance</w:t>
                  </w:r>
                </w:p>
              </w:tc>
              <w:tc>
                <w:tcPr>
                  <w:tcW w:w="1417" w:type="pct"/>
                  <w:shd w:val="clear" w:color="auto" w:fill="auto"/>
                </w:tcPr>
                <w:p w14:paraId="6A97170A" w14:textId="77777777" w:rsidR="00FC14FC" w:rsidRDefault="00FC14FC" w:rsidP="00D11B9D">
                  <w:pPr>
                    <w:pStyle w:val="TableBodyText"/>
                    <w:jc w:val="left"/>
                  </w:pPr>
                  <w:r>
                    <w:t>Chant West (subs. DR191 and DR224); FSC (subs. DR186 and DR218).</w:t>
                  </w:r>
                </w:p>
              </w:tc>
              <w:tc>
                <w:tcPr>
                  <w:tcW w:w="2250" w:type="pct"/>
                  <w:shd w:val="clear" w:color="auto" w:fill="auto"/>
                </w:tcPr>
                <w:p w14:paraId="415BBDFD" w14:textId="77777777" w:rsidR="00FC14FC" w:rsidRDefault="00FC14FC" w:rsidP="00D11B9D">
                  <w:pPr>
                    <w:pStyle w:val="TableBodyText"/>
                    <w:ind w:right="28"/>
                    <w:jc w:val="left"/>
                    <w:rPr>
                      <w:rFonts w:ascii="Times New Roman" w:hAnsi="Times New Roman"/>
                      <w:sz w:val="24"/>
                      <w:szCs w:val="24"/>
                    </w:rPr>
                  </w:pPr>
                  <w:r>
                    <w:t>Legacy and terminated product returns are relevant for members in those products, either now or in past years, thus are key to overall system performance.</w:t>
                  </w:r>
                </w:p>
                <w:p w14:paraId="77946734" w14:textId="77777777" w:rsidR="00FC14FC" w:rsidRDefault="00FC14FC" w:rsidP="00D11B9D">
                  <w:pPr>
                    <w:pStyle w:val="TableBodyText"/>
                    <w:jc w:val="left"/>
                  </w:pPr>
                  <w:r>
                    <w:t>Some product</w:t>
                  </w:r>
                  <w:r>
                    <w:noBreakHyphen/>
                    <w:t>level analysis excludes legacy products.</w:t>
                  </w:r>
                  <w:r w:rsidRPr="00C5593A" w:rsidDel="00633C7F">
                    <w:t xml:space="preserve"> </w:t>
                  </w:r>
                </w:p>
              </w:tc>
            </w:tr>
            <w:tr w:rsidR="00FC14FC" w:rsidRPr="008E7347" w14:paraId="64245CD8" w14:textId="77777777" w:rsidTr="00D11B9D">
              <w:tc>
                <w:tcPr>
                  <w:tcW w:w="1333" w:type="pct"/>
                  <w:shd w:val="pct5" w:color="auto" w:fill="auto"/>
                </w:tcPr>
                <w:p w14:paraId="508D13B7" w14:textId="77777777" w:rsidR="00FC14FC" w:rsidRPr="008E7347" w:rsidRDefault="00FC14FC" w:rsidP="00D11B9D">
                  <w:pPr>
                    <w:pStyle w:val="TableBodyText"/>
                    <w:jc w:val="left"/>
                  </w:pPr>
                  <w:r w:rsidRPr="008E7347">
                    <w:t>Wraps/platforms mean members ch</w:t>
                  </w:r>
                  <w:r>
                    <w:t>oose their specific investments</w:t>
                  </w:r>
                </w:p>
              </w:tc>
              <w:tc>
                <w:tcPr>
                  <w:tcW w:w="1417" w:type="pct"/>
                  <w:shd w:val="pct5" w:color="auto" w:fill="auto"/>
                </w:tcPr>
                <w:p w14:paraId="4F3A2C58" w14:textId="77777777" w:rsidR="00FC14FC" w:rsidRPr="008E7347" w:rsidRDefault="00FC14FC" w:rsidP="00D11B9D">
                  <w:pPr>
                    <w:pStyle w:val="TableBodyText"/>
                    <w:jc w:val="left"/>
                  </w:pPr>
                  <w:r>
                    <w:t>FSC (subs. DR186 and DR218); MLC Wealth (sub. DR223).</w:t>
                  </w:r>
                </w:p>
              </w:tc>
              <w:tc>
                <w:tcPr>
                  <w:tcW w:w="2250" w:type="pct"/>
                  <w:shd w:val="pct5" w:color="auto" w:fill="auto"/>
                </w:tcPr>
                <w:p w14:paraId="05C41625" w14:textId="77777777" w:rsidR="00FC14FC" w:rsidRDefault="00FC14FC" w:rsidP="00D11B9D">
                  <w:pPr>
                    <w:pStyle w:val="TableBodyText"/>
                    <w:jc w:val="left"/>
                  </w:pPr>
                  <w:r>
                    <w:t>The analysis controls for differences in asset allocation.</w:t>
                  </w:r>
                </w:p>
                <w:p w14:paraId="4E924BAD" w14:textId="77777777" w:rsidR="00FC14FC" w:rsidRPr="008E7347" w:rsidRDefault="00FC14FC" w:rsidP="00D11B9D">
                  <w:pPr>
                    <w:pStyle w:val="TableBodyText"/>
                    <w:jc w:val="left"/>
                  </w:pPr>
                  <w:r>
                    <w:t xml:space="preserve">The way in which individual assets are selected </w:t>
                  </w:r>
                  <w:r w:rsidRPr="008E7347">
                    <w:t>does not make the benchmarking results any less representative of collective member outcomes.</w:t>
                  </w:r>
                </w:p>
                <w:p w14:paraId="5D6E1B90" w14:textId="77777777" w:rsidR="00FC14FC" w:rsidRPr="008E7347" w:rsidRDefault="00FC14FC" w:rsidP="00D11B9D">
                  <w:pPr>
                    <w:pStyle w:val="TableBodyText"/>
                    <w:jc w:val="left"/>
                  </w:pPr>
                  <w:r w:rsidRPr="008E7347">
                    <w:t>Trustees are ultimately responsible for acting in members’ best interests in deciding which products and investment options to offer them.</w:t>
                  </w:r>
                </w:p>
              </w:tc>
            </w:tr>
            <w:tr w:rsidR="00FC14FC" w:rsidRPr="008E7347" w14:paraId="4AA8C99F" w14:textId="77777777" w:rsidTr="00D11B9D">
              <w:tc>
                <w:tcPr>
                  <w:tcW w:w="1333" w:type="pct"/>
                  <w:shd w:val="clear" w:color="auto" w:fill="auto"/>
                </w:tcPr>
                <w:p w14:paraId="620ABC22" w14:textId="77777777" w:rsidR="00FC14FC" w:rsidRPr="008E7347" w:rsidRDefault="00FC14FC" w:rsidP="00D11B9D">
                  <w:pPr>
                    <w:pStyle w:val="TableBodyText"/>
                    <w:jc w:val="left"/>
                  </w:pPr>
                  <w:r>
                    <w:t xml:space="preserve">Funds with stronger net cashflows (or lower liquidity needs) </w:t>
                  </w:r>
                  <w:r w:rsidRPr="008E7347">
                    <w:t>may be less able to invest in unlisted assets</w:t>
                  </w:r>
                </w:p>
              </w:tc>
              <w:tc>
                <w:tcPr>
                  <w:tcW w:w="1417" w:type="pct"/>
                  <w:shd w:val="clear" w:color="auto" w:fill="auto"/>
                </w:tcPr>
                <w:p w14:paraId="50E0533F" w14:textId="77777777" w:rsidR="00FC14FC" w:rsidRPr="008E7347" w:rsidRDefault="00FC14FC" w:rsidP="00D11B9D">
                  <w:pPr>
                    <w:pStyle w:val="TableBodyText"/>
                    <w:jc w:val="left"/>
                  </w:pPr>
                  <w:r>
                    <w:t xml:space="preserve">AFA (sub. DR173); FSC (sub. DR199); MLC Wealth (sub. DR223); </w:t>
                  </w:r>
                  <w:r w:rsidRPr="008E7347">
                    <w:t>Rice Warner (sub.</w:t>
                  </w:r>
                  <w:r>
                    <w:t> </w:t>
                  </w:r>
                  <w:r w:rsidRPr="008E7347">
                    <w:t>DR202)</w:t>
                  </w:r>
                </w:p>
              </w:tc>
              <w:tc>
                <w:tcPr>
                  <w:tcW w:w="2250" w:type="pct"/>
                  <w:shd w:val="clear" w:color="auto" w:fill="auto"/>
                </w:tcPr>
                <w:p w14:paraId="48E66B22" w14:textId="77777777" w:rsidR="00FC14FC" w:rsidRPr="008E7347" w:rsidRDefault="00FC14FC" w:rsidP="00D11B9D">
                  <w:pPr>
                    <w:pStyle w:val="TableBodyText"/>
                    <w:jc w:val="left"/>
                  </w:pPr>
                  <w:r>
                    <w:t>The analysis controls for differences in asset allocation, including allocation to unlisted assets.</w:t>
                  </w:r>
                </w:p>
              </w:tc>
            </w:tr>
            <w:tr w:rsidR="00FC14FC" w:rsidRPr="008E7347" w14:paraId="397CD66F" w14:textId="77777777" w:rsidTr="00D11B9D">
              <w:tc>
                <w:tcPr>
                  <w:tcW w:w="1333" w:type="pct"/>
                  <w:shd w:val="pct5" w:color="auto" w:fill="auto"/>
                </w:tcPr>
                <w:p w14:paraId="484BC389" w14:textId="77777777" w:rsidR="00FC14FC" w:rsidRPr="008E7347" w:rsidRDefault="00FC14FC" w:rsidP="00D11B9D">
                  <w:pPr>
                    <w:pStyle w:val="TableBodyText"/>
                    <w:jc w:val="left"/>
                  </w:pPr>
                  <w:r w:rsidRPr="008E7347">
                    <w:t xml:space="preserve">Some of the over/under performance of MySuper products is due to </w:t>
                  </w:r>
                  <w:r>
                    <w:t>the</w:t>
                  </w:r>
                  <w:r w:rsidRPr="008E7347">
                    <w:t xml:space="preserve"> use of an average asset allocation benchmark</w:t>
                  </w:r>
                </w:p>
              </w:tc>
              <w:tc>
                <w:tcPr>
                  <w:tcW w:w="1417" w:type="pct"/>
                  <w:shd w:val="pct5" w:color="auto" w:fill="auto"/>
                </w:tcPr>
                <w:p w14:paraId="1D993264" w14:textId="77777777" w:rsidR="00FC14FC" w:rsidRPr="008E7347" w:rsidRDefault="00FC14FC" w:rsidP="00D11B9D">
                  <w:pPr>
                    <w:pStyle w:val="TableBodyText"/>
                    <w:jc w:val="left"/>
                  </w:pPr>
                  <w:r>
                    <w:t>ASFA (sub. DR148).</w:t>
                  </w:r>
                </w:p>
              </w:tc>
              <w:tc>
                <w:tcPr>
                  <w:tcW w:w="2250" w:type="pct"/>
                  <w:shd w:val="pct5" w:color="auto" w:fill="auto"/>
                </w:tcPr>
                <w:p w14:paraId="192EF515" w14:textId="77777777" w:rsidR="00FC14FC" w:rsidRPr="008E7347" w:rsidRDefault="00FC14FC" w:rsidP="00D11B9D">
                  <w:pPr>
                    <w:pStyle w:val="TableBodyText"/>
                    <w:ind w:right="28"/>
                    <w:jc w:val="left"/>
                  </w:pPr>
                  <w:r>
                    <w:t>New analysis using product</w:t>
                  </w:r>
                  <w:r>
                    <w:noBreakHyphen/>
                    <w:t>level asset allocation does not lead to materially different conclusions.</w:t>
                  </w:r>
                </w:p>
              </w:tc>
            </w:tr>
            <w:tr w:rsidR="00FC14FC" w:rsidRPr="008E7347" w14:paraId="03E4E597" w14:textId="77777777" w:rsidTr="00D11B9D">
              <w:tc>
                <w:tcPr>
                  <w:tcW w:w="1333" w:type="pct"/>
                  <w:tcBorders>
                    <w:bottom w:val="single" w:sz="6" w:space="0" w:color="BFBFBF"/>
                  </w:tcBorders>
                  <w:shd w:val="clear" w:color="auto" w:fill="auto"/>
                </w:tcPr>
                <w:p w14:paraId="053B35D2" w14:textId="77777777" w:rsidR="00FC14FC" w:rsidRPr="008E7347" w:rsidRDefault="00FC14FC" w:rsidP="00D11B9D">
                  <w:pPr>
                    <w:pStyle w:val="TableBodyText"/>
                    <w:jc w:val="left"/>
                  </w:pPr>
                  <w:r w:rsidRPr="008E7347">
                    <w:t>There are inconsistencies in how funds classify growth and defensive assets</w:t>
                  </w:r>
                </w:p>
              </w:tc>
              <w:tc>
                <w:tcPr>
                  <w:tcW w:w="1417" w:type="pct"/>
                  <w:tcBorders>
                    <w:bottom w:val="single" w:sz="6" w:space="0" w:color="BFBFBF"/>
                  </w:tcBorders>
                  <w:shd w:val="clear" w:color="auto" w:fill="auto"/>
                </w:tcPr>
                <w:p w14:paraId="4B8C766E" w14:textId="77777777" w:rsidR="00FC14FC" w:rsidRPr="00906F70" w:rsidRDefault="00FC14FC" w:rsidP="00D11B9D">
                  <w:pPr>
                    <w:pStyle w:val="TableBodyText"/>
                    <w:jc w:val="left"/>
                    <w:rPr>
                      <w:rFonts w:ascii="Times New Roman" w:hAnsi="Times New Roman"/>
                      <w:sz w:val="24"/>
                      <w:szCs w:val="24"/>
                    </w:rPr>
                  </w:pPr>
                  <w:r w:rsidRPr="008E7347">
                    <w:t xml:space="preserve">CFS (sub. DR163); </w:t>
                  </w:r>
                  <w:r>
                    <w:t xml:space="preserve">FSC (sub. DR186); MLC Wealth (sub. DR223); </w:t>
                  </w:r>
                  <w:r w:rsidRPr="008E7347">
                    <w:t>Wilkins (sub. DR169).</w:t>
                  </w:r>
                </w:p>
              </w:tc>
              <w:tc>
                <w:tcPr>
                  <w:tcW w:w="2250" w:type="pct"/>
                  <w:tcBorders>
                    <w:bottom w:val="single" w:sz="6" w:space="0" w:color="BFBFBF"/>
                  </w:tcBorders>
                  <w:shd w:val="clear" w:color="auto" w:fill="auto"/>
                </w:tcPr>
                <w:p w14:paraId="66A83C31" w14:textId="77777777" w:rsidR="00FC14FC" w:rsidRDefault="00FC14FC" w:rsidP="00D11B9D">
                  <w:pPr>
                    <w:pStyle w:val="TableBodyText"/>
                    <w:ind w:right="28"/>
                    <w:jc w:val="left"/>
                  </w:pPr>
                  <w:r>
                    <w:t>This may affect the option</w:t>
                  </w:r>
                  <w:r>
                    <w:noBreakHyphen/>
                    <w:t>type and 11</w:t>
                  </w:r>
                  <w:r>
                    <w:noBreakHyphen/>
                    <w:t>year MySuper analysis but is not relevant for the other analyses.</w:t>
                  </w:r>
                  <w:r w:rsidRPr="008E7347">
                    <w:t xml:space="preserve"> </w:t>
                  </w:r>
                </w:p>
                <w:p w14:paraId="5F1A02A9" w14:textId="77777777" w:rsidR="00FC14FC" w:rsidRPr="008E7347" w:rsidRDefault="00FC14FC" w:rsidP="00D11B9D">
                  <w:pPr>
                    <w:pStyle w:val="TableBodyText"/>
                    <w:ind w:right="28"/>
                    <w:jc w:val="left"/>
                  </w:pPr>
                  <w:r w:rsidRPr="008E7347">
                    <w:t>Mainly an issue for how league tables are compiled by private research firms.</w:t>
                  </w:r>
                </w:p>
              </w:tc>
            </w:tr>
          </w:tbl>
          <w:p w14:paraId="7F487D4F" w14:textId="77777777" w:rsidR="00FC14FC" w:rsidRPr="008E7347" w:rsidRDefault="00FC14FC" w:rsidP="00D11B9D">
            <w:pPr>
              <w:pStyle w:val="Box"/>
            </w:pPr>
          </w:p>
        </w:tc>
      </w:tr>
      <w:tr w:rsidR="00FC14FC" w:rsidRPr="008E7347" w14:paraId="7AEE986F" w14:textId="77777777" w:rsidTr="00D11B9D">
        <w:tc>
          <w:tcPr>
            <w:tcW w:w="5000" w:type="pct"/>
            <w:tcBorders>
              <w:top w:val="nil"/>
              <w:left w:val="nil"/>
              <w:bottom w:val="single" w:sz="6" w:space="0" w:color="78A22F"/>
              <w:right w:val="nil"/>
            </w:tcBorders>
            <w:shd w:val="clear" w:color="auto" w:fill="auto"/>
          </w:tcPr>
          <w:p w14:paraId="5C31BB62" w14:textId="77777777" w:rsidR="00FC14FC" w:rsidRPr="008E7347" w:rsidRDefault="00FC14FC" w:rsidP="00D11B9D">
            <w:pPr>
              <w:pStyle w:val="Box"/>
              <w:spacing w:before="0" w:line="120" w:lineRule="exact"/>
            </w:pPr>
          </w:p>
        </w:tc>
      </w:tr>
      <w:tr w:rsidR="00FC14FC" w:rsidRPr="000863A5" w14:paraId="6ABE29FB" w14:textId="77777777" w:rsidTr="00D11B9D">
        <w:tc>
          <w:tcPr>
            <w:tcW w:w="5000" w:type="pct"/>
            <w:tcBorders>
              <w:top w:val="single" w:sz="6" w:space="0" w:color="78A22F"/>
              <w:left w:val="nil"/>
              <w:bottom w:val="nil"/>
              <w:right w:val="nil"/>
            </w:tcBorders>
          </w:tcPr>
          <w:p w14:paraId="2E5AC180" w14:textId="77777777" w:rsidR="00FC14FC" w:rsidRPr="00626D32" w:rsidRDefault="00FC14FC" w:rsidP="00D11B9D">
            <w:pPr>
              <w:pStyle w:val="BoxSpaceBelow"/>
            </w:pPr>
          </w:p>
        </w:tc>
      </w:tr>
    </w:tbl>
    <w:p w14:paraId="1C5D8443" w14:textId="77777777" w:rsidR="00FC14FC" w:rsidRDefault="00FC14FC" w:rsidP="00FC14FC">
      <w:pPr>
        <w:pStyle w:val="Heading4"/>
        <w:spacing w:before="240"/>
      </w:pPr>
      <w:r>
        <w:t>Indexes</w:t>
      </w:r>
    </w:p>
    <w:p w14:paraId="4AA7BE67" w14:textId="77777777" w:rsidR="00FC14FC" w:rsidRDefault="00FC14FC" w:rsidP="00FC14FC">
      <w:pPr>
        <w:pStyle w:val="BodyText"/>
        <w:spacing w:before="200"/>
      </w:pPr>
      <w:r>
        <w:t>BP returns are sensitive to the specific financial indexes used. The Commission used index data from AVCAL, Bloomberg, Cambridge Associates, FTSE Russell, MSCI and S&amp;P. The decision</w:t>
      </w:r>
      <w:r w:rsidDel="00307556">
        <w:t xml:space="preserve"> </w:t>
      </w:r>
      <w:r>
        <w:t>about which indexes to use was informed by participant feedback in stages 1 and 3. Total return indexes (that is, returns inclusive of dividends as well as capital gains) are always used where applicable. Table 4.7 shows the application of indexes to asset classes. Annualised</w:t>
      </w:r>
      <w:r w:rsidDel="006179EC">
        <w:t xml:space="preserve"> </w:t>
      </w:r>
      <w:r>
        <w:t>returns for each index are presented in section 4.3.</w:t>
      </w:r>
    </w:p>
    <w:p w14:paraId="20405AE0"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FC14FC" w:rsidRPr="00784A05" w14:paraId="53B69EBF" w14:textId="77777777" w:rsidTr="00D11B9D">
        <w:tc>
          <w:tcPr>
            <w:tcW w:w="5000" w:type="pct"/>
            <w:tcBorders>
              <w:top w:val="single" w:sz="6" w:space="0" w:color="78A22F"/>
              <w:left w:val="nil"/>
              <w:bottom w:val="nil"/>
              <w:right w:val="nil"/>
            </w:tcBorders>
            <w:shd w:val="clear" w:color="auto" w:fill="auto"/>
          </w:tcPr>
          <w:p w14:paraId="5FEAF49A" w14:textId="77777777" w:rsidR="00FC14FC" w:rsidRPr="00784A05" w:rsidRDefault="00FC14FC" w:rsidP="00D11B9D">
            <w:pPr>
              <w:pStyle w:val="TableTitle"/>
            </w:pPr>
            <w:r>
              <w:rPr>
                <w:b w:val="0"/>
              </w:rPr>
              <w:t>Table 4.7</w:t>
            </w:r>
            <w:r>
              <w:tab/>
              <w:t>Indexes used in BPs</w:t>
            </w:r>
            <w:r w:rsidRPr="007E4760">
              <w:rPr>
                <w:rStyle w:val="NoteLabel"/>
              </w:rPr>
              <w:t>a</w:t>
            </w:r>
          </w:p>
        </w:tc>
      </w:tr>
      <w:tr w:rsidR="00FC14FC" w14:paraId="2B0B4199"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60"/>
              <w:gridCol w:w="4276"/>
              <w:gridCol w:w="2669"/>
            </w:tblGrid>
            <w:tr w:rsidR="00FC14FC" w14:paraId="5D5ABDA1" w14:textId="77777777" w:rsidTr="00D11B9D">
              <w:tc>
                <w:tcPr>
                  <w:tcW w:w="917" w:type="pct"/>
                  <w:tcBorders>
                    <w:top w:val="single" w:sz="6" w:space="0" w:color="BFBFBF"/>
                    <w:bottom w:val="single" w:sz="6" w:space="0" w:color="BFBFBF"/>
                  </w:tcBorders>
                </w:tcPr>
                <w:p w14:paraId="1FF4E752" w14:textId="77777777" w:rsidR="00FC14FC" w:rsidRDefault="00FC14FC" w:rsidP="00D11B9D">
                  <w:pPr>
                    <w:pStyle w:val="TableColumnHeading"/>
                    <w:jc w:val="left"/>
                  </w:pPr>
                  <w:r>
                    <w:t>Asset class</w:t>
                  </w:r>
                </w:p>
              </w:tc>
              <w:tc>
                <w:tcPr>
                  <w:tcW w:w="2514" w:type="pct"/>
                  <w:tcBorders>
                    <w:top w:val="single" w:sz="6" w:space="0" w:color="BFBFBF"/>
                    <w:bottom w:val="single" w:sz="6" w:space="0" w:color="BFBFBF"/>
                  </w:tcBorders>
                </w:tcPr>
                <w:p w14:paraId="115AF7C7" w14:textId="77777777" w:rsidR="00FC14FC" w:rsidRDefault="00FC14FC" w:rsidP="00D11B9D">
                  <w:pPr>
                    <w:pStyle w:val="TableColumnHeading"/>
                    <w:jc w:val="left"/>
                  </w:pPr>
                  <w:r>
                    <w:t>BP1 (listed)</w:t>
                  </w:r>
                </w:p>
              </w:tc>
              <w:tc>
                <w:tcPr>
                  <w:tcW w:w="1569" w:type="pct"/>
                  <w:tcBorders>
                    <w:top w:val="single" w:sz="6" w:space="0" w:color="BFBFBF"/>
                    <w:bottom w:val="single" w:sz="6" w:space="0" w:color="BFBFBF"/>
                  </w:tcBorders>
                </w:tcPr>
                <w:p w14:paraId="69E04F9A" w14:textId="77777777" w:rsidR="00FC14FC" w:rsidRDefault="00FC14FC" w:rsidP="00D11B9D">
                  <w:pPr>
                    <w:pStyle w:val="TableColumnHeading"/>
                    <w:jc w:val="left"/>
                  </w:pPr>
                  <w:r>
                    <w:t>BP2 (blended)</w:t>
                  </w:r>
                </w:p>
              </w:tc>
            </w:tr>
            <w:tr w:rsidR="00FC14FC" w14:paraId="684BDDD8" w14:textId="77777777" w:rsidTr="00D11B9D">
              <w:tc>
                <w:tcPr>
                  <w:tcW w:w="917" w:type="pct"/>
                  <w:tcBorders>
                    <w:top w:val="single" w:sz="6" w:space="0" w:color="BFBFBF"/>
                  </w:tcBorders>
                  <w:shd w:val="clear" w:color="auto" w:fill="auto"/>
                </w:tcPr>
                <w:p w14:paraId="7D29BEE6" w14:textId="77777777" w:rsidR="00FC14FC" w:rsidRDefault="00FC14FC" w:rsidP="00D11B9D">
                  <w:pPr>
                    <w:pStyle w:val="TableBodyText"/>
                    <w:spacing w:before="40" w:after="20"/>
                    <w:jc w:val="left"/>
                  </w:pPr>
                  <w:r>
                    <w:t>Cash</w:t>
                  </w:r>
                </w:p>
              </w:tc>
              <w:tc>
                <w:tcPr>
                  <w:tcW w:w="2514" w:type="pct"/>
                  <w:tcBorders>
                    <w:top w:val="single" w:sz="6" w:space="0" w:color="BFBFBF"/>
                  </w:tcBorders>
                  <w:shd w:val="clear" w:color="auto" w:fill="auto"/>
                </w:tcPr>
                <w:p w14:paraId="458D6F98" w14:textId="77777777" w:rsidR="00FC14FC" w:rsidRDefault="00FC14FC" w:rsidP="00D11B9D">
                  <w:pPr>
                    <w:pStyle w:val="TableBodyText"/>
                    <w:spacing w:before="40" w:after="20"/>
                    <w:jc w:val="left"/>
                  </w:pPr>
                  <w:r>
                    <w:t>Funds, segments and system: Reserve Bank of Australia cash rate (30%) / Bloomberg AusBond Bank Bill Index (70%)</w:t>
                  </w:r>
                </w:p>
                <w:p w14:paraId="5DFF05BD" w14:textId="77777777" w:rsidR="00FC14FC" w:rsidRDefault="00FC14FC" w:rsidP="00D11B9D">
                  <w:pPr>
                    <w:pStyle w:val="TableBodyText"/>
                    <w:spacing w:before="40" w:after="20"/>
                    <w:jc w:val="left"/>
                  </w:pPr>
                  <w:r>
                    <w:t xml:space="preserve">Products and options: Bloomberg AusBond Bank Bill Index </w:t>
                  </w:r>
                </w:p>
              </w:tc>
              <w:tc>
                <w:tcPr>
                  <w:tcW w:w="1569" w:type="pct"/>
                  <w:tcBorders>
                    <w:top w:val="single" w:sz="6" w:space="0" w:color="BFBFBF"/>
                  </w:tcBorders>
                  <w:shd w:val="clear" w:color="auto" w:fill="auto"/>
                </w:tcPr>
                <w:p w14:paraId="1B8C169A" w14:textId="77777777" w:rsidR="00FC14FC" w:rsidRDefault="00FC14FC" w:rsidP="00D11B9D">
                  <w:pPr>
                    <w:pStyle w:val="TableBodyText"/>
                    <w:spacing w:before="40" w:after="20"/>
                    <w:jc w:val="left"/>
                  </w:pPr>
                  <w:r>
                    <w:t>As per BP1</w:t>
                  </w:r>
                </w:p>
              </w:tc>
            </w:tr>
            <w:tr w:rsidR="00FC14FC" w14:paraId="36F13250" w14:textId="77777777" w:rsidTr="00D11B9D">
              <w:tc>
                <w:tcPr>
                  <w:tcW w:w="917" w:type="pct"/>
                  <w:shd w:val="pct5" w:color="auto" w:fill="auto"/>
                </w:tcPr>
                <w:p w14:paraId="418AA7BF" w14:textId="77777777" w:rsidR="00FC14FC" w:rsidRDefault="00FC14FC" w:rsidP="00D11B9D">
                  <w:pPr>
                    <w:pStyle w:val="TableBodyText"/>
                    <w:spacing w:after="20"/>
                    <w:jc w:val="left"/>
                  </w:pPr>
                  <w:r>
                    <w:t>Australian fixed income</w:t>
                  </w:r>
                </w:p>
              </w:tc>
              <w:tc>
                <w:tcPr>
                  <w:tcW w:w="2514" w:type="pct"/>
                  <w:shd w:val="pct5" w:color="auto" w:fill="auto"/>
                </w:tcPr>
                <w:p w14:paraId="7F522306" w14:textId="77777777" w:rsidR="00FC14FC" w:rsidRDefault="00FC14FC" w:rsidP="00D11B9D">
                  <w:pPr>
                    <w:pStyle w:val="TableBodyText"/>
                    <w:spacing w:after="20"/>
                    <w:jc w:val="left"/>
                  </w:pPr>
                  <w:r>
                    <w:t>Bloomberg AusBond Composite Index</w:t>
                  </w:r>
                </w:p>
              </w:tc>
              <w:tc>
                <w:tcPr>
                  <w:tcW w:w="1569" w:type="pct"/>
                  <w:shd w:val="pct5" w:color="auto" w:fill="auto"/>
                </w:tcPr>
                <w:p w14:paraId="0D1698D1" w14:textId="77777777" w:rsidR="00FC14FC" w:rsidRDefault="00FC14FC" w:rsidP="00D11B9D">
                  <w:pPr>
                    <w:pStyle w:val="TableBodyText"/>
                    <w:spacing w:after="20"/>
                    <w:jc w:val="left"/>
                  </w:pPr>
                  <w:r>
                    <w:t>As per BP1</w:t>
                  </w:r>
                </w:p>
              </w:tc>
            </w:tr>
            <w:tr w:rsidR="00FC14FC" w14:paraId="3E5F5E2D" w14:textId="77777777" w:rsidTr="00D11B9D">
              <w:tc>
                <w:tcPr>
                  <w:tcW w:w="917" w:type="pct"/>
                  <w:shd w:val="clear" w:color="auto" w:fill="auto"/>
                </w:tcPr>
                <w:p w14:paraId="5E23FD3B" w14:textId="77777777" w:rsidR="00FC14FC" w:rsidRDefault="00FC14FC" w:rsidP="00D11B9D">
                  <w:pPr>
                    <w:pStyle w:val="TableBodyText"/>
                    <w:spacing w:after="20"/>
                    <w:jc w:val="left"/>
                  </w:pPr>
                  <w:r>
                    <w:t>International fixed income</w:t>
                  </w:r>
                </w:p>
              </w:tc>
              <w:tc>
                <w:tcPr>
                  <w:tcW w:w="2514" w:type="pct"/>
                  <w:shd w:val="clear" w:color="auto" w:fill="auto"/>
                </w:tcPr>
                <w:p w14:paraId="25B695EE" w14:textId="77777777" w:rsidR="00FC14FC" w:rsidRDefault="00FC14FC" w:rsidP="00D11B9D">
                  <w:pPr>
                    <w:pStyle w:val="TableBodyText"/>
                    <w:spacing w:after="20"/>
                    <w:jc w:val="left"/>
                  </w:pPr>
                  <w:r>
                    <w:t xml:space="preserve">Bloomberg Barclays Global Aggregate Index </w:t>
                  </w:r>
                  <w:r>
                    <w:br/>
                    <w:t>(80% hedged / 20 % unhedged)</w:t>
                  </w:r>
                  <w:r>
                    <w:rPr>
                      <w:rStyle w:val="NoteLabel"/>
                    </w:rPr>
                    <w:t>b</w:t>
                  </w:r>
                </w:p>
              </w:tc>
              <w:tc>
                <w:tcPr>
                  <w:tcW w:w="1569" w:type="pct"/>
                  <w:shd w:val="clear" w:color="auto" w:fill="auto"/>
                </w:tcPr>
                <w:p w14:paraId="68A2889A" w14:textId="77777777" w:rsidR="00FC14FC" w:rsidRDefault="00FC14FC" w:rsidP="00D11B9D">
                  <w:pPr>
                    <w:pStyle w:val="TableBodyText"/>
                    <w:spacing w:after="20"/>
                    <w:jc w:val="left"/>
                  </w:pPr>
                  <w:r>
                    <w:t>As per BP1</w:t>
                  </w:r>
                </w:p>
              </w:tc>
            </w:tr>
            <w:tr w:rsidR="00FC14FC" w14:paraId="43AE4FFE" w14:textId="77777777" w:rsidTr="00D11B9D">
              <w:trPr>
                <w:trHeight w:val="425"/>
              </w:trPr>
              <w:tc>
                <w:tcPr>
                  <w:tcW w:w="917" w:type="pct"/>
                  <w:shd w:val="pct5" w:color="auto" w:fill="auto"/>
                </w:tcPr>
                <w:p w14:paraId="6BACC334" w14:textId="77777777" w:rsidR="00FC14FC" w:rsidRDefault="00FC14FC" w:rsidP="00D11B9D">
                  <w:pPr>
                    <w:pStyle w:val="TableBodyText"/>
                    <w:spacing w:after="20"/>
                    <w:jc w:val="left"/>
                  </w:pPr>
                  <w:r>
                    <w:t>Australian listed equity</w:t>
                  </w:r>
                </w:p>
              </w:tc>
              <w:tc>
                <w:tcPr>
                  <w:tcW w:w="2514" w:type="pct"/>
                  <w:shd w:val="pct5" w:color="auto" w:fill="auto"/>
                </w:tcPr>
                <w:p w14:paraId="5DC9A071" w14:textId="77777777" w:rsidR="00FC14FC" w:rsidRDefault="00FC14FC" w:rsidP="00D11B9D">
                  <w:pPr>
                    <w:pStyle w:val="TableBodyText"/>
                    <w:spacing w:after="20"/>
                    <w:jc w:val="left"/>
                  </w:pPr>
                  <w:r w:rsidRPr="00DF51BD">
                    <w:t xml:space="preserve">S&amp;P/ASX 300 </w:t>
                  </w:r>
                  <w:r>
                    <w:t>Inde</w:t>
                  </w:r>
                  <w:r w:rsidRPr="00DF51BD">
                    <w:t>x</w:t>
                  </w:r>
                </w:p>
              </w:tc>
              <w:tc>
                <w:tcPr>
                  <w:tcW w:w="1569" w:type="pct"/>
                  <w:shd w:val="pct5" w:color="auto" w:fill="auto"/>
                </w:tcPr>
                <w:p w14:paraId="1B1D0750" w14:textId="77777777" w:rsidR="00FC14FC" w:rsidRDefault="00FC14FC" w:rsidP="00D11B9D">
                  <w:pPr>
                    <w:pStyle w:val="TableBodyText"/>
                    <w:spacing w:after="20"/>
                    <w:jc w:val="left"/>
                  </w:pPr>
                  <w:r>
                    <w:t>As per BP1</w:t>
                  </w:r>
                </w:p>
              </w:tc>
            </w:tr>
            <w:tr w:rsidR="00FC14FC" w14:paraId="334D1C19" w14:textId="77777777" w:rsidTr="00D11B9D">
              <w:tc>
                <w:tcPr>
                  <w:tcW w:w="917" w:type="pct"/>
                  <w:shd w:val="clear" w:color="auto" w:fill="auto"/>
                </w:tcPr>
                <w:p w14:paraId="113FAB80" w14:textId="77777777" w:rsidR="00FC14FC" w:rsidRDefault="00FC14FC" w:rsidP="00D11B9D">
                  <w:pPr>
                    <w:pStyle w:val="TableBodyText"/>
                    <w:spacing w:after="20"/>
                    <w:jc w:val="left"/>
                  </w:pPr>
                  <w:r>
                    <w:t>International listed equity</w:t>
                  </w:r>
                </w:p>
              </w:tc>
              <w:tc>
                <w:tcPr>
                  <w:tcW w:w="2514" w:type="pct"/>
                  <w:shd w:val="clear" w:color="auto" w:fill="auto"/>
                </w:tcPr>
                <w:p w14:paraId="52A31A60" w14:textId="77777777" w:rsidR="00FC14FC" w:rsidRDefault="00FC14FC" w:rsidP="00D11B9D">
                  <w:pPr>
                    <w:pStyle w:val="TableBodyText"/>
                    <w:spacing w:after="20"/>
                    <w:jc w:val="left"/>
                  </w:pPr>
                  <w:r>
                    <w:t>MSCI World ex</w:t>
                  </w:r>
                  <w:r>
                    <w:noBreakHyphen/>
                    <w:t>Australia (30% hedged/70% unhedged custom)</w:t>
                  </w:r>
                  <w:r>
                    <w:rPr>
                      <w:rStyle w:val="NoteLabel"/>
                    </w:rPr>
                    <w:t>c</w:t>
                  </w:r>
                </w:p>
              </w:tc>
              <w:tc>
                <w:tcPr>
                  <w:tcW w:w="1569" w:type="pct"/>
                  <w:shd w:val="clear" w:color="auto" w:fill="auto"/>
                </w:tcPr>
                <w:p w14:paraId="5637BCA6" w14:textId="77777777" w:rsidR="00FC14FC" w:rsidRDefault="00FC14FC" w:rsidP="00D11B9D">
                  <w:pPr>
                    <w:pStyle w:val="TableBodyText"/>
                    <w:spacing w:after="20"/>
                    <w:jc w:val="left"/>
                  </w:pPr>
                  <w:r>
                    <w:t>As per BP1</w:t>
                  </w:r>
                </w:p>
              </w:tc>
            </w:tr>
            <w:tr w:rsidR="00FC14FC" w14:paraId="64E5B505" w14:textId="77777777" w:rsidTr="00D11B9D">
              <w:tc>
                <w:tcPr>
                  <w:tcW w:w="917" w:type="pct"/>
                  <w:shd w:val="pct5" w:color="auto" w:fill="auto"/>
                </w:tcPr>
                <w:p w14:paraId="303BC539" w14:textId="77777777" w:rsidR="00FC14FC" w:rsidRDefault="00FC14FC" w:rsidP="00D11B9D">
                  <w:pPr>
                    <w:pStyle w:val="TableBodyText"/>
                    <w:spacing w:after="20"/>
                    <w:jc w:val="left"/>
                  </w:pPr>
                  <w:r>
                    <w:t>Domestic private (unlisted) equity</w:t>
                  </w:r>
                </w:p>
              </w:tc>
              <w:tc>
                <w:tcPr>
                  <w:tcW w:w="2514" w:type="pct"/>
                  <w:shd w:val="pct5" w:color="auto" w:fill="auto"/>
                </w:tcPr>
                <w:p w14:paraId="0009E2E5" w14:textId="77777777" w:rsidR="00FC14FC" w:rsidRPr="00DF51BD" w:rsidRDefault="00FC14FC" w:rsidP="00D11B9D">
                  <w:pPr>
                    <w:pStyle w:val="TableBodyText"/>
                    <w:spacing w:after="20"/>
                    <w:jc w:val="left"/>
                  </w:pPr>
                  <w:r>
                    <w:t>S&amp;P ASX Small Ordinaries Index</w:t>
                  </w:r>
                  <w:r>
                    <w:rPr>
                      <w:rStyle w:val="NoteLabel"/>
                    </w:rPr>
                    <w:t>d</w:t>
                  </w:r>
                </w:p>
              </w:tc>
              <w:tc>
                <w:tcPr>
                  <w:tcW w:w="1569" w:type="pct"/>
                  <w:shd w:val="pct5" w:color="auto" w:fill="auto"/>
                </w:tcPr>
                <w:p w14:paraId="16520DBC" w14:textId="77777777" w:rsidR="00FC14FC" w:rsidRDefault="00FC14FC" w:rsidP="00D11B9D">
                  <w:pPr>
                    <w:pStyle w:val="TableBodyText"/>
                    <w:spacing w:after="20"/>
                    <w:jc w:val="left"/>
                  </w:pPr>
                  <w:r>
                    <w:t xml:space="preserve">AVCAL Australia Private Equity and Venture Capital Index </w:t>
                  </w:r>
                </w:p>
              </w:tc>
            </w:tr>
            <w:tr w:rsidR="00FC14FC" w14:paraId="0C5D5AF1" w14:textId="77777777" w:rsidTr="00D11B9D">
              <w:tc>
                <w:tcPr>
                  <w:tcW w:w="917" w:type="pct"/>
                  <w:shd w:val="clear" w:color="auto" w:fill="auto"/>
                </w:tcPr>
                <w:p w14:paraId="5B5E7280" w14:textId="77777777" w:rsidR="00FC14FC" w:rsidRDefault="00FC14FC" w:rsidP="00D11B9D">
                  <w:pPr>
                    <w:pStyle w:val="TableBodyText"/>
                    <w:spacing w:after="20"/>
                    <w:jc w:val="left"/>
                  </w:pPr>
                  <w:r>
                    <w:t>International private (unlisted) equity</w:t>
                  </w:r>
                </w:p>
              </w:tc>
              <w:tc>
                <w:tcPr>
                  <w:tcW w:w="2514" w:type="pct"/>
                  <w:shd w:val="clear" w:color="auto" w:fill="auto"/>
                </w:tcPr>
                <w:p w14:paraId="515B7F87" w14:textId="77777777" w:rsidR="00FC14FC" w:rsidRDefault="00FC14FC" w:rsidP="00D11B9D">
                  <w:pPr>
                    <w:pStyle w:val="TableBodyText"/>
                    <w:spacing w:after="20"/>
                    <w:jc w:val="left"/>
                  </w:pPr>
                  <w:r>
                    <w:t>S&amp;P ASX Small Ordinaries Index</w:t>
                  </w:r>
                  <w:r>
                    <w:rPr>
                      <w:rStyle w:val="NoteLabel"/>
                    </w:rPr>
                    <w:t>d</w:t>
                  </w:r>
                </w:p>
              </w:tc>
              <w:tc>
                <w:tcPr>
                  <w:tcW w:w="1569" w:type="pct"/>
                  <w:shd w:val="clear" w:color="auto" w:fill="auto"/>
                </w:tcPr>
                <w:p w14:paraId="3E382E84" w14:textId="77777777" w:rsidR="00FC14FC" w:rsidRDefault="00FC14FC" w:rsidP="00D11B9D">
                  <w:pPr>
                    <w:pStyle w:val="TableBodyText"/>
                    <w:spacing w:after="20"/>
                    <w:jc w:val="left"/>
                  </w:pPr>
                  <w:r>
                    <w:t>Cambridge Associates Global Private Equity Index</w:t>
                  </w:r>
                  <w:r>
                    <w:rPr>
                      <w:rStyle w:val="NoteLabel"/>
                    </w:rPr>
                    <w:t>e</w:t>
                  </w:r>
                </w:p>
              </w:tc>
            </w:tr>
            <w:tr w:rsidR="00FC14FC" w14:paraId="6246B40C" w14:textId="77777777" w:rsidTr="00D11B9D">
              <w:tc>
                <w:tcPr>
                  <w:tcW w:w="917" w:type="pct"/>
                  <w:shd w:val="pct5" w:color="auto" w:fill="auto"/>
                </w:tcPr>
                <w:p w14:paraId="747692FC" w14:textId="77777777" w:rsidR="00FC14FC" w:rsidRDefault="00FC14FC" w:rsidP="00D11B9D">
                  <w:pPr>
                    <w:pStyle w:val="TableBodyText"/>
                    <w:spacing w:after="20"/>
                    <w:jc w:val="left"/>
                  </w:pPr>
                  <w:r>
                    <w:t>Domestic listed property</w:t>
                  </w:r>
                </w:p>
              </w:tc>
              <w:tc>
                <w:tcPr>
                  <w:tcW w:w="2514" w:type="pct"/>
                  <w:shd w:val="pct5" w:color="auto" w:fill="auto"/>
                </w:tcPr>
                <w:p w14:paraId="03F1B9AC" w14:textId="77777777" w:rsidR="00FC14FC" w:rsidRDefault="00FC14FC" w:rsidP="00D11B9D">
                  <w:pPr>
                    <w:pStyle w:val="TableBodyText"/>
                    <w:spacing w:after="20"/>
                    <w:jc w:val="left"/>
                  </w:pPr>
                  <w:r>
                    <w:t>S&amp;P/ASX 200 A</w:t>
                  </w:r>
                  <w:r>
                    <w:noBreakHyphen/>
                    <w:t xml:space="preserve">REIT Index </w:t>
                  </w:r>
                </w:p>
                <w:p w14:paraId="6B6CB327" w14:textId="77777777" w:rsidR="00FC14FC" w:rsidRDefault="00FC14FC" w:rsidP="00D11B9D">
                  <w:pPr>
                    <w:pStyle w:val="TableBodyText"/>
                    <w:spacing w:after="20"/>
                    <w:jc w:val="left"/>
                  </w:pPr>
                  <w:r>
                    <w:t xml:space="preserve"> </w:t>
                  </w:r>
                </w:p>
              </w:tc>
              <w:tc>
                <w:tcPr>
                  <w:tcW w:w="1569" w:type="pct"/>
                  <w:shd w:val="pct5" w:color="auto" w:fill="auto"/>
                </w:tcPr>
                <w:p w14:paraId="4421DDCC" w14:textId="77777777" w:rsidR="00FC14FC" w:rsidRDefault="00FC14FC" w:rsidP="00D11B9D">
                  <w:pPr>
                    <w:pStyle w:val="TableBodyText"/>
                    <w:spacing w:after="20"/>
                    <w:jc w:val="left"/>
                  </w:pPr>
                  <w:r>
                    <w:t>As per BP1</w:t>
                  </w:r>
                </w:p>
              </w:tc>
            </w:tr>
            <w:tr w:rsidR="00FC14FC" w14:paraId="5F31B5A8" w14:textId="77777777" w:rsidTr="00D11B9D">
              <w:tc>
                <w:tcPr>
                  <w:tcW w:w="917" w:type="pct"/>
                  <w:shd w:val="clear" w:color="auto" w:fill="auto"/>
                </w:tcPr>
                <w:p w14:paraId="4D762180" w14:textId="77777777" w:rsidR="00FC14FC" w:rsidRDefault="00FC14FC" w:rsidP="00D11B9D">
                  <w:pPr>
                    <w:pStyle w:val="TableBodyText"/>
                    <w:spacing w:after="20"/>
                    <w:jc w:val="left"/>
                  </w:pPr>
                  <w:r>
                    <w:t>International listed property</w:t>
                  </w:r>
                </w:p>
              </w:tc>
              <w:tc>
                <w:tcPr>
                  <w:tcW w:w="2514" w:type="pct"/>
                  <w:shd w:val="clear" w:color="auto" w:fill="auto"/>
                </w:tcPr>
                <w:p w14:paraId="47F00FFB" w14:textId="77777777" w:rsidR="00FC14FC" w:rsidRDefault="00FC14FC" w:rsidP="00D11B9D">
                  <w:pPr>
                    <w:pStyle w:val="TableBodyText"/>
                    <w:spacing w:after="20"/>
                    <w:jc w:val="left"/>
                  </w:pPr>
                  <w:r>
                    <w:t>FTSE EPRA/NAREIT Developed (100% hedged)</w:t>
                  </w:r>
                </w:p>
              </w:tc>
              <w:tc>
                <w:tcPr>
                  <w:tcW w:w="1569" w:type="pct"/>
                  <w:shd w:val="clear" w:color="auto" w:fill="auto"/>
                </w:tcPr>
                <w:p w14:paraId="5FA1D9E9" w14:textId="77777777" w:rsidR="00FC14FC" w:rsidRDefault="00FC14FC" w:rsidP="00D11B9D">
                  <w:pPr>
                    <w:pStyle w:val="TableBodyText"/>
                    <w:spacing w:after="20"/>
                    <w:jc w:val="left"/>
                  </w:pPr>
                  <w:r>
                    <w:t>As per BP1</w:t>
                  </w:r>
                </w:p>
              </w:tc>
            </w:tr>
            <w:tr w:rsidR="00FC14FC" w14:paraId="164FD3AD" w14:textId="77777777" w:rsidTr="00D11B9D">
              <w:trPr>
                <w:trHeight w:val="359"/>
              </w:trPr>
              <w:tc>
                <w:tcPr>
                  <w:tcW w:w="917" w:type="pct"/>
                  <w:shd w:val="pct5" w:color="auto" w:fill="auto"/>
                </w:tcPr>
                <w:p w14:paraId="1112CB18" w14:textId="77777777" w:rsidR="00FC14FC" w:rsidRDefault="00FC14FC" w:rsidP="00D11B9D">
                  <w:pPr>
                    <w:pStyle w:val="TableBodyText"/>
                    <w:spacing w:after="20"/>
                    <w:jc w:val="left"/>
                  </w:pPr>
                  <w:r>
                    <w:t>Domestic unlisted property</w:t>
                  </w:r>
                </w:p>
              </w:tc>
              <w:tc>
                <w:tcPr>
                  <w:tcW w:w="2514" w:type="pct"/>
                  <w:shd w:val="pct5" w:color="auto" w:fill="auto"/>
                </w:tcPr>
                <w:p w14:paraId="19062220" w14:textId="77777777" w:rsidR="00FC14FC" w:rsidRDefault="00FC14FC" w:rsidP="00D11B9D">
                  <w:pPr>
                    <w:pStyle w:val="TableBodyText"/>
                    <w:spacing w:after="20"/>
                    <w:jc w:val="left"/>
                  </w:pPr>
                  <w:r>
                    <w:t xml:space="preserve"> S&amp;P/ASX 200 A</w:t>
                  </w:r>
                  <w:r>
                    <w:noBreakHyphen/>
                    <w:t xml:space="preserve">REIT Index </w:t>
                  </w:r>
                </w:p>
              </w:tc>
              <w:tc>
                <w:tcPr>
                  <w:tcW w:w="1569" w:type="pct"/>
                  <w:shd w:val="pct5" w:color="auto" w:fill="auto"/>
                </w:tcPr>
                <w:p w14:paraId="1B57E744" w14:textId="77777777" w:rsidR="00FC14FC" w:rsidRDefault="00FC14FC" w:rsidP="00D11B9D">
                  <w:pPr>
                    <w:pStyle w:val="TableBodyText"/>
                    <w:spacing w:after="20"/>
                    <w:jc w:val="left"/>
                  </w:pPr>
                  <w:r>
                    <w:t>Mercer/IPD/MSCI Australia Property Fund Index Core Wholesale</w:t>
                  </w:r>
                </w:p>
              </w:tc>
            </w:tr>
            <w:tr w:rsidR="00FC14FC" w14:paraId="4E4A6F64" w14:textId="77777777" w:rsidTr="00D11B9D">
              <w:tc>
                <w:tcPr>
                  <w:tcW w:w="917" w:type="pct"/>
                  <w:shd w:val="clear" w:color="auto" w:fill="auto"/>
                </w:tcPr>
                <w:p w14:paraId="0F7861A0" w14:textId="77777777" w:rsidR="00FC14FC" w:rsidRDefault="00FC14FC" w:rsidP="00D11B9D">
                  <w:pPr>
                    <w:pStyle w:val="TableBodyText"/>
                    <w:spacing w:after="20"/>
                    <w:jc w:val="left"/>
                  </w:pPr>
                  <w:r>
                    <w:t>International unlisted property</w:t>
                  </w:r>
                </w:p>
              </w:tc>
              <w:tc>
                <w:tcPr>
                  <w:tcW w:w="2514" w:type="pct"/>
                  <w:shd w:val="clear" w:color="auto" w:fill="auto"/>
                </w:tcPr>
                <w:p w14:paraId="1845FF6F" w14:textId="77777777" w:rsidR="00FC14FC" w:rsidRDefault="00FC14FC" w:rsidP="00D11B9D">
                  <w:pPr>
                    <w:pStyle w:val="TableBodyText"/>
                    <w:spacing w:after="20"/>
                    <w:jc w:val="left"/>
                  </w:pPr>
                  <w:r>
                    <w:t>FTSE EPRA/NAREIT Developed (100% hedged)</w:t>
                  </w:r>
                </w:p>
              </w:tc>
              <w:tc>
                <w:tcPr>
                  <w:tcW w:w="1569" w:type="pct"/>
                  <w:shd w:val="clear" w:color="auto" w:fill="auto"/>
                </w:tcPr>
                <w:p w14:paraId="506503AA" w14:textId="77777777" w:rsidR="00FC14FC" w:rsidRDefault="00FC14FC" w:rsidP="00D11B9D">
                  <w:pPr>
                    <w:pStyle w:val="TableBodyText"/>
                    <w:spacing w:after="20"/>
                    <w:jc w:val="left"/>
                  </w:pPr>
                  <w:r>
                    <w:t>Mercer/IPD/MSCI Australia Property Fund Index Core Wholesale</w:t>
                  </w:r>
                </w:p>
              </w:tc>
            </w:tr>
            <w:tr w:rsidR="00FC14FC" w14:paraId="6517BAA9" w14:textId="77777777" w:rsidTr="00D11B9D">
              <w:tc>
                <w:tcPr>
                  <w:tcW w:w="917" w:type="pct"/>
                  <w:shd w:val="pct5" w:color="auto" w:fill="auto"/>
                </w:tcPr>
                <w:p w14:paraId="18A038FB" w14:textId="77777777" w:rsidR="00FC14FC" w:rsidRDefault="00FC14FC" w:rsidP="00D11B9D">
                  <w:pPr>
                    <w:pStyle w:val="TableBodyText"/>
                    <w:spacing w:after="20"/>
                    <w:jc w:val="left"/>
                  </w:pPr>
                  <w:r>
                    <w:t>Domestic listed infrastructure</w:t>
                  </w:r>
                </w:p>
              </w:tc>
              <w:tc>
                <w:tcPr>
                  <w:tcW w:w="2514" w:type="pct"/>
                  <w:shd w:val="pct5" w:color="auto" w:fill="auto"/>
                </w:tcPr>
                <w:p w14:paraId="55B6AD01" w14:textId="77777777" w:rsidR="00FC14FC" w:rsidRDefault="00FC14FC" w:rsidP="00D11B9D">
                  <w:pPr>
                    <w:pStyle w:val="TableBodyText"/>
                    <w:spacing w:after="20"/>
                    <w:jc w:val="left"/>
                  </w:pPr>
                  <w:r>
                    <w:t xml:space="preserve">2005–2007: S&amp;P Global Infrastructure Index (USD) </w:t>
                  </w:r>
                </w:p>
                <w:p w14:paraId="5C17E590" w14:textId="77777777" w:rsidR="00FC14FC" w:rsidRDefault="00FC14FC" w:rsidP="00D11B9D">
                  <w:pPr>
                    <w:pStyle w:val="TableBodyText"/>
                    <w:spacing w:after="20"/>
                    <w:jc w:val="left"/>
                  </w:pPr>
                  <w:r>
                    <w:t>2008 onwards: S&amp;P Global Infrastructure Index (80% AUD hedged, 20% AUD unhedged)</w:t>
                  </w:r>
                </w:p>
              </w:tc>
              <w:tc>
                <w:tcPr>
                  <w:tcW w:w="1569" w:type="pct"/>
                  <w:shd w:val="pct5" w:color="auto" w:fill="auto"/>
                </w:tcPr>
                <w:p w14:paraId="1BCEBC3A" w14:textId="77777777" w:rsidR="00FC14FC" w:rsidRDefault="00FC14FC" w:rsidP="00D11B9D">
                  <w:pPr>
                    <w:pStyle w:val="TableBodyText"/>
                    <w:spacing w:after="20"/>
                    <w:jc w:val="left"/>
                  </w:pPr>
                  <w:r>
                    <w:t>As per BP1</w:t>
                  </w:r>
                </w:p>
              </w:tc>
            </w:tr>
            <w:tr w:rsidR="00FC14FC" w14:paraId="13067EFD" w14:textId="77777777" w:rsidTr="00D11B9D">
              <w:tc>
                <w:tcPr>
                  <w:tcW w:w="917" w:type="pct"/>
                  <w:shd w:val="clear" w:color="auto" w:fill="auto"/>
                </w:tcPr>
                <w:p w14:paraId="5A60CB12" w14:textId="77777777" w:rsidR="00FC14FC" w:rsidRDefault="00FC14FC" w:rsidP="00D11B9D">
                  <w:pPr>
                    <w:pStyle w:val="TableBodyText"/>
                    <w:spacing w:after="20"/>
                    <w:jc w:val="left"/>
                  </w:pPr>
                  <w:r>
                    <w:t>International listed infrastructure</w:t>
                  </w:r>
                </w:p>
              </w:tc>
              <w:tc>
                <w:tcPr>
                  <w:tcW w:w="2514" w:type="pct"/>
                  <w:shd w:val="clear" w:color="auto" w:fill="auto"/>
                </w:tcPr>
                <w:p w14:paraId="4E5B5E09" w14:textId="77777777" w:rsidR="00FC14FC" w:rsidRDefault="00FC14FC" w:rsidP="00D11B9D">
                  <w:pPr>
                    <w:pStyle w:val="TableBodyText"/>
                    <w:spacing w:after="20"/>
                    <w:jc w:val="left"/>
                  </w:pPr>
                  <w:r>
                    <w:t xml:space="preserve">2005–2007: S&amp;P Global Infrastructure Index (USD) </w:t>
                  </w:r>
                </w:p>
                <w:p w14:paraId="223359B6" w14:textId="77777777" w:rsidR="00FC14FC" w:rsidRDefault="00FC14FC" w:rsidP="00D11B9D">
                  <w:pPr>
                    <w:pStyle w:val="TableBodyText"/>
                    <w:spacing w:after="20"/>
                    <w:jc w:val="left"/>
                  </w:pPr>
                  <w:r>
                    <w:t>2008 onwards: S&amp;P Global Infrastructure Index (80% AUD hedged, 20% AUD unhedged)</w:t>
                  </w:r>
                </w:p>
              </w:tc>
              <w:tc>
                <w:tcPr>
                  <w:tcW w:w="1569" w:type="pct"/>
                  <w:shd w:val="clear" w:color="auto" w:fill="auto"/>
                </w:tcPr>
                <w:p w14:paraId="270557D0" w14:textId="77777777" w:rsidR="00FC14FC" w:rsidRDefault="00FC14FC" w:rsidP="00D11B9D">
                  <w:pPr>
                    <w:pStyle w:val="TableBodyText"/>
                    <w:spacing w:after="20"/>
                    <w:jc w:val="left"/>
                  </w:pPr>
                  <w:r>
                    <w:t>As per BP1</w:t>
                  </w:r>
                </w:p>
              </w:tc>
            </w:tr>
            <w:tr w:rsidR="00FC14FC" w14:paraId="6874ED9E" w14:textId="77777777" w:rsidTr="00D11B9D">
              <w:tc>
                <w:tcPr>
                  <w:tcW w:w="917" w:type="pct"/>
                  <w:shd w:val="pct5" w:color="auto" w:fill="auto"/>
                </w:tcPr>
                <w:p w14:paraId="7B425AC4" w14:textId="77777777" w:rsidR="00FC14FC" w:rsidRDefault="00FC14FC" w:rsidP="00D11B9D">
                  <w:pPr>
                    <w:pStyle w:val="TableBodyText"/>
                    <w:spacing w:after="20"/>
                    <w:jc w:val="left"/>
                  </w:pPr>
                  <w:r>
                    <w:t>Domestic unlisted infrastructure</w:t>
                  </w:r>
                </w:p>
              </w:tc>
              <w:tc>
                <w:tcPr>
                  <w:tcW w:w="2514" w:type="pct"/>
                  <w:shd w:val="pct5" w:color="auto" w:fill="auto"/>
                </w:tcPr>
                <w:p w14:paraId="3BA10D82" w14:textId="77777777" w:rsidR="00FC14FC" w:rsidRDefault="00FC14FC" w:rsidP="00D11B9D">
                  <w:pPr>
                    <w:pStyle w:val="TableBodyText"/>
                    <w:spacing w:after="20"/>
                    <w:jc w:val="left"/>
                  </w:pPr>
                  <w:r>
                    <w:t xml:space="preserve">2005–2007: S&amp;P Global Infrastructure Index (USD) </w:t>
                  </w:r>
                </w:p>
                <w:p w14:paraId="2C901B41" w14:textId="77777777" w:rsidR="00FC14FC" w:rsidRDefault="00FC14FC" w:rsidP="00D11B9D">
                  <w:pPr>
                    <w:pStyle w:val="TableBodyText"/>
                    <w:spacing w:after="20"/>
                    <w:jc w:val="left"/>
                  </w:pPr>
                  <w:r>
                    <w:t>2008 onwards: S&amp;P Global Infrastructure Index (80% AUD hedged, 20% AUD unhedged)</w:t>
                  </w:r>
                </w:p>
              </w:tc>
              <w:tc>
                <w:tcPr>
                  <w:tcW w:w="1569" w:type="pct"/>
                  <w:shd w:val="pct5" w:color="auto" w:fill="auto"/>
                </w:tcPr>
                <w:p w14:paraId="2F725D16" w14:textId="77777777" w:rsidR="00FC14FC" w:rsidRDefault="00FC14FC" w:rsidP="00D11B9D">
                  <w:pPr>
                    <w:pStyle w:val="TableBodyText"/>
                    <w:spacing w:after="20"/>
                    <w:jc w:val="left"/>
                  </w:pPr>
                  <w:r>
                    <w:t>MSCI IPD Australian Unlisted Infrastructure</w:t>
                  </w:r>
                  <w:r>
                    <w:rPr>
                      <w:rStyle w:val="NoteLabel"/>
                    </w:rPr>
                    <w:t>f</w:t>
                  </w:r>
                </w:p>
                <w:p w14:paraId="5169F1FA" w14:textId="77777777" w:rsidR="00FC14FC" w:rsidRDefault="00FC14FC" w:rsidP="00D11B9D">
                  <w:pPr>
                    <w:pStyle w:val="TableBodyText"/>
                    <w:spacing w:after="20"/>
                    <w:jc w:val="left"/>
                  </w:pPr>
                </w:p>
              </w:tc>
            </w:tr>
            <w:tr w:rsidR="00FC14FC" w14:paraId="3348F189" w14:textId="77777777" w:rsidTr="00D11B9D">
              <w:tc>
                <w:tcPr>
                  <w:tcW w:w="917" w:type="pct"/>
                  <w:shd w:val="clear" w:color="auto" w:fill="auto"/>
                </w:tcPr>
                <w:p w14:paraId="68CCB285" w14:textId="77777777" w:rsidR="00FC14FC" w:rsidRDefault="00FC14FC" w:rsidP="00D11B9D">
                  <w:pPr>
                    <w:pStyle w:val="TableBodyText"/>
                    <w:spacing w:after="20"/>
                    <w:jc w:val="left"/>
                  </w:pPr>
                  <w:r>
                    <w:t>International unlisted infrastructure</w:t>
                  </w:r>
                </w:p>
              </w:tc>
              <w:tc>
                <w:tcPr>
                  <w:tcW w:w="2514" w:type="pct"/>
                  <w:shd w:val="clear" w:color="auto" w:fill="auto"/>
                </w:tcPr>
                <w:p w14:paraId="0FE97648" w14:textId="77777777" w:rsidR="00FC14FC" w:rsidRDefault="00FC14FC" w:rsidP="00D11B9D">
                  <w:pPr>
                    <w:pStyle w:val="TableBodyText"/>
                    <w:spacing w:after="20"/>
                    <w:jc w:val="left"/>
                  </w:pPr>
                  <w:r>
                    <w:t xml:space="preserve">2005–2007: S&amp;P Global Infrastructure Index (USD) </w:t>
                  </w:r>
                </w:p>
                <w:p w14:paraId="0A6B5318" w14:textId="77777777" w:rsidR="00FC14FC" w:rsidRDefault="00FC14FC" w:rsidP="00D11B9D">
                  <w:pPr>
                    <w:pStyle w:val="TableBodyText"/>
                    <w:spacing w:after="20"/>
                    <w:jc w:val="left"/>
                  </w:pPr>
                  <w:r>
                    <w:t>2008 onwards: S&amp;P Global Infrastructure Index (80% AUD hedged, 20% AUD unhedged)</w:t>
                  </w:r>
                </w:p>
              </w:tc>
              <w:tc>
                <w:tcPr>
                  <w:tcW w:w="1569" w:type="pct"/>
                  <w:shd w:val="clear" w:color="auto" w:fill="auto"/>
                </w:tcPr>
                <w:p w14:paraId="525F7644" w14:textId="77777777" w:rsidR="00FC14FC" w:rsidRDefault="00FC14FC" w:rsidP="00D11B9D">
                  <w:pPr>
                    <w:pStyle w:val="TableBodyText"/>
                    <w:spacing w:after="20"/>
                    <w:jc w:val="left"/>
                  </w:pPr>
                  <w:r>
                    <w:t>MSCI IPD Australian Unlisted Infrastructure</w:t>
                  </w:r>
                  <w:r>
                    <w:rPr>
                      <w:rStyle w:val="NoteLabel"/>
                    </w:rPr>
                    <w:t>f</w:t>
                  </w:r>
                </w:p>
              </w:tc>
            </w:tr>
            <w:tr w:rsidR="00FC14FC" w14:paraId="46873495" w14:textId="77777777" w:rsidTr="00D11B9D">
              <w:tc>
                <w:tcPr>
                  <w:tcW w:w="917" w:type="pct"/>
                  <w:tcBorders>
                    <w:bottom w:val="single" w:sz="4" w:space="0" w:color="BFBFBF" w:themeColor="background1" w:themeShade="BF"/>
                  </w:tcBorders>
                  <w:shd w:val="pct5" w:color="auto" w:fill="auto"/>
                </w:tcPr>
                <w:p w14:paraId="1066DEA7" w14:textId="77777777" w:rsidR="00FC14FC" w:rsidRDefault="00FC14FC" w:rsidP="00D11B9D">
                  <w:pPr>
                    <w:pStyle w:val="TableBodyText"/>
                    <w:spacing w:after="20"/>
                    <w:jc w:val="left"/>
                  </w:pPr>
                  <w:r>
                    <w:t>Other (such as commodities)</w:t>
                  </w:r>
                </w:p>
              </w:tc>
              <w:tc>
                <w:tcPr>
                  <w:tcW w:w="2514" w:type="pct"/>
                  <w:tcBorders>
                    <w:bottom w:val="single" w:sz="4" w:space="0" w:color="BFBFBF" w:themeColor="background1" w:themeShade="BF"/>
                  </w:tcBorders>
                  <w:shd w:val="pct5" w:color="auto" w:fill="auto"/>
                </w:tcPr>
                <w:p w14:paraId="557863E4" w14:textId="77777777" w:rsidR="00FC14FC" w:rsidRDefault="00FC14FC" w:rsidP="00D11B9D">
                  <w:pPr>
                    <w:pStyle w:val="TableBodyText"/>
                    <w:spacing w:after="20"/>
                    <w:jc w:val="left"/>
                  </w:pPr>
                  <w:r>
                    <w:t>25% Bloomberg AusBond Composite Index</w:t>
                  </w:r>
                </w:p>
                <w:p w14:paraId="069CF6A7" w14:textId="77777777" w:rsidR="00FC14FC" w:rsidRDefault="00FC14FC" w:rsidP="00D11B9D">
                  <w:pPr>
                    <w:pStyle w:val="TableBodyText"/>
                    <w:spacing w:after="20"/>
                    <w:jc w:val="left"/>
                  </w:pPr>
                  <w:r>
                    <w:t>25% Bloomberg Barclays Global Aggregate Index (80% AUD hedged, 20% AUD unhedged)</w:t>
                  </w:r>
                  <w:r>
                    <w:rPr>
                      <w:rStyle w:val="NoteLabel"/>
                    </w:rPr>
                    <w:t>b</w:t>
                  </w:r>
                </w:p>
                <w:p w14:paraId="4EAF0975" w14:textId="77777777" w:rsidR="00FC14FC" w:rsidRDefault="00FC14FC" w:rsidP="00D11B9D">
                  <w:pPr>
                    <w:pStyle w:val="TableBodyText"/>
                    <w:spacing w:after="20"/>
                    <w:jc w:val="left"/>
                  </w:pPr>
                  <w:r>
                    <w:t xml:space="preserve">25% </w:t>
                  </w:r>
                  <w:r w:rsidRPr="00DF51BD">
                    <w:t xml:space="preserve">S&amp;P/ASX 300 </w:t>
                  </w:r>
                  <w:r>
                    <w:t>Inde</w:t>
                  </w:r>
                  <w:r w:rsidRPr="00DF51BD">
                    <w:t>x</w:t>
                  </w:r>
                </w:p>
                <w:p w14:paraId="2C0AAE76" w14:textId="77777777" w:rsidR="00FC14FC" w:rsidRDefault="00FC14FC" w:rsidP="00D11B9D">
                  <w:pPr>
                    <w:pStyle w:val="TableBodyText"/>
                    <w:spacing w:after="20"/>
                    <w:jc w:val="left"/>
                  </w:pPr>
                  <w:r>
                    <w:t>25% MSCI World ex</w:t>
                  </w:r>
                  <w:r>
                    <w:noBreakHyphen/>
                    <w:t>Australia (30% AUD hedged, 70% AUD unhedged (custom))</w:t>
                  </w:r>
                </w:p>
              </w:tc>
              <w:tc>
                <w:tcPr>
                  <w:tcW w:w="1569" w:type="pct"/>
                  <w:tcBorders>
                    <w:bottom w:val="single" w:sz="4" w:space="0" w:color="BFBFBF" w:themeColor="background1" w:themeShade="BF"/>
                  </w:tcBorders>
                  <w:shd w:val="pct5" w:color="auto" w:fill="auto"/>
                </w:tcPr>
                <w:p w14:paraId="30D3C05B" w14:textId="77777777" w:rsidR="00FC14FC" w:rsidRDefault="00FC14FC" w:rsidP="00D11B9D">
                  <w:pPr>
                    <w:pStyle w:val="TableBodyText"/>
                    <w:spacing w:after="20"/>
                    <w:jc w:val="left"/>
                  </w:pPr>
                  <w:r>
                    <w:t>As per BP1</w:t>
                  </w:r>
                </w:p>
              </w:tc>
            </w:tr>
          </w:tbl>
          <w:p w14:paraId="4BF90395" w14:textId="77777777" w:rsidR="00FC14FC" w:rsidRDefault="00FC14FC" w:rsidP="00D11B9D">
            <w:pPr>
              <w:pStyle w:val="Box"/>
            </w:pPr>
          </w:p>
        </w:tc>
      </w:tr>
      <w:tr w:rsidR="00FC14FC" w14:paraId="5E402E83" w14:textId="77777777" w:rsidTr="00D11B9D">
        <w:tc>
          <w:tcPr>
            <w:tcW w:w="5000" w:type="pct"/>
            <w:tcBorders>
              <w:top w:val="nil"/>
              <w:left w:val="nil"/>
              <w:bottom w:val="nil"/>
              <w:right w:val="nil"/>
            </w:tcBorders>
            <w:shd w:val="clear" w:color="auto" w:fill="auto"/>
          </w:tcPr>
          <w:p w14:paraId="69E05595" w14:textId="77777777" w:rsidR="00FC14FC" w:rsidRDefault="00FC14FC" w:rsidP="00D11B9D">
            <w:pPr>
              <w:pStyle w:val="Note"/>
              <w:rPr>
                <w:i/>
              </w:rPr>
            </w:pPr>
            <w:r w:rsidRPr="008E77FE">
              <w:rPr>
                <w:rStyle w:val="NoteLabel"/>
              </w:rPr>
              <w:t>a</w:t>
            </w:r>
            <w:r>
              <w:t xml:space="preserve"> All indexes are total return indexes, which are inclusive of dividends (where relevant). </w:t>
            </w:r>
            <w:r>
              <w:rPr>
                <w:rStyle w:val="NoteLabel"/>
              </w:rPr>
              <w:t>b</w:t>
            </w:r>
            <w:r>
              <w:t xml:space="preserve"> Index levels as at 31 December (as opposed to 30 June).</w:t>
            </w:r>
            <w:r>
              <w:rPr>
                <w:rStyle w:val="NoteLabel"/>
              </w:rPr>
              <w:t xml:space="preserve"> c </w:t>
            </w:r>
            <w:r>
              <w:t xml:space="preserve">Net of tax index. </w:t>
            </w:r>
            <w:r>
              <w:rPr>
                <w:rStyle w:val="NoteLabel"/>
              </w:rPr>
              <w:t xml:space="preserve">d </w:t>
            </w:r>
            <w:r>
              <w:t>AVCAL (sub. 33) suggested the ASX Small Ordinaries Index tracked listed companies of a comparable size to that of PE</w:t>
            </w:r>
            <w:r>
              <w:noBreakHyphen/>
              <w:t>backed companies.</w:t>
            </w:r>
            <w:r>
              <w:rPr>
                <w:rStyle w:val="NoteLabel"/>
              </w:rPr>
              <w:t xml:space="preserve"> e</w:t>
            </w:r>
            <w:r>
              <w:t xml:space="preserve"> Index levels as at 31 March. </w:t>
            </w:r>
            <w:r>
              <w:rPr>
                <w:rStyle w:val="NoteLabel"/>
              </w:rPr>
              <w:t xml:space="preserve"> f</w:t>
            </w:r>
            <w:r>
              <w:t xml:space="preserve"> Index levels as at 1 June. </w:t>
            </w:r>
          </w:p>
        </w:tc>
      </w:tr>
      <w:tr w:rsidR="00FC14FC" w14:paraId="7E01898F" w14:textId="77777777" w:rsidTr="00D11B9D">
        <w:tc>
          <w:tcPr>
            <w:tcW w:w="5000" w:type="pct"/>
            <w:tcBorders>
              <w:top w:val="nil"/>
              <w:left w:val="nil"/>
              <w:bottom w:val="single" w:sz="6" w:space="0" w:color="78A22F"/>
              <w:right w:val="nil"/>
            </w:tcBorders>
            <w:shd w:val="clear" w:color="auto" w:fill="auto"/>
          </w:tcPr>
          <w:p w14:paraId="5F453B51" w14:textId="77777777" w:rsidR="00FC14FC" w:rsidRDefault="00FC14FC" w:rsidP="00D11B9D">
            <w:pPr>
              <w:pStyle w:val="Box"/>
              <w:spacing w:before="0" w:line="120" w:lineRule="exact"/>
            </w:pPr>
          </w:p>
        </w:tc>
      </w:tr>
      <w:tr w:rsidR="00FC14FC" w:rsidRPr="00626D32" w14:paraId="5A287D96" w14:textId="77777777" w:rsidTr="00D11B9D">
        <w:tc>
          <w:tcPr>
            <w:tcW w:w="5000" w:type="pct"/>
            <w:tcBorders>
              <w:top w:val="single" w:sz="6" w:space="0" w:color="78A22F"/>
              <w:left w:val="nil"/>
              <w:bottom w:val="nil"/>
              <w:right w:val="nil"/>
            </w:tcBorders>
          </w:tcPr>
          <w:p w14:paraId="1C072BD0" w14:textId="77777777" w:rsidR="00FC14FC" w:rsidRPr="00626D32" w:rsidRDefault="00FC14FC" w:rsidP="00D11B9D">
            <w:pPr>
              <w:pStyle w:val="BoxSpaceBelow"/>
            </w:pPr>
          </w:p>
        </w:tc>
      </w:tr>
    </w:tbl>
    <w:p w14:paraId="5E66D814" w14:textId="77777777" w:rsidR="00FC14FC" w:rsidRDefault="00FC14FC" w:rsidP="00FC14FC">
      <w:pPr>
        <w:pStyle w:val="BodyText"/>
      </w:pPr>
      <w:r>
        <w:lastRenderedPageBreak/>
        <w:t xml:space="preserve">Many indexes did not have a long enough time series, and assumptions or alternatives were used to allow for assessments over the required time period (2005–2017 for the system, most segments, individual funds and choice options, and 2008–2018 for MySuper products). </w:t>
      </w:r>
    </w:p>
    <w:p w14:paraId="2A7C6962" w14:textId="77777777" w:rsidR="00FC14FC" w:rsidRDefault="00FC14FC" w:rsidP="00FC14FC">
      <w:pPr>
        <w:pStyle w:val="ListBullet"/>
      </w:pPr>
      <w:r>
        <w:t>For listed international property, the FTSE EPRA NAREIT (hedged) index only covers annual returns going back to 2006. The Commission assumed that the annual return for this index in 2005 was the same as the return for 2006. A simulated proxy for this index return in 2005 showed that assumption is likely to understate the returns for the index in 2005.</w:t>
      </w:r>
      <w:r w:rsidRPr="00CF15EF">
        <w:rPr>
          <w:rStyle w:val="FootnoteReference"/>
        </w:rPr>
        <w:footnoteReference w:id="6"/>
      </w:r>
      <w:r>
        <w:t xml:space="preserve"> The proxy index delivered a return of 28.9 per cent in 2005 and 24.3 per cent in 2006. Further, the Commission was unable to obtain an unhedged index in Australian dollars.</w:t>
      </w:r>
    </w:p>
    <w:p w14:paraId="01E3A095" w14:textId="77777777" w:rsidR="00FC14FC" w:rsidRDefault="00FC14FC" w:rsidP="00FC14FC">
      <w:pPr>
        <w:pStyle w:val="ListBullet"/>
      </w:pPr>
      <w:r>
        <w:t>The Commission was unable to obtain an international unlisted property index, and thus benchmarked all unlisted property to an Australian index.</w:t>
      </w:r>
    </w:p>
    <w:p w14:paraId="14942EA7" w14:textId="77777777" w:rsidR="00FC14FC" w:rsidRDefault="00FC14FC" w:rsidP="00FC14FC">
      <w:pPr>
        <w:pStyle w:val="ListBullet"/>
      </w:pPr>
      <w:r>
        <w:t xml:space="preserve">For listed infrastructure, several inquiry participants suggested the use of the FTSE global core or FTSE developed core infrastructure index. The Commission was unable to source these indexes with a suitable time series. </w:t>
      </w:r>
      <w:r w:rsidRPr="00F21EE0">
        <w:t xml:space="preserve">The Commission settled on using the S&amp;P global infrastructure index, however this index was only available in </w:t>
      </w:r>
      <w:r>
        <w:t>Australian dollars</w:t>
      </w:r>
      <w:r w:rsidRPr="00F21EE0">
        <w:t xml:space="preserve"> (hedged or unhedged) from 2008 onwards. To address this gap, the Commission used the index in US</w:t>
      </w:r>
      <w:r>
        <w:t xml:space="preserve"> dollars</w:t>
      </w:r>
      <w:r w:rsidRPr="00F21EE0">
        <w:t xml:space="preserve"> from 2005</w:t>
      </w:r>
      <w:r>
        <w:t>–</w:t>
      </w:r>
      <w:r w:rsidRPr="00F21EE0">
        <w:t>2007.</w:t>
      </w:r>
    </w:p>
    <w:p w14:paraId="13CE6AD4" w14:textId="77777777" w:rsidR="00FC14FC" w:rsidRDefault="00FC14FC" w:rsidP="00FC14FC">
      <w:pPr>
        <w:pStyle w:val="BodyText"/>
      </w:pPr>
      <w:r>
        <w:t xml:space="preserve">The Commission was unable to obtain an international unlisted infrastructure index. </w:t>
      </w:r>
    </w:p>
    <w:p w14:paraId="70E50D4C" w14:textId="77777777" w:rsidR="00FC14FC" w:rsidRDefault="00FC14FC" w:rsidP="00FC14FC">
      <w:pPr>
        <w:pStyle w:val="BodyText"/>
      </w:pPr>
      <w:r>
        <w:t xml:space="preserve">In some cases, there was ambiguity about the specific index to use, such as the appropriate domicile (domestic or international) and whether to use currency hedged or unhedged indexes, or a specific weighted combination of the two. </w:t>
      </w:r>
    </w:p>
    <w:p w14:paraId="1E3C04FD" w14:textId="77777777" w:rsidR="00FC14FC" w:rsidRDefault="00FC14FC" w:rsidP="00FC14FC">
      <w:pPr>
        <w:pStyle w:val="BodyText"/>
      </w:pPr>
      <w:r>
        <w:t>Some feedback was received on the specific indexes used in the draft report (table 4.8). Key areas where the Commission has done new work are explained below.</w:t>
      </w:r>
    </w:p>
    <w:p w14:paraId="7F98126E" w14:textId="77777777" w:rsidR="00FC14FC" w:rsidRDefault="00FC14FC" w:rsidP="00FC14FC">
      <w:pPr>
        <w:pStyle w:val="Heading5"/>
      </w:pPr>
      <w:r>
        <w:t>Cash investments</w:t>
      </w:r>
    </w:p>
    <w:p w14:paraId="080812D4" w14:textId="77777777" w:rsidR="00FC14FC" w:rsidRDefault="00FC14FC" w:rsidP="00FC14FC">
      <w:pPr>
        <w:pStyle w:val="BodyText"/>
      </w:pPr>
      <w:r>
        <w:t>T</w:t>
      </w:r>
      <w:r w:rsidRPr="00EF7363">
        <w:t>he Commission understands that cash investments by funds may include both assets that are highly liquid to service members’ needs, and assets that are less liquid</w:t>
      </w:r>
      <w:r>
        <w:t xml:space="preserve"> (such as some certificates of deposit)</w:t>
      </w:r>
      <w:r w:rsidRPr="00EF7363">
        <w:t xml:space="preserve"> but form part of a diversified investment strategy</w:t>
      </w:r>
      <w:r w:rsidRPr="00AB35BD">
        <w:t xml:space="preserve">. Therefore, at the fund, segment and system level, the Commission used a cash benchmark that consists of a 30 per cent weight on the </w:t>
      </w:r>
      <w:r>
        <w:t>Reserve Bank of Australia</w:t>
      </w:r>
      <w:r w:rsidRPr="00AB35BD">
        <w:t xml:space="preserve"> cash rate, and </w:t>
      </w:r>
      <w:r>
        <w:t xml:space="preserve">a </w:t>
      </w:r>
      <w:r w:rsidRPr="00AB35BD">
        <w:t xml:space="preserve">70 per cent weight on the cash index. </w:t>
      </w:r>
      <w:r>
        <w:t>Because</w:t>
      </w:r>
      <w:r w:rsidRPr="00AB35BD">
        <w:t xml:space="preserve"> different investment options may represent different types of members, this blend of indexes</w:t>
      </w:r>
      <w:r>
        <w:t xml:space="preserve"> has not been applied</w:t>
      </w:r>
      <w:r w:rsidRPr="00AB35BD">
        <w:t xml:space="preserve"> to product and option benchmarking</w:t>
      </w:r>
      <w:r>
        <w:t>.</w:t>
      </w:r>
    </w:p>
    <w:p w14:paraId="38C71513"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7D251CAF" w14:textId="77777777" w:rsidTr="00D11B9D">
        <w:trPr>
          <w:tblHeader/>
        </w:trPr>
        <w:tc>
          <w:tcPr>
            <w:tcW w:w="5000" w:type="pct"/>
            <w:tcBorders>
              <w:top w:val="single" w:sz="6" w:space="0" w:color="78A22F"/>
              <w:left w:val="nil"/>
              <w:bottom w:val="nil"/>
              <w:right w:val="nil"/>
            </w:tcBorders>
            <w:shd w:val="clear" w:color="auto" w:fill="auto"/>
          </w:tcPr>
          <w:p w14:paraId="48804D5F" w14:textId="77777777" w:rsidR="00FC14FC" w:rsidRPr="00784A05" w:rsidRDefault="00FC14FC" w:rsidP="00D11B9D">
            <w:pPr>
              <w:pStyle w:val="TableTitle"/>
            </w:pPr>
            <w:r>
              <w:rPr>
                <w:b w:val="0"/>
              </w:rPr>
              <w:t>Table 4.8</w:t>
            </w:r>
            <w:r>
              <w:tab/>
              <w:t>Participant feedback on indexes</w:t>
            </w:r>
          </w:p>
        </w:tc>
      </w:tr>
      <w:tr w:rsidR="00FC14FC" w14:paraId="50DDCB18"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4"/>
              <w:gridCol w:w="2410"/>
              <w:gridCol w:w="3661"/>
            </w:tblGrid>
            <w:tr w:rsidR="00FC14FC" w14:paraId="58D8CCDB" w14:textId="77777777" w:rsidTr="00D11B9D">
              <w:trPr>
                <w:tblHeader/>
              </w:trPr>
              <w:tc>
                <w:tcPr>
                  <w:tcW w:w="1431" w:type="pct"/>
                  <w:tcBorders>
                    <w:top w:val="single" w:sz="6" w:space="0" w:color="BFBFBF"/>
                    <w:bottom w:val="single" w:sz="6" w:space="0" w:color="BFBFBF"/>
                  </w:tcBorders>
                  <w:shd w:val="clear" w:color="auto" w:fill="auto"/>
                  <w:tcMar>
                    <w:top w:w="28" w:type="dxa"/>
                  </w:tcMar>
                </w:tcPr>
                <w:p w14:paraId="13CA6A5A" w14:textId="77777777" w:rsidR="00FC14FC" w:rsidRDefault="00FC14FC" w:rsidP="00D11B9D">
                  <w:pPr>
                    <w:pStyle w:val="TableColumnHeading"/>
                    <w:jc w:val="left"/>
                  </w:pPr>
                  <w:r>
                    <w:t>Claim or issue</w:t>
                  </w:r>
                </w:p>
              </w:tc>
              <w:tc>
                <w:tcPr>
                  <w:tcW w:w="1417" w:type="pct"/>
                  <w:tcBorders>
                    <w:top w:val="single" w:sz="6" w:space="0" w:color="BFBFBF"/>
                    <w:bottom w:val="single" w:sz="6" w:space="0" w:color="BFBFBF"/>
                  </w:tcBorders>
                </w:tcPr>
                <w:p w14:paraId="575EAD13" w14:textId="77777777" w:rsidR="00FC14FC" w:rsidRDefault="00FC14FC" w:rsidP="00D11B9D">
                  <w:pPr>
                    <w:pStyle w:val="TableColumnHeading"/>
                    <w:jc w:val="left"/>
                  </w:pPr>
                  <w:r>
                    <w:t>Submissions</w:t>
                  </w:r>
                </w:p>
              </w:tc>
              <w:tc>
                <w:tcPr>
                  <w:tcW w:w="2152" w:type="pct"/>
                  <w:tcBorders>
                    <w:top w:val="single" w:sz="6" w:space="0" w:color="BFBFBF"/>
                    <w:bottom w:val="single" w:sz="6" w:space="0" w:color="BFBFBF"/>
                  </w:tcBorders>
                  <w:shd w:val="clear" w:color="auto" w:fill="auto"/>
                  <w:tcMar>
                    <w:top w:w="28" w:type="dxa"/>
                  </w:tcMar>
                </w:tcPr>
                <w:p w14:paraId="66229C73" w14:textId="77777777" w:rsidR="00FC14FC" w:rsidRDefault="00FC14FC" w:rsidP="00D11B9D">
                  <w:pPr>
                    <w:pStyle w:val="TableColumnHeading"/>
                    <w:ind w:right="28"/>
                    <w:jc w:val="left"/>
                  </w:pPr>
                  <w:r>
                    <w:t>Commission’s response</w:t>
                  </w:r>
                </w:p>
              </w:tc>
            </w:tr>
            <w:tr w:rsidR="00FC14FC" w14:paraId="6F86703E" w14:textId="77777777" w:rsidTr="00D11B9D">
              <w:tc>
                <w:tcPr>
                  <w:tcW w:w="1431" w:type="pct"/>
                  <w:tcBorders>
                    <w:top w:val="single" w:sz="6" w:space="0" w:color="BFBFBF"/>
                  </w:tcBorders>
                  <w:shd w:val="clear" w:color="auto" w:fill="auto"/>
                </w:tcPr>
                <w:p w14:paraId="1037C8AD" w14:textId="77777777" w:rsidR="00FC14FC" w:rsidRDefault="00FC14FC" w:rsidP="00D11B9D">
                  <w:pPr>
                    <w:pStyle w:val="TableBodyText"/>
                    <w:spacing w:before="40"/>
                    <w:jc w:val="left"/>
                  </w:pPr>
                  <w:r>
                    <w:t>Unlisted indexes should not feature in benchmarks because they are not investible; including them obscures value added by accepting illiquidity risk.</w:t>
                  </w:r>
                </w:p>
              </w:tc>
              <w:tc>
                <w:tcPr>
                  <w:tcW w:w="1417" w:type="pct"/>
                  <w:tcBorders>
                    <w:top w:val="single" w:sz="6" w:space="0" w:color="BFBFBF"/>
                  </w:tcBorders>
                  <w:shd w:val="clear" w:color="auto" w:fill="auto"/>
                </w:tcPr>
                <w:p w14:paraId="471A4387" w14:textId="77777777" w:rsidR="00FC14FC" w:rsidRDefault="00FC14FC" w:rsidP="00D11B9D">
                  <w:pPr>
                    <w:pStyle w:val="TableBodyText"/>
                    <w:spacing w:before="40"/>
                    <w:jc w:val="left"/>
                  </w:pPr>
                  <w:r>
                    <w:t>Chant West (sub. DR191); Sunsuper (sub. DR197).</w:t>
                  </w:r>
                </w:p>
              </w:tc>
              <w:tc>
                <w:tcPr>
                  <w:tcW w:w="2152" w:type="pct"/>
                  <w:tcBorders>
                    <w:top w:val="single" w:sz="6" w:space="0" w:color="BFBFBF"/>
                  </w:tcBorders>
                  <w:shd w:val="clear" w:color="auto" w:fill="auto"/>
                </w:tcPr>
                <w:p w14:paraId="559D721A" w14:textId="77777777" w:rsidR="00FC14FC" w:rsidRDefault="00FC14FC" w:rsidP="00D11B9D">
                  <w:pPr>
                    <w:pStyle w:val="TableBodyText"/>
                    <w:spacing w:before="40"/>
                    <w:ind w:right="28"/>
                    <w:jc w:val="left"/>
                  </w:pPr>
                  <w:r>
                    <w:t>The decision to invest in unlisted assets is already reflected in a fund’s asset allocation (which the benchmarking controls for).</w:t>
                  </w:r>
                </w:p>
                <w:p w14:paraId="142F240B" w14:textId="77777777" w:rsidR="00FC14FC" w:rsidRDefault="00FC14FC" w:rsidP="00D11B9D">
                  <w:pPr>
                    <w:pStyle w:val="TableBodyText"/>
                    <w:spacing w:before="40"/>
                    <w:ind w:right="28"/>
                    <w:jc w:val="left"/>
                  </w:pPr>
                  <w:r>
                    <w:t>The benchmarks are intended to reflect what an informed member should reasonably expect, at a minimum. For unlisted assets, this includes achieving returns in line with the broader market.</w:t>
                  </w:r>
                </w:p>
              </w:tc>
            </w:tr>
            <w:tr w:rsidR="00FC14FC" w14:paraId="708625C3" w14:textId="77777777" w:rsidTr="00D11B9D">
              <w:tc>
                <w:tcPr>
                  <w:tcW w:w="1431" w:type="pct"/>
                  <w:shd w:val="pct5" w:color="auto" w:fill="auto"/>
                </w:tcPr>
                <w:p w14:paraId="138CE7D9" w14:textId="77777777" w:rsidR="00FC14FC" w:rsidRDefault="00FC14FC" w:rsidP="00D11B9D">
                  <w:pPr>
                    <w:pStyle w:val="TableBodyText"/>
                    <w:jc w:val="left"/>
                  </w:pPr>
                  <w:r>
                    <w:t>The analysis does not account for differences in hedging ratios across funds and over time.</w:t>
                  </w:r>
                </w:p>
              </w:tc>
              <w:tc>
                <w:tcPr>
                  <w:tcW w:w="1417" w:type="pct"/>
                  <w:shd w:val="pct5" w:color="auto" w:fill="auto"/>
                </w:tcPr>
                <w:p w14:paraId="1FA723E9" w14:textId="77777777" w:rsidR="00FC14FC" w:rsidRDefault="00FC14FC" w:rsidP="00D11B9D">
                  <w:pPr>
                    <w:pStyle w:val="TableBodyText"/>
                    <w:jc w:val="left"/>
                  </w:pPr>
                  <w:r>
                    <w:t>AustralianSuper (sub. DR222); First State Super (sub. DR165); FSC (sub. DR218); MLC Wealth (subs. DR174 and DR223).</w:t>
                  </w:r>
                </w:p>
              </w:tc>
              <w:tc>
                <w:tcPr>
                  <w:tcW w:w="2152" w:type="pct"/>
                  <w:shd w:val="pct5" w:color="auto" w:fill="auto"/>
                </w:tcPr>
                <w:p w14:paraId="6A195E56" w14:textId="77777777" w:rsidR="00FC14FC" w:rsidRDefault="00FC14FC" w:rsidP="00D11B9D">
                  <w:pPr>
                    <w:pStyle w:val="TableBodyText"/>
                    <w:ind w:right="28"/>
                    <w:jc w:val="left"/>
                  </w:pPr>
                  <w:r>
                    <w:t>Fund</w:t>
                  </w:r>
                  <w:r>
                    <w:noBreakHyphen/>
                    <w:t>level hedging data are not available. The available system</w:t>
                  </w:r>
                  <w:r>
                    <w:noBreakHyphen/>
                    <w:t>wide data provide no strong evidential grounds for changing the assumptions (see main text).</w:t>
                  </w:r>
                </w:p>
                <w:p w14:paraId="6A44E806" w14:textId="77777777" w:rsidR="00FC14FC" w:rsidRDefault="00FC14FC" w:rsidP="00D11B9D">
                  <w:pPr>
                    <w:pStyle w:val="TableBodyText"/>
                    <w:ind w:right="28"/>
                    <w:jc w:val="left"/>
                  </w:pPr>
                </w:p>
              </w:tc>
            </w:tr>
            <w:tr w:rsidR="00FC14FC" w14:paraId="1BCF452A" w14:textId="77777777" w:rsidTr="00D11B9D">
              <w:tc>
                <w:tcPr>
                  <w:tcW w:w="1431" w:type="pct"/>
                  <w:shd w:val="clear" w:color="auto" w:fill="auto"/>
                </w:tcPr>
                <w:p w14:paraId="6563A625" w14:textId="77777777" w:rsidR="00FC14FC" w:rsidRDefault="00FC14FC" w:rsidP="00D11B9D">
                  <w:pPr>
                    <w:pStyle w:val="TableBodyText"/>
                    <w:jc w:val="left"/>
                  </w:pPr>
                  <w:r>
                    <w:t>The private equity index does not cover international investments.</w:t>
                  </w:r>
                </w:p>
              </w:tc>
              <w:tc>
                <w:tcPr>
                  <w:tcW w:w="1417" w:type="pct"/>
                  <w:shd w:val="clear" w:color="auto" w:fill="auto"/>
                </w:tcPr>
                <w:p w14:paraId="3AE9C078" w14:textId="77777777" w:rsidR="00FC14FC" w:rsidRDefault="00FC14FC" w:rsidP="00D11B9D">
                  <w:pPr>
                    <w:pStyle w:val="TableBodyText"/>
                    <w:jc w:val="left"/>
                  </w:pPr>
                  <w:r>
                    <w:t>Warren (sub. DR118); Sunsuper (sub. DR197).</w:t>
                  </w:r>
                </w:p>
              </w:tc>
              <w:tc>
                <w:tcPr>
                  <w:tcW w:w="2152" w:type="pct"/>
                  <w:shd w:val="clear" w:color="auto" w:fill="auto"/>
                </w:tcPr>
                <w:p w14:paraId="34898C11" w14:textId="77777777" w:rsidR="00FC14FC" w:rsidRPr="00F00E20" w:rsidRDefault="00FC14FC" w:rsidP="00D11B9D">
                  <w:pPr>
                    <w:pStyle w:val="TableBodyText"/>
                    <w:ind w:right="28"/>
                    <w:jc w:val="left"/>
                    <w:rPr>
                      <w:b/>
                      <w:position w:val="6"/>
                    </w:rPr>
                  </w:pPr>
                  <w:r>
                    <w:t>Analysis updated to use the Cambridge Associates Private Equity Index and the average domestic–international split in SuperRatings data (see main text).</w:t>
                  </w:r>
                  <w:r>
                    <w:rPr>
                      <w:rStyle w:val="NoteLabel"/>
                    </w:rPr>
                    <w:t>a</w:t>
                  </w:r>
                </w:p>
              </w:tc>
            </w:tr>
            <w:tr w:rsidR="00FC14FC" w14:paraId="027C66D3" w14:textId="77777777" w:rsidTr="00D11B9D">
              <w:tc>
                <w:tcPr>
                  <w:tcW w:w="1431" w:type="pct"/>
                  <w:shd w:val="pct5" w:color="auto" w:fill="auto"/>
                </w:tcPr>
                <w:p w14:paraId="799D1FB1" w14:textId="77777777" w:rsidR="00FC14FC" w:rsidRDefault="00FC14FC" w:rsidP="00D11B9D">
                  <w:pPr>
                    <w:pStyle w:val="TableBodyText"/>
                    <w:jc w:val="left"/>
                  </w:pPr>
                  <w:r>
                    <w:t>The unlisted infrastructure benchmark is too high or not representative of investments in the system.</w:t>
                  </w:r>
                </w:p>
              </w:tc>
              <w:tc>
                <w:tcPr>
                  <w:tcW w:w="1417" w:type="pct"/>
                  <w:shd w:val="pct5" w:color="auto" w:fill="auto"/>
                </w:tcPr>
                <w:p w14:paraId="1BD5B56D" w14:textId="77777777" w:rsidR="00FC14FC" w:rsidRDefault="00FC14FC" w:rsidP="00D11B9D">
                  <w:pPr>
                    <w:pStyle w:val="TableBodyText"/>
                    <w:jc w:val="left"/>
                  </w:pPr>
                  <w:r>
                    <w:t>ASFA (sub. DR221); AustralianSuper (sub. DR222).</w:t>
                  </w:r>
                </w:p>
                <w:p w14:paraId="709DCE44" w14:textId="77777777" w:rsidR="00FC14FC" w:rsidRDefault="00FC14FC" w:rsidP="00D11B9D">
                  <w:pPr>
                    <w:pStyle w:val="TableBodyText"/>
                    <w:jc w:val="left"/>
                  </w:pPr>
                </w:p>
              </w:tc>
              <w:tc>
                <w:tcPr>
                  <w:tcW w:w="2152" w:type="pct"/>
                  <w:shd w:val="pct5" w:color="auto" w:fill="auto"/>
                </w:tcPr>
                <w:p w14:paraId="70FF0554" w14:textId="77777777" w:rsidR="00FC14FC" w:rsidRDefault="00FC14FC" w:rsidP="00D11B9D">
                  <w:pPr>
                    <w:pStyle w:val="TableBodyText"/>
                    <w:ind w:right="28"/>
                    <w:jc w:val="left"/>
                  </w:pPr>
                  <w:r>
                    <w:t>No alternative indexes available. Consultation with relevant industry experts suggests that the index is likely to be a suitable benchmark for Australian funds.</w:t>
                  </w:r>
                </w:p>
              </w:tc>
            </w:tr>
            <w:tr w:rsidR="00FC14FC" w14:paraId="7FD793EE" w14:textId="77777777" w:rsidTr="00D11B9D">
              <w:tc>
                <w:tcPr>
                  <w:tcW w:w="1431" w:type="pct"/>
                  <w:shd w:val="clear" w:color="auto" w:fill="auto"/>
                </w:tcPr>
                <w:p w14:paraId="79815124" w14:textId="77777777" w:rsidR="00FC14FC" w:rsidRDefault="00FC14FC" w:rsidP="00D11B9D">
                  <w:pPr>
                    <w:pStyle w:val="TableBodyText"/>
                    <w:jc w:val="left"/>
                  </w:pPr>
                  <w:r>
                    <w:t>‘Other’ assets category would contain a mix of defensive and growth assets with poor correlation to equities, thus should not be benchmarked to a pure equities index.</w:t>
                  </w:r>
                </w:p>
              </w:tc>
              <w:tc>
                <w:tcPr>
                  <w:tcW w:w="1417" w:type="pct"/>
                  <w:shd w:val="clear" w:color="auto" w:fill="auto"/>
                </w:tcPr>
                <w:p w14:paraId="7112BD86" w14:textId="77777777" w:rsidR="00FC14FC" w:rsidRDefault="00FC14FC" w:rsidP="00D11B9D">
                  <w:pPr>
                    <w:pStyle w:val="TableBodyText"/>
                    <w:jc w:val="left"/>
                  </w:pPr>
                  <w:r>
                    <w:t>Chant West (sub. DR191); MLC Wealth (sub. DR174); Sunsuper (sub. DR197); Warren (sub. </w:t>
                  </w:r>
                  <w:r w:rsidRPr="00E166BA">
                    <w:t>DR118</w:t>
                  </w:r>
                  <w:r>
                    <w:t>).</w:t>
                  </w:r>
                </w:p>
              </w:tc>
              <w:tc>
                <w:tcPr>
                  <w:tcW w:w="2152" w:type="pct"/>
                  <w:shd w:val="clear" w:color="auto" w:fill="auto"/>
                </w:tcPr>
                <w:p w14:paraId="76FDC0BA" w14:textId="77777777" w:rsidR="00FC14FC" w:rsidRDefault="00FC14FC" w:rsidP="00D11B9D">
                  <w:pPr>
                    <w:pStyle w:val="TableBodyText"/>
                    <w:ind w:right="28"/>
                    <w:jc w:val="left"/>
                  </w:pPr>
                  <w:r>
                    <w:t>Analysis updated to use 50 per cent equities and 50 per cent fixed income (see main text).</w:t>
                  </w:r>
                  <w:r>
                    <w:rPr>
                      <w:rStyle w:val="NoteLabel"/>
                    </w:rPr>
                    <w:t>a</w:t>
                  </w:r>
                </w:p>
              </w:tc>
            </w:tr>
            <w:tr w:rsidR="00FC14FC" w14:paraId="06B43724" w14:textId="77777777" w:rsidTr="00D11B9D">
              <w:tc>
                <w:tcPr>
                  <w:tcW w:w="1431" w:type="pct"/>
                  <w:shd w:val="pct5" w:color="auto" w:fill="auto"/>
                </w:tcPr>
                <w:p w14:paraId="0C53151D" w14:textId="77777777" w:rsidR="00FC14FC" w:rsidRDefault="00FC14FC" w:rsidP="00D11B9D">
                  <w:pPr>
                    <w:pStyle w:val="TableBodyText"/>
                    <w:jc w:val="left"/>
                  </w:pPr>
                  <w:r>
                    <w:t xml:space="preserve">No international indexes </w:t>
                  </w:r>
                  <w:r w:rsidRPr="00EC28E2">
                    <w:t xml:space="preserve">are applied </w:t>
                  </w:r>
                  <w:r>
                    <w:t>for unlisted infrastructure and property.</w:t>
                  </w:r>
                </w:p>
              </w:tc>
              <w:tc>
                <w:tcPr>
                  <w:tcW w:w="1417" w:type="pct"/>
                  <w:shd w:val="pct5" w:color="auto" w:fill="auto"/>
                </w:tcPr>
                <w:p w14:paraId="6A5DB28E" w14:textId="77777777" w:rsidR="00FC14FC" w:rsidRDefault="00FC14FC" w:rsidP="00D11B9D">
                  <w:pPr>
                    <w:pStyle w:val="TableBodyText"/>
                    <w:jc w:val="left"/>
                  </w:pPr>
                  <w:r w:rsidRPr="00EC28E2">
                    <w:t>AustralianSuper (sub. DR150); Sunsuper (sub. DR197)</w:t>
                  </w:r>
                  <w:r>
                    <w:t>.</w:t>
                  </w:r>
                  <w:r w:rsidRPr="00EC28E2">
                    <w:t xml:space="preserve"> </w:t>
                  </w:r>
                </w:p>
              </w:tc>
              <w:tc>
                <w:tcPr>
                  <w:tcW w:w="2152" w:type="pct"/>
                  <w:shd w:val="pct5" w:color="auto" w:fill="auto"/>
                </w:tcPr>
                <w:p w14:paraId="2797D432" w14:textId="77777777" w:rsidR="00FC14FC" w:rsidRDefault="00FC14FC" w:rsidP="00D11B9D">
                  <w:pPr>
                    <w:pStyle w:val="TableBodyText"/>
                    <w:ind w:right="28"/>
                    <w:jc w:val="left"/>
                  </w:pPr>
                  <w:r>
                    <w:t>Only domestic unlisted indexes were</w:t>
                  </w:r>
                  <w:r w:rsidRPr="00EC28E2">
                    <w:t xml:space="preserve"> </w:t>
                  </w:r>
                  <w:r>
                    <w:t>available.</w:t>
                  </w:r>
                </w:p>
              </w:tc>
            </w:tr>
            <w:tr w:rsidR="00FC14FC" w14:paraId="0619E8F9" w14:textId="77777777" w:rsidTr="00D11B9D">
              <w:tc>
                <w:tcPr>
                  <w:tcW w:w="1431" w:type="pct"/>
                  <w:shd w:val="clear" w:color="auto" w:fill="auto"/>
                </w:tcPr>
                <w:p w14:paraId="4AB423AA" w14:textId="77777777" w:rsidR="00FC14FC" w:rsidRDefault="00FC14FC" w:rsidP="00D11B9D">
                  <w:pPr>
                    <w:pStyle w:val="TableBodyText"/>
                    <w:jc w:val="left"/>
                  </w:pPr>
                  <w:r w:rsidRPr="005C4C14">
                    <w:t>Imputing returns to unlisted property over the period 2005–2007 led to overstated benchmarks</w:t>
                  </w:r>
                </w:p>
              </w:tc>
              <w:tc>
                <w:tcPr>
                  <w:tcW w:w="1417" w:type="pct"/>
                  <w:shd w:val="clear" w:color="auto" w:fill="auto"/>
                </w:tcPr>
                <w:p w14:paraId="7BC90473" w14:textId="77777777" w:rsidR="00FC14FC" w:rsidRDefault="00FC14FC" w:rsidP="00D11B9D">
                  <w:pPr>
                    <w:pStyle w:val="TableBodyText"/>
                    <w:jc w:val="left"/>
                  </w:pPr>
                  <w:r w:rsidRPr="005C4C14">
                    <w:t>Chant West (sub.</w:t>
                  </w:r>
                  <w:r>
                    <w:t> </w:t>
                  </w:r>
                  <w:r w:rsidRPr="005C4C14">
                    <w:t>DR191);</w:t>
                  </w:r>
                  <w:r>
                    <w:t xml:space="preserve"> Sunsuper</w:t>
                  </w:r>
                  <w:r w:rsidRPr="005C4C14">
                    <w:t xml:space="preserve"> (sub. DR197).</w:t>
                  </w:r>
                </w:p>
              </w:tc>
              <w:tc>
                <w:tcPr>
                  <w:tcW w:w="2152" w:type="pct"/>
                  <w:shd w:val="clear" w:color="auto" w:fill="auto"/>
                </w:tcPr>
                <w:p w14:paraId="69BCABDB" w14:textId="77777777" w:rsidR="00FC14FC" w:rsidRDefault="00FC14FC" w:rsidP="00D11B9D">
                  <w:pPr>
                    <w:pStyle w:val="TableBodyText"/>
                    <w:ind w:right="28"/>
                    <w:jc w:val="left"/>
                  </w:pPr>
                  <w:r>
                    <w:t>Index data for unlisted property have been obtained for 2005–2007 (see main text).</w:t>
                  </w:r>
                  <w:r w:rsidRPr="005C4C14">
                    <w:rPr>
                      <w:rStyle w:val="NoteLabel"/>
                    </w:rPr>
                    <w:t>a</w:t>
                  </w:r>
                </w:p>
              </w:tc>
            </w:tr>
            <w:tr w:rsidR="00FC14FC" w14:paraId="1BE8D486" w14:textId="77777777" w:rsidTr="00D11B9D">
              <w:tc>
                <w:tcPr>
                  <w:tcW w:w="1431" w:type="pct"/>
                  <w:shd w:val="pct5" w:color="auto" w:fill="auto"/>
                </w:tcPr>
                <w:p w14:paraId="2B0B47F7" w14:textId="77777777" w:rsidR="00FC14FC" w:rsidRDefault="00FC14FC" w:rsidP="00D11B9D">
                  <w:pPr>
                    <w:pStyle w:val="TableBodyText"/>
                    <w:jc w:val="left"/>
                  </w:pPr>
                  <w:r>
                    <w:t>The international equities index omits emerging markets</w:t>
                  </w:r>
                </w:p>
              </w:tc>
              <w:tc>
                <w:tcPr>
                  <w:tcW w:w="1417" w:type="pct"/>
                  <w:shd w:val="pct5" w:color="auto" w:fill="auto"/>
                </w:tcPr>
                <w:p w14:paraId="6AD48859" w14:textId="77777777" w:rsidR="00FC14FC" w:rsidRDefault="00FC14FC" w:rsidP="00D11B9D">
                  <w:pPr>
                    <w:pStyle w:val="TableBodyText"/>
                    <w:jc w:val="left"/>
                  </w:pPr>
                  <w:r>
                    <w:t xml:space="preserve">AustralianSuper (sub. DR150); Warren (sub. DR118). </w:t>
                  </w:r>
                </w:p>
              </w:tc>
              <w:tc>
                <w:tcPr>
                  <w:tcW w:w="2152" w:type="pct"/>
                  <w:shd w:val="pct5" w:color="auto" w:fill="auto"/>
                </w:tcPr>
                <w:p w14:paraId="767FB251" w14:textId="77777777" w:rsidR="00FC14FC" w:rsidRDefault="00FC14FC" w:rsidP="00D11B9D">
                  <w:pPr>
                    <w:pStyle w:val="TableBodyText"/>
                    <w:ind w:right="28"/>
                    <w:jc w:val="left"/>
                  </w:pPr>
                  <w:r>
                    <w:t>No change — not material enough. The MSCI ACWI Index has a 10</w:t>
                  </w:r>
                  <w:r>
                    <w:noBreakHyphen/>
                    <w:t xml:space="preserve">year return (in USD) only 4 basis points higher than the index used in the analysis </w:t>
                  </w:r>
                  <w:r w:rsidRPr="002856AA">
                    <w:rPr>
                      <w:rFonts w:cs="Arial"/>
                      <w:szCs w:val="24"/>
                    </w:rPr>
                    <w:t>(MSCI 2018b)</w:t>
                  </w:r>
                  <w:r>
                    <w:t xml:space="preserve">. </w:t>
                  </w:r>
                </w:p>
              </w:tc>
            </w:tr>
          </w:tbl>
          <w:p w14:paraId="4E2DDF56" w14:textId="77777777" w:rsidR="00FC14FC" w:rsidRDefault="00FC14FC" w:rsidP="00D11B9D">
            <w:pPr>
              <w:pStyle w:val="Box"/>
            </w:pPr>
          </w:p>
        </w:tc>
      </w:tr>
      <w:tr w:rsidR="00FC14FC" w14:paraId="15D9AC4B" w14:textId="77777777" w:rsidTr="00D11B9D">
        <w:tc>
          <w:tcPr>
            <w:tcW w:w="5000" w:type="pct"/>
            <w:tcBorders>
              <w:top w:val="nil"/>
              <w:left w:val="nil"/>
              <w:bottom w:val="nil"/>
              <w:right w:val="nil"/>
            </w:tcBorders>
            <w:shd w:val="clear" w:color="auto" w:fill="auto"/>
          </w:tcPr>
          <w:p w14:paraId="67C5444A" w14:textId="77777777" w:rsidR="00FC14FC" w:rsidRDefault="00FC14FC" w:rsidP="00D11B9D">
            <w:pPr>
              <w:pStyle w:val="Note"/>
              <w:rPr>
                <w:i/>
              </w:rPr>
            </w:pPr>
            <w:r w:rsidRPr="008E77FE">
              <w:rPr>
                <w:rStyle w:val="NoteLabel"/>
              </w:rPr>
              <w:t>a</w:t>
            </w:r>
            <w:r>
              <w:t xml:space="preserve"> These changes were included in the analysis for the supplementary paper released in October 2018.</w:t>
            </w:r>
          </w:p>
        </w:tc>
      </w:tr>
      <w:tr w:rsidR="00FC14FC" w14:paraId="31223E16" w14:textId="77777777" w:rsidTr="00D11B9D">
        <w:tc>
          <w:tcPr>
            <w:tcW w:w="5000" w:type="pct"/>
            <w:tcBorders>
              <w:top w:val="nil"/>
              <w:left w:val="nil"/>
              <w:bottom w:val="single" w:sz="6" w:space="0" w:color="78A22F"/>
              <w:right w:val="nil"/>
            </w:tcBorders>
            <w:shd w:val="clear" w:color="auto" w:fill="auto"/>
          </w:tcPr>
          <w:p w14:paraId="5AB371D1" w14:textId="77777777" w:rsidR="00FC14FC" w:rsidRDefault="00FC14FC" w:rsidP="00D11B9D">
            <w:pPr>
              <w:pStyle w:val="Box"/>
              <w:spacing w:before="0" w:line="120" w:lineRule="exact"/>
            </w:pPr>
          </w:p>
        </w:tc>
      </w:tr>
      <w:tr w:rsidR="00FC14FC" w:rsidRPr="000863A5" w14:paraId="715F3100" w14:textId="77777777" w:rsidTr="00D11B9D">
        <w:tc>
          <w:tcPr>
            <w:tcW w:w="5000" w:type="pct"/>
            <w:tcBorders>
              <w:top w:val="single" w:sz="6" w:space="0" w:color="78A22F"/>
              <w:left w:val="nil"/>
              <w:bottom w:val="nil"/>
              <w:right w:val="nil"/>
            </w:tcBorders>
          </w:tcPr>
          <w:p w14:paraId="09B49FB2" w14:textId="77777777" w:rsidR="00FC14FC" w:rsidRPr="00626D32" w:rsidRDefault="00FC14FC" w:rsidP="00D11B9D">
            <w:pPr>
              <w:pStyle w:val="BoxSpaceBelow"/>
            </w:pPr>
          </w:p>
        </w:tc>
      </w:tr>
    </w:tbl>
    <w:p w14:paraId="6BE7B5D3" w14:textId="77777777" w:rsidR="00FC14FC" w:rsidRDefault="00FC14FC" w:rsidP="00FC14FC">
      <w:pPr>
        <w:pStyle w:val="Heading5"/>
      </w:pPr>
      <w:r>
        <w:t>Hedging ratios</w:t>
      </w:r>
    </w:p>
    <w:p w14:paraId="33373DFD" w14:textId="77777777" w:rsidR="00FC14FC" w:rsidRDefault="00FC14FC" w:rsidP="00FC14FC">
      <w:pPr>
        <w:pStyle w:val="BodyText"/>
      </w:pPr>
      <w:r>
        <w:t>In the draft report, the Commission applied a constant, system</w:t>
      </w:r>
      <w:r>
        <w:noBreakHyphen/>
        <w:t>wide hedging ratio for international asset classes: 30 per cent for international equities and 80 per cent for international fixed income. These values were based on a survey of superannuation funds</w:t>
      </w:r>
      <w:r w:rsidDel="00BE02AB">
        <w:t xml:space="preserve"> </w:t>
      </w:r>
      <w:r w:rsidRPr="002856AA">
        <w:rPr>
          <w:szCs w:val="24"/>
        </w:rPr>
        <w:t>(NAB 2015)</w:t>
      </w:r>
      <w:r>
        <w:t xml:space="preserve">. Some participants questioned this approach, arguing that hedging ratios change materially over time (for example, MLC Wealth, sub. DR174), or that some funds may have </w:t>
      </w:r>
      <w:r>
        <w:lastRenderedPageBreak/>
        <w:t>hedging ratios materially different from the assumption (for example, First State Super, sub. DR165).</w:t>
      </w:r>
    </w:p>
    <w:p w14:paraId="6951E0C2" w14:textId="77777777" w:rsidR="00FC14FC" w:rsidRDefault="00FC14FC" w:rsidP="00FC14FC">
      <w:pPr>
        <w:pStyle w:val="BodyText"/>
      </w:pPr>
      <w:r>
        <w:t xml:space="preserve">Very little data are available on hedging ratios for international fixed income. Unpublished APRA data suggest an average ratio of 62 per cent over the period 2014–2017, whereas a recent survey by NAB estimated </w:t>
      </w:r>
      <w:r w:rsidRPr="0030427D">
        <w:t>88</w:t>
      </w:r>
      <w:r>
        <w:t> per cent</w:t>
      </w:r>
      <w:r w:rsidRPr="0030427D">
        <w:t xml:space="preserve"> in 2017</w:t>
      </w:r>
      <w:r>
        <w:t xml:space="preserve"> (up from 72 per cent two years prior) </w:t>
      </w:r>
      <w:r w:rsidRPr="002856AA">
        <w:rPr>
          <w:szCs w:val="24"/>
        </w:rPr>
        <w:t>(NAB 2017)</w:t>
      </w:r>
      <w:r>
        <w:t>. Experts consulted by the Commission expected that hedging would be close to 100 per cent. As such, there are not strong evidential grounds for deviating from the assumptions in the draft report.</w:t>
      </w:r>
    </w:p>
    <w:p w14:paraId="0528681E" w14:textId="77777777" w:rsidR="00FC14FC" w:rsidRDefault="00FC14FC" w:rsidP="00FC14FC">
      <w:pPr>
        <w:pStyle w:val="BodyText"/>
      </w:pPr>
      <w:r>
        <w:t>While sufficient data on hedging ratios at a fund or product level are not available, the Commission has examined data on hedging ratios over time at a system level. For international equities, unpublished APRA data indicate an average ratio of 28 per cent over the period 2014–2017. Separate data from Chant West’s asset allocation survey indicated a simple average ratio of 27 per cent over the period 2010–2018 (covering 50 products across a range of fund types) (Chant West, pers. comm., 29 August 2018). In both cases, there is only modest variation between years. As such, the Commission has opted to keep its hedging ratio for international equities unchanged.</w:t>
      </w:r>
    </w:p>
    <w:p w14:paraId="7A2F011D" w14:textId="77777777" w:rsidR="00FC14FC" w:rsidRDefault="00FC14FC" w:rsidP="00FC14FC">
      <w:pPr>
        <w:pStyle w:val="BodyText"/>
      </w:pPr>
      <w:r>
        <w:t xml:space="preserve">However, the Commission acknowledges the materiality of hedging assumptions and has thus conducted sensitivity testing by using a 100 per cent hedged international equities index and a completely unhedged international equities index, in place of the 30 per cent hedged international equities index (section 4.3). </w:t>
      </w:r>
    </w:p>
    <w:p w14:paraId="784ABAE8" w14:textId="77777777" w:rsidR="00FC14FC" w:rsidRDefault="00FC14FC" w:rsidP="00FC14FC">
      <w:pPr>
        <w:pStyle w:val="Heading5"/>
      </w:pPr>
      <w:r>
        <w:t>Unlisted property</w:t>
      </w:r>
    </w:p>
    <w:p w14:paraId="65F13C68" w14:textId="77777777" w:rsidR="00FC14FC" w:rsidRDefault="00FC14FC" w:rsidP="00FC14FC">
      <w:pPr>
        <w:pStyle w:val="BodyText"/>
      </w:pPr>
      <w:r>
        <w:t>Some participants raised concerns about the treatment of the unlisted property asset class in the draft report where, due to data availability, the Commission used a domestic unlisted index for all unlisted property from 2008 onwards, and listed indexes for the years 2005 to 2007 plus an imputed illiquidity premium. Chant West (sub. DR191) argued that this could have overstated BP2 by about 25 basis points, given much higher returns to listed property (relative to unlisted) during those years. Both Chant West and AustralianSuper (sub. DR150) argued that the use of a listed index plus illiquidity premium should be applied across the whole period, not just three years. Sunsuper (sub. DR197) submitted that it would be better to combine a set of regional listed indexes to proxy for a global index.</w:t>
      </w:r>
    </w:p>
    <w:p w14:paraId="72A751CC" w14:textId="77777777" w:rsidR="00FC14FC" w:rsidRDefault="00FC14FC" w:rsidP="00FC14FC">
      <w:pPr>
        <w:pStyle w:val="BodyText"/>
      </w:pPr>
      <w:r>
        <w:t>The Commission has since been able to obtain data for the Mercer Unlisted Property Index (Australia) for the years 2005–2007 (provided by Mercer to the Commission upon request). These data indicate an average return over those three years of 16.6 per cent, compared with 25.1 per cent under the assumptions used in the draft report. The unlisted property benchmark now comprises an unlisted index for the full time period.</w:t>
      </w:r>
    </w:p>
    <w:p w14:paraId="17F9EE28" w14:textId="77777777" w:rsidR="00FC14FC" w:rsidRPr="008407AD" w:rsidRDefault="00FC14FC" w:rsidP="00FC14FC">
      <w:pPr>
        <w:pStyle w:val="Heading5"/>
      </w:pPr>
      <w:r>
        <w:lastRenderedPageBreak/>
        <w:t>Unlisted infrastructure</w:t>
      </w:r>
    </w:p>
    <w:p w14:paraId="6A322F7F" w14:textId="77777777" w:rsidR="00FC14FC" w:rsidRPr="00BC3670" w:rsidRDefault="00FC14FC" w:rsidP="00FC14FC">
      <w:pPr>
        <w:pStyle w:val="BodyText"/>
      </w:pPr>
      <w:r>
        <w:t xml:space="preserve">Analysis of funds survey data (described above) indicates that many funds’ returns to unlisted infrastructure were well below the index over the period. Some participants suggested that this result indicated that the specific index used — the MSCI/IPD Unlisted Infrastructure Index — is not representative of the Australian superannuation system (ASFA, sub. DR221; AustralianSuper, sub. DR222). For example, the country composition of superannuation funds’ holdings may differ to that in the index, which was 54 per cent Australian unlisted infrastructure at June 2018 </w:t>
      </w:r>
      <w:r w:rsidRPr="002856AA">
        <w:rPr>
          <w:szCs w:val="24"/>
        </w:rPr>
        <w:t>(MSCI 2018a)</w:t>
      </w:r>
      <w:r>
        <w:t>. However, some consultation with relevant industry experts suggested that the index is likely to be the most suitable benchmark available. Therefore, in the absence of an alternative index the Commission has decided not to make any change.</w:t>
      </w:r>
    </w:p>
    <w:p w14:paraId="22551978" w14:textId="77777777" w:rsidR="00FC14FC" w:rsidRDefault="00FC14FC" w:rsidP="00FC14FC">
      <w:pPr>
        <w:pStyle w:val="Heading5"/>
      </w:pPr>
      <w:r>
        <w:t>Private equity</w:t>
      </w:r>
    </w:p>
    <w:p w14:paraId="35BECD83" w14:textId="77777777" w:rsidR="00FC14FC" w:rsidRDefault="00FC14FC" w:rsidP="00FC14FC">
      <w:pPr>
        <w:pStyle w:val="BodyText"/>
      </w:pPr>
      <w:r w:rsidRPr="00307A07">
        <w:t xml:space="preserve">The use of an Australian private equity index </w:t>
      </w:r>
      <w:r>
        <w:t xml:space="preserve">in the draft report </w:t>
      </w:r>
      <w:r w:rsidRPr="00307A07">
        <w:t>was questioned by some participants, who argued that a global index may be more reflective of how super</w:t>
      </w:r>
      <w:r>
        <w:t>annuation</w:t>
      </w:r>
      <w:r w:rsidRPr="00307A07">
        <w:t xml:space="preserve"> funds invest (Warren, sub. DR118; Sunsuper, sub.</w:t>
      </w:r>
      <w:r>
        <w:t> </w:t>
      </w:r>
      <w:r w:rsidRPr="00307A07">
        <w:t xml:space="preserve">DR197). The Commission has </w:t>
      </w:r>
      <w:r>
        <w:t xml:space="preserve">since </w:t>
      </w:r>
      <w:r w:rsidRPr="00307A07">
        <w:t>obtained the Cambridge Associates Private Equity index, and updated the benchmarks to reflect the system average domestic–international split in private equity investment from SuperRatings data, varied by year</w:t>
      </w:r>
      <w:r>
        <w:t xml:space="preserve"> and segment</w:t>
      </w:r>
      <w:r w:rsidRPr="00307A07">
        <w:t xml:space="preserve"> (</w:t>
      </w:r>
      <w:r>
        <w:t>table 4.9</w:t>
      </w:r>
      <w:r w:rsidRPr="00307A07">
        <w:t>).</w:t>
      </w:r>
      <w:r>
        <w:t xml:space="preserve"> For fund</w:t>
      </w:r>
      <w:r>
        <w:noBreakHyphen/>
        <w:t>level analysis, the corresponding fund</w:t>
      </w:r>
      <w:r>
        <w:noBreakHyphen/>
        <w:t>type shares are used. The system</w:t>
      </w:r>
      <w:r>
        <w:noBreakHyphen/>
        <w:t xml:space="preserve">level shares are broadly consistent with ABS data that indicate most private equity investment by Australian entities is domestic </w:t>
      </w:r>
      <w:r w:rsidRPr="002856AA">
        <w:rPr>
          <w:szCs w:val="24"/>
        </w:rPr>
        <w:t>(ABS 2018)</w:t>
      </w:r>
      <w:r>
        <w:t>.</w:t>
      </w:r>
    </w:p>
    <w:p w14:paraId="73DEE7EA"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40627FC2" w14:textId="77777777" w:rsidTr="00D11B9D">
        <w:trPr>
          <w:tblHeader/>
        </w:trPr>
        <w:tc>
          <w:tcPr>
            <w:tcW w:w="5000" w:type="pct"/>
            <w:tcBorders>
              <w:top w:val="single" w:sz="6" w:space="0" w:color="78A22F"/>
              <w:left w:val="nil"/>
              <w:bottom w:val="nil"/>
              <w:right w:val="nil"/>
            </w:tcBorders>
            <w:shd w:val="clear" w:color="auto" w:fill="auto"/>
          </w:tcPr>
          <w:p w14:paraId="4973E73B" w14:textId="77777777" w:rsidR="00FC14FC" w:rsidRDefault="00FC14FC" w:rsidP="00D11B9D">
            <w:pPr>
              <w:pStyle w:val="TableTitle"/>
            </w:pPr>
            <w:r>
              <w:rPr>
                <w:b w:val="0"/>
              </w:rPr>
              <w:t xml:space="preserve">Table </w:t>
            </w:r>
            <w:r>
              <w:rPr>
                <w:b w:val="0"/>
                <w:noProof/>
              </w:rPr>
              <w:t>4.9</w:t>
            </w:r>
            <w:r>
              <w:tab/>
              <w:t>Assumed share of international private equity</w:t>
            </w:r>
            <w:r w:rsidRPr="00C641C8">
              <w:rPr>
                <w:rStyle w:val="NoteLabel"/>
              </w:rPr>
              <w:t>a</w:t>
            </w:r>
          </w:p>
          <w:p w14:paraId="7E7A9992" w14:textId="77777777" w:rsidR="00FC14FC" w:rsidRPr="00784A05" w:rsidRDefault="00FC14FC" w:rsidP="00D11B9D">
            <w:pPr>
              <w:pStyle w:val="Subtitle"/>
            </w:pPr>
            <w:r>
              <w:t>Percentage of total private equity</w:t>
            </w:r>
          </w:p>
        </w:tc>
      </w:tr>
      <w:tr w:rsidR="00FC14FC" w14:paraId="49419953" w14:textId="77777777" w:rsidTr="00D11B9D">
        <w:tc>
          <w:tcPr>
            <w:tcW w:w="5000" w:type="pct"/>
            <w:tcBorders>
              <w:top w:val="nil"/>
              <w:left w:val="nil"/>
              <w:bottom w:val="nil"/>
              <w:right w:val="nil"/>
            </w:tcBorders>
            <w:shd w:val="clear" w:color="auto" w:fill="auto"/>
          </w:tcPr>
          <w:tbl>
            <w:tblPr>
              <w:tblW w:w="4988" w:type="pct"/>
              <w:tblCellMar>
                <w:top w:w="28" w:type="dxa"/>
                <w:left w:w="0" w:type="dxa"/>
                <w:right w:w="0" w:type="dxa"/>
              </w:tblCellMar>
              <w:tblLook w:val="0000" w:firstRow="0" w:lastRow="0" w:firstColumn="0" w:lastColumn="0" w:noHBand="0" w:noVBand="0"/>
            </w:tblPr>
            <w:tblGrid>
              <w:gridCol w:w="922"/>
              <w:gridCol w:w="581"/>
              <w:gridCol w:w="583"/>
              <w:gridCol w:w="583"/>
              <w:gridCol w:w="582"/>
              <w:gridCol w:w="580"/>
              <w:gridCol w:w="582"/>
              <w:gridCol w:w="582"/>
              <w:gridCol w:w="582"/>
              <w:gridCol w:w="580"/>
              <w:gridCol w:w="582"/>
              <w:gridCol w:w="582"/>
              <w:gridCol w:w="582"/>
              <w:gridCol w:w="582"/>
            </w:tblGrid>
            <w:tr w:rsidR="00FC14FC" w14:paraId="106FBC3E" w14:textId="77777777" w:rsidTr="00D11B9D">
              <w:trPr>
                <w:tblHeader/>
              </w:trPr>
              <w:tc>
                <w:tcPr>
                  <w:tcW w:w="543" w:type="pct"/>
                  <w:tcBorders>
                    <w:top w:val="single" w:sz="6" w:space="0" w:color="BFBFBF"/>
                    <w:bottom w:val="single" w:sz="6" w:space="0" w:color="BFBFBF"/>
                  </w:tcBorders>
                </w:tcPr>
                <w:p w14:paraId="1DCC09EC" w14:textId="77777777" w:rsidR="00FC14FC" w:rsidRDefault="00FC14FC" w:rsidP="00D11B9D">
                  <w:pPr>
                    <w:pStyle w:val="TableColumnHeading"/>
                    <w:jc w:val="left"/>
                  </w:pPr>
                  <w:r>
                    <w:t>Segment</w:t>
                  </w:r>
                </w:p>
              </w:tc>
              <w:tc>
                <w:tcPr>
                  <w:tcW w:w="342" w:type="pct"/>
                  <w:tcBorders>
                    <w:top w:val="single" w:sz="6" w:space="0" w:color="BFBFBF"/>
                    <w:bottom w:val="single" w:sz="6" w:space="0" w:color="BFBFBF"/>
                  </w:tcBorders>
                </w:tcPr>
                <w:p w14:paraId="37A57169" w14:textId="77777777" w:rsidR="00FC14FC" w:rsidRDefault="00FC14FC" w:rsidP="00D11B9D">
                  <w:pPr>
                    <w:pStyle w:val="TableColumnHeading"/>
                  </w:pPr>
                  <w:r>
                    <w:t>2005</w:t>
                  </w:r>
                </w:p>
              </w:tc>
              <w:tc>
                <w:tcPr>
                  <w:tcW w:w="343" w:type="pct"/>
                  <w:tcBorders>
                    <w:top w:val="single" w:sz="6" w:space="0" w:color="BFBFBF"/>
                    <w:bottom w:val="single" w:sz="6" w:space="0" w:color="BFBFBF"/>
                  </w:tcBorders>
                </w:tcPr>
                <w:p w14:paraId="60FC9858" w14:textId="77777777" w:rsidR="00FC14FC" w:rsidRDefault="00FC14FC" w:rsidP="00D11B9D">
                  <w:pPr>
                    <w:pStyle w:val="TableColumnHeading"/>
                  </w:pPr>
                  <w:r>
                    <w:t>2006</w:t>
                  </w:r>
                </w:p>
              </w:tc>
              <w:tc>
                <w:tcPr>
                  <w:tcW w:w="343" w:type="pct"/>
                  <w:tcBorders>
                    <w:top w:val="single" w:sz="6" w:space="0" w:color="BFBFBF"/>
                    <w:bottom w:val="single" w:sz="6" w:space="0" w:color="BFBFBF"/>
                  </w:tcBorders>
                </w:tcPr>
                <w:p w14:paraId="556D4195" w14:textId="77777777" w:rsidR="00FC14FC" w:rsidRDefault="00FC14FC" w:rsidP="00D11B9D">
                  <w:pPr>
                    <w:pStyle w:val="TableColumnHeading"/>
                  </w:pPr>
                  <w:r>
                    <w:t>2007</w:t>
                  </w:r>
                </w:p>
              </w:tc>
              <w:tc>
                <w:tcPr>
                  <w:tcW w:w="343" w:type="pct"/>
                  <w:tcBorders>
                    <w:top w:val="single" w:sz="6" w:space="0" w:color="BFBFBF"/>
                    <w:bottom w:val="single" w:sz="6" w:space="0" w:color="BFBFBF"/>
                  </w:tcBorders>
                </w:tcPr>
                <w:p w14:paraId="5B79D442" w14:textId="77777777" w:rsidR="00FC14FC" w:rsidRDefault="00FC14FC" w:rsidP="00D11B9D">
                  <w:pPr>
                    <w:pStyle w:val="TableColumnHeading"/>
                  </w:pPr>
                  <w:r>
                    <w:t>2008</w:t>
                  </w:r>
                </w:p>
              </w:tc>
              <w:tc>
                <w:tcPr>
                  <w:tcW w:w="342" w:type="pct"/>
                  <w:tcBorders>
                    <w:top w:val="single" w:sz="6" w:space="0" w:color="BFBFBF"/>
                    <w:bottom w:val="single" w:sz="6" w:space="0" w:color="BFBFBF"/>
                  </w:tcBorders>
                </w:tcPr>
                <w:p w14:paraId="6BD0CDBA" w14:textId="77777777" w:rsidR="00FC14FC" w:rsidRDefault="00FC14FC" w:rsidP="00D11B9D">
                  <w:pPr>
                    <w:pStyle w:val="TableColumnHeading"/>
                  </w:pPr>
                  <w:r>
                    <w:t>2009</w:t>
                  </w:r>
                </w:p>
              </w:tc>
              <w:tc>
                <w:tcPr>
                  <w:tcW w:w="343" w:type="pct"/>
                  <w:tcBorders>
                    <w:top w:val="single" w:sz="6" w:space="0" w:color="BFBFBF"/>
                    <w:bottom w:val="single" w:sz="6" w:space="0" w:color="BFBFBF"/>
                  </w:tcBorders>
                </w:tcPr>
                <w:p w14:paraId="44714C09" w14:textId="77777777" w:rsidR="00FC14FC" w:rsidRDefault="00FC14FC" w:rsidP="00D11B9D">
                  <w:pPr>
                    <w:pStyle w:val="TableColumnHeading"/>
                  </w:pPr>
                  <w:r>
                    <w:t>2010</w:t>
                  </w:r>
                </w:p>
              </w:tc>
              <w:tc>
                <w:tcPr>
                  <w:tcW w:w="343" w:type="pct"/>
                  <w:tcBorders>
                    <w:top w:val="single" w:sz="6" w:space="0" w:color="BFBFBF"/>
                    <w:bottom w:val="single" w:sz="6" w:space="0" w:color="BFBFBF"/>
                  </w:tcBorders>
                </w:tcPr>
                <w:p w14:paraId="497ECBA9" w14:textId="77777777" w:rsidR="00FC14FC" w:rsidRDefault="00FC14FC" w:rsidP="00D11B9D">
                  <w:pPr>
                    <w:pStyle w:val="TableColumnHeading"/>
                  </w:pPr>
                  <w:r>
                    <w:t>2011</w:t>
                  </w:r>
                </w:p>
              </w:tc>
              <w:tc>
                <w:tcPr>
                  <w:tcW w:w="343" w:type="pct"/>
                  <w:tcBorders>
                    <w:top w:val="single" w:sz="6" w:space="0" w:color="BFBFBF"/>
                    <w:bottom w:val="single" w:sz="6" w:space="0" w:color="BFBFBF"/>
                  </w:tcBorders>
                </w:tcPr>
                <w:p w14:paraId="2057FCCC" w14:textId="77777777" w:rsidR="00FC14FC" w:rsidRDefault="00FC14FC" w:rsidP="00D11B9D">
                  <w:pPr>
                    <w:pStyle w:val="TableColumnHeading"/>
                  </w:pPr>
                  <w:r>
                    <w:t>2012</w:t>
                  </w:r>
                </w:p>
              </w:tc>
              <w:tc>
                <w:tcPr>
                  <w:tcW w:w="342" w:type="pct"/>
                  <w:tcBorders>
                    <w:top w:val="single" w:sz="6" w:space="0" w:color="BFBFBF"/>
                    <w:bottom w:val="single" w:sz="6" w:space="0" w:color="BFBFBF"/>
                  </w:tcBorders>
                </w:tcPr>
                <w:p w14:paraId="6A89CEE3" w14:textId="77777777" w:rsidR="00FC14FC" w:rsidRDefault="00FC14FC" w:rsidP="00D11B9D">
                  <w:pPr>
                    <w:pStyle w:val="TableColumnHeading"/>
                  </w:pPr>
                  <w:r>
                    <w:t>2013</w:t>
                  </w:r>
                </w:p>
              </w:tc>
              <w:tc>
                <w:tcPr>
                  <w:tcW w:w="343" w:type="pct"/>
                  <w:tcBorders>
                    <w:top w:val="single" w:sz="6" w:space="0" w:color="BFBFBF"/>
                    <w:bottom w:val="single" w:sz="6" w:space="0" w:color="BFBFBF"/>
                  </w:tcBorders>
                </w:tcPr>
                <w:p w14:paraId="43D2BDD2" w14:textId="77777777" w:rsidR="00FC14FC" w:rsidRDefault="00FC14FC" w:rsidP="00D11B9D">
                  <w:pPr>
                    <w:pStyle w:val="TableColumnHeading"/>
                  </w:pPr>
                  <w:r>
                    <w:t>2014</w:t>
                  </w:r>
                </w:p>
              </w:tc>
              <w:tc>
                <w:tcPr>
                  <w:tcW w:w="343" w:type="pct"/>
                  <w:tcBorders>
                    <w:top w:val="single" w:sz="6" w:space="0" w:color="BFBFBF"/>
                    <w:bottom w:val="single" w:sz="6" w:space="0" w:color="BFBFBF"/>
                  </w:tcBorders>
                  <w:shd w:val="clear" w:color="auto" w:fill="auto"/>
                  <w:tcMar>
                    <w:top w:w="28" w:type="dxa"/>
                  </w:tcMar>
                </w:tcPr>
                <w:p w14:paraId="06C8F596" w14:textId="77777777" w:rsidR="00FC14FC" w:rsidRDefault="00FC14FC" w:rsidP="00D11B9D">
                  <w:pPr>
                    <w:pStyle w:val="TableColumnHeading"/>
                  </w:pPr>
                  <w:r>
                    <w:t>2015</w:t>
                  </w:r>
                </w:p>
              </w:tc>
              <w:tc>
                <w:tcPr>
                  <w:tcW w:w="343" w:type="pct"/>
                  <w:tcBorders>
                    <w:top w:val="single" w:sz="6" w:space="0" w:color="BFBFBF"/>
                    <w:bottom w:val="single" w:sz="6" w:space="0" w:color="BFBFBF"/>
                  </w:tcBorders>
                </w:tcPr>
                <w:p w14:paraId="66823C3A" w14:textId="77777777" w:rsidR="00FC14FC" w:rsidRDefault="00FC14FC" w:rsidP="00D11B9D">
                  <w:pPr>
                    <w:pStyle w:val="TableColumnHeading"/>
                  </w:pPr>
                  <w:r>
                    <w:t>2016</w:t>
                  </w:r>
                </w:p>
              </w:tc>
              <w:tc>
                <w:tcPr>
                  <w:tcW w:w="343" w:type="pct"/>
                  <w:tcBorders>
                    <w:top w:val="single" w:sz="6" w:space="0" w:color="BFBFBF"/>
                    <w:bottom w:val="single" w:sz="6" w:space="0" w:color="BFBFBF"/>
                  </w:tcBorders>
                  <w:shd w:val="clear" w:color="auto" w:fill="auto"/>
                  <w:tcMar>
                    <w:top w:w="28" w:type="dxa"/>
                  </w:tcMar>
                </w:tcPr>
                <w:p w14:paraId="2D4D7AE0" w14:textId="77777777" w:rsidR="00FC14FC" w:rsidRDefault="00FC14FC" w:rsidP="00D11B9D">
                  <w:pPr>
                    <w:pStyle w:val="TableColumnHeading"/>
                    <w:ind w:right="28"/>
                  </w:pPr>
                  <w:r>
                    <w:t>2017</w:t>
                  </w:r>
                </w:p>
              </w:tc>
            </w:tr>
            <w:tr w:rsidR="00FC14FC" w14:paraId="2AE0E16B" w14:textId="77777777" w:rsidTr="00D11B9D">
              <w:tc>
                <w:tcPr>
                  <w:tcW w:w="543" w:type="pct"/>
                  <w:tcBorders>
                    <w:top w:val="single" w:sz="6" w:space="0" w:color="BFBFBF"/>
                  </w:tcBorders>
                </w:tcPr>
                <w:p w14:paraId="29955A56" w14:textId="77777777" w:rsidR="00FC14FC" w:rsidRDefault="00FC14FC" w:rsidP="00D11B9D">
                  <w:pPr>
                    <w:pStyle w:val="TableBodyText"/>
                    <w:spacing w:before="40"/>
                    <w:jc w:val="left"/>
                  </w:pPr>
                  <w:r>
                    <w:t>System</w:t>
                  </w:r>
                </w:p>
              </w:tc>
              <w:tc>
                <w:tcPr>
                  <w:tcW w:w="342" w:type="pct"/>
                  <w:tcBorders>
                    <w:top w:val="single" w:sz="6" w:space="0" w:color="BFBFBF"/>
                  </w:tcBorders>
                </w:tcPr>
                <w:p w14:paraId="61B7577A" w14:textId="77777777" w:rsidR="00FC14FC" w:rsidRPr="00240D28" w:rsidRDefault="00FC14FC" w:rsidP="00D11B9D">
                  <w:pPr>
                    <w:pStyle w:val="TableBodyText"/>
                    <w:spacing w:before="40"/>
                  </w:pPr>
                  <w:r w:rsidRPr="00240D28">
                    <w:t>63.8</w:t>
                  </w:r>
                </w:p>
              </w:tc>
              <w:tc>
                <w:tcPr>
                  <w:tcW w:w="343" w:type="pct"/>
                  <w:tcBorders>
                    <w:top w:val="single" w:sz="6" w:space="0" w:color="BFBFBF"/>
                  </w:tcBorders>
                </w:tcPr>
                <w:p w14:paraId="51A3D30A" w14:textId="77777777" w:rsidR="00FC14FC" w:rsidRPr="00240D28" w:rsidRDefault="00FC14FC" w:rsidP="00D11B9D">
                  <w:pPr>
                    <w:pStyle w:val="TableBodyText"/>
                    <w:spacing w:before="40"/>
                  </w:pPr>
                  <w:r w:rsidRPr="00240D28">
                    <w:t>37.7</w:t>
                  </w:r>
                </w:p>
              </w:tc>
              <w:tc>
                <w:tcPr>
                  <w:tcW w:w="343" w:type="pct"/>
                  <w:tcBorders>
                    <w:top w:val="single" w:sz="6" w:space="0" w:color="BFBFBF"/>
                  </w:tcBorders>
                </w:tcPr>
                <w:p w14:paraId="14E3F9CE" w14:textId="77777777" w:rsidR="00FC14FC" w:rsidRPr="00240D28" w:rsidRDefault="00FC14FC" w:rsidP="00D11B9D">
                  <w:pPr>
                    <w:pStyle w:val="TableBodyText"/>
                    <w:spacing w:before="40"/>
                  </w:pPr>
                  <w:r w:rsidRPr="00240D28">
                    <w:t>45.2</w:t>
                  </w:r>
                </w:p>
              </w:tc>
              <w:tc>
                <w:tcPr>
                  <w:tcW w:w="343" w:type="pct"/>
                  <w:tcBorders>
                    <w:top w:val="single" w:sz="6" w:space="0" w:color="BFBFBF"/>
                  </w:tcBorders>
                </w:tcPr>
                <w:p w14:paraId="08F31F24" w14:textId="77777777" w:rsidR="00FC14FC" w:rsidRPr="00240D28" w:rsidRDefault="00FC14FC" w:rsidP="00D11B9D">
                  <w:pPr>
                    <w:pStyle w:val="TableBodyText"/>
                    <w:spacing w:before="40"/>
                  </w:pPr>
                  <w:r w:rsidRPr="00240D28">
                    <w:t>51.2</w:t>
                  </w:r>
                </w:p>
              </w:tc>
              <w:tc>
                <w:tcPr>
                  <w:tcW w:w="342" w:type="pct"/>
                  <w:tcBorders>
                    <w:top w:val="single" w:sz="6" w:space="0" w:color="BFBFBF"/>
                  </w:tcBorders>
                </w:tcPr>
                <w:p w14:paraId="71FE709B" w14:textId="77777777" w:rsidR="00FC14FC" w:rsidRPr="00240D28" w:rsidRDefault="00FC14FC" w:rsidP="00D11B9D">
                  <w:pPr>
                    <w:pStyle w:val="TableBodyText"/>
                    <w:spacing w:before="40"/>
                  </w:pPr>
                  <w:r w:rsidRPr="00240D28">
                    <w:t>68.5</w:t>
                  </w:r>
                </w:p>
              </w:tc>
              <w:tc>
                <w:tcPr>
                  <w:tcW w:w="343" w:type="pct"/>
                  <w:tcBorders>
                    <w:top w:val="single" w:sz="6" w:space="0" w:color="BFBFBF"/>
                  </w:tcBorders>
                </w:tcPr>
                <w:p w14:paraId="4932E3EB" w14:textId="77777777" w:rsidR="00FC14FC" w:rsidRPr="00240D28" w:rsidRDefault="00FC14FC" w:rsidP="00D11B9D">
                  <w:pPr>
                    <w:pStyle w:val="TableBodyText"/>
                    <w:spacing w:before="40"/>
                  </w:pPr>
                  <w:r w:rsidRPr="00240D28">
                    <w:t>62.5</w:t>
                  </w:r>
                </w:p>
              </w:tc>
              <w:tc>
                <w:tcPr>
                  <w:tcW w:w="343" w:type="pct"/>
                  <w:tcBorders>
                    <w:top w:val="single" w:sz="6" w:space="0" w:color="BFBFBF"/>
                  </w:tcBorders>
                </w:tcPr>
                <w:p w14:paraId="405E80B8" w14:textId="77777777" w:rsidR="00FC14FC" w:rsidRPr="00240D28" w:rsidRDefault="00FC14FC" w:rsidP="00D11B9D">
                  <w:pPr>
                    <w:pStyle w:val="TableBodyText"/>
                    <w:spacing w:before="40"/>
                  </w:pPr>
                  <w:r w:rsidRPr="00240D28">
                    <w:t>69.8</w:t>
                  </w:r>
                </w:p>
              </w:tc>
              <w:tc>
                <w:tcPr>
                  <w:tcW w:w="343" w:type="pct"/>
                  <w:tcBorders>
                    <w:top w:val="single" w:sz="6" w:space="0" w:color="BFBFBF"/>
                  </w:tcBorders>
                </w:tcPr>
                <w:p w14:paraId="047CDE3A" w14:textId="77777777" w:rsidR="00FC14FC" w:rsidRPr="00240D28" w:rsidRDefault="00FC14FC" w:rsidP="00D11B9D">
                  <w:pPr>
                    <w:pStyle w:val="TableBodyText"/>
                    <w:spacing w:before="40"/>
                  </w:pPr>
                  <w:r w:rsidRPr="00240D28">
                    <w:t>66.7</w:t>
                  </w:r>
                </w:p>
              </w:tc>
              <w:tc>
                <w:tcPr>
                  <w:tcW w:w="342" w:type="pct"/>
                  <w:tcBorders>
                    <w:top w:val="single" w:sz="6" w:space="0" w:color="BFBFBF"/>
                  </w:tcBorders>
                </w:tcPr>
                <w:p w14:paraId="45660035" w14:textId="77777777" w:rsidR="00FC14FC" w:rsidRPr="00240D28" w:rsidRDefault="00FC14FC" w:rsidP="00D11B9D">
                  <w:pPr>
                    <w:pStyle w:val="TableBodyText"/>
                    <w:spacing w:before="40"/>
                  </w:pPr>
                  <w:r w:rsidRPr="00240D28">
                    <w:t>70.9</w:t>
                  </w:r>
                </w:p>
              </w:tc>
              <w:tc>
                <w:tcPr>
                  <w:tcW w:w="343" w:type="pct"/>
                  <w:tcBorders>
                    <w:top w:val="single" w:sz="6" w:space="0" w:color="BFBFBF"/>
                  </w:tcBorders>
                </w:tcPr>
                <w:p w14:paraId="7522C060" w14:textId="77777777" w:rsidR="00FC14FC" w:rsidRPr="00240D28" w:rsidRDefault="00FC14FC" w:rsidP="00D11B9D">
                  <w:pPr>
                    <w:pStyle w:val="TableBodyText"/>
                    <w:spacing w:before="40"/>
                  </w:pPr>
                  <w:r w:rsidRPr="00240D28">
                    <w:t>69.8</w:t>
                  </w:r>
                </w:p>
              </w:tc>
              <w:tc>
                <w:tcPr>
                  <w:tcW w:w="343" w:type="pct"/>
                  <w:tcBorders>
                    <w:top w:val="single" w:sz="6" w:space="0" w:color="BFBFBF"/>
                  </w:tcBorders>
                  <w:shd w:val="clear" w:color="auto" w:fill="auto"/>
                </w:tcPr>
                <w:p w14:paraId="513B1BE2" w14:textId="77777777" w:rsidR="00FC14FC" w:rsidRPr="00240D28" w:rsidRDefault="00FC14FC" w:rsidP="00D11B9D">
                  <w:pPr>
                    <w:pStyle w:val="TableBodyText"/>
                    <w:spacing w:before="40"/>
                  </w:pPr>
                  <w:r w:rsidRPr="00240D28">
                    <w:t>72.0</w:t>
                  </w:r>
                </w:p>
              </w:tc>
              <w:tc>
                <w:tcPr>
                  <w:tcW w:w="343" w:type="pct"/>
                  <w:tcBorders>
                    <w:top w:val="single" w:sz="6" w:space="0" w:color="BFBFBF"/>
                  </w:tcBorders>
                </w:tcPr>
                <w:p w14:paraId="63A9946D" w14:textId="77777777" w:rsidR="00FC14FC" w:rsidRPr="00240D28" w:rsidRDefault="00FC14FC" w:rsidP="00D11B9D">
                  <w:pPr>
                    <w:pStyle w:val="TableBodyText"/>
                    <w:spacing w:before="40"/>
                  </w:pPr>
                  <w:r w:rsidRPr="00240D28">
                    <w:t>75.4</w:t>
                  </w:r>
                </w:p>
              </w:tc>
              <w:tc>
                <w:tcPr>
                  <w:tcW w:w="343" w:type="pct"/>
                  <w:tcBorders>
                    <w:top w:val="single" w:sz="6" w:space="0" w:color="BFBFBF"/>
                  </w:tcBorders>
                  <w:shd w:val="clear" w:color="auto" w:fill="auto"/>
                </w:tcPr>
                <w:p w14:paraId="7BB005F1" w14:textId="77777777" w:rsidR="00FC14FC" w:rsidRPr="00240D28" w:rsidRDefault="00FC14FC" w:rsidP="00D11B9D">
                  <w:pPr>
                    <w:pStyle w:val="TableBodyText"/>
                    <w:spacing w:before="40"/>
                    <w:ind w:right="28"/>
                  </w:pPr>
                  <w:r w:rsidRPr="00240D28">
                    <w:t>76.1</w:t>
                  </w:r>
                </w:p>
              </w:tc>
            </w:tr>
            <w:tr w:rsidR="00FC14FC" w14:paraId="3455A48D" w14:textId="77777777" w:rsidTr="00D11B9D">
              <w:tc>
                <w:tcPr>
                  <w:tcW w:w="543" w:type="pct"/>
                  <w:shd w:val="pct5" w:color="auto" w:fill="auto"/>
                </w:tcPr>
                <w:p w14:paraId="10348AE2" w14:textId="77777777" w:rsidR="00FC14FC" w:rsidRDefault="00FC14FC" w:rsidP="00D11B9D">
                  <w:pPr>
                    <w:pStyle w:val="TableBodyText"/>
                    <w:jc w:val="left"/>
                  </w:pPr>
                  <w:r>
                    <w:t>Corporate</w:t>
                  </w:r>
                </w:p>
              </w:tc>
              <w:tc>
                <w:tcPr>
                  <w:tcW w:w="342" w:type="pct"/>
                  <w:shd w:val="pct5" w:color="auto" w:fill="auto"/>
                  <w:vAlign w:val="bottom"/>
                </w:tcPr>
                <w:p w14:paraId="4AC0BEBE" w14:textId="77777777" w:rsidR="00FC14FC" w:rsidRPr="00240D28" w:rsidRDefault="00FC14FC" w:rsidP="00D11B9D">
                  <w:pPr>
                    <w:pStyle w:val="TableBodyText"/>
                  </w:pPr>
                  <w:r w:rsidRPr="00240D28">
                    <w:t>41.4</w:t>
                  </w:r>
                </w:p>
              </w:tc>
              <w:tc>
                <w:tcPr>
                  <w:tcW w:w="343" w:type="pct"/>
                  <w:shd w:val="pct5" w:color="auto" w:fill="auto"/>
                  <w:vAlign w:val="bottom"/>
                </w:tcPr>
                <w:p w14:paraId="5F62532B" w14:textId="77777777" w:rsidR="00FC14FC" w:rsidRPr="00240D28" w:rsidRDefault="00FC14FC" w:rsidP="00D11B9D">
                  <w:pPr>
                    <w:pStyle w:val="TableBodyText"/>
                  </w:pPr>
                  <w:r w:rsidRPr="00240D28">
                    <w:t>41.4</w:t>
                  </w:r>
                </w:p>
              </w:tc>
              <w:tc>
                <w:tcPr>
                  <w:tcW w:w="343" w:type="pct"/>
                  <w:shd w:val="pct5" w:color="auto" w:fill="auto"/>
                  <w:vAlign w:val="bottom"/>
                </w:tcPr>
                <w:p w14:paraId="5A1D71C9" w14:textId="77777777" w:rsidR="00FC14FC" w:rsidRPr="00240D28" w:rsidRDefault="00FC14FC" w:rsidP="00D11B9D">
                  <w:pPr>
                    <w:pStyle w:val="TableBodyText"/>
                  </w:pPr>
                  <w:r w:rsidRPr="00240D28">
                    <w:t>60.0</w:t>
                  </w:r>
                </w:p>
              </w:tc>
              <w:tc>
                <w:tcPr>
                  <w:tcW w:w="343" w:type="pct"/>
                  <w:shd w:val="pct5" w:color="auto" w:fill="auto"/>
                  <w:vAlign w:val="bottom"/>
                </w:tcPr>
                <w:p w14:paraId="36A30BB4" w14:textId="77777777" w:rsidR="00FC14FC" w:rsidRPr="00240D28" w:rsidRDefault="00FC14FC" w:rsidP="00D11B9D">
                  <w:pPr>
                    <w:pStyle w:val="TableBodyText"/>
                  </w:pPr>
                  <w:r w:rsidRPr="00240D28">
                    <w:t>65.0</w:t>
                  </w:r>
                </w:p>
              </w:tc>
              <w:tc>
                <w:tcPr>
                  <w:tcW w:w="342" w:type="pct"/>
                  <w:shd w:val="pct5" w:color="auto" w:fill="auto"/>
                  <w:vAlign w:val="bottom"/>
                </w:tcPr>
                <w:p w14:paraId="2804D082" w14:textId="77777777" w:rsidR="00FC14FC" w:rsidRPr="00240D28" w:rsidRDefault="00FC14FC" w:rsidP="00D11B9D">
                  <w:pPr>
                    <w:pStyle w:val="TableBodyText"/>
                  </w:pPr>
                  <w:r w:rsidRPr="00240D28">
                    <w:t>75.0</w:t>
                  </w:r>
                </w:p>
              </w:tc>
              <w:tc>
                <w:tcPr>
                  <w:tcW w:w="343" w:type="pct"/>
                  <w:shd w:val="pct5" w:color="auto" w:fill="auto"/>
                  <w:vAlign w:val="bottom"/>
                </w:tcPr>
                <w:p w14:paraId="5BBFD614" w14:textId="77777777" w:rsidR="00FC14FC" w:rsidRPr="00240D28" w:rsidRDefault="00FC14FC" w:rsidP="00D11B9D">
                  <w:pPr>
                    <w:pStyle w:val="TableBodyText"/>
                  </w:pPr>
                  <w:r w:rsidRPr="00240D28">
                    <w:t>33.4</w:t>
                  </w:r>
                </w:p>
              </w:tc>
              <w:tc>
                <w:tcPr>
                  <w:tcW w:w="343" w:type="pct"/>
                  <w:shd w:val="pct5" w:color="auto" w:fill="auto"/>
                  <w:vAlign w:val="bottom"/>
                </w:tcPr>
                <w:p w14:paraId="6984A8B6" w14:textId="77777777" w:rsidR="00FC14FC" w:rsidRPr="00240D28" w:rsidRDefault="00FC14FC" w:rsidP="00D11B9D">
                  <w:pPr>
                    <w:pStyle w:val="TableBodyText"/>
                  </w:pPr>
                  <w:r w:rsidRPr="00240D28">
                    <w:t>43.8</w:t>
                  </w:r>
                </w:p>
              </w:tc>
              <w:tc>
                <w:tcPr>
                  <w:tcW w:w="343" w:type="pct"/>
                  <w:shd w:val="pct5" w:color="auto" w:fill="auto"/>
                  <w:vAlign w:val="bottom"/>
                </w:tcPr>
                <w:p w14:paraId="21493A17" w14:textId="77777777" w:rsidR="00FC14FC" w:rsidRPr="00240D28" w:rsidRDefault="00FC14FC" w:rsidP="00D11B9D">
                  <w:pPr>
                    <w:pStyle w:val="TableBodyText"/>
                  </w:pPr>
                  <w:r w:rsidRPr="00240D28">
                    <w:t>48.5</w:t>
                  </w:r>
                </w:p>
              </w:tc>
              <w:tc>
                <w:tcPr>
                  <w:tcW w:w="342" w:type="pct"/>
                  <w:shd w:val="pct5" w:color="auto" w:fill="auto"/>
                  <w:vAlign w:val="bottom"/>
                </w:tcPr>
                <w:p w14:paraId="11465462" w14:textId="77777777" w:rsidR="00FC14FC" w:rsidRPr="00240D28" w:rsidRDefault="00FC14FC" w:rsidP="00D11B9D">
                  <w:pPr>
                    <w:pStyle w:val="TableBodyText"/>
                  </w:pPr>
                  <w:r w:rsidRPr="00240D28">
                    <w:t>52.8</w:t>
                  </w:r>
                </w:p>
              </w:tc>
              <w:tc>
                <w:tcPr>
                  <w:tcW w:w="343" w:type="pct"/>
                  <w:shd w:val="pct5" w:color="auto" w:fill="auto"/>
                  <w:vAlign w:val="bottom"/>
                </w:tcPr>
                <w:p w14:paraId="521FE6C7" w14:textId="77777777" w:rsidR="00FC14FC" w:rsidRPr="00240D28" w:rsidRDefault="00FC14FC" w:rsidP="00D11B9D">
                  <w:pPr>
                    <w:pStyle w:val="TableBodyText"/>
                  </w:pPr>
                  <w:r w:rsidRPr="00240D28">
                    <w:t>37.0</w:t>
                  </w:r>
                </w:p>
              </w:tc>
              <w:tc>
                <w:tcPr>
                  <w:tcW w:w="343" w:type="pct"/>
                  <w:shd w:val="pct5" w:color="auto" w:fill="auto"/>
                  <w:vAlign w:val="bottom"/>
                </w:tcPr>
                <w:p w14:paraId="2CE53C75" w14:textId="77777777" w:rsidR="00FC14FC" w:rsidRPr="00240D28" w:rsidRDefault="00FC14FC" w:rsidP="00D11B9D">
                  <w:pPr>
                    <w:pStyle w:val="TableBodyText"/>
                  </w:pPr>
                  <w:r>
                    <w:t>–</w:t>
                  </w:r>
                </w:p>
              </w:tc>
              <w:tc>
                <w:tcPr>
                  <w:tcW w:w="343" w:type="pct"/>
                  <w:shd w:val="pct5" w:color="auto" w:fill="auto"/>
                  <w:vAlign w:val="bottom"/>
                </w:tcPr>
                <w:p w14:paraId="714D1803" w14:textId="77777777" w:rsidR="00FC14FC" w:rsidRPr="00240D28" w:rsidRDefault="00FC14FC" w:rsidP="00D11B9D">
                  <w:pPr>
                    <w:pStyle w:val="TableBodyText"/>
                  </w:pPr>
                  <w:r>
                    <w:t>–</w:t>
                  </w:r>
                </w:p>
              </w:tc>
              <w:tc>
                <w:tcPr>
                  <w:tcW w:w="343" w:type="pct"/>
                  <w:shd w:val="pct5" w:color="auto" w:fill="auto"/>
                  <w:vAlign w:val="bottom"/>
                </w:tcPr>
                <w:p w14:paraId="359F1E2E" w14:textId="77777777" w:rsidR="00FC14FC" w:rsidRPr="00240D28" w:rsidRDefault="00FC14FC" w:rsidP="00D11B9D">
                  <w:pPr>
                    <w:pStyle w:val="TableBodyText"/>
                    <w:ind w:right="28"/>
                  </w:pPr>
                  <w:r w:rsidRPr="00240D28">
                    <w:t>39.6</w:t>
                  </w:r>
                </w:p>
              </w:tc>
            </w:tr>
            <w:tr w:rsidR="00FC14FC" w14:paraId="729C8C33" w14:textId="77777777" w:rsidTr="00D11B9D">
              <w:tc>
                <w:tcPr>
                  <w:tcW w:w="543" w:type="pct"/>
                </w:tcPr>
                <w:p w14:paraId="549686E5" w14:textId="77777777" w:rsidR="00FC14FC" w:rsidRDefault="00FC14FC" w:rsidP="00D11B9D">
                  <w:pPr>
                    <w:pStyle w:val="TableBodyText"/>
                    <w:jc w:val="left"/>
                  </w:pPr>
                  <w:r>
                    <w:t>Industry</w:t>
                  </w:r>
                </w:p>
              </w:tc>
              <w:tc>
                <w:tcPr>
                  <w:tcW w:w="342" w:type="pct"/>
                  <w:vAlign w:val="bottom"/>
                </w:tcPr>
                <w:p w14:paraId="2DC1D895" w14:textId="77777777" w:rsidR="00FC14FC" w:rsidRPr="00240D28" w:rsidRDefault="00FC14FC" w:rsidP="00D11B9D">
                  <w:pPr>
                    <w:pStyle w:val="TableBodyText"/>
                  </w:pPr>
                  <w:r w:rsidRPr="00240D28">
                    <w:t>49.8</w:t>
                  </w:r>
                </w:p>
              </w:tc>
              <w:tc>
                <w:tcPr>
                  <w:tcW w:w="343" w:type="pct"/>
                  <w:vAlign w:val="bottom"/>
                </w:tcPr>
                <w:p w14:paraId="009E9A5C" w14:textId="77777777" w:rsidR="00FC14FC" w:rsidRPr="00240D28" w:rsidRDefault="00FC14FC" w:rsidP="00D11B9D">
                  <w:pPr>
                    <w:pStyle w:val="TableBodyText"/>
                  </w:pPr>
                  <w:r w:rsidRPr="00240D28">
                    <w:t>33.6</w:t>
                  </w:r>
                </w:p>
              </w:tc>
              <w:tc>
                <w:tcPr>
                  <w:tcW w:w="343" w:type="pct"/>
                  <w:vAlign w:val="bottom"/>
                </w:tcPr>
                <w:p w14:paraId="5F9460CF" w14:textId="77777777" w:rsidR="00FC14FC" w:rsidRPr="00240D28" w:rsidRDefault="00FC14FC" w:rsidP="00D11B9D">
                  <w:pPr>
                    <w:pStyle w:val="TableBodyText"/>
                  </w:pPr>
                  <w:r w:rsidRPr="00240D28">
                    <w:t>39.6</w:t>
                  </w:r>
                </w:p>
              </w:tc>
              <w:tc>
                <w:tcPr>
                  <w:tcW w:w="343" w:type="pct"/>
                  <w:vAlign w:val="bottom"/>
                </w:tcPr>
                <w:p w14:paraId="5A52D78A" w14:textId="77777777" w:rsidR="00FC14FC" w:rsidRPr="00240D28" w:rsidRDefault="00FC14FC" w:rsidP="00D11B9D">
                  <w:pPr>
                    <w:pStyle w:val="TableBodyText"/>
                  </w:pPr>
                  <w:r w:rsidRPr="00240D28">
                    <w:t>45.6</w:t>
                  </w:r>
                </w:p>
              </w:tc>
              <w:tc>
                <w:tcPr>
                  <w:tcW w:w="342" w:type="pct"/>
                  <w:vAlign w:val="bottom"/>
                </w:tcPr>
                <w:p w14:paraId="3723B57B" w14:textId="77777777" w:rsidR="00FC14FC" w:rsidRPr="00240D28" w:rsidRDefault="00FC14FC" w:rsidP="00D11B9D">
                  <w:pPr>
                    <w:pStyle w:val="TableBodyText"/>
                  </w:pPr>
                  <w:r w:rsidRPr="00240D28">
                    <w:t>53.7</w:t>
                  </w:r>
                </w:p>
              </w:tc>
              <w:tc>
                <w:tcPr>
                  <w:tcW w:w="343" w:type="pct"/>
                  <w:vAlign w:val="bottom"/>
                </w:tcPr>
                <w:p w14:paraId="6FF5FC2F" w14:textId="77777777" w:rsidR="00FC14FC" w:rsidRPr="00240D28" w:rsidRDefault="00FC14FC" w:rsidP="00D11B9D">
                  <w:pPr>
                    <w:pStyle w:val="TableBodyText"/>
                  </w:pPr>
                  <w:r w:rsidRPr="00240D28">
                    <w:t>45.0</w:t>
                  </w:r>
                </w:p>
              </w:tc>
              <w:tc>
                <w:tcPr>
                  <w:tcW w:w="343" w:type="pct"/>
                  <w:vAlign w:val="bottom"/>
                </w:tcPr>
                <w:p w14:paraId="4AD8825F" w14:textId="77777777" w:rsidR="00FC14FC" w:rsidRPr="00240D28" w:rsidRDefault="00FC14FC" w:rsidP="00D11B9D">
                  <w:pPr>
                    <w:pStyle w:val="TableBodyText"/>
                  </w:pPr>
                  <w:r w:rsidRPr="00240D28">
                    <w:t>36.2</w:t>
                  </w:r>
                </w:p>
              </w:tc>
              <w:tc>
                <w:tcPr>
                  <w:tcW w:w="343" w:type="pct"/>
                  <w:vAlign w:val="bottom"/>
                </w:tcPr>
                <w:p w14:paraId="6F0E548B" w14:textId="77777777" w:rsidR="00FC14FC" w:rsidRPr="00240D28" w:rsidRDefault="00FC14FC" w:rsidP="00D11B9D">
                  <w:pPr>
                    <w:pStyle w:val="TableBodyText"/>
                  </w:pPr>
                  <w:r w:rsidRPr="00240D28">
                    <w:t>52.0</w:t>
                  </w:r>
                </w:p>
              </w:tc>
              <w:tc>
                <w:tcPr>
                  <w:tcW w:w="342" w:type="pct"/>
                  <w:vAlign w:val="bottom"/>
                </w:tcPr>
                <w:p w14:paraId="13CE5721" w14:textId="77777777" w:rsidR="00FC14FC" w:rsidRPr="00240D28" w:rsidRDefault="00FC14FC" w:rsidP="00D11B9D">
                  <w:pPr>
                    <w:pStyle w:val="TableBodyText"/>
                  </w:pPr>
                  <w:r w:rsidRPr="00240D28">
                    <w:t>53.4</w:t>
                  </w:r>
                </w:p>
              </w:tc>
              <w:tc>
                <w:tcPr>
                  <w:tcW w:w="343" w:type="pct"/>
                  <w:vAlign w:val="bottom"/>
                </w:tcPr>
                <w:p w14:paraId="6DF13F90" w14:textId="77777777" w:rsidR="00FC14FC" w:rsidRPr="00240D28" w:rsidRDefault="00FC14FC" w:rsidP="00D11B9D">
                  <w:pPr>
                    <w:pStyle w:val="TableBodyText"/>
                  </w:pPr>
                  <w:r w:rsidRPr="00240D28">
                    <w:t>54.2</w:t>
                  </w:r>
                </w:p>
              </w:tc>
              <w:tc>
                <w:tcPr>
                  <w:tcW w:w="343" w:type="pct"/>
                  <w:shd w:val="clear" w:color="auto" w:fill="auto"/>
                  <w:vAlign w:val="bottom"/>
                </w:tcPr>
                <w:p w14:paraId="5B206874" w14:textId="77777777" w:rsidR="00FC14FC" w:rsidRPr="00240D28" w:rsidRDefault="00FC14FC" w:rsidP="00D11B9D">
                  <w:pPr>
                    <w:pStyle w:val="TableBodyText"/>
                  </w:pPr>
                  <w:r w:rsidRPr="00240D28">
                    <w:t>57.7</w:t>
                  </w:r>
                </w:p>
              </w:tc>
              <w:tc>
                <w:tcPr>
                  <w:tcW w:w="343" w:type="pct"/>
                  <w:vAlign w:val="bottom"/>
                </w:tcPr>
                <w:p w14:paraId="05540EC6" w14:textId="77777777" w:rsidR="00FC14FC" w:rsidRPr="00240D28" w:rsidRDefault="00FC14FC" w:rsidP="00D11B9D">
                  <w:pPr>
                    <w:pStyle w:val="TableBodyText"/>
                  </w:pPr>
                  <w:r w:rsidRPr="00240D28">
                    <w:t>63.2</w:t>
                  </w:r>
                </w:p>
              </w:tc>
              <w:tc>
                <w:tcPr>
                  <w:tcW w:w="343" w:type="pct"/>
                  <w:shd w:val="clear" w:color="auto" w:fill="auto"/>
                  <w:vAlign w:val="bottom"/>
                </w:tcPr>
                <w:p w14:paraId="04C7733D" w14:textId="77777777" w:rsidR="00FC14FC" w:rsidRPr="00240D28" w:rsidRDefault="00FC14FC" w:rsidP="00D11B9D">
                  <w:pPr>
                    <w:pStyle w:val="TableBodyText"/>
                    <w:ind w:right="28"/>
                  </w:pPr>
                  <w:r w:rsidRPr="00240D28">
                    <w:t>63.2</w:t>
                  </w:r>
                </w:p>
              </w:tc>
            </w:tr>
            <w:tr w:rsidR="00FC14FC" w14:paraId="2E7BBB74" w14:textId="77777777" w:rsidTr="00D11B9D">
              <w:tc>
                <w:tcPr>
                  <w:tcW w:w="543" w:type="pct"/>
                  <w:shd w:val="pct5" w:color="auto" w:fill="auto"/>
                </w:tcPr>
                <w:p w14:paraId="7ABB84B3" w14:textId="77777777" w:rsidR="00FC14FC" w:rsidRDefault="00FC14FC" w:rsidP="00D11B9D">
                  <w:pPr>
                    <w:pStyle w:val="TableBodyText"/>
                    <w:jc w:val="left"/>
                  </w:pPr>
                  <w:r>
                    <w:t>Public Sector</w:t>
                  </w:r>
                </w:p>
              </w:tc>
              <w:tc>
                <w:tcPr>
                  <w:tcW w:w="342" w:type="pct"/>
                  <w:shd w:val="pct5" w:color="auto" w:fill="auto"/>
                  <w:vAlign w:val="bottom"/>
                </w:tcPr>
                <w:p w14:paraId="06DEB0C1" w14:textId="77777777" w:rsidR="00FC14FC" w:rsidRPr="00240D28" w:rsidRDefault="00FC14FC" w:rsidP="00D11B9D">
                  <w:pPr>
                    <w:pStyle w:val="TableBodyText"/>
                  </w:pPr>
                  <w:r w:rsidRPr="00240D28">
                    <w:t>77.5</w:t>
                  </w:r>
                </w:p>
              </w:tc>
              <w:tc>
                <w:tcPr>
                  <w:tcW w:w="343" w:type="pct"/>
                  <w:shd w:val="pct5" w:color="auto" w:fill="auto"/>
                  <w:vAlign w:val="bottom"/>
                </w:tcPr>
                <w:p w14:paraId="282F9AFB" w14:textId="77777777" w:rsidR="00FC14FC" w:rsidRPr="00240D28" w:rsidRDefault="00FC14FC" w:rsidP="00D11B9D">
                  <w:pPr>
                    <w:pStyle w:val="TableBodyText"/>
                  </w:pPr>
                  <w:r w:rsidRPr="00240D28">
                    <w:t>46.9</w:t>
                  </w:r>
                </w:p>
              </w:tc>
              <w:tc>
                <w:tcPr>
                  <w:tcW w:w="343" w:type="pct"/>
                  <w:shd w:val="pct5" w:color="auto" w:fill="auto"/>
                  <w:vAlign w:val="bottom"/>
                </w:tcPr>
                <w:p w14:paraId="455951DF" w14:textId="77777777" w:rsidR="00FC14FC" w:rsidRPr="00240D28" w:rsidRDefault="00FC14FC" w:rsidP="00D11B9D">
                  <w:pPr>
                    <w:pStyle w:val="TableBodyText"/>
                  </w:pPr>
                  <w:r w:rsidRPr="00240D28">
                    <w:t>44.0</w:t>
                  </w:r>
                </w:p>
              </w:tc>
              <w:tc>
                <w:tcPr>
                  <w:tcW w:w="343" w:type="pct"/>
                  <w:shd w:val="pct5" w:color="auto" w:fill="auto"/>
                  <w:vAlign w:val="bottom"/>
                </w:tcPr>
                <w:p w14:paraId="0EA6A4D1" w14:textId="77777777" w:rsidR="00FC14FC" w:rsidRPr="00240D28" w:rsidRDefault="00FC14FC" w:rsidP="00D11B9D">
                  <w:pPr>
                    <w:pStyle w:val="TableBodyText"/>
                  </w:pPr>
                  <w:r w:rsidRPr="00240D28">
                    <w:t>47.9</w:t>
                  </w:r>
                </w:p>
              </w:tc>
              <w:tc>
                <w:tcPr>
                  <w:tcW w:w="342" w:type="pct"/>
                  <w:shd w:val="pct5" w:color="auto" w:fill="auto"/>
                  <w:vAlign w:val="bottom"/>
                </w:tcPr>
                <w:p w14:paraId="2A0DA05F" w14:textId="77777777" w:rsidR="00FC14FC" w:rsidRPr="00240D28" w:rsidRDefault="00FC14FC" w:rsidP="00D11B9D">
                  <w:pPr>
                    <w:pStyle w:val="TableBodyText"/>
                  </w:pPr>
                  <w:r w:rsidRPr="00240D28">
                    <w:t>65.8</w:t>
                  </w:r>
                </w:p>
              </w:tc>
              <w:tc>
                <w:tcPr>
                  <w:tcW w:w="343" w:type="pct"/>
                  <w:shd w:val="pct5" w:color="auto" w:fill="auto"/>
                  <w:vAlign w:val="bottom"/>
                </w:tcPr>
                <w:p w14:paraId="67CE2A0F" w14:textId="77777777" w:rsidR="00FC14FC" w:rsidRPr="00240D28" w:rsidRDefault="00FC14FC" w:rsidP="00D11B9D">
                  <w:pPr>
                    <w:pStyle w:val="TableBodyText"/>
                  </w:pPr>
                  <w:r w:rsidRPr="00240D28">
                    <w:t>66.8</w:t>
                  </w:r>
                </w:p>
              </w:tc>
              <w:tc>
                <w:tcPr>
                  <w:tcW w:w="343" w:type="pct"/>
                  <w:shd w:val="pct5" w:color="auto" w:fill="auto"/>
                  <w:vAlign w:val="bottom"/>
                </w:tcPr>
                <w:p w14:paraId="6B308193" w14:textId="77777777" w:rsidR="00FC14FC" w:rsidRPr="00240D28" w:rsidRDefault="00FC14FC" w:rsidP="00D11B9D">
                  <w:pPr>
                    <w:pStyle w:val="TableBodyText"/>
                  </w:pPr>
                  <w:r w:rsidRPr="00240D28">
                    <w:t>82.3</w:t>
                  </w:r>
                </w:p>
              </w:tc>
              <w:tc>
                <w:tcPr>
                  <w:tcW w:w="343" w:type="pct"/>
                  <w:shd w:val="pct5" w:color="auto" w:fill="auto"/>
                  <w:vAlign w:val="bottom"/>
                </w:tcPr>
                <w:p w14:paraId="3EE7D578" w14:textId="77777777" w:rsidR="00FC14FC" w:rsidRPr="00240D28" w:rsidRDefault="00FC14FC" w:rsidP="00D11B9D">
                  <w:pPr>
                    <w:pStyle w:val="TableBodyText"/>
                  </w:pPr>
                  <w:r w:rsidRPr="00240D28">
                    <w:t>92.4</w:t>
                  </w:r>
                </w:p>
              </w:tc>
              <w:tc>
                <w:tcPr>
                  <w:tcW w:w="342" w:type="pct"/>
                  <w:shd w:val="pct5" w:color="auto" w:fill="auto"/>
                  <w:vAlign w:val="bottom"/>
                </w:tcPr>
                <w:p w14:paraId="5EF53A2D" w14:textId="77777777" w:rsidR="00FC14FC" w:rsidRPr="00240D28" w:rsidRDefault="00FC14FC" w:rsidP="00D11B9D">
                  <w:pPr>
                    <w:pStyle w:val="TableBodyText"/>
                  </w:pPr>
                  <w:r w:rsidRPr="00240D28">
                    <w:t>91.8</w:t>
                  </w:r>
                </w:p>
              </w:tc>
              <w:tc>
                <w:tcPr>
                  <w:tcW w:w="343" w:type="pct"/>
                  <w:shd w:val="pct5" w:color="auto" w:fill="auto"/>
                  <w:vAlign w:val="bottom"/>
                </w:tcPr>
                <w:p w14:paraId="00C5CB89" w14:textId="77777777" w:rsidR="00FC14FC" w:rsidRPr="00240D28" w:rsidRDefault="00FC14FC" w:rsidP="00D11B9D">
                  <w:pPr>
                    <w:pStyle w:val="TableBodyText"/>
                  </w:pPr>
                  <w:r w:rsidRPr="00240D28">
                    <w:t>95.6</w:t>
                  </w:r>
                </w:p>
              </w:tc>
              <w:tc>
                <w:tcPr>
                  <w:tcW w:w="343" w:type="pct"/>
                  <w:shd w:val="pct5" w:color="auto" w:fill="auto"/>
                  <w:vAlign w:val="bottom"/>
                </w:tcPr>
                <w:p w14:paraId="3F1DEB8F" w14:textId="77777777" w:rsidR="00FC14FC" w:rsidRPr="00240D28" w:rsidRDefault="00FC14FC" w:rsidP="00D11B9D">
                  <w:pPr>
                    <w:pStyle w:val="TableBodyText"/>
                  </w:pPr>
                  <w:r w:rsidRPr="00240D28">
                    <w:t>99.0</w:t>
                  </w:r>
                </w:p>
              </w:tc>
              <w:tc>
                <w:tcPr>
                  <w:tcW w:w="343" w:type="pct"/>
                  <w:shd w:val="pct5" w:color="auto" w:fill="auto"/>
                  <w:vAlign w:val="bottom"/>
                </w:tcPr>
                <w:p w14:paraId="79E2ADE8" w14:textId="77777777" w:rsidR="00FC14FC" w:rsidRPr="00240D28" w:rsidRDefault="00FC14FC" w:rsidP="00D11B9D">
                  <w:pPr>
                    <w:pStyle w:val="TableBodyText"/>
                  </w:pPr>
                  <w:r w:rsidRPr="00240D28">
                    <w:t>99.8</w:t>
                  </w:r>
                </w:p>
              </w:tc>
              <w:tc>
                <w:tcPr>
                  <w:tcW w:w="343" w:type="pct"/>
                  <w:shd w:val="pct5" w:color="auto" w:fill="auto"/>
                  <w:vAlign w:val="bottom"/>
                </w:tcPr>
                <w:p w14:paraId="0836843D" w14:textId="77777777" w:rsidR="00FC14FC" w:rsidRPr="00240D28" w:rsidRDefault="00FC14FC" w:rsidP="00D11B9D">
                  <w:pPr>
                    <w:pStyle w:val="TableBodyText"/>
                    <w:ind w:right="28"/>
                  </w:pPr>
                  <w:r w:rsidRPr="00240D28">
                    <w:t>97.9</w:t>
                  </w:r>
                </w:p>
              </w:tc>
            </w:tr>
            <w:tr w:rsidR="00FC14FC" w14:paraId="26F9C3B1" w14:textId="77777777" w:rsidTr="00D11B9D">
              <w:tc>
                <w:tcPr>
                  <w:tcW w:w="543" w:type="pct"/>
                  <w:tcBorders>
                    <w:bottom w:val="single" w:sz="6" w:space="0" w:color="BFBFBF"/>
                  </w:tcBorders>
                </w:tcPr>
                <w:p w14:paraId="5BD319D2" w14:textId="77777777" w:rsidR="00FC14FC" w:rsidRDefault="00FC14FC" w:rsidP="00D11B9D">
                  <w:pPr>
                    <w:pStyle w:val="TableBodyText"/>
                    <w:jc w:val="left"/>
                  </w:pPr>
                  <w:r>
                    <w:t>Retail</w:t>
                  </w:r>
                </w:p>
              </w:tc>
              <w:tc>
                <w:tcPr>
                  <w:tcW w:w="342" w:type="pct"/>
                  <w:tcBorders>
                    <w:bottom w:val="single" w:sz="6" w:space="0" w:color="BFBFBF"/>
                  </w:tcBorders>
                  <w:vAlign w:val="bottom"/>
                </w:tcPr>
                <w:p w14:paraId="4C926E78" w14:textId="77777777" w:rsidR="00FC14FC" w:rsidRPr="00240D28" w:rsidRDefault="00FC14FC" w:rsidP="00D11B9D">
                  <w:pPr>
                    <w:pStyle w:val="TableBodyText"/>
                  </w:pPr>
                  <w:r w:rsidRPr="00240D28">
                    <w:t>90.1</w:t>
                  </w:r>
                </w:p>
              </w:tc>
              <w:tc>
                <w:tcPr>
                  <w:tcW w:w="343" w:type="pct"/>
                  <w:tcBorders>
                    <w:bottom w:val="single" w:sz="6" w:space="0" w:color="BFBFBF"/>
                  </w:tcBorders>
                  <w:vAlign w:val="bottom"/>
                </w:tcPr>
                <w:p w14:paraId="28A4E1FD" w14:textId="77777777" w:rsidR="00FC14FC" w:rsidRPr="00240D28" w:rsidRDefault="00FC14FC" w:rsidP="00D11B9D">
                  <w:pPr>
                    <w:pStyle w:val="TableBodyText"/>
                  </w:pPr>
                  <w:r w:rsidRPr="00240D28">
                    <w:t>36.2</w:t>
                  </w:r>
                </w:p>
              </w:tc>
              <w:tc>
                <w:tcPr>
                  <w:tcW w:w="343" w:type="pct"/>
                  <w:tcBorders>
                    <w:bottom w:val="single" w:sz="6" w:space="0" w:color="BFBFBF"/>
                  </w:tcBorders>
                  <w:vAlign w:val="bottom"/>
                </w:tcPr>
                <w:p w14:paraId="587E6C11" w14:textId="77777777" w:rsidR="00FC14FC" w:rsidRPr="00240D28" w:rsidRDefault="00FC14FC" w:rsidP="00D11B9D">
                  <w:pPr>
                    <w:pStyle w:val="TableBodyText"/>
                  </w:pPr>
                  <w:r w:rsidRPr="00240D28">
                    <w:t>71.9</w:t>
                  </w:r>
                </w:p>
              </w:tc>
              <w:tc>
                <w:tcPr>
                  <w:tcW w:w="343" w:type="pct"/>
                  <w:tcBorders>
                    <w:bottom w:val="single" w:sz="6" w:space="0" w:color="BFBFBF"/>
                  </w:tcBorders>
                  <w:vAlign w:val="bottom"/>
                </w:tcPr>
                <w:p w14:paraId="0504BB1F" w14:textId="77777777" w:rsidR="00FC14FC" w:rsidRPr="00240D28" w:rsidRDefault="00FC14FC" w:rsidP="00D11B9D">
                  <w:pPr>
                    <w:pStyle w:val="TableBodyText"/>
                  </w:pPr>
                  <w:r w:rsidRPr="00240D28">
                    <w:t>83.0</w:t>
                  </w:r>
                </w:p>
              </w:tc>
              <w:tc>
                <w:tcPr>
                  <w:tcW w:w="342" w:type="pct"/>
                  <w:tcBorders>
                    <w:bottom w:val="single" w:sz="6" w:space="0" w:color="BFBFBF"/>
                  </w:tcBorders>
                  <w:vAlign w:val="bottom"/>
                </w:tcPr>
                <w:p w14:paraId="218B39CE" w14:textId="77777777" w:rsidR="00FC14FC" w:rsidRPr="00240D28" w:rsidRDefault="00FC14FC" w:rsidP="00D11B9D">
                  <w:pPr>
                    <w:pStyle w:val="TableBodyText"/>
                  </w:pPr>
                  <w:r w:rsidRPr="00240D28">
                    <w:t>97.4</w:t>
                  </w:r>
                </w:p>
              </w:tc>
              <w:tc>
                <w:tcPr>
                  <w:tcW w:w="343" w:type="pct"/>
                  <w:tcBorders>
                    <w:bottom w:val="single" w:sz="6" w:space="0" w:color="BFBFBF"/>
                  </w:tcBorders>
                  <w:vAlign w:val="bottom"/>
                </w:tcPr>
                <w:p w14:paraId="75354762" w14:textId="77777777" w:rsidR="00FC14FC" w:rsidRPr="00240D28" w:rsidRDefault="00FC14FC" w:rsidP="00D11B9D">
                  <w:pPr>
                    <w:pStyle w:val="TableBodyText"/>
                  </w:pPr>
                  <w:r w:rsidRPr="00240D28">
                    <w:t>97.4</w:t>
                  </w:r>
                </w:p>
              </w:tc>
              <w:tc>
                <w:tcPr>
                  <w:tcW w:w="343" w:type="pct"/>
                  <w:tcBorders>
                    <w:bottom w:val="single" w:sz="6" w:space="0" w:color="BFBFBF"/>
                  </w:tcBorders>
                  <w:vAlign w:val="bottom"/>
                </w:tcPr>
                <w:p w14:paraId="1800799C" w14:textId="77777777" w:rsidR="00FC14FC" w:rsidRPr="00240D28" w:rsidRDefault="00FC14FC" w:rsidP="00D11B9D">
                  <w:pPr>
                    <w:pStyle w:val="TableBodyText"/>
                  </w:pPr>
                  <w:r w:rsidRPr="00240D28">
                    <w:t>98.6</w:t>
                  </w:r>
                </w:p>
              </w:tc>
              <w:tc>
                <w:tcPr>
                  <w:tcW w:w="343" w:type="pct"/>
                  <w:tcBorders>
                    <w:bottom w:val="single" w:sz="6" w:space="0" w:color="BFBFBF"/>
                  </w:tcBorders>
                  <w:vAlign w:val="bottom"/>
                </w:tcPr>
                <w:p w14:paraId="654604A6" w14:textId="77777777" w:rsidR="00FC14FC" w:rsidRPr="00240D28" w:rsidRDefault="00FC14FC" w:rsidP="00D11B9D">
                  <w:pPr>
                    <w:pStyle w:val="TableBodyText"/>
                  </w:pPr>
                  <w:r w:rsidRPr="00240D28">
                    <w:t>97.3</w:t>
                  </w:r>
                </w:p>
              </w:tc>
              <w:tc>
                <w:tcPr>
                  <w:tcW w:w="342" w:type="pct"/>
                  <w:tcBorders>
                    <w:bottom w:val="single" w:sz="6" w:space="0" w:color="BFBFBF"/>
                  </w:tcBorders>
                  <w:vAlign w:val="bottom"/>
                </w:tcPr>
                <w:p w14:paraId="4A2D503C" w14:textId="77777777" w:rsidR="00FC14FC" w:rsidRPr="00240D28" w:rsidRDefault="00FC14FC" w:rsidP="00D11B9D">
                  <w:pPr>
                    <w:pStyle w:val="TableBodyText"/>
                  </w:pPr>
                  <w:r w:rsidRPr="00240D28">
                    <w:t>99.6</w:t>
                  </w:r>
                </w:p>
              </w:tc>
              <w:tc>
                <w:tcPr>
                  <w:tcW w:w="343" w:type="pct"/>
                  <w:tcBorders>
                    <w:bottom w:val="single" w:sz="6" w:space="0" w:color="BFBFBF"/>
                  </w:tcBorders>
                  <w:vAlign w:val="bottom"/>
                </w:tcPr>
                <w:p w14:paraId="476BF845" w14:textId="77777777" w:rsidR="00FC14FC" w:rsidRPr="00240D28" w:rsidRDefault="00FC14FC" w:rsidP="00D11B9D">
                  <w:pPr>
                    <w:pStyle w:val="TableBodyText"/>
                  </w:pPr>
                  <w:r w:rsidRPr="00240D28">
                    <w:t>99.7</w:t>
                  </w:r>
                </w:p>
              </w:tc>
              <w:tc>
                <w:tcPr>
                  <w:tcW w:w="343" w:type="pct"/>
                  <w:tcBorders>
                    <w:bottom w:val="single" w:sz="6" w:space="0" w:color="BFBFBF"/>
                  </w:tcBorders>
                  <w:shd w:val="clear" w:color="auto" w:fill="auto"/>
                  <w:vAlign w:val="bottom"/>
                </w:tcPr>
                <w:p w14:paraId="14204D2E" w14:textId="77777777" w:rsidR="00FC14FC" w:rsidRPr="00240D28" w:rsidRDefault="00FC14FC" w:rsidP="00D11B9D">
                  <w:pPr>
                    <w:pStyle w:val="TableBodyText"/>
                  </w:pPr>
                  <w:r w:rsidRPr="00240D28">
                    <w:t>100.0</w:t>
                  </w:r>
                </w:p>
              </w:tc>
              <w:tc>
                <w:tcPr>
                  <w:tcW w:w="343" w:type="pct"/>
                  <w:tcBorders>
                    <w:bottom w:val="single" w:sz="6" w:space="0" w:color="BFBFBF"/>
                  </w:tcBorders>
                  <w:vAlign w:val="bottom"/>
                </w:tcPr>
                <w:p w14:paraId="363D9695" w14:textId="77777777" w:rsidR="00FC14FC" w:rsidRPr="00240D28" w:rsidRDefault="00FC14FC" w:rsidP="00D11B9D">
                  <w:pPr>
                    <w:pStyle w:val="TableBodyText"/>
                  </w:pPr>
                  <w:r w:rsidRPr="00240D28">
                    <w:t>100.0</w:t>
                  </w:r>
                </w:p>
              </w:tc>
              <w:tc>
                <w:tcPr>
                  <w:tcW w:w="343" w:type="pct"/>
                  <w:tcBorders>
                    <w:bottom w:val="single" w:sz="6" w:space="0" w:color="BFBFBF"/>
                  </w:tcBorders>
                  <w:shd w:val="clear" w:color="auto" w:fill="auto"/>
                  <w:vAlign w:val="bottom"/>
                </w:tcPr>
                <w:p w14:paraId="73C6A6CC" w14:textId="77777777" w:rsidR="00FC14FC" w:rsidRPr="00240D28" w:rsidRDefault="00FC14FC" w:rsidP="00D11B9D">
                  <w:pPr>
                    <w:pStyle w:val="TableBodyText"/>
                    <w:ind w:right="28"/>
                  </w:pPr>
                  <w:r w:rsidRPr="00240D28">
                    <w:t>100.0</w:t>
                  </w:r>
                </w:p>
              </w:tc>
            </w:tr>
          </w:tbl>
          <w:p w14:paraId="56D52036" w14:textId="77777777" w:rsidR="00FC14FC" w:rsidRDefault="00FC14FC" w:rsidP="00D11B9D">
            <w:pPr>
              <w:pStyle w:val="Box"/>
            </w:pPr>
          </w:p>
        </w:tc>
      </w:tr>
      <w:tr w:rsidR="00FC14FC" w14:paraId="4CDF9142" w14:textId="77777777" w:rsidTr="00D11B9D">
        <w:tc>
          <w:tcPr>
            <w:tcW w:w="5000" w:type="pct"/>
            <w:tcBorders>
              <w:top w:val="nil"/>
              <w:left w:val="nil"/>
              <w:bottom w:val="nil"/>
              <w:right w:val="nil"/>
            </w:tcBorders>
            <w:shd w:val="clear" w:color="auto" w:fill="auto"/>
          </w:tcPr>
          <w:p w14:paraId="74A3D998" w14:textId="77777777" w:rsidR="00FC14FC" w:rsidRDefault="00FC14FC" w:rsidP="00D11B9D">
            <w:pPr>
              <w:pStyle w:val="Note"/>
              <w:rPr>
                <w:i/>
              </w:rPr>
            </w:pPr>
            <w:r w:rsidRPr="008E77FE">
              <w:rPr>
                <w:rStyle w:val="NoteLabel"/>
              </w:rPr>
              <w:t>a</w:t>
            </w:r>
            <w:r>
              <w:t xml:space="preserve"> Based on a sample including 140 options with available data in 2017 and 27 options with available data in 2006. </w:t>
            </w:r>
            <w:r w:rsidRPr="00F509E0">
              <w:rPr>
                <w:b/>
              </w:rPr>
              <w:t>–</w:t>
            </w:r>
            <w:r w:rsidRPr="00F95476">
              <w:t xml:space="preserve"> N</w:t>
            </w:r>
            <w:r>
              <w:t>il or rounded to zero.</w:t>
            </w:r>
          </w:p>
        </w:tc>
      </w:tr>
      <w:tr w:rsidR="00FC14FC" w14:paraId="698037B3" w14:textId="77777777" w:rsidTr="00D11B9D">
        <w:tc>
          <w:tcPr>
            <w:tcW w:w="5000" w:type="pct"/>
            <w:tcBorders>
              <w:top w:val="nil"/>
              <w:left w:val="nil"/>
              <w:bottom w:val="nil"/>
              <w:right w:val="nil"/>
            </w:tcBorders>
            <w:shd w:val="clear" w:color="auto" w:fill="auto"/>
          </w:tcPr>
          <w:p w14:paraId="37D46054" w14:textId="77777777" w:rsidR="00FC14FC" w:rsidRDefault="00FC14FC" w:rsidP="00D11B9D">
            <w:pPr>
              <w:pStyle w:val="Source"/>
            </w:pPr>
            <w:r>
              <w:rPr>
                <w:i/>
              </w:rPr>
              <w:t>Source</w:t>
            </w:r>
            <w:r w:rsidRPr="00167F06">
              <w:t xml:space="preserve">: </w:t>
            </w:r>
            <w:r>
              <w:t>PC analysis of SuperRatings data.</w:t>
            </w:r>
          </w:p>
        </w:tc>
      </w:tr>
      <w:tr w:rsidR="00FC14FC" w14:paraId="694DBD4B" w14:textId="77777777" w:rsidTr="00D11B9D">
        <w:tc>
          <w:tcPr>
            <w:tcW w:w="5000" w:type="pct"/>
            <w:tcBorders>
              <w:top w:val="nil"/>
              <w:left w:val="nil"/>
              <w:bottom w:val="single" w:sz="6" w:space="0" w:color="78A22F"/>
              <w:right w:val="nil"/>
            </w:tcBorders>
            <w:shd w:val="clear" w:color="auto" w:fill="auto"/>
          </w:tcPr>
          <w:p w14:paraId="76E5CF47" w14:textId="77777777" w:rsidR="00FC14FC" w:rsidRDefault="00FC14FC" w:rsidP="00D11B9D">
            <w:pPr>
              <w:pStyle w:val="Box"/>
              <w:spacing w:before="0" w:line="120" w:lineRule="exact"/>
            </w:pPr>
          </w:p>
        </w:tc>
      </w:tr>
      <w:tr w:rsidR="00FC14FC" w:rsidRPr="000863A5" w14:paraId="1E95BD98" w14:textId="77777777" w:rsidTr="00D11B9D">
        <w:tc>
          <w:tcPr>
            <w:tcW w:w="5000" w:type="pct"/>
            <w:tcBorders>
              <w:top w:val="single" w:sz="6" w:space="0" w:color="78A22F"/>
              <w:left w:val="nil"/>
              <w:bottom w:val="nil"/>
              <w:right w:val="nil"/>
            </w:tcBorders>
          </w:tcPr>
          <w:p w14:paraId="6663D2AA" w14:textId="77777777" w:rsidR="00FC14FC" w:rsidRPr="00626D32" w:rsidRDefault="00FC14FC" w:rsidP="00D11B9D">
            <w:pPr>
              <w:pStyle w:val="BoxSpaceBelow"/>
            </w:pPr>
          </w:p>
        </w:tc>
      </w:tr>
    </w:tbl>
    <w:p w14:paraId="71973107" w14:textId="77777777" w:rsidR="00FC14FC" w:rsidRDefault="00FC14FC" w:rsidP="00FC14FC">
      <w:pPr>
        <w:pStyle w:val="Heading5"/>
      </w:pPr>
      <w:r>
        <w:lastRenderedPageBreak/>
        <w:t>‘Other’ asset classes</w:t>
      </w:r>
    </w:p>
    <w:p w14:paraId="5040DE51" w14:textId="77777777" w:rsidR="00FC14FC" w:rsidRPr="00EC1E14" w:rsidRDefault="00FC14FC" w:rsidP="00FC14FC">
      <w:pPr>
        <w:pStyle w:val="BodyText"/>
      </w:pPr>
      <w:r w:rsidRPr="00EC1E14">
        <w:t>In the draft report, the Commission benchmarked the ‘other’ asset class</w:t>
      </w:r>
      <w:r>
        <w:t>es</w:t>
      </w:r>
      <w:r w:rsidRPr="00EC1E14">
        <w:t xml:space="preserve"> using 50 per cent S&amp;P/ASX 300 and 50 per cent of the custom 30/70 hedged/unhedged MSCI international equities index. </w:t>
      </w:r>
    </w:p>
    <w:p w14:paraId="639D9E2B" w14:textId="77777777" w:rsidR="00FC14FC" w:rsidRPr="00AB35BD" w:rsidRDefault="00FC14FC" w:rsidP="00FC14FC">
      <w:pPr>
        <w:pStyle w:val="BodyText"/>
      </w:pPr>
      <w:r w:rsidRPr="00AB35BD">
        <w:t xml:space="preserve">Several participants questioned the use of equities indexes to proxy for the ‘other’ assets class in benchmarks, noting that equities are often poorly correlated with the assets in this class (such as hedge funds and commodities), and that some of these assets are more defensive in character (Chant West, sub. DR191; MLC Wealth, sub. DR174; Sunsuper, sub. DR197; Warren, sub. DR118). To reflect this, the Commission has decided to use a simple mix of 50 per cent equities and 50 per cent fixed </w:t>
      </w:r>
      <w:r>
        <w:t>income</w:t>
      </w:r>
      <w:r w:rsidRPr="00AB35BD">
        <w:t xml:space="preserve"> (with each split evenly into the relevant domestic and international indexes).</w:t>
      </w:r>
      <w:r>
        <w:t xml:space="preserve"> This may still not accurately reflect the risk–return characteristics of the underlying assets in many cases, but the Commission considers this is the best approach available given the absence of more granular data on the composition of the ‘other’ assets category.</w:t>
      </w:r>
    </w:p>
    <w:p w14:paraId="30C9C22C" w14:textId="77777777" w:rsidR="00FC14FC" w:rsidRDefault="00FC14FC" w:rsidP="00FC14FC">
      <w:pPr>
        <w:pStyle w:val="Heading4"/>
      </w:pPr>
      <w:r>
        <w:t>Asset allocation</w:t>
      </w:r>
    </w:p>
    <w:p w14:paraId="472AD0B3" w14:textId="77777777" w:rsidR="00FC14FC" w:rsidRDefault="00FC14FC" w:rsidP="00FC14FC">
      <w:pPr>
        <w:pStyle w:val="BodyText"/>
      </w:pPr>
      <w:r>
        <w:t>Asset allocation data (from APRA</w:t>
      </w:r>
      <w:r w:rsidRPr="00CF15EF">
        <w:rPr>
          <w:rStyle w:val="FootnoteReference"/>
        </w:rPr>
        <w:footnoteReference w:id="7"/>
      </w:r>
      <w:r>
        <w:t xml:space="preserve"> and research firms) were used to determine the asset allocation at the system, segment, fund and product levels  to use in conjunction with the relevant market indexes in constructing the BPs. In the case of SMSFs, ATO asset allocation data are largely inconsistent with the available indexes (discussed below).</w:t>
      </w:r>
    </w:p>
    <w:p w14:paraId="50953E24" w14:textId="77777777" w:rsidR="00FC14FC" w:rsidRPr="00E231A4" w:rsidRDefault="00FC14FC" w:rsidP="00FC14FC">
      <w:pPr>
        <w:pStyle w:val="Heading5"/>
      </w:pPr>
      <w:r>
        <w:t>Default asset allocation adjustment</w:t>
      </w:r>
    </w:p>
    <w:p w14:paraId="087DC020" w14:textId="77777777" w:rsidR="00FC14FC" w:rsidRDefault="00FC14FC" w:rsidP="00FC14FC">
      <w:pPr>
        <w:pStyle w:val="BodyText"/>
      </w:pPr>
      <w:r>
        <w:t>Much of the analysis in chapter 2 was subject to a ‘break’ in APRA asset allocation data occurring in 2013. This break has two key components. First, APRA data on asset allocation prior to 2014 only covers assets in each fund’s default investment option. Using these data to create BPs for any unit under analysis would prove problematic if overall asset allocation differed from the default asset allocation. Second, the pre</w:t>
      </w:r>
      <w:r>
        <w:noBreakHyphen/>
        <w:t>2014 asset allocation data are much less granular than the post</w:t>
      </w:r>
      <w:r>
        <w:noBreakHyphen/>
        <w:t>2014 data. In particular, there are no separate categories for infrastructure (either listed or unlisted) or private equity.</w:t>
      </w:r>
    </w:p>
    <w:p w14:paraId="5B404552" w14:textId="77777777" w:rsidR="00FC14FC" w:rsidRDefault="00FC14FC" w:rsidP="00FC14FC">
      <w:pPr>
        <w:pStyle w:val="BodyText"/>
      </w:pPr>
      <w:r>
        <w:t>To address the gaps in APRA asset allocation reporting prior to 2014, the Commission has assumed that the asset allocation of MySuper products in later years are broadly representative of the default investment options of funds. On the basis of this assumption, the magnitude of this issue was examined and corrected for. However, this inevitably meant that the analysis had to be confined to funds that have a MySuper product.</w:t>
      </w:r>
    </w:p>
    <w:p w14:paraId="4BB02F62" w14:textId="77777777" w:rsidR="00FC14FC" w:rsidRDefault="00FC14FC" w:rsidP="00FC14FC">
      <w:pPr>
        <w:pStyle w:val="BodyText"/>
      </w:pPr>
      <w:r>
        <w:lastRenderedPageBreak/>
        <w:t>The Commission has also explored the sensitivity of BPs to changes in asset allocation (section 4.3). This analysis finds that BPs with more conservative asset allocations do not necessarily have lower returns than their more growth</w:t>
      </w:r>
      <w:r>
        <w:noBreakHyphen/>
        <w:t>oriented counterparts, at least over the period under consideration. To some extent, this suggests that the BPs are less likely to be sensitive to asset allocation than other factors over the period of analysis. Some sensitivity testing of distributional analysis has also been conducted</w:t>
      </w:r>
      <w:r w:rsidRPr="006E0B06">
        <w:t xml:space="preserve"> </w:t>
      </w:r>
      <w:r w:rsidRPr="00413DB2">
        <w:t>(figure</w:t>
      </w:r>
      <w:r>
        <w:t> 4.8 in section 4.3</w:t>
      </w:r>
      <w:r w:rsidRPr="006E0B06">
        <w:t>).</w:t>
      </w:r>
    </w:p>
    <w:p w14:paraId="41169F37" w14:textId="77777777" w:rsidR="00FC14FC" w:rsidRDefault="00FC14FC" w:rsidP="00FC14FC">
      <w:pPr>
        <w:pStyle w:val="BodyText"/>
      </w:pPr>
      <w:r>
        <w:t>The asset allocation of the system, segments and funds was generally more conservative than for MySuper products (tables 4.10 and 4.11). Over 2014–2017, MySuper asset allocations had over 6 percentage points more in growth assets</w:t>
      </w:r>
      <w:r w:rsidRPr="00CF15EF">
        <w:rPr>
          <w:rStyle w:val="FootnoteReference"/>
        </w:rPr>
        <w:footnoteReference w:id="8"/>
      </w:r>
      <w:r>
        <w:t xml:space="preserve"> than for whole</w:t>
      </w:r>
      <w:r>
        <w:noBreakHyphen/>
        <w:t>of</w:t>
      </w:r>
      <w:r>
        <w:noBreakHyphen/>
        <w:t>fund asset allocations, for all the funds considered (those with MySuper products) on an asset</w:t>
      </w:r>
      <w:r>
        <w:noBreakHyphen/>
        <w:t>weighted basis. Similarly, the average difference at the fund level was 7.2 percentage points more in growth assets for MySuper products than the whole of fund asset allocation.</w:t>
      </w:r>
    </w:p>
    <w:p w14:paraId="1BE6C7F1"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309A9EAE" w14:textId="77777777" w:rsidTr="00D11B9D">
        <w:trPr>
          <w:tblHeader/>
        </w:trPr>
        <w:tc>
          <w:tcPr>
            <w:tcW w:w="5000" w:type="pct"/>
            <w:tcBorders>
              <w:top w:val="single" w:sz="6" w:space="0" w:color="78A22F"/>
              <w:left w:val="nil"/>
              <w:bottom w:val="nil"/>
              <w:right w:val="nil"/>
            </w:tcBorders>
            <w:shd w:val="clear" w:color="auto" w:fill="auto"/>
          </w:tcPr>
          <w:p w14:paraId="7F911C8C" w14:textId="77777777" w:rsidR="00FC14FC" w:rsidRDefault="00FC14FC" w:rsidP="00D11B9D">
            <w:pPr>
              <w:pStyle w:val="TableTitle"/>
            </w:pPr>
            <w:r>
              <w:rPr>
                <w:b w:val="0"/>
              </w:rPr>
              <w:t>Table 4.10</w:t>
            </w:r>
            <w:r>
              <w:tab/>
              <w:t>Comparison of whole</w:t>
            </w:r>
            <w:r>
              <w:noBreakHyphen/>
              <w:t>of</w:t>
            </w:r>
            <w:r>
              <w:noBreakHyphen/>
              <w:t>fund asset allocation to MySuper asset allocation</w:t>
            </w:r>
          </w:p>
          <w:p w14:paraId="7D01294E" w14:textId="77777777" w:rsidR="00FC14FC" w:rsidRPr="00784A05" w:rsidRDefault="00FC14FC" w:rsidP="00D11B9D">
            <w:pPr>
              <w:pStyle w:val="Subtitle"/>
            </w:pPr>
            <w:r>
              <w:t>System and segment level, 2014</w:t>
            </w:r>
            <w:r>
              <w:noBreakHyphen/>
              <w:t>2017</w:t>
            </w:r>
          </w:p>
        </w:tc>
      </w:tr>
      <w:tr w:rsidR="00FC14FC" w14:paraId="01AE9757"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15"/>
              <w:gridCol w:w="1007"/>
              <w:gridCol w:w="1123"/>
              <w:gridCol w:w="1010"/>
              <w:gridCol w:w="1165"/>
              <w:gridCol w:w="2385"/>
            </w:tblGrid>
            <w:tr w:rsidR="00FC14FC" w14:paraId="476899EC" w14:textId="77777777" w:rsidTr="00D11B9D">
              <w:trPr>
                <w:trHeight w:val="202"/>
                <w:tblHeader/>
              </w:trPr>
              <w:tc>
                <w:tcPr>
                  <w:tcW w:w="1067" w:type="pct"/>
                  <w:vMerge w:val="restart"/>
                  <w:tcBorders>
                    <w:top w:val="single" w:sz="6" w:space="0" w:color="BFBFBF"/>
                  </w:tcBorders>
                  <w:shd w:val="clear" w:color="auto" w:fill="auto"/>
                  <w:tcMar>
                    <w:top w:w="28" w:type="dxa"/>
                  </w:tcMar>
                  <w:vAlign w:val="center"/>
                </w:tcPr>
                <w:p w14:paraId="36C6511A" w14:textId="77777777" w:rsidR="00FC14FC" w:rsidRDefault="00FC14FC" w:rsidP="00D11B9D">
                  <w:pPr>
                    <w:pStyle w:val="TableColumnHeading"/>
                    <w:jc w:val="left"/>
                  </w:pPr>
                  <w:r>
                    <w:t>Fund type</w:t>
                  </w:r>
                </w:p>
              </w:tc>
              <w:tc>
                <w:tcPr>
                  <w:tcW w:w="3933" w:type="pct"/>
                  <w:gridSpan w:val="5"/>
                  <w:tcBorders>
                    <w:top w:val="single" w:sz="6" w:space="0" w:color="BFBFBF"/>
                    <w:bottom w:val="single" w:sz="6" w:space="0" w:color="BFBFBF"/>
                  </w:tcBorders>
                  <w:shd w:val="clear" w:color="auto" w:fill="auto"/>
                </w:tcPr>
                <w:p w14:paraId="71222EC1" w14:textId="77777777" w:rsidR="00FC14FC" w:rsidRDefault="00FC14FC" w:rsidP="00D11B9D">
                  <w:pPr>
                    <w:pStyle w:val="TableColumnHeading"/>
                    <w:ind w:right="28"/>
                  </w:pPr>
                  <w:r>
                    <w:t>Additional proportion of assets in growth for default investment options (%)</w:t>
                  </w:r>
                </w:p>
              </w:tc>
            </w:tr>
            <w:tr w:rsidR="00FC14FC" w14:paraId="455595D1" w14:textId="77777777" w:rsidTr="00D11B9D">
              <w:trPr>
                <w:trHeight w:val="288"/>
                <w:tblHeader/>
              </w:trPr>
              <w:tc>
                <w:tcPr>
                  <w:tcW w:w="1067" w:type="pct"/>
                  <w:vMerge/>
                  <w:tcBorders>
                    <w:bottom w:val="single" w:sz="6" w:space="0" w:color="BFBFBF"/>
                  </w:tcBorders>
                  <w:shd w:val="clear" w:color="auto" w:fill="auto"/>
                  <w:tcMar>
                    <w:top w:w="28" w:type="dxa"/>
                  </w:tcMar>
                </w:tcPr>
                <w:p w14:paraId="12E5DDA9" w14:textId="77777777" w:rsidR="00FC14FC" w:rsidRDefault="00FC14FC" w:rsidP="00D11B9D">
                  <w:pPr>
                    <w:pStyle w:val="TableColumnHeading"/>
                    <w:jc w:val="left"/>
                  </w:pPr>
                </w:p>
              </w:tc>
              <w:tc>
                <w:tcPr>
                  <w:tcW w:w="592" w:type="pct"/>
                  <w:tcBorders>
                    <w:top w:val="single" w:sz="6" w:space="0" w:color="BFBFBF"/>
                    <w:bottom w:val="single" w:sz="6" w:space="0" w:color="BFBFBF"/>
                  </w:tcBorders>
                  <w:shd w:val="clear" w:color="auto" w:fill="auto"/>
                </w:tcPr>
                <w:p w14:paraId="17755797" w14:textId="77777777" w:rsidR="00FC14FC" w:rsidRDefault="00FC14FC" w:rsidP="00D11B9D">
                  <w:pPr>
                    <w:pStyle w:val="TableColumnHeading"/>
                    <w:ind w:right="28"/>
                  </w:pPr>
                  <w:r>
                    <w:t>2014</w:t>
                  </w:r>
                </w:p>
              </w:tc>
              <w:tc>
                <w:tcPr>
                  <w:tcW w:w="660" w:type="pct"/>
                  <w:tcBorders>
                    <w:top w:val="single" w:sz="6" w:space="0" w:color="BFBFBF"/>
                    <w:bottom w:val="single" w:sz="6" w:space="0" w:color="BFBFBF"/>
                  </w:tcBorders>
                  <w:shd w:val="clear" w:color="auto" w:fill="auto"/>
                </w:tcPr>
                <w:p w14:paraId="0BAE025E" w14:textId="77777777" w:rsidR="00FC14FC" w:rsidRDefault="00FC14FC" w:rsidP="00D11B9D">
                  <w:pPr>
                    <w:pStyle w:val="TableColumnHeading"/>
                    <w:ind w:right="28"/>
                  </w:pPr>
                  <w:r>
                    <w:t>2015</w:t>
                  </w:r>
                </w:p>
              </w:tc>
              <w:tc>
                <w:tcPr>
                  <w:tcW w:w="594" w:type="pct"/>
                  <w:tcBorders>
                    <w:top w:val="single" w:sz="6" w:space="0" w:color="BFBFBF"/>
                    <w:bottom w:val="single" w:sz="6" w:space="0" w:color="BFBFBF"/>
                  </w:tcBorders>
                  <w:shd w:val="clear" w:color="auto" w:fill="auto"/>
                </w:tcPr>
                <w:p w14:paraId="2D9D80B4" w14:textId="77777777" w:rsidR="00FC14FC" w:rsidRDefault="00FC14FC" w:rsidP="00D11B9D">
                  <w:pPr>
                    <w:pStyle w:val="TableColumnHeading"/>
                    <w:ind w:right="28"/>
                  </w:pPr>
                  <w:r>
                    <w:t>2016</w:t>
                  </w:r>
                </w:p>
              </w:tc>
              <w:tc>
                <w:tcPr>
                  <w:tcW w:w="685" w:type="pct"/>
                  <w:tcBorders>
                    <w:top w:val="single" w:sz="6" w:space="0" w:color="BFBFBF"/>
                    <w:bottom w:val="single" w:sz="6" w:space="0" w:color="BFBFBF"/>
                  </w:tcBorders>
                </w:tcPr>
                <w:p w14:paraId="0E5F47D8" w14:textId="77777777" w:rsidR="00FC14FC" w:rsidRDefault="00FC14FC" w:rsidP="00D11B9D">
                  <w:pPr>
                    <w:pStyle w:val="TableColumnHeading"/>
                    <w:ind w:right="28"/>
                  </w:pPr>
                  <w:r>
                    <w:t>2017</w:t>
                  </w:r>
                </w:p>
              </w:tc>
              <w:tc>
                <w:tcPr>
                  <w:tcW w:w="1402" w:type="pct"/>
                  <w:tcBorders>
                    <w:top w:val="single" w:sz="6" w:space="0" w:color="BFBFBF"/>
                    <w:bottom w:val="single" w:sz="6" w:space="0" w:color="BFBFBF"/>
                  </w:tcBorders>
                  <w:shd w:val="clear" w:color="auto" w:fill="auto"/>
                </w:tcPr>
                <w:p w14:paraId="7853E3C3" w14:textId="77777777" w:rsidR="00FC14FC" w:rsidRDefault="00FC14FC" w:rsidP="00D11B9D">
                  <w:pPr>
                    <w:pStyle w:val="TableColumnHeading"/>
                    <w:ind w:right="28"/>
                  </w:pPr>
                  <w:r>
                    <w:t>Average over 2014–2017</w:t>
                  </w:r>
                </w:p>
              </w:tc>
            </w:tr>
            <w:tr w:rsidR="00FC14FC" w14:paraId="1F715861" w14:textId="77777777" w:rsidTr="00D11B9D">
              <w:tc>
                <w:tcPr>
                  <w:tcW w:w="1067" w:type="pct"/>
                  <w:tcBorders>
                    <w:top w:val="single" w:sz="6" w:space="0" w:color="BFBFBF"/>
                  </w:tcBorders>
                  <w:vAlign w:val="bottom"/>
                </w:tcPr>
                <w:p w14:paraId="7F615501" w14:textId="77777777" w:rsidR="00FC14FC" w:rsidRDefault="00FC14FC" w:rsidP="00D11B9D">
                  <w:pPr>
                    <w:pStyle w:val="TableUnitsRow"/>
                    <w:jc w:val="left"/>
                  </w:pPr>
                  <w:r>
                    <w:t>Retail</w:t>
                  </w:r>
                </w:p>
              </w:tc>
              <w:tc>
                <w:tcPr>
                  <w:tcW w:w="592" w:type="pct"/>
                  <w:tcBorders>
                    <w:top w:val="single" w:sz="6" w:space="0" w:color="BFBFBF"/>
                  </w:tcBorders>
                  <w:vAlign w:val="bottom"/>
                </w:tcPr>
                <w:p w14:paraId="5406FEA6" w14:textId="77777777" w:rsidR="00FC14FC" w:rsidRDefault="00FC14FC" w:rsidP="00D11B9D">
                  <w:pPr>
                    <w:pStyle w:val="TableUnitsRow"/>
                  </w:pPr>
                  <w:r>
                    <w:noBreakHyphen/>
                    <w:t>8.9</w:t>
                  </w:r>
                </w:p>
              </w:tc>
              <w:tc>
                <w:tcPr>
                  <w:tcW w:w="660" w:type="pct"/>
                  <w:tcBorders>
                    <w:top w:val="single" w:sz="6" w:space="0" w:color="BFBFBF"/>
                  </w:tcBorders>
                  <w:vAlign w:val="bottom"/>
                </w:tcPr>
                <w:p w14:paraId="2B6406BD" w14:textId="77777777" w:rsidR="00FC14FC" w:rsidRDefault="00FC14FC" w:rsidP="00D11B9D">
                  <w:pPr>
                    <w:pStyle w:val="TableUnitsRow"/>
                  </w:pPr>
                  <w:r>
                    <w:t>+1.7</w:t>
                  </w:r>
                </w:p>
              </w:tc>
              <w:tc>
                <w:tcPr>
                  <w:tcW w:w="594" w:type="pct"/>
                  <w:tcBorders>
                    <w:top w:val="single" w:sz="6" w:space="0" w:color="BFBFBF"/>
                  </w:tcBorders>
                  <w:vAlign w:val="bottom"/>
                </w:tcPr>
                <w:p w14:paraId="376351BC" w14:textId="77777777" w:rsidR="00FC14FC" w:rsidRDefault="00FC14FC" w:rsidP="00D11B9D">
                  <w:pPr>
                    <w:pStyle w:val="TableUnitsRow"/>
                    <w:ind w:right="28"/>
                  </w:pPr>
                  <w:r>
                    <w:t>+3.8</w:t>
                  </w:r>
                </w:p>
              </w:tc>
              <w:tc>
                <w:tcPr>
                  <w:tcW w:w="685" w:type="pct"/>
                  <w:tcBorders>
                    <w:top w:val="single" w:sz="6" w:space="0" w:color="BFBFBF"/>
                  </w:tcBorders>
                  <w:vAlign w:val="bottom"/>
                </w:tcPr>
                <w:p w14:paraId="7843614D" w14:textId="77777777" w:rsidR="00FC14FC" w:rsidRDefault="00FC14FC" w:rsidP="00D11B9D">
                  <w:pPr>
                    <w:pStyle w:val="TableUnitsRow"/>
                    <w:ind w:right="28"/>
                  </w:pPr>
                  <w:r>
                    <w:t>+2.6</w:t>
                  </w:r>
                </w:p>
              </w:tc>
              <w:tc>
                <w:tcPr>
                  <w:tcW w:w="1402" w:type="pct"/>
                  <w:tcBorders>
                    <w:top w:val="single" w:sz="6" w:space="0" w:color="BFBFBF"/>
                  </w:tcBorders>
                  <w:vAlign w:val="bottom"/>
                </w:tcPr>
                <w:p w14:paraId="4BF8B62A" w14:textId="77777777" w:rsidR="00FC14FC" w:rsidRDefault="00FC14FC" w:rsidP="00D11B9D">
                  <w:pPr>
                    <w:pStyle w:val="TableUnitsRow"/>
                    <w:ind w:right="28"/>
                  </w:pPr>
                  <w:r>
                    <w:t>+0.0</w:t>
                  </w:r>
                </w:p>
              </w:tc>
            </w:tr>
            <w:tr w:rsidR="00FC14FC" w14:paraId="34D8FB6F" w14:textId="77777777" w:rsidTr="00D11B9D">
              <w:tc>
                <w:tcPr>
                  <w:tcW w:w="1067" w:type="pct"/>
                  <w:shd w:val="clear" w:color="auto" w:fill="F2F2F2" w:themeFill="background1" w:themeFillShade="F2"/>
                  <w:vAlign w:val="bottom"/>
                </w:tcPr>
                <w:p w14:paraId="5A584306" w14:textId="77777777" w:rsidR="00FC14FC" w:rsidRDefault="00FC14FC" w:rsidP="00D11B9D">
                  <w:pPr>
                    <w:pStyle w:val="TableBodyText"/>
                    <w:jc w:val="left"/>
                  </w:pPr>
                  <w:r>
                    <w:t>Not</w:t>
                  </w:r>
                  <w:r>
                    <w:noBreakHyphen/>
                    <w:t>for</w:t>
                  </w:r>
                  <w:r>
                    <w:noBreakHyphen/>
                    <w:t>profit</w:t>
                  </w:r>
                </w:p>
              </w:tc>
              <w:tc>
                <w:tcPr>
                  <w:tcW w:w="592" w:type="pct"/>
                  <w:shd w:val="clear" w:color="auto" w:fill="F2F2F2" w:themeFill="background1" w:themeFillShade="F2"/>
                  <w:vAlign w:val="bottom"/>
                </w:tcPr>
                <w:p w14:paraId="07102974" w14:textId="77777777" w:rsidR="00FC14FC" w:rsidRDefault="00FC14FC" w:rsidP="00D11B9D">
                  <w:pPr>
                    <w:pStyle w:val="TableBodyText"/>
                  </w:pPr>
                  <w:r>
                    <w:t>+10.0</w:t>
                  </w:r>
                </w:p>
              </w:tc>
              <w:tc>
                <w:tcPr>
                  <w:tcW w:w="660" w:type="pct"/>
                  <w:shd w:val="clear" w:color="auto" w:fill="F2F2F2" w:themeFill="background1" w:themeFillShade="F2"/>
                  <w:vAlign w:val="bottom"/>
                </w:tcPr>
                <w:p w14:paraId="12130CAD" w14:textId="77777777" w:rsidR="00FC14FC" w:rsidRDefault="00FC14FC" w:rsidP="00D11B9D">
                  <w:pPr>
                    <w:pStyle w:val="TableBodyText"/>
                  </w:pPr>
                  <w:r>
                    <w:t>+8.9</w:t>
                  </w:r>
                </w:p>
              </w:tc>
              <w:tc>
                <w:tcPr>
                  <w:tcW w:w="594" w:type="pct"/>
                  <w:shd w:val="clear" w:color="auto" w:fill="F2F2F2" w:themeFill="background1" w:themeFillShade="F2"/>
                  <w:vAlign w:val="bottom"/>
                </w:tcPr>
                <w:p w14:paraId="7FDA11E6" w14:textId="77777777" w:rsidR="00FC14FC" w:rsidRDefault="00FC14FC" w:rsidP="00D11B9D">
                  <w:pPr>
                    <w:pStyle w:val="TableBodyText"/>
                    <w:ind w:right="28"/>
                  </w:pPr>
                  <w:r>
                    <w:t>+8.1</w:t>
                  </w:r>
                </w:p>
              </w:tc>
              <w:tc>
                <w:tcPr>
                  <w:tcW w:w="685" w:type="pct"/>
                  <w:shd w:val="clear" w:color="auto" w:fill="F2F2F2" w:themeFill="background1" w:themeFillShade="F2"/>
                  <w:vAlign w:val="bottom"/>
                </w:tcPr>
                <w:p w14:paraId="6BEDA893" w14:textId="77777777" w:rsidR="00FC14FC" w:rsidRDefault="00FC14FC" w:rsidP="00D11B9D">
                  <w:pPr>
                    <w:pStyle w:val="TableBodyText"/>
                    <w:ind w:right="28"/>
                  </w:pPr>
                  <w:r>
                    <w:t>+8.5</w:t>
                  </w:r>
                </w:p>
              </w:tc>
              <w:tc>
                <w:tcPr>
                  <w:tcW w:w="1402" w:type="pct"/>
                  <w:shd w:val="clear" w:color="auto" w:fill="F2F2F2" w:themeFill="background1" w:themeFillShade="F2"/>
                  <w:vAlign w:val="bottom"/>
                </w:tcPr>
                <w:p w14:paraId="176911B5" w14:textId="77777777" w:rsidR="00FC14FC" w:rsidRDefault="00FC14FC" w:rsidP="00D11B9D">
                  <w:pPr>
                    <w:pStyle w:val="TableBodyText"/>
                    <w:ind w:right="28"/>
                  </w:pPr>
                  <w:r>
                    <w:t>+8.9</w:t>
                  </w:r>
                </w:p>
              </w:tc>
            </w:tr>
            <w:tr w:rsidR="00FC14FC" w14:paraId="67E85A6A" w14:textId="77777777" w:rsidTr="00D11B9D">
              <w:tc>
                <w:tcPr>
                  <w:tcW w:w="1067" w:type="pct"/>
                  <w:tcBorders>
                    <w:bottom w:val="single" w:sz="6" w:space="0" w:color="BFBFBF"/>
                  </w:tcBorders>
                  <w:shd w:val="clear" w:color="auto" w:fill="auto"/>
                  <w:vAlign w:val="bottom"/>
                </w:tcPr>
                <w:p w14:paraId="0332B163" w14:textId="77777777" w:rsidR="00FC14FC" w:rsidRDefault="00FC14FC" w:rsidP="00D11B9D">
                  <w:pPr>
                    <w:pStyle w:val="TableBodyText"/>
                    <w:jc w:val="left"/>
                  </w:pPr>
                  <w:r>
                    <w:t>All APRA</w:t>
                  </w:r>
                  <w:r>
                    <w:noBreakHyphen/>
                    <w:t>regulated funds</w:t>
                  </w:r>
                </w:p>
              </w:tc>
              <w:tc>
                <w:tcPr>
                  <w:tcW w:w="592" w:type="pct"/>
                  <w:tcBorders>
                    <w:bottom w:val="single" w:sz="6" w:space="0" w:color="BFBFBF"/>
                  </w:tcBorders>
                  <w:vAlign w:val="bottom"/>
                </w:tcPr>
                <w:p w14:paraId="4ACBD132" w14:textId="77777777" w:rsidR="00FC14FC" w:rsidRDefault="00FC14FC" w:rsidP="00D11B9D">
                  <w:pPr>
                    <w:pStyle w:val="TableBodyText"/>
                  </w:pPr>
                  <w:r>
                    <w:t>+3.9</w:t>
                  </w:r>
                </w:p>
              </w:tc>
              <w:tc>
                <w:tcPr>
                  <w:tcW w:w="660" w:type="pct"/>
                  <w:tcBorders>
                    <w:bottom w:val="single" w:sz="6" w:space="0" w:color="BFBFBF"/>
                  </w:tcBorders>
                  <w:shd w:val="clear" w:color="auto" w:fill="auto"/>
                  <w:vAlign w:val="bottom"/>
                </w:tcPr>
                <w:p w14:paraId="082547C8" w14:textId="77777777" w:rsidR="00FC14FC" w:rsidRDefault="00FC14FC" w:rsidP="00D11B9D">
                  <w:pPr>
                    <w:pStyle w:val="TableBodyText"/>
                  </w:pPr>
                  <w:r>
                    <w:t>+6.6</w:t>
                  </w:r>
                </w:p>
              </w:tc>
              <w:tc>
                <w:tcPr>
                  <w:tcW w:w="594" w:type="pct"/>
                  <w:tcBorders>
                    <w:bottom w:val="single" w:sz="6" w:space="0" w:color="BFBFBF"/>
                  </w:tcBorders>
                  <w:shd w:val="clear" w:color="auto" w:fill="auto"/>
                  <w:vAlign w:val="bottom"/>
                </w:tcPr>
                <w:p w14:paraId="193F7B41" w14:textId="77777777" w:rsidR="00FC14FC" w:rsidRDefault="00FC14FC" w:rsidP="00D11B9D">
                  <w:pPr>
                    <w:pStyle w:val="TableBodyText"/>
                    <w:ind w:right="28"/>
                  </w:pPr>
                  <w:r>
                    <w:t>+6.8</w:t>
                  </w:r>
                </w:p>
              </w:tc>
              <w:tc>
                <w:tcPr>
                  <w:tcW w:w="685" w:type="pct"/>
                  <w:tcBorders>
                    <w:bottom w:val="single" w:sz="6" w:space="0" w:color="BFBFBF"/>
                  </w:tcBorders>
                  <w:vAlign w:val="bottom"/>
                </w:tcPr>
                <w:p w14:paraId="33683DE9" w14:textId="77777777" w:rsidR="00FC14FC" w:rsidRDefault="00FC14FC" w:rsidP="00D11B9D">
                  <w:pPr>
                    <w:pStyle w:val="TableBodyText"/>
                    <w:ind w:right="28"/>
                  </w:pPr>
                  <w:r>
                    <w:t>+7.2</w:t>
                  </w:r>
                </w:p>
              </w:tc>
              <w:tc>
                <w:tcPr>
                  <w:tcW w:w="1402" w:type="pct"/>
                  <w:tcBorders>
                    <w:bottom w:val="single" w:sz="6" w:space="0" w:color="BFBFBF"/>
                  </w:tcBorders>
                  <w:vAlign w:val="bottom"/>
                </w:tcPr>
                <w:p w14:paraId="411BF08E" w14:textId="77777777" w:rsidR="00FC14FC" w:rsidRDefault="00FC14FC" w:rsidP="00D11B9D">
                  <w:pPr>
                    <w:pStyle w:val="TableBodyText"/>
                    <w:ind w:right="28"/>
                  </w:pPr>
                  <w:r>
                    <w:t>+6.1</w:t>
                  </w:r>
                </w:p>
              </w:tc>
            </w:tr>
          </w:tbl>
          <w:p w14:paraId="57E184C0" w14:textId="77777777" w:rsidR="00FC14FC" w:rsidRDefault="00FC14FC" w:rsidP="00D11B9D">
            <w:pPr>
              <w:pStyle w:val="Box"/>
            </w:pPr>
          </w:p>
        </w:tc>
      </w:tr>
      <w:tr w:rsidR="00FC14FC" w14:paraId="254697F8" w14:textId="77777777" w:rsidTr="00D11B9D">
        <w:tc>
          <w:tcPr>
            <w:tcW w:w="5000" w:type="pct"/>
            <w:tcBorders>
              <w:top w:val="nil"/>
              <w:left w:val="nil"/>
              <w:bottom w:val="nil"/>
              <w:right w:val="nil"/>
            </w:tcBorders>
            <w:shd w:val="clear" w:color="auto" w:fill="auto"/>
          </w:tcPr>
          <w:p w14:paraId="21F09310" w14:textId="77777777" w:rsidR="00FC14FC" w:rsidRDefault="00FC14FC" w:rsidP="00D11B9D">
            <w:pPr>
              <w:pStyle w:val="Source"/>
            </w:pPr>
            <w:r>
              <w:rPr>
                <w:i/>
              </w:rPr>
              <w:t>Source</w:t>
            </w:r>
            <w:r w:rsidRPr="00167F06">
              <w:t xml:space="preserve">: </w:t>
            </w:r>
            <w:r>
              <w:t>PC analysis of unpublished APRA</w:t>
            </w:r>
            <w:r w:rsidDel="00F71AE2">
              <w:t xml:space="preserve"> </w:t>
            </w:r>
            <w:r>
              <w:t>data.</w:t>
            </w:r>
          </w:p>
        </w:tc>
      </w:tr>
      <w:tr w:rsidR="00FC14FC" w14:paraId="727916B8" w14:textId="77777777" w:rsidTr="00D11B9D">
        <w:tc>
          <w:tcPr>
            <w:tcW w:w="5000" w:type="pct"/>
            <w:tcBorders>
              <w:top w:val="nil"/>
              <w:left w:val="nil"/>
              <w:bottom w:val="single" w:sz="6" w:space="0" w:color="78A22F"/>
              <w:right w:val="nil"/>
            </w:tcBorders>
            <w:shd w:val="clear" w:color="auto" w:fill="auto"/>
          </w:tcPr>
          <w:p w14:paraId="2040D6B1" w14:textId="77777777" w:rsidR="00FC14FC" w:rsidRDefault="00FC14FC" w:rsidP="00D11B9D">
            <w:pPr>
              <w:pStyle w:val="Box"/>
              <w:spacing w:before="0" w:line="120" w:lineRule="exact"/>
            </w:pPr>
          </w:p>
        </w:tc>
      </w:tr>
      <w:tr w:rsidR="00FC14FC" w:rsidRPr="000863A5" w14:paraId="2DCED80A" w14:textId="77777777" w:rsidTr="00D11B9D">
        <w:tc>
          <w:tcPr>
            <w:tcW w:w="5000" w:type="pct"/>
            <w:tcBorders>
              <w:top w:val="single" w:sz="6" w:space="0" w:color="78A22F"/>
              <w:left w:val="nil"/>
              <w:bottom w:val="nil"/>
              <w:right w:val="nil"/>
            </w:tcBorders>
          </w:tcPr>
          <w:p w14:paraId="2A69898E" w14:textId="77777777" w:rsidR="00FC14FC" w:rsidRPr="00626D32" w:rsidRDefault="00FC14FC" w:rsidP="00D11B9D">
            <w:pPr>
              <w:pStyle w:val="BoxSpaceBelow"/>
            </w:pPr>
          </w:p>
        </w:tc>
      </w:tr>
    </w:tbl>
    <w:p w14:paraId="7342CE19"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0875A1B7" w14:textId="77777777" w:rsidTr="00D11B9D">
        <w:trPr>
          <w:tblHeader/>
        </w:trPr>
        <w:tc>
          <w:tcPr>
            <w:tcW w:w="5000" w:type="pct"/>
            <w:tcBorders>
              <w:top w:val="single" w:sz="6" w:space="0" w:color="78A22F"/>
              <w:left w:val="nil"/>
              <w:bottom w:val="nil"/>
              <w:right w:val="nil"/>
            </w:tcBorders>
            <w:shd w:val="clear" w:color="auto" w:fill="auto"/>
          </w:tcPr>
          <w:p w14:paraId="64E98672" w14:textId="77777777" w:rsidR="00FC14FC" w:rsidRDefault="00FC14FC" w:rsidP="00D11B9D">
            <w:pPr>
              <w:pStyle w:val="TableTitle"/>
            </w:pPr>
            <w:r>
              <w:rPr>
                <w:b w:val="0"/>
              </w:rPr>
              <w:t>Table 4.11</w:t>
            </w:r>
            <w:r>
              <w:tab/>
              <w:t>Comparison of whole</w:t>
            </w:r>
            <w:r>
              <w:noBreakHyphen/>
              <w:t>of</w:t>
            </w:r>
            <w:r>
              <w:noBreakHyphen/>
              <w:t>fund asset allocation to MySuper asset allocation</w:t>
            </w:r>
          </w:p>
          <w:p w14:paraId="6DD7BCDF" w14:textId="77777777" w:rsidR="00FC14FC" w:rsidRPr="00784A05" w:rsidRDefault="00FC14FC" w:rsidP="00D11B9D">
            <w:pPr>
              <w:pStyle w:val="Subtitle"/>
            </w:pPr>
            <w:r>
              <w:t>Additional proportion of assets in growth for default investment options (%), 2014</w:t>
            </w:r>
            <w:r>
              <w:noBreakHyphen/>
              <w:t>2017</w:t>
            </w:r>
          </w:p>
        </w:tc>
      </w:tr>
      <w:tr w:rsidR="00FC14FC" w14:paraId="30E31056"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20"/>
              <w:gridCol w:w="1417"/>
              <w:gridCol w:w="1417"/>
              <w:gridCol w:w="1417"/>
              <w:gridCol w:w="1417"/>
              <w:gridCol w:w="1417"/>
            </w:tblGrid>
            <w:tr w:rsidR="00FC14FC" w14:paraId="230F5124" w14:textId="77777777" w:rsidTr="00D11B9D">
              <w:trPr>
                <w:tblHeader/>
              </w:trPr>
              <w:tc>
                <w:tcPr>
                  <w:tcW w:w="835" w:type="pct"/>
                  <w:tcBorders>
                    <w:top w:val="single" w:sz="6" w:space="0" w:color="BFBFBF"/>
                    <w:bottom w:val="single" w:sz="6" w:space="0" w:color="BFBFBF"/>
                  </w:tcBorders>
                  <w:shd w:val="clear" w:color="auto" w:fill="auto"/>
                  <w:tcMar>
                    <w:top w:w="28" w:type="dxa"/>
                  </w:tcMar>
                  <w:vAlign w:val="bottom"/>
                </w:tcPr>
                <w:p w14:paraId="23C98FC5" w14:textId="77777777" w:rsidR="00FC14FC" w:rsidRDefault="00FC14FC" w:rsidP="00D11B9D">
                  <w:pPr>
                    <w:pStyle w:val="TableColumnHeading"/>
                    <w:jc w:val="left"/>
                  </w:pPr>
                  <w:r>
                    <w:t>Min</w:t>
                  </w:r>
                </w:p>
              </w:tc>
              <w:tc>
                <w:tcPr>
                  <w:tcW w:w="833" w:type="pct"/>
                  <w:tcBorders>
                    <w:top w:val="single" w:sz="6" w:space="0" w:color="BFBFBF"/>
                    <w:bottom w:val="single" w:sz="6" w:space="0" w:color="BFBFBF"/>
                  </w:tcBorders>
                  <w:vAlign w:val="bottom"/>
                </w:tcPr>
                <w:p w14:paraId="069D4B71" w14:textId="77777777" w:rsidR="00FC14FC" w:rsidRDefault="00FC14FC" w:rsidP="00D11B9D">
                  <w:pPr>
                    <w:pStyle w:val="TableColumnHeading"/>
                  </w:pPr>
                  <w:r>
                    <w:t>1</w:t>
                  </w:r>
                  <w:r w:rsidRPr="00C77EDF">
                    <w:rPr>
                      <w:vertAlign w:val="superscript"/>
                    </w:rPr>
                    <w:t>st</w:t>
                  </w:r>
                  <w:r>
                    <w:t xml:space="preserve"> quartile</w:t>
                  </w:r>
                </w:p>
              </w:tc>
              <w:tc>
                <w:tcPr>
                  <w:tcW w:w="833" w:type="pct"/>
                  <w:tcBorders>
                    <w:top w:val="single" w:sz="6" w:space="0" w:color="BFBFBF"/>
                    <w:bottom w:val="single" w:sz="6" w:space="0" w:color="BFBFBF"/>
                  </w:tcBorders>
                  <w:shd w:val="clear" w:color="auto" w:fill="auto"/>
                  <w:tcMar>
                    <w:top w:w="28" w:type="dxa"/>
                  </w:tcMar>
                  <w:vAlign w:val="bottom"/>
                </w:tcPr>
                <w:p w14:paraId="5B63DD7B" w14:textId="77777777" w:rsidR="00FC14FC" w:rsidRDefault="00FC14FC" w:rsidP="00D11B9D">
                  <w:pPr>
                    <w:pStyle w:val="TableColumnHeading"/>
                  </w:pPr>
                  <w:r>
                    <w:t>Median</w:t>
                  </w:r>
                </w:p>
              </w:tc>
              <w:tc>
                <w:tcPr>
                  <w:tcW w:w="833" w:type="pct"/>
                  <w:tcBorders>
                    <w:top w:val="single" w:sz="6" w:space="0" w:color="BFBFBF"/>
                    <w:bottom w:val="single" w:sz="6" w:space="0" w:color="BFBFBF"/>
                  </w:tcBorders>
                  <w:vAlign w:val="bottom"/>
                </w:tcPr>
                <w:p w14:paraId="213490B3" w14:textId="77777777" w:rsidR="00FC14FC" w:rsidRDefault="00FC14FC" w:rsidP="00D11B9D">
                  <w:pPr>
                    <w:pStyle w:val="TableColumnHeading"/>
                    <w:ind w:right="28"/>
                  </w:pPr>
                  <w:r>
                    <w:t>Mean</w:t>
                  </w:r>
                </w:p>
              </w:tc>
              <w:tc>
                <w:tcPr>
                  <w:tcW w:w="833" w:type="pct"/>
                  <w:tcBorders>
                    <w:top w:val="single" w:sz="6" w:space="0" w:color="BFBFBF"/>
                    <w:bottom w:val="single" w:sz="6" w:space="0" w:color="BFBFBF"/>
                  </w:tcBorders>
                  <w:vAlign w:val="bottom"/>
                </w:tcPr>
                <w:p w14:paraId="789FF4C5" w14:textId="77777777" w:rsidR="00FC14FC" w:rsidRDefault="00FC14FC" w:rsidP="00D11B9D">
                  <w:pPr>
                    <w:pStyle w:val="TableColumnHeading"/>
                    <w:ind w:right="28"/>
                  </w:pPr>
                  <w:r>
                    <w:t>3</w:t>
                  </w:r>
                  <w:r w:rsidRPr="00C77EDF">
                    <w:rPr>
                      <w:vertAlign w:val="superscript"/>
                    </w:rPr>
                    <w:t>rd</w:t>
                  </w:r>
                  <w:r>
                    <w:t xml:space="preserve"> quartile</w:t>
                  </w:r>
                </w:p>
              </w:tc>
              <w:tc>
                <w:tcPr>
                  <w:tcW w:w="833" w:type="pct"/>
                  <w:tcBorders>
                    <w:top w:val="single" w:sz="6" w:space="0" w:color="BFBFBF"/>
                    <w:bottom w:val="single" w:sz="6" w:space="0" w:color="BFBFBF"/>
                  </w:tcBorders>
                  <w:shd w:val="clear" w:color="auto" w:fill="auto"/>
                  <w:tcMar>
                    <w:top w:w="28" w:type="dxa"/>
                  </w:tcMar>
                  <w:vAlign w:val="bottom"/>
                </w:tcPr>
                <w:p w14:paraId="2B7E304A" w14:textId="77777777" w:rsidR="00FC14FC" w:rsidRDefault="00FC14FC" w:rsidP="00D11B9D">
                  <w:pPr>
                    <w:pStyle w:val="TableColumnHeading"/>
                    <w:ind w:right="28"/>
                  </w:pPr>
                  <w:r>
                    <w:t>Max</w:t>
                  </w:r>
                </w:p>
              </w:tc>
            </w:tr>
            <w:tr w:rsidR="00FC14FC" w14:paraId="79CFB393" w14:textId="77777777" w:rsidTr="00D11B9D">
              <w:tc>
                <w:tcPr>
                  <w:tcW w:w="835" w:type="pct"/>
                  <w:tcBorders>
                    <w:top w:val="single" w:sz="6" w:space="0" w:color="BFBFBF"/>
                    <w:bottom w:val="single" w:sz="6" w:space="0" w:color="BFBFBF"/>
                  </w:tcBorders>
                  <w:shd w:val="clear" w:color="auto" w:fill="auto"/>
                  <w:vAlign w:val="bottom"/>
                </w:tcPr>
                <w:p w14:paraId="1DA885C8" w14:textId="77777777" w:rsidR="00FC14FC" w:rsidRDefault="00FC14FC" w:rsidP="00D11B9D">
                  <w:pPr>
                    <w:pStyle w:val="TableUnitsRow"/>
                    <w:jc w:val="left"/>
                  </w:pPr>
                  <w:r>
                    <w:noBreakHyphen/>
                    <w:t>16.9</w:t>
                  </w:r>
                </w:p>
              </w:tc>
              <w:tc>
                <w:tcPr>
                  <w:tcW w:w="833" w:type="pct"/>
                  <w:tcBorders>
                    <w:top w:val="single" w:sz="6" w:space="0" w:color="BFBFBF"/>
                    <w:bottom w:val="single" w:sz="6" w:space="0" w:color="BFBFBF"/>
                  </w:tcBorders>
                  <w:shd w:val="clear" w:color="auto" w:fill="auto"/>
                  <w:vAlign w:val="bottom"/>
                </w:tcPr>
                <w:p w14:paraId="652109DE" w14:textId="77777777" w:rsidR="00FC14FC" w:rsidRDefault="00FC14FC" w:rsidP="00D11B9D">
                  <w:pPr>
                    <w:pStyle w:val="TableUnitsRow"/>
                  </w:pPr>
                  <w:r>
                    <w:t>+3.2</w:t>
                  </w:r>
                </w:p>
              </w:tc>
              <w:tc>
                <w:tcPr>
                  <w:tcW w:w="833" w:type="pct"/>
                  <w:tcBorders>
                    <w:top w:val="single" w:sz="6" w:space="0" w:color="BFBFBF"/>
                    <w:bottom w:val="single" w:sz="6" w:space="0" w:color="BFBFBF"/>
                  </w:tcBorders>
                  <w:shd w:val="clear" w:color="auto" w:fill="auto"/>
                  <w:vAlign w:val="bottom"/>
                </w:tcPr>
                <w:p w14:paraId="3F847D0A" w14:textId="77777777" w:rsidR="00FC14FC" w:rsidRDefault="00FC14FC" w:rsidP="00D11B9D">
                  <w:pPr>
                    <w:pStyle w:val="TableUnitsRow"/>
                  </w:pPr>
                  <w:r>
                    <w:t>+7.8</w:t>
                  </w:r>
                </w:p>
              </w:tc>
              <w:tc>
                <w:tcPr>
                  <w:tcW w:w="833" w:type="pct"/>
                  <w:tcBorders>
                    <w:top w:val="single" w:sz="6" w:space="0" w:color="BFBFBF"/>
                    <w:bottom w:val="single" w:sz="6" w:space="0" w:color="BFBFBF"/>
                  </w:tcBorders>
                  <w:shd w:val="clear" w:color="auto" w:fill="auto"/>
                  <w:vAlign w:val="bottom"/>
                </w:tcPr>
                <w:p w14:paraId="58BDB7FB" w14:textId="77777777" w:rsidR="00FC14FC" w:rsidRDefault="00FC14FC" w:rsidP="00D11B9D">
                  <w:pPr>
                    <w:pStyle w:val="TableUnitsRow"/>
                    <w:ind w:right="28"/>
                  </w:pPr>
                  <w:r>
                    <w:t>+7.2</w:t>
                  </w:r>
                </w:p>
              </w:tc>
              <w:tc>
                <w:tcPr>
                  <w:tcW w:w="833" w:type="pct"/>
                  <w:tcBorders>
                    <w:top w:val="single" w:sz="6" w:space="0" w:color="BFBFBF"/>
                    <w:bottom w:val="single" w:sz="6" w:space="0" w:color="BFBFBF"/>
                  </w:tcBorders>
                  <w:shd w:val="clear" w:color="auto" w:fill="auto"/>
                  <w:vAlign w:val="bottom"/>
                </w:tcPr>
                <w:p w14:paraId="0147FFBD" w14:textId="77777777" w:rsidR="00FC14FC" w:rsidRDefault="00FC14FC" w:rsidP="00D11B9D">
                  <w:pPr>
                    <w:pStyle w:val="TableUnitsRow"/>
                    <w:ind w:right="28"/>
                  </w:pPr>
                  <w:r>
                    <w:t>+11.8</w:t>
                  </w:r>
                </w:p>
              </w:tc>
              <w:tc>
                <w:tcPr>
                  <w:tcW w:w="833" w:type="pct"/>
                  <w:tcBorders>
                    <w:top w:val="single" w:sz="6" w:space="0" w:color="BFBFBF"/>
                    <w:bottom w:val="single" w:sz="6" w:space="0" w:color="BFBFBF"/>
                  </w:tcBorders>
                  <w:shd w:val="clear" w:color="auto" w:fill="auto"/>
                  <w:vAlign w:val="bottom"/>
                </w:tcPr>
                <w:p w14:paraId="422AAA2F" w14:textId="77777777" w:rsidR="00FC14FC" w:rsidRDefault="00FC14FC" w:rsidP="00D11B9D">
                  <w:pPr>
                    <w:pStyle w:val="TableUnitsRow"/>
                    <w:ind w:right="28"/>
                  </w:pPr>
                  <w:r>
                    <w:t>+25.0</w:t>
                  </w:r>
                </w:p>
              </w:tc>
            </w:tr>
          </w:tbl>
          <w:p w14:paraId="3029064A" w14:textId="77777777" w:rsidR="00FC14FC" w:rsidRDefault="00FC14FC" w:rsidP="00D11B9D">
            <w:pPr>
              <w:pStyle w:val="Box"/>
            </w:pPr>
          </w:p>
        </w:tc>
      </w:tr>
      <w:tr w:rsidR="00FC14FC" w14:paraId="3A0DD61F" w14:textId="77777777" w:rsidTr="00D11B9D">
        <w:tc>
          <w:tcPr>
            <w:tcW w:w="5000" w:type="pct"/>
            <w:tcBorders>
              <w:top w:val="nil"/>
              <w:left w:val="nil"/>
              <w:bottom w:val="nil"/>
              <w:right w:val="nil"/>
            </w:tcBorders>
            <w:shd w:val="clear" w:color="auto" w:fill="auto"/>
          </w:tcPr>
          <w:p w14:paraId="11F689B6" w14:textId="77777777" w:rsidR="00FC14FC" w:rsidRDefault="00FC14FC" w:rsidP="00D11B9D">
            <w:pPr>
              <w:pStyle w:val="Source"/>
            </w:pPr>
            <w:r>
              <w:rPr>
                <w:i/>
              </w:rPr>
              <w:t>Source</w:t>
            </w:r>
            <w:r w:rsidRPr="00167F06">
              <w:t xml:space="preserve">: </w:t>
            </w:r>
            <w:r>
              <w:t>PC analysis of unpublished APRA</w:t>
            </w:r>
            <w:r w:rsidDel="00F71AE2">
              <w:t xml:space="preserve"> </w:t>
            </w:r>
            <w:r>
              <w:t>data.</w:t>
            </w:r>
          </w:p>
        </w:tc>
      </w:tr>
      <w:tr w:rsidR="00FC14FC" w14:paraId="7E1B4BE2" w14:textId="77777777" w:rsidTr="00D11B9D">
        <w:tc>
          <w:tcPr>
            <w:tcW w:w="5000" w:type="pct"/>
            <w:tcBorders>
              <w:top w:val="nil"/>
              <w:left w:val="nil"/>
              <w:bottom w:val="single" w:sz="6" w:space="0" w:color="78A22F"/>
              <w:right w:val="nil"/>
            </w:tcBorders>
            <w:shd w:val="clear" w:color="auto" w:fill="auto"/>
          </w:tcPr>
          <w:p w14:paraId="3FDC3648" w14:textId="77777777" w:rsidR="00FC14FC" w:rsidRDefault="00FC14FC" w:rsidP="00D11B9D">
            <w:pPr>
              <w:pStyle w:val="Box"/>
              <w:spacing w:before="0" w:line="120" w:lineRule="exact"/>
            </w:pPr>
          </w:p>
        </w:tc>
      </w:tr>
      <w:tr w:rsidR="00FC14FC" w:rsidRPr="000863A5" w14:paraId="0D843ACF" w14:textId="77777777" w:rsidTr="00D11B9D">
        <w:tc>
          <w:tcPr>
            <w:tcW w:w="5000" w:type="pct"/>
            <w:tcBorders>
              <w:top w:val="single" w:sz="6" w:space="0" w:color="78A22F"/>
              <w:left w:val="nil"/>
              <w:bottom w:val="nil"/>
              <w:right w:val="nil"/>
            </w:tcBorders>
          </w:tcPr>
          <w:p w14:paraId="783B143C" w14:textId="77777777" w:rsidR="00FC14FC" w:rsidRPr="00626D32" w:rsidRDefault="00FC14FC" w:rsidP="00D11B9D">
            <w:pPr>
              <w:pStyle w:val="BoxSpaceBelow"/>
            </w:pPr>
          </w:p>
        </w:tc>
      </w:tr>
    </w:tbl>
    <w:p w14:paraId="24D0D82A" w14:textId="77777777" w:rsidR="00FC14FC" w:rsidRPr="000136CC" w:rsidRDefault="00FC14FC" w:rsidP="00FC14FC">
      <w:pPr>
        <w:pStyle w:val="BodyText"/>
        <w:rPr>
          <w:spacing w:val="-2"/>
        </w:rPr>
      </w:pPr>
      <w:r w:rsidRPr="000136CC">
        <w:rPr>
          <w:spacing w:val="-2"/>
        </w:rPr>
        <w:t>However, this comparison of funds’ MySuper and whole</w:t>
      </w:r>
      <w:r w:rsidRPr="000136CC">
        <w:rPr>
          <w:spacing w:val="-2"/>
        </w:rPr>
        <w:noBreakHyphen/>
        <w:t>of</w:t>
      </w:r>
      <w:r w:rsidRPr="000136CC">
        <w:rPr>
          <w:spacing w:val="-2"/>
        </w:rPr>
        <w:noBreakHyphen/>
        <w:t>fund asset allocations has problems. First, it does not capture funds that do not currently have a MySuper product. If such funds have quite different asset allocations when comparing the whole</w:t>
      </w:r>
      <w:r w:rsidRPr="000136CC">
        <w:rPr>
          <w:spacing w:val="-2"/>
        </w:rPr>
        <w:noBreakHyphen/>
        <w:t>of</w:t>
      </w:r>
      <w:r w:rsidRPr="000136CC">
        <w:rPr>
          <w:spacing w:val="-2"/>
        </w:rPr>
        <w:noBreakHyphen/>
        <w:t xml:space="preserve">fund and default investment option asset allocation, then the comparisons presented in tables 4.10 and 4.11 may </w:t>
      </w:r>
      <w:r w:rsidRPr="000136CC">
        <w:rPr>
          <w:spacing w:val="-2"/>
        </w:rPr>
        <w:lastRenderedPageBreak/>
        <w:t xml:space="preserve">not be fully representative. Moreover, these comparisons rely on MySuper asset allocation being a proxy for the default investment option asset allocation. This need not always be true as funds may have previously offered multiple products that have default investment options with quite different asset allocations from a standard balanced MySuper product. </w:t>
      </w:r>
    </w:p>
    <w:p w14:paraId="7B01893D" w14:textId="77777777" w:rsidR="00FC14FC" w:rsidRDefault="00FC14FC" w:rsidP="00FC14FC">
      <w:pPr>
        <w:pStyle w:val="BodyText"/>
      </w:pPr>
      <w:r>
        <w:t>Some participants raised concerns that these adjustments may over</w:t>
      </w:r>
      <w:r>
        <w:noBreakHyphen/>
        <w:t>estimate the allocation to growth assets that some funds had prior to 2014</w:t>
      </w:r>
      <w:r w:rsidDel="001F4A87">
        <w:t xml:space="preserve"> </w:t>
      </w:r>
      <w:r w:rsidRPr="00A75A88">
        <w:t>(CFS, sub.</w:t>
      </w:r>
      <w:r>
        <w:t> </w:t>
      </w:r>
      <w:r w:rsidRPr="00A75A88">
        <w:t>DR163; MLC Wealth, sub. DR174</w:t>
      </w:r>
      <w:r>
        <w:t>).</w:t>
      </w:r>
      <w:r w:rsidRPr="00D10681">
        <w:t xml:space="preserve"> </w:t>
      </w:r>
      <w:r>
        <w:t xml:space="preserve">However, to </w:t>
      </w:r>
      <w:r w:rsidRPr="00E53BAC">
        <w:t xml:space="preserve">the extent that some funds may have </w:t>
      </w:r>
      <w:r>
        <w:t xml:space="preserve">historically had </w:t>
      </w:r>
      <w:r w:rsidRPr="00E53BAC">
        <w:t>more conservative whole</w:t>
      </w:r>
      <w:r w:rsidRPr="00E53BAC">
        <w:noBreakHyphen/>
        <w:t>of</w:t>
      </w:r>
      <w:r w:rsidRPr="00E53BAC">
        <w:noBreakHyphen/>
        <w:t>fund asset allocations</w:t>
      </w:r>
      <w:r>
        <w:t xml:space="preserve"> than their default allocations</w:t>
      </w:r>
      <w:r w:rsidRPr="00E53BAC">
        <w:t xml:space="preserve">, this adjustment is </w:t>
      </w:r>
      <w:r>
        <w:t xml:space="preserve">broadly </w:t>
      </w:r>
      <w:r w:rsidRPr="00E53BAC">
        <w:t>in line with the Commission’s conservative approach</w:t>
      </w:r>
      <w:r>
        <w:t xml:space="preserve"> to benchmarking. If the allocation to growth assets is overestimated, then the subtraction from the default allocations prior to 2014 will be overestimated, which would imply that the estimated whole</w:t>
      </w:r>
      <w:r>
        <w:noBreakHyphen/>
        <w:t>of</w:t>
      </w:r>
      <w:r>
        <w:noBreakHyphen/>
        <w:t>fund asset allocations are more conservative than they actually are.</w:t>
      </w:r>
    </w:p>
    <w:p w14:paraId="04FADC07" w14:textId="77777777" w:rsidR="00FC14FC" w:rsidRDefault="00FC14FC" w:rsidP="00FC14FC">
      <w:pPr>
        <w:pStyle w:val="BodyText"/>
      </w:pPr>
      <w:r w:rsidRPr="00A75A88">
        <w:t>In any case</w:t>
      </w:r>
      <w:r>
        <w:t xml:space="preserve">, </w:t>
      </w:r>
      <w:r w:rsidRPr="00A75A88">
        <w:t>the precise share of each asset class in the benchmark (and associated assumptions</w:t>
      </w:r>
      <w:r w:rsidRPr="00E53BAC">
        <w:t xml:space="preserve">) </w:t>
      </w:r>
      <w:r>
        <w:t>has</w:t>
      </w:r>
      <w:r w:rsidRPr="00E53BAC">
        <w:t xml:space="preserve"> limited </w:t>
      </w:r>
      <w:r>
        <w:t>influence on</w:t>
      </w:r>
      <w:r w:rsidRPr="00E53BAC">
        <w:t xml:space="preserve"> many of the results</w:t>
      </w:r>
      <w:r>
        <w:t xml:space="preserve"> (because of the effect of the global financial crisis (GFC) (section 4.3))</w:t>
      </w:r>
      <w:r w:rsidRPr="00E53BAC">
        <w:t>.</w:t>
      </w:r>
      <w:r w:rsidRPr="00E53BAC" w:rsidDel="001F4A87">
        <w:t xml:space="preserve"> </w:t>
      </w:r>
      <w:r>
        <w:t>Sensitivity testing also reveals that alternative adjustments do not lead to fundamentally different results over the time period.</w:t>
      </w:r>
    </w:p>
    <w:p w14:paraId="26D7BD8E" w14:textId="77777777" w:rsidR="00FC14FC" w:rsidRDefault="00FC14FC" w:rsidP="00FC14FC">
      <w:pPr>
        <w:pStyle w:val="BodyText"/>
      </w:pPr>
      <w:r>
        <w:t>An alternative method of considering the differences between the default investment option allocation and whole</w:t>
      </w:r>
      <w:r>
        <w:noBreakHyphen/>
        <w:t>of</w:t>
      </w:r>
      <w:r>
        <w:noBreakHyphen/>
        <w:t>fund asset allocation is to consider the asset allocation reported by funds in 2013 compared with the asset allocation reported by funds in 2014 (when the reporting framework changed). This comparison addresses both concerns noted above, but comes with its own set of problems. It is impossible to identify how much of the change in asset allocation is due to the difference in whole</w:t>
      </w:r>
      <w:r>
        <w:noBreakHyphen/>
        <w:t>of</w:t>
      </w:r>
      <w:r>
        <w:noBreakHyphen/>
        <w:t>fund asset allocation and default investment option asset allocation or other differences, such as responses to an individual fund’s assessment of the market between 2013 and 2014.</w:t>
      </w:r>
    </w:p>
    <w:p w14:paraId="3D8FAF3A" w14:textId="77777777" w:rsidR="00FC14FC" w:rsidRDefault="00FC14FC" w:rsidP="00FC14FC">
      <w:pPr>
        <w:pStyle w:val="BodyText"/>
      </w:pPr>
      <w:r>
        <w:t>Nevertheless, this comparison shows that the reduction in proportion of growth assets was 1.6 percentage points between 2013 and 2014 for all APRA</w:t>
      </w:r>
      <w:r>
        <w:noBreakHyphen/>
        <w:t xml:space="preserve">regulated funds when weighted by assets (table 4.12). The median decrease of 1.7 percentage points is much smaller (table 4.13). </w:t>
      </w:r>
    </w:p>
    <w:p w14:paraId="4C421837"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133909BE" w14:textId="77777777" w:rsidTr="00D11B9D">
        <w:trPr>
          <w:tblHeader/>
        </w:trPr>
        <w:tc>
          <w:tcPr>
            <w:tcW w:w="5000" w:type="pct"/>
            <w:tcBorders>
              <w:top w:val="single" w:sz="6" w:space="0" w:color="78A22F"/>
              <w:left w:val="nil"/>
              <w:bottom w:val="nil"/>
              <w:right w:val="nil"/>
            </w:tcBorders>
            <w:shd w:val="clear" w:color="auto" w:fill="auto"/>
          </w:tcPr>
          <w:p w14:paraId="1EA7CF26" w14:textId="77777777" w:rsidR="00FC14FC" w:rsidRDefault="00FC14FC" w:rsidP="00D11B9D">
            <w:pPr>
              <w:pStyle w:val="TableTitle"/>
            </w:pPr>
            <w:r>
              <w:rPr>
                <w:b w:val="0"/>
              </w:rPr>
              <w:t>Table 4.12</w:t>
            </w:r>
            <w:r>
              <w:tab/>
              <w:t>Comparison of pre and post reporting regime fund asset allocation</w:t>
            </w:r>
          </w:p>
          <w:p w14:paraId="26C29E20" w14:textId="77777777" w:rsidR="00FC14FC" w:rsidRPr="00784A05" w:rsidRDefault="00FC14FC" w:rsidP="00D11B9D">
            <w:pPr>
              <w:pStyle w:val="Subtitle"/>
            </w:pPr>
            <w:r>
              <w:t>System and segment level change in allocation to growth assets, 2013</w:t>
            </w:r>
            <w:r>
              <w:noBreakHyphen/>
              <w:t>2014</w:t>
            </w:r>
          </w:p>
        </w:tc>
      </w:tr>
      <w:tr w:rsidR="00FC14FC" w14:paraId="703CABD4"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7"/>
              <w:gridCol w:w="6238"/>
            </w:tblGrid>
            <w:tr w:rsidR="00FC14FC" w14:paraId="02793844" w14:textId="77777777" w:rsidTr="00D11B9D">
              <w:trPr>
                <w:tblHeader/>
              </w:trPr>
              <w:tc>
                <w:tcPr>
                  <w:tcW w:w="1333" w:type="pct"/>
                  <w:tcBorders>
                    <w:top w:val="single" w:sz="6" w:space="0" w:color="BFBFBF"/>
                    <w:bottom w:val="single" w:sz="6" w:space="0" w:color="BFBFBF"/>
                  </w:tcBorders>
                  <w:shd w:val="clear" w:color="auto" w:fill="auto"/>
                  <w:tcMar>
                    <w:top w:w="28" w:type="dxa"/>
                  </w:tcMar>
                </w:tcPr>
                <w:p w14:paraId="0E3788E1" w14:textId="77777777" w:rsidR="00FC14FC" w:rsidRDefault="00FC14FC" w:rsidP="00D11B9D">
                  <w:pPr>
                    <w:pStyle w:val="TableColumnHeading"/>
                    <w:jc w:val="left"/>
                  </w:pPr>
                  <w:r>
                    <w:t>Fund type</w:t>
                  </w:r>
                </w:p>
              </w:tc>
              <w:tc>
                <w:tcPr>
                  <w:tcW w:w="3667" w:type="pct"/>
                  <w:tcBorders>
                    <w:top w:val="single" w:sz="6" w:space="0" w:color="BFBFBF"/>
                    <w:bottom w:val="single" w:sz="6" w:space="0" w:color="BFBFBF"/>
                  </w:tcBorders>
                  <w:shd w:val="clear" w:color="auto" w:fill="auto"/>
                  <w:tcMar>
                    <w:top w:w="28" w:type="dxa"/>
                  </w:tcMar>
                </w:tcPr>
                <w:p w14:paraId="038AE4D4" w14:textId="77777777" w:rsidR="00FC14FC" w:rsidRDefault="00FC14FC" w:rsidP="00D11B9D">
                  <w:pPr>
                    <w:pStyle w:val="TableColumnHeading"/>
                    <w:ind w:right="28"/>
                  </w:pPr>
                  <w:r>
                    <w:t>Percentage points</w:t>
                  </w:r>
                </w:p>
              </w:tc>
            </w:tr>
            <w:tr w:rsidR="00FC14FC" w14:paraId="1FABAA52" w14:textId="77777777" w:rsidTr="00D11B9D">
              <w:tc>
                <w:tcPr>
                  <w:tcW w:w="1333" w:type="pct"/>
                  <w:tcBorders>
                    <w:top w:val="single" w:sz="6" w:space="0" w:color="BFBFBF"/>
                  </w:tcBorders>
                </w:tcPr>
                <w:p w14:paraId="7F70325C" w14:textId="77777777" w:rsidR="00FC14FC" w:rsidRDefault="00FC14FC" w:rsidP="00D11B9D">
                  <w:pPr>
                    <w:pStyle w:val="TableUnitsRow"/>
                    <w:jc w:val="left"/>
                  </w:pPr>
                  <w:r>
                    <w:t>Retail</w:t>
                  </w:r>
                </w:p>
              </w:tc>
              <w:tc>
                <w:tcPr>
                  <w:tcW w:w="3667" w:type="pct"/>
                  <w:tcBorders>
                    <w:top w:val="single" w:sz="6" w:space="0" w:color="BFBFBF"/>
                  </w:tcBorders>
                </w:tcPr>
                <w:p w14:paraId="0E48F355" w14:textId="77777777" w:rsidR="00FC14FC" w:rsidRDefault="00FC14FC" w:rsidP="00D11B9D">
                  <w:pPr>
                    <w:pStyle w:val="TableUnitsRow"/>
                    <w:ind w:right="28"/>
                  </w:pPr>
                  <w:r>
                    <w:t>+2.3</w:t>
                  </w:r>
                </w:p>
              </w:tc>
            </w:tr>
            <w:tr w:rsidR="00FC14FC" w14:paraId="41E96519" w14:textId="77777777" w:rsidTr="00D11B9D">
              <w:tc>
                <w:tcPr>
                  <w:tcW w:w="1333" w:type="pct"/>
                  <w:shd w:val="clear" w:color="auto" w:fill="F2F2F2" w:themeFill="background1" w:themeFillShade="F2"/>
                </w:tcPr>
                <w:p w14:paraId="17B1C63C" w14:textId="77777777" w:rsidR="00FC14FC" w:rsidRDefault="00FC14FC" w:rsidP="00D11B9D">
                  <w:pPr>
                    <w:pStyle w:val="TableBodyText"/>
                    <w:jc w:val="left"/>
                  </w:pPr>
                  <w:r>
                    <w:t>Not</w:t>
                  </w:r>
                  <w:r>
                    <w:noBreakHyphen/>
                    <w:t>for</w:t>
                  </w:r>
                  <w:r>
                    <w:noBreakHyphen/>
                    <w:t>profit</w:t>
                  </w:r>
                </w:p>
              </w:tc>
              <w:tc>
                <w:tcPr>
                  <w:tcW w:w="3667" w:type="pct"/>
                  <w:shd w:val="clear" w:color="auto" w:fill="F2F2F2" w:themeFill="background1" w:themeFillShade="F2"/>
                </w:tcPr>
                <w:p w14:paraId="1A0EB95A" w14:textId="77777777" w:rsidR="00FC14FC" w:rsidRDefault="00FC14FC" w:rsidP="00D11B9D">
                  <w:pPr>
                    <w:pStyle w:val="TableBodyText"/>
                    <w:ind w:right="28"/>
                  </w:pPr>
                  <w:r>
                    <w:noBreakHyphen/>
                    <w:t>3.8</w:t>
                  </w:r>
                </w:p>
              </w:tc>
            </w:tr>
            <w:tr w:rsidR="00FC14FC" w14:paraId="66BE4541" w14:textId="77777777" w:rsidTr="00D11B9D">
              <w:tc>
                <w:tcPr>
                  <w:tcW w:w="1333" w:type="pct"/>
                  <w:tcBorders>
                    <w:bottom w:val="single" w:sz="6" w:space="0" w:color="BFBFBF"/>
                  </w:tcBorders>
                  <w:shd w:val="clear" w:color="auto" w:fill="auto"/>
                </w:tcPr>
                <w:p w14:paraId="31D83AC9" w14:textId="77777777" w:rsidR="00FC14FC" w:rsidRDefault="00FC14FC" w:rsidP="00D11B9D">
                  <w:pPr>
                    <w:pStyle w:val="TableBodyText"/>
                    <w:jc w:val="left"/>
                  </w:pPr>
                  <w:r>
                    <w:t>All APRA</w:t>
                  </w:r>
                  <w:r>
                    <w:noBreakHyphen/>
                    <w:t>regulated funds</w:t>
                  </w:r>
                </w:p>
              </w:tc>
              <w:tc>
                <w:tcPr>
                  <w:tcW w:w="3667" w:type="pct"/>
                  <w:tcBorders>
                    <w:bottom w:val="single" w:sz="6" w:space="0" w:color="BFBFBF"/>
                  </w:tcBorders>
                  <w:shd w:val="clear" w:color="auto" w:fill="auto"/>
                </w:tcPr>
                <w:p w14:paraId="4F540E88" w14:textId="77777777" w:rsidR="00FC14FC" w:rsidRDefault="00FC14FC" w:rsidP="00D11B9D">
                  <w:pPr>
                    <w:pStyle w:val="TableBodyText"/>
                    <w:ind w:right="28"/>
                  </w:pPr>
                  <w:r>
                    <w:noBreakHyphen/>
                    <w:t>1.6</w:t>
                  </w:r>
                </w:p>
              </w:tc>
            </w:tr>
          </w:tbl>
          <w:p w14:paraId="2C73C441" w14:textId="77777777" w:rsidR="00FC14FC" w:rsidRDefault="00FC14FC" w:rsidP="00D11B9D">
            <w:pPr>
              <w:pStyle w:val="Box"/>
            </w:pPr>
          </w:p>
        </w:tc>
      </w:tr>
      <w:tr w:rsidR="00FC14FC" w14:paraId="1F3E6118" w14:textId="77777777" w:rsidTr="00D11B9D">
        <w:tc>
          <w:tcPr>
            <w:tcW w:w="5000" w:type="pct"/>
            <w:tcBorders>
              <w:top w:val="nil"/>
              <w:left w:val="nil"/>
              <w:bottom w:val="nil"/>
              <w:right w:val="nil"/>
            </w:tcBorders>
            <w:shd w:val="clear" w:color="auto" w:fill="auto"/>
          </w:tcPr>
          <w:p w14:paraId="6298E963" w14:textId="77777777" w:rsidR="00FC14FC" w:rsidRDefault="00FC14FC" w:rsidP="00D11B9D">
            <w:pPr>
              <w:pStyle w:val="Source"/>
            </w:pPr>
            <w:r>
              <w:rPr>
                <w:i/>
              </w:rPr>
              <w:t>Source</w:t>
            </w:r>
            <w:r w:rsidRPr="00167F06">
              <w:t xml:space="preserve">: </w:t>
            </w:r>
            <w:r>
              <w:t xml:space="preserve">PC analysis of unpublished APRA </w:t>
            </w:r>
            <w:r w:rsidDel="00F71AE2">
              <w:t>data</w:t>
            </w:r>
            <w:r>
              <w:t>.</w:t>
            </w:r>
          </w:p>
        </w:tc>
      </w:tr>
      <w:tr w:rsidR="00FC14FC" w14:paraId="532F0EAF" w14:textId="77777777" w:rsidTr="00D11B9D">
        <w:tc>
          <w:tcPr>
            <w:tcW w:w="5000" w:type="pct"/>
            <w:tcBorders>
              <w:top w:val="nil"/>
              <w:left w:val="nil"/>
              <w:bottom w:val="single" w:sz="6" w:space="0" w:color="78A22F"/>
              <w:right w:val="nil"/>
            </w:tcBorders>
            <w:shd w:val="clear" w:color="auto" w:fill="auto"/>
          </w:tcPr>
          <w:p w14:paraId="371F9F4D" w14:textId="77777777" w:rsidR="00FC14FC" w:rsidRDefault="00FC14FC" w:rsidP="00D11B9D">
            <w:pPr>
              <w:pStyle w:val="Box"/>
              <w:spacing w:before="0" w:line="120" w:lineRule="exact"/>
            </w:pPr>
          </w:p>
        </w:tc>
      </w:tr>
      <w:tr w:rsidR="00FC14FC" w:rsidRPr="000863A5" w14:paraId="46206565" w14:textId="77777777" w:rsidTr="00D11B9D">
        <w:tc>
          <w:tcPr>
            <w:tcW w:w="5000" w:type="pct"/>
            <w:tcBorders>
              <w:top w:val="single" w:sz="6" w:space="0" w:color="78A22F"/>
              <w:left w:val="nil"/>
              <w:bottom w:val="nil"/>
              <w:right w:val="nil"/>
            </w:tcBorders>
          </w:tcPr>
          <w:p w14:paraId="4F5334E0" w14:textId="77777777" w:rsidR="00FC14FC" w:rsidRPr="00626D32" w:rsidRDefault="00FC14FC" w:rsidP="00D11B9D">
            <w:pPr>
              <w:pStyle w:val="BoxSpaceBelow"/>
            </w:pPr>
          </w:p>
        </w:tc>
      </w:tr>
    </w:tbl>
    <w:p w14:paraId="63DE9C5F"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34ED20D3" w14:textId="77777777" w:rsidTr="00D11B9D">
        <w:trPr>
          <w:tblHeader/>
        </w:trPr>
        <w:tc>
          <w:tcPr>
            <w:tcW w:w="5000" w:type="pct"/>
            <w:tcBorders>
              <w:top w:val="single" w:sz="6" w:space="0" w:color="78A22F"/>
              <w:left w:val="nil"/>
              <w:bottom w:val="nil"/>
              <w:right w:val="nil"/>
            </w:tcBorders>
            <w:shd w:val="clear" w:color="auto" w:fill="auto"/>
          </w:tcPr>
          <w:p w14:paraId="6E21C9B1" w14:textId="77777777" w:rsidR="00FC14FC" w:rsidRDefault="00FC14FC" w:rsidP="00D11B9D">
            <w:pPr>
              <w:pStyle w:val="TableTitle"/>
            </w:pPr>
            <w:r>
              <w:rPr>
                <w:b w:val="0"/>
              </w:rPr>
              <w:t>Table 4.13</w:t>
            </w:r>
            <w:r>
              <w:tab/>
              <w:t>Comparison of fund asset allocations before and after APRA reporting changes</w:t>
            </w:r>
          </w:p>
          <w:p w14:paraId="21437BB2" w14:textId="77777777" w:rsidR="00FC14FC" w:rsidRPr="00784A05" w:rsidRDefault="00FC14FC" w:rsidP="00D11B9D">
            <w:pPr>
              <w:pStyle w:val="Subtitle"/>
            </w:pPr>
            <w:r>
              <w:t>Fund level change in allocation to growth assets, percentage points, 2013</w:t>
            </w:r>
            <w:r>
              <w:noBreakHyphen/>
              <w:t>2014</w:t>
            </w:r>
          </w:p>
        </w:tc>
      </w:tr>
      <w:tr w:rsidR="00FC14FC" w14:paraId="1007B17F"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20"/>
              <w:gridCol w:w="1417"/>
              <w:gridCol w:w="1417"/>
              <w:gridCol w:w="1417"/>
              <w:gridCol w:w="1417"/>
              <w:gridCol w:w="1417"/>
            </w:tblGrid>
            <w:tr w:rsidR="00FC14FC" w14:paraId="6181F136" w14:textId="77777777" w:rsidTr="00D11B9D">
              <w:trPr>
                <w:tblHeader/>
              </w:trPr>
              <w:tc>
                <w:tcPr>
                  <w:tcW w:w="835" w:type="pct"/>
                  <w:tcBorders>
                    <w:top w:val="single" w:sz="6" w:space="0" w:color="BFBFBF"/>
                    <w:bottom w:val="single" w:sz="6" w:space="0" w:color="BFBFBF"/>
                  </w:tcBorders>
                  <w:shd w:val="clear" w:color="auto" w:fill="auto"/>
                  <w:tcMar>
                    <w:top w:w="28" w:type="dxa"/>
                  </w:tcMar>
                  <w:vAlign w:val="bottom"/>
                </w:tcPr>
                <w:p w14:paraId="08110B3C" w14:textId="77777777" w:rsidR="00FC14FC" w:rsidRDefault="00FC14FC" w:rsidP="00D11B9D">
                  <w:pPr>
                    <w:pStyle w:val="TableColumnHeading"/>
                    <w:jc w:val="left"/>
                  </w:pPr>
                  <w:r>
                    <w:t>Min</w:t>
                  </w:r>
                </w:p>
              </w:tc>
              <w:tc>
                <w:tcPr>
                  <w:tcW w:w="833" w:type="pct"/>
                  <w:tcBorders>
                    <w:top w:val="single" w:sz="6" w:space="0" w:color="BFBFBF"/>
                    <w:bottom w:val="single" w:sz="6" w:space="0" w:color="BFBFBF"/>
                  </w:tcBorders>
                  <w:vAlign w:val="bottom"/>
                </w:tcPr>
                <w:p w14:paraId="10E8A257" w14:textId="77777777" w:rsidR="00FC14FC" w:rsidRDefault="00FC14FC" w:rsidP="00D11B9D">
                  <w:pPr>
                    <w:pStyle w:val="TableColumnHeading"/>
                  </w:pPr>
                  <w:r>
                    <w:t>1</w:t>
                  </w:r>
                  <w:r w:rsidRPr="00C77EDF">
                    <w:rPr>
                      <w:vertAlign w:val="superscript"/>
                    </w:rPr>
                    <w:t>st</w:t>
                  </w:r>
                  <w:r>
                    <w:t xml:space="preserve"> quartile</w:t>
                  </w:r>
                </w:p>
              </w:tc>
              <w:tc>
                <w:tcPr>
                  <w:tcW w:w="833" w:type="pct"/>
                  <w:tcBorders>
                    <w:top w:val="single" w:sz="6" w:space="0" w:color="BFBFBF"/>
                    <w:bottom w:val="single" w:sz="6" w:space="0" w:color="BFBFBF"/>
                  </w:tcBorders>
                  <w:shd w:val="clear" w:color="auto" w:fill="auto"/>
                  <w:tcMar>
                    <w:top w:w="28" w:type="dxa"/>
                  </w:tcMar>
                  <w:vAlign w:val="bottom"/>
                </w:tcPr>
                <w:p w14:paraId="47A89728" w14:textId="77777777" w:rsidR="00FC14FC" w:rsidRDefault="00FC14FC" w:rsidP="00D11B9D">
                  <w:pPr>
                    <w:pStyle w:val="TableColumnHeading"/>
                  </w:pPr>
                  <w:r>
                    <w:t>Median</w:t>
                  </w:r>
                </w:p>
              </w:tc>
              <w:tc>
                <w:tcPr>
                  <w:tcW w:w="833" w:type="pct"/>
                  <w:tcBorders>
                    <w:top w:val="single" w:sz="6" w:space="0" w:color="BFBFBF"/>
                    <w:bottom w:val="single" w:sz="6" w:space="0" w:color="BFBFBF"/>
                  </w:tcBorders>
                  <w:vAlign w:val="bottom"/>
                </w:tcPr>
                <w:p w14:paraId="29BBB22C" w14:textId="77777777" w:rsidR="00FC14FC" w:rsidRDefault="00FC14FC" w:rsidP="00D11B9D">
                  <w:pPr>
                    <w:pStyle w:val="TableColumnHeading"/>
                    <w:ind w:right="28"/>
                  </w:pPr>
                  <w:r>
                    <w:t>Mean</w:t>
                  </w:r>
                </w:p>
              </w:tc>
              <w:tc>
                <w:tcPr>
                  <w:tcW w:w="833" w:type="pct"/>
                  <w:tcBorders>
                    <w:top w:val="single" w:sz="6" w:space="0" w:color="BFBFBF"/>
                    <w:bottom w:val="single" w:sz="6" w:space="0" w:color="BFBFBF"/>
                  </w:tcBorders>
                  <w:vAlign w:val="bottom"/>
                </w:tcPr>
                <w:p w14:paraId="20AF1741" w14:textId="77777777" w:rsidR="00FC14FC" w:rsidRDefault="00FC14FC" w:rsidP="00D11B9D">
                  <w:pPr>
                    <w:pStyle w:val="TableColumnHeading"/>
                    <w:ind w:right="28"/>
                  </w:pPr>
                  <w:r>
                    <w:t>3</w:t>
                  </w:r>
                  <w:r w:rsidRPr="00C77EDF">
                    <w:rPr>
                      <w:vertAlign w:val="superscript"/>
                    </w:rPr>
                    <w:t>rd</w:t>
                  </w:r>
                  <w:r>
                    <w:t xml:space="preserve"> quartile</w:t>
                  </w:r>
                </w:p>
              </w:tc>
              <w:tc>
                <w:tcPr>
                  <w:tcW w:w="833" w:type="pct"/>
                  <w:tcBorders>
                    <w:top w:val="single" w:sz="6" w:space="0" w:color="BFBFBF"/>
                    <w:bottom w:val="single" w:sz="6" w:space="0" w:color="BFBFBF"/>
                  </w:tcBorders>
                  <w:shd w:val="clear" w:color="auto" w:fill="auto"/>
                  <w:tcMar>
                    <w:top w:w="28" w:type="dxa"/>
                  </w:tcMar>
                  <w:vAlign w:val="bottom"/>
                </w:tcPr>
                <w:p w14:paraId="781BE736" w14:textId="77777777" w:rsidR="00FC14FC" w:rsidRDefault="00FC14FC" w:rsidP="00D11B9D">
                  <w:pPr>
                    <w:pStyle w:val="TableColumnHeading"/>
                    <w:ind w:right="28"/>
                  </w:pPr>
                  <w:r>
                    <w:t>Max</w:t>
                  </w:r>
                </w:p>
              </w:tc>
            </w:tr>
            <w:tr w:rsidR="00FC14FC" w14:paraId="1C1579B5" w14:textId="77777777" w:rsidTr="00D11B9D">
              <w:tc>
                <w:tcPr>
                  <w:tcW w:w="835" w:type="pct"/>
                  <w:tcBorders>
                    <w:top w:val="single" w:sz="6" w:space="0" w:color="BFBFBF"/>
                    <w:bottom w:val="single" w:sz="6" w:space="0" w:color="BFBFBF"/>
                  </w:tcBorders>
                  <w:shd w:val="clear" w:color="auto" w:fill="auto"/>
                  <w:vAlign w:val="bottom"/>
                </w:tcPr>
                <w:p w14:paraId="510F825A" w14:textId="77777777" w:rsidR="00FC14FC" w:rsidRDefault="00FC14FC" w:rsidP="00D11B9D">
                  <w:pPr>
                    <w:pStyle w:val="TableUnitsRow"/>
                    <w:jc w:val="left"/>
                  </w:pPr>
                  <w:r>
                    <w:noBreakHyphen/>
                    <w:t>76.0</w:t>
                  </w:r>
                </w:p>
              </w:tc>
              <w:tc>
                <w:tcPr>
                  <w:tcW w:w="833" w:type="pct"/>
                  <w:tcBorders>
                    <w:top w:val="single" w:sz="6" w:space="0" w:color="BFBFBF"/>
                    <w:bottom w:val="single" w:sz="6" w:space="0" w:color="BFBFBF"/>
                  </w:tcBorders>
                  <w:shd w:val="clear" w:color="auto" w:fill="auto"/>
                  <w:vAlign w:val="bottom"/>
                </w:tcPr>
                <w:p w14:paraId="5B089973" w14:textId="77777777" w:rsidR="00FC14FC" w:rsidRDefault="00FC14FC" w:rsidP="00D11B9D">
                  <w:pPr>
                    <w:pStyle w:val="TableUnitsRow"/>
                  </w:pPr>
                  <w:r>
                    <w:noBreakHyphen/>
                    <w:t>9.5</w:t>
                  </w:r>
                </w:p>
              </w:tc>
              <w:tc>
                <w:tcPr>
                  <w:tcW w:w="833" w:type="pct"/>
                  <w:tcBorders>
                    <w:top w:val="single" w:sz="6" w:space="0" w:color="BFBFBF"/>
                    <w:bottom w:val="single" w:sz="6" w:space="0" w:color="BFBFBF"/>
                  </w:tcBorders>
                  <w:shd w:val="clear" w:color="auto" w:fill="auto"/>
                  <w:vAlign w:val="bottom"/>
                </w:tcPr>
                <w:p w14:paraId="73F3BA0C" w14:textId="77777777" w:rsidR="00FC14FC" w:rsidRDefault="00FC14FC" w:rsidP="00D11B9D">
                  <w:pPr>
                    <w:pStyle w:val="TableUnitsRow"/>
                  </w:pPr>
                  <w:r>
                    <w:noBreakHyphen/>
                    <w:t>1.7</w:t>
                  </w:r>
                </w:p>
              </w:tc>
              <w:tc>
                <w:tcPr>
                  <w:tcW w:w="833" w:type="pct"/>
                  <w:tcBorders>
                    <w:top w:val="single" w:sz="6" w:space="0" w:color="BFBFBF"/>
                    <w:bottom w:val="single" w:sz="6" w:space="0" w:color="BFBFBF"/>
                  </w:tcBorders>
                  <w:shd w:val="clear" w:color="auto" w:fill="auto"/>
                  <w:vAlign w:val="bottom"/>
                </w:tcPr>
                <w:p w14:paraId="6835666D" w14:textId="77777777" w:rsidR="00FC14FC" w:rsidRDefault="00FC14FC" w:rsidP="00D11B9D">
                  <w:pPr>
                    <w:pStyle w:val="TableUnitsRow"/>
                    <w:ind w:right="28"/>
                  </w:pPr>
                  <w:r>
                    <w:t>+2.0</w:t>
                  </w:r>
                </w:p>
              </w:tc>
              <w:tc>
                <w:tcPr>
                  <w:tcW w:w="833" w:type="pct"/>
                  <w:tcBorders>
                    <w:top w:val="single" w:sz="6" w:space="0" w:color="BFBFBF"/>
                    <w:bottom w:val="single" w:sz="6" w:space="0" w:color="BFBFBF"/>
                  </w:tcBorders>
                  <w:shd w:val="clear" w:color="auto" w:fill="auto"/>
                  <w:vAlign w:val="bottom"/>
                </w:tcPr>
                <w:p w14:paraId="63A75E67" w14:textId="77777777" w:rsidR="00FC14FC" w:rsidRDefault="00FC14FC" w:rsidP="00D11B9D">
                  <w:pPr>
                    <w:pStyle w:val="TableUnitsRow"/>
                    <w:ind w:right="28"/>
                  </w:pPr>
                  <w:r>
                    <w:t>+5.7</w:t>
                  </w:r>
                </w:p>
              </w:tc>
              <w:tc>
                <w:tcPr>
                  <w:tcW w:w="833" w:type="pct"/>
                  <w:tcBorders>
                    <w:top w:val="single" w:sz="6" w:space="0" w:color="BFBFBF"/>
                    <w:bottom w:val="single" w:sz="6" w:space="0" w:color="BFBFBF"/>
                  </w:tcBorders>
                  <w:shd w:val="clear" w:color="auto" w:fill="auto"/>
                  <w:vAlign w:val="bottom"/>
                </w:tcPr>
                <w:p w14:paraId="26DD8A75" w14:textId="77777777" w:rsidR="00FC14FC" w:rsidRDefault="00FC14FC" w:rsidP="00D11B9D">
                  <w:pPr>
                    <w:pStyle w:val="TableUnitsRow"/>
                    <w:ind w:right="28"/>
                  </w:pPr>
                  <w:r>
                    <w:t>+76.0</w:t>
                  </w:r>
                </w:p>
              </w:tc>
            </w:tr>
          </w:tbl>
          <w:p w14:paraId="7EEAC800" w14:textId="77777777" w:rsidR="00FC14FC" w:rsidRDefault="00FC14FC" w:rsidP="00D11B9D">
            <w:pPr>
              <w:pStyle w:val="Box"/>
            </w:pPr>
          </w:p>
        </w:tc>
      </w:tr>
      <w:tr w:rsidR="00FC14FC" w14:paraId="7FF02C03" w14:textId="77777777" w:rsidTr="00D11B9D">
        <w:tc>
          <w:tcPr>
            <w:tcW w:w="5000" w:type="pct"/>
            <w:tcBorders>
              <w:top w:val="nil"/>
              <w:left w:val="nil"/>
              <w:bottom w:val="nil"/>
              <w:right w:val="nil"/>
            </w:tcBorders>
            <w:shd w:val="clear" w:color="auto" w:fill="auto"/>
          </w:tcPr>
          <w:p w14:paraId="1231149B" w14:textId="77777777" w:rsidR="00FC14FC" w:rsidRDefault="00FC14FC" w:rsidP="00D11B9D">
            <w:pPr>
              <w:pStyle w:val="Source"/>
            </w:pPr>
            <w:r>
              <w:rPr>
                <w:i/>
              </w:rPr>
              <w:t>Source</w:t>
            </w:r>
            <w:r w:rsidRPr="00167F06">
              <w:t xml:space="preserve">: </w:t>
            </w:r>
            <w:r>
              <w:t xml:space="preserve">PC analysis of unpublished APRA </w:t>
            </w:r>
            <w:r w:rsidDel="00F71AE2">
              <w:t>data</w:t>
            </w:r>
            <w:r>
              <w:t>.</w:t>
            </w:r>
          </w:p>
        </w:tc>
      </w:tr>
      <w:tr w:rsidR="00FC14FC" w14:paraId="04F62F30" w14:textId="77777777" w:rsidTr="00D11B9D">
        <w:tc>
          <w:tcPr>
            <w:tcW w:w="5000" w:type="pct"/>
            <w:tcBorders>
              <w:top w:val="nil"/>
              <w:left w:val="nil"/>
              <w:bottom w:val="single" w:sz="6" w:space="0" w:color="78A22F"/>
              <w:right w:val="nil"/>
            </w:tcBorders>
            <w:shd w:val="clear" w:color="auto" w:fill="auto"/>
          </w:tcPr>
          <w:p w14:paraId="3BD567A6" w14:textId="77777777" w:rsidR="00FC14FC" w:rsidRDefault="00FC14FC" w:rsidP="00D11B9D">
            <w:pPr>
              <w:pStyle w:val="Box"/>
              <w:spacing w:before="0" w:line="120" w:lineRule="exact"/>
            </w:pPr>
          </w:p>
        </w:tc>
      </w:tr>
      <w:tr w:rsidR="00FC14FC" w:rsidRPr="000863A5" w14:paraId="1CFA7547" w14:textId="77777777" w:rsidTr="00D11B9D">
        <w:tc>
          <w:tcPr>
            <w:tcW w:w="5000" w:type="pct"/>
            <w:tcBorders>
              <w:top w:val="single" w:sz="6" w:space="0" w:color="78A22F"/>
              <w:left w:val="nil"/>
              <w:bottom w:val="nil"/>
              <w:right w:val="nil"/>
            </w:tcBorders>
          </w:tcPr>
          <w:p w14:paraId="737CFCC8" w14:textId="77777777" w:rsidR="00FC14FC" w:rsidRPr="00626D32" w:rsidRDefault="00FC14FC" w:rsidP="00D11B9D">
            <w:pPr>
              <w:pStyle w:val="BoxSpaceBelow"/>
            </w:pPr>
          </w:p>
        </w:tc>
      </w:tr>
    </w:tbl>
    <w:p w14:paraId="4F71D891" w14:textId="77777777" w:rsidR="00FC14FC" w:rsidRDefault="00FC14FC" w:rsidP="00FC14FC">
      <w:pPr>
        <w:pStyle w:val="BodyText"/>
      </w:pPr>
      <w:r>
        <w:t>Taken together, the direction of the difference in asset allocation between the default investment option and whole</w:t>
      </w:r>
      <w:r>
        <w:noBreakHyphen/>
        <w:t>of</w:t>
      </w:r>
      <w:r>
        <w:noBreakHyphen/>
        <w:t>fund asset allocation is broadly consistent across both methods and suggests the need for an adjustment. The Commission has chosen the difference between whole</w:t>
      </w:r>
      <w:r>
        <w:noBreakHyphen/>
        <w:t>of</w:t>
      </w:r>
      <w:r>
        <w:noBreakHyphen/>
        <w:t>fund and MySuper asset allocation as the basis for the adjustment.</w:t>
      </w:r>
    </w:p>
    <w:p w14:paraId="5D8E2038" w14:textId="77777777" w:rsidR="00FC14FC" w:rsidRDefault="00FC14FC" w:rsidP="00FC14FC">
      <w:pPr>
        <w:pStyle w:val="BodyText"/>
      </w:pPr>
      <w:r>
        <w:t>Default asset allocation adjustments have been applied at the system, fund</w:t>
      </w:r>
      <w:r>
        <w:noBreakHyphen/>
        <w:t>type segment and fund levels. This assumes that the relative allocation of defensive and growth asset classes (within the set of all defensive and growth asset classes, respectively) remains unchanged between the default investment option and whole</w:t>
      </w:r>
      <w:r>
        <w:noBreakHyphen/>
        <w:t>of</w:t>
      </w:r>
      <w:r>
        <w:noBreakHyphen/>
        <w:t xml:space="preserve">fund asset allocation. For example, if the adjustment results in a higher proportion of defensive assets, then cash and fixed income (domestic and international) are given more weight, but the relative allocations between these asset classes are the same (but not the same against growth assets). Also, if the adjustment causes an allocation to exceed 100 or go under 0 per cent, the allocation is capped at 100 per cent or 0 per cent respectively. </w:t>
      </w:r>
    </w:p>
    <w:p w14:paraId="3076F39D" w14:textId="77777777" w:rsidR="00FC14FC" w:rsidRDefault="00FC14FC" w:rsidP="00FC14FC">
      <w:pPr>
        <w:pStyle w:val="BodyText"/>
      </w:pPr>
      <w:r>
        <w:t>An alternative (but inferior) approach is to assume that each fund’s asset allocation in all years prior to 2017 is the same as its 2017 asset allocation. This static assumption allows for every APRA</w:t>
      </w:r>
      <w:r>
        <w:noBreakHyphen/>
        <w:t>regulated fund to be assessed as it does not require the fund to have a MySuper product (section 4.3). However, it is likely to be less realistic as fund</w:t>
      </w:r>
      <w:r>
        <w:noBreakHyphen/>
        <w:t>level asset allocations would be expected to vary a lot over this time period, which includes the GFC.</w:t>
      </w:r>
    </w:p>
    <w:p w14:paraId="5E6C9DC2" w14:textId="77777777" w:rsidR="00FC14FC" w:rsidRDefault="00FC14FC" w:rsidP="00FC14FC">
      <w:pPr>
        <w:pStyle w:val="Heading5"/>
      </w:pPr>
      <w:r>
        <w:t>Imputing more granular APRA asset allocation data</w:t>
      </w:r>
    </w:p>
    <w:p w14:paraId="07ECFF82" w14:textId="77777777" w:rsidR="00FC14FC" w:rsidRDefault="00FC14FC" w:rsidP="00FC14FC">
      <w:pPr>
        <w:pStyle w:val="BodyText"/>
      </w:pPr>
      <w:r>
        <w:t xml:space="preserve">APRA asset allocation data do not contain separate categories for private equity or infrastructure. Further, neither listed nor unlisted property is split between domestic or international domiciles. </w:t>
      </w:r>
    </w:p>
    <w:p w14:paraId="2A12E483" w14:textId="77777777" w:rsidR="00FC14FC" w:rsidRDefault="00FC14FC" w:rsidP="00FC14FC">
      <w:pPr>
        <w:pStyle w:val="BodyText"/>
      </w:pPr>
      <w:r>
        <w:t>In these instances, splits and asset allocations are imputed using the most directly applicable data source. For the imputation of private equity and infrastructure asset allocation prior to 2014 in APRA data, the Commission used Rainmaker option</w:t>
      </w:r>
      <w:r>
        <w:noBreakHyphen/>
        <w:t xml:space="preserve">level asset allocation data to apportion ‘other’ assets into infrastructure, private equity and a new class of ‘other’ assets (including commodities and other assets not commonly invested in). Rainmaker asset allocation data were used as they allow for more accurate mapping to APRA’s ‘other’ asset class prior to 2014 than other data sources. </w:t>
      </w:r>
    </w:p>
    <w:p w14:paraId="31D5379A" w14:textId="77777777" w:rsidR="00FC14FC" w:rsidRDefault="00FC14FC" w:rsidP="00FC14FC">
      <w:pPr>
        <w:pStyle w:val="BodyText"/>
      </w:pPr>
      <w:r>
        <w:lastRenderedPageBreak/>
        <w:t>The year</w:t>
      </w:r>
      <w:r>
        <w:noBreakHyphen/>
        <w:t>by</w:t>
      </w:r>
      <w:r>
        <w:noBreakHyphen/>
        <w:t>year proportions of infrastructure, private equity and the new class of other assets in the aggregated other asset class in Rainmaker data were then calculated, and these proportions used to apportion APRA’s ‘other’ asset class prior to 2014 into infrastructure, private equity and the new class of other assets. For fund</w:t>
      </w:r>
      <w:r>
        <w:noBreakHyphen/>
        <w:t>level and fund</w:t>
      </w:r>
      <w:r>
        <w:noBreakHyphen/>
        <w:t xml:space="preserve">type APRA analysis, the proportions were allowed to differ by fund type. Notably, this is immaterial for many funds, as prior to 2014 in APRA fund level data, ‘other’ assets are poorly represented. No retail options included in Rainmaker’s asset allocation data included any infrastructure or private equity assets prior to 2014, so the adjustment does not have an impact on the retail segment. Similarly, infrastructure allocations are only reported from 2011 onwards. This means that, prior to 2011, any infrastructure asset will still be included in ‘other’ assets. </w:t>
      </w:r>
    </w:p>
    <w:p w14:paraId="5BC2E9C2" w14:textId="77777777" w:rsidR="00FC14FC" w:rsidRDefault="00FC14FC" w:rsidP="00FC14FC">
      <w:pPr>
        <w:pStyle w:val="BodyText"/>
      </w:pPr>
      <w:r>
        <w:t>In most other benchmarks constructed using APRA data (such as for system</w:t>
      </w:r>
      <w:r>
        <w:noBreakHyphen/>
        <w:t>level analysis), the other asset class proportions were calculated over the system (the four</w:t>
      </w:r>
      <w:r>
        <w:noBreakHyphen/>
        <w:t>year MySuper analysis uses the same method as the 11</w:t>
      </w:r>
      <w:r>
        <w:noBreakHyphen/>
        <w:t>year analysis). Ideally, the proportions would differ by a fund’s individual circumstances for fund</w:t>
      </w:r>
      <w:r>
        <w:noBreakHyphen/>
        <w:t xml:space="preserve">level analysis, however the data were too patchy to allow for this. The proportions used are reported in table 4.14. </w:t>
      </w:r>
    </w:p>
    <w:p w14:paraId="5F8E9702"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5B63E229" w14:textId="77777777" w:rsidTr="00D11B9D">
        <w:trPr>
          <w:tblHeader/>
        </w:trPr>
        <w:tc>
          <w:tcPr>
            <w:tcW w:w="5000" w:type="pct"/>
            <w:tcBorders>
              <w:top w:val="single" w:sz="6" w:space="0" w:color="78A22F"/>
              <w:left w:val="nil"/>
              <w:bottom w:val="nil"/>
              <w:right w:val="nil"/>
            </w:tcBorders>
            <w:shd w:val="clear" w:color="auto" w:fill="auto"/>
          </w:tcPr>
          <w:p w14:paraId="7C441844" w14:textId="77777777" w:rsidR="00FC14FC" w:rsidRPr="00784A05" w:rsidRDefault="00FC14FC" w:rsidP="00D11B9D">
            <w:pPr>
              <w:pStyle w:val="TableTitle"/>
            </w:pPr>
            <w:r>
              <w:rPr>
                <w:b w:val="0"/>
              </w:rPr>
              <w:t>Table 4.14</w:t>
            </w:r>
            <w:r>
              <w:tab/>
              <w:t>Apportioning out the ‘other’ asset class</w:t>
            </w:r>
            <w:r w:rsidRPr="001536D3">
              <w:rPr>
                <w:rStyle w:val="NoteLabel"/>
              </w:rPr>
              <w:t>a</w:t>
            </w:r>
          </w:p>
        </w:tc>
      </w:tr>
      <w:tr w:rsidR="00FC14FC" w14:paraId="35DAD1AA" w14:textId="77777777" w:rsidTr="00D11B9D">
        <w:tc>
          <w:tcPr>
            <w:tcW w:w="5000" w:type="pct"/>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1215"/>
              <w:gridCol w:w="1325"/>
              <w:gridCol w:w="662"/>
              <w:gridCol w:w="663"/>
              <w:gridCol w:w="663"/>
              <w:gridCol w:w="663"/>
              <w:gridCol w:w="662"/>
              <w:gridCol w:w="663"/>
              <w:gridCol w:w="663"/>
              <w:gridCol w:w="663"/>
              <w:gridCol w:w="663"/>
            </w:tblGrid>
            <w:tr w:rsidR="00FC14FC" w14:paraId="0C475809" w14:textId="77777777" w:rsidTr="00D11B9D">
              <w:trPr>
                <w:tblHeader/>
              </w:trPr>
              <w:tc>
                <w:tcPr>
                  <w:tcW w:w="1215" w:type="dxa"/>
                  <w:tcBorders>
                    <w:top w:val="single" w:sz="6" w:space="0" w:color="BFBFBF"/>
                    <w:bottom w:val="single" w:sz="6" w:space="0" w:color="BFBFBF"/>
                  </w:tcBorders>
                  <w:shd w:val="clear" w:color="auto" w:fill="auto"/>
                  <w:tcMar>
                    <w:top w:w="28" w:type="dxa"/>
                  </w:tcMar>
                </w:tcPr>
                <w:p w14:paraId="21E829AB" w14:textId="77777777" w:rsidR="00FC14FC" w:rsidRDefault="00FC14FC" w:rsidP="00D11B9D">
                  <w:pPr>
                    <w:pStyle w:val="TableColumnHeading"/>
                    <w:jc w:val="left"/>
                  </w:pPr>
                  <w:r>
                    <w:t>Segment</w:t>
                  </w:r>
                </w:p>
              </w:tc>
              <w:tc>
                <w:tcPr>
                  <w:tcW w:w="1325" w:type="dxa"/>
                  <w:tcBorders>
                    <w:top w:val="single" w:sz="6" w:space="0" w:color="BFBFBF"/>
                    <w:bottom w:val="single" w:sz="6" w:space="0" w:color="BFBFBF"/>
                  </w:tcBorders>
                  <w:shd w:val="clear" w:color="auto" w:fill="auto"/>
                </w:tcPr>
                <w:p w14:paraId="629358BD" w14:textId="77777777" w:rsidR="00FC14FC" w:rsidRDefault="00FC14FC" w:rsidP="00D11B9D">
                  <w:pPr>
                    <w:pStyle w:val="TableColumnHeading"/>
                    <w:jc w:val="left"/>
                  </w:pPr>
                  <w:r>
                    <w:t>Asset class</w:t>
                  </w:r>
                </w:p>
              </w:tc>
              <w:tc>
                <w:tcPr>
                  <w:tcW w:w="662" w:type="dxa"/>
                  <w:tcBorders>
                    <w:top w:val="single" w:sz="6" w:space="0" w:color="BFBFBF"/>
                    <w:bottom w:val="single" w:sz="6" w:space="0" w:color="BFBFBF"/>
                  </w:tcBorders>
                  <w:shd w:val="clear" w:color="auto" w:fill="auto"/>
                  <w:tcMar>
                    <w:top w:w="28" w:type="dxa"/>
                  </w:tcMar>
                </w:tcPr>
                <w:p w14:paraId="49C03FC6" w14:textId="77777777" w:rsidR="00FC14FC" w:rsidRDefault="00FC14FC" w:rsidP="00D11B9D">
                  <w:pPr>
                    <w:pStyle w:val="TableColumnHeading"/>
                  </w:pPr>
                  <w:r>
                    <w:t>2005</w:t>
                  </w:r>
                </w:p>
              </w:tc>
              <w:tc>
                <w:tcPr>
                  <w:tcW w:w="663" w:type="dxa"/>
                  <w:tcBorders>
                    <w:top w:val="single" w:sz="6" w:space="0" w:color="BFBFBF"/>
                    <w:bottom w:val="single" w:sz="6" w:space="0" w:color="BFBFBF"/>
                  </w:tcBorders>
                  <w:shd w:val="clear" w:color="auto" w:fill="auto"/>
                  <w:tcMar>
                    <w:top w:w="28" w:type="dxa"/>
                  </w:tcMar>
                </w:tcPr>
                <w:p w14:paraId="6F5B6518" w14:textId="77777777" w:rsidR="00FC14FC" w:rsidRDefault="00FC14FC" w:rsidP="00D11B9D">
                  <w:pPr>
                    <w:pStyle w:val="TableColumnHeading"/>
                    <w:ind w:right="28"/>
                  </w:pPr>
                  <w:r>
                    <w:t>2006</w:t>
                  </w:r>
                </w:p>
              </w:tc>
              <w:tc>
                <w:tcPr>
                  <w:tcW w:w="663" w:type="dxa"/>
                  <w:tcBorders>
                    <w:top w:val="single" w:sz="6" w:space="0" w:color="BFBFBF"/>
                    <w:bottom w:val="single" w:sz="6" w:space="0" w:color="BFBFBF"/>
                  </w:tcBorders>
                  <w:shd w:val="clear" w:color="auto" w:fill="auto"/>
                </w:tcPr>
                <w:p w14:paraId="20424594" w14:textId="77777777" w:rsidR="00FC14FC" w:rsidRDefault="00FC14FC" w:rsidP="00D11B9D">
                  <w:pPr>
                    <w:pStyle w:val="TableColumnHeading"/>
                    <w:ind w:right="28"/>
                  </w:pPr>
                  <w:r>
                    <w:t>2007</w:t>
                  </w:r>
                </w:p>
              </w:tc>
              <w:tc>
                <w:tcPr>
                  <w:tcW w:w="663" w:type="dxa"/>
                  <w:tcBorders>
                    <w:top w:val="single" w:sz="6" w:space="0" w:color="BFBFBF"/>
                    <w:bottom w:val="single" w:sz="6" w:space="0" w:color="BFBFBF"/>
                  </w:tcBorders>
                  <w:shd w:val="clear" w:color="auto" w:fill="auto"/>
                </w:tcPr>
                <w:p w14:paraId="2973FBFC" w14:textId="77777777" w:rsidR="00FC14FC" w:rsidRDefault="00FC14FC" w:rsidP="00D11B9D">
                  <w:pPr>
                    <w:pStyle w:val="TableColumnHeading"/>
                    <w:ind w:right="28"/>
                  </w:pPr>
                  <w:r>
                    <w:t>2008</w:t>
                  </w:r>
                </w:p>
              </w:tc>
              <w:tc>
                <w:tcPr>
                  <w:tcW w:w="662" w:type="dxa"/>
                  <w:tcBorders>
                    <w:top w:val="single" w:sz="6" w:space="0" w:color="BFBFBF"/>
                    <w:bottom w:val="single" w:sz="6" w:space="0" w:color="BFBFBF"/>
                  </w:tcBorders>
                  <w:shd w:val="clear" w:color="auto" w:fill="auto"/>
                </w:tcPr>
                <w:p w14:paraId="6196B562" w14:textId="77777777" w:rsidR="00FC14FC" w:rsidRDefault="00FC14FC" w:rsidP="00D11B9D">
                  <w:pPr>
                    <w:pStyle w:val="TableColumnHeading"/>
                    <w:ind w:right="28"/>
                  </w:pPr>
                  <w:r>
                    <w:t>2009</w:t>
                  </w:r>
                </w:p>
              </w:tc>
              <w:tc>
                <w:tcPr>
                  <w:tcW w:w="663" w:type="dxa"/>
                  <w:tcBorders>
                    <w:top w:val="single" w:sz="6" w:space="0" w:color="BFBFBF"/>
                    <w:bottom w:val="single" w:sz="6" w:space="0" w:color="BFBFBF"/>
                  </w:tcBorders>
                  <w:shd w:val="clear" w:color="auto" w:fill="auto"/>
                </w:tcPr>
                <w:p w14:paraId="6DB94B56" w14:textId="77777777" w:rsidR="00FC14FC" w:rsidRDefault="00FC14FC" w:rsidP="00D11B9D">
                  <w:pPr>
                    <w:pStyle w:val="TableColumnHeading"/>
                    <w:ind w:right="28"/>
                  </w:pPr>
                  <w:r>
                    <w:t>2010</w:t>
                  </w:r>
                </w:p>
              </w:tc>
              <w:tc>
                <w:tcPr>
                  <w:tcW w:w="663" w:type="dxa"/>
                  <w:tcBorders>
                    <w:top w:val="single" w:sz="6" w:space="0" w:color="BFBFBF"/>
                    <w:bottom w:val="single" w:sz="6" w:space="0" w:color="BFBFBF"/>
                  </w:tcBorders>
                  <w:shd w:val="clear" w:color="auto" w:fill="auto"/>
                </w:tcPr>
                <w:p w14:paraId="788C212B" w14:textId="77777777" w:rsidR="00FC14FC" w:rsidRDefault="00FC14FC" w:rsidP="00D11B9D">
                  <w:pPr>
                    <w:pStyle w:val="TableColumnHeading"/>
                    <w:ind w:right="28"/>
                  </w:pPr>
                  <w:r>
                    <w:t>2011</w:t>
                  </w:r>
                </w:p>
              </w:tc>
              <w:tc>
                <w:tcPr>
                  <w:tcW w:w="663" w:type="dxa"/>
                  <w:tcBorders>
                    <w:top w:val="single" w:sz="6" w:space="0" w:color="BFBFBF"/>
                    <w:bottom w:val="single" w:sz="6" w:space="0" w:color="BFBFBF"/>
                  </w:tcBorders>
                  <w:shd w:val="clear" w:color="auto" w:fill="auto"/>
                </w:tcPr>
                <w:p w14:paraId="32E1636F" w14:textId="77777777" w:rsidR="00FC14FC" w:rsidRDefault="00FC14FC" w:rsidP="00D11B9D">
                  <w:pPr>
                    <w:pStyle w:val="TableColumnHeading"/>
                    <w:ind w:right="28"/>
                  </w:pPr>
                  <w:r>
                    <w:t>2012</w:t>
                  </w:r>
                </w:p>
              </w:tc>
              <w:tc>
                <w:tcPr>
                  <w:tcW w:w="663" w:type="dxa"/>
                  <w:tcBorders>
                    <w:top w:val="single" w:sz="6" w:space="0" w:color="BFBFBF"/>
                    <w:bottom w:val="single" w:sz="6" w:space="0" w:color="BFBFBF"/>
                  </w:tcBorders>
                  <w:shd w:val="clear" w:color="auto" w:fill="auto"/>
                </w:tcPr>
                <w:p w14:paraId="0BB07A0F" w14:textId="77777777" w:rsidR="00FC14FC" w:rsidRDefault="00FC14FC" w:rsidP="00D11B9D">
                  <w:pPr>
                    <w:pStyle w:val="TableColumnHeading"/>
                    <w:ind w:right="28"/>
                  </w:pPr>
                  <w:r>
                    <w:t>2013</w:t>
                  </w:r>
                </w:p>
              </w:tc>
            </w:tr>
            <w:tr w:rsidR="00FC14FC" w14:paraId="4EBB2161" w14:textId="77777777" w:rsidTr="00D11B9D">
              <w:tc>
                <w:tcPr>
                  <w:tcW w:w="1215" w:type="dxa"/>
                  <w:tcBorders>
                    <w:top w:val="single" w:sz="6" w:space="0" w:color="BFBFBF"/>
                  </w:tcBorders>
                </w:tcPr>
                <w:p w14:paraId="280908CB" w14:textId="77777777" w:rsidR="00FC14FC" w:rsidRDefault="00FC14FC" w:rsidP="00D11B9D">
                  <w:pPr>
                    <w:pStyle w:val="TableUnitsRow"/>
                    <w:jc w:val="left"/>
                  </w:pPr>
                  <w:r>
                    <w:t>System</w:t>
                  </w:r>
                </w:p>
              </w:tc>
              <w:tc>
                <w:tcPr>
                  <w:tcW w:w="1325" w:type="dxa"/>
                  <w:tcBorders>
                    <w:top w:val="single" w:sz="6" w:space="0" w:color="BFBFBF"/>
                  </w:tcBorders>
                </w:tcPr>
                <w:p w14:paraId="7DA31E12" w14:textId="77777777" w:rsidR="00FC14FC" w:rsidRDefault="00FC14FC" w:rsidP="00D11B9D">
                  <w:pPr>
                    <w:pStyle w:val="TableBodyText"/>
                    <w:spacing w:before="40"/>
                    <w:jc w:val="left"/>
                  </w:pPr>
                  <w:r>
                    <w:t>Infrastructure</w:t>
                  </w:r>
                </w:p>
              </w:tc>
              <w:tc>
                <w:tcPr>
                  <w:tcW w:w="662" w:type="dxa"/>
                  <w:tcBorders>
                    <w:top w:val="single" w:sz="6" w:space="0" w:color="BFBFBF"/>
                  </w:tcBorders>
                </w:tcPr>
                <w:p w14:paraId="75C59FEE" w14:textId="77777777" w:rsidR="00FC14FC" w:rsidRDefault="00FC14FC" w:rsidP="00D11B9D">
                  <w:pPr>
                    <w:pStyle w:val="TableBodyText"/>
                    <w:spacing w:before="40"/>
                  </w:pPr>
                  <w:r>
                    <w:t>–</w:t>
                  </w:r>
                </w:p>
              </w:tc>
              <w:tc>
                <w:tcPr>
                  <w:tcW w:w="663" w:type="dxa"/>
                  <w:tcBorders>
                    <w:top w:val="single" w:sz="6" w:space="0" w:color="BFBFBF"/>
                  </w:tcBorders>
                </w:tcPr>
                <w:p w14:paraId="3995765B" w14:textId="77777777" w:rsidR="00FC14FC" w:rsidRDefault="00FC14FC" w:rsidP="00D11B9D">
                  <w:pPr>
                    <w:pStyle w:val="TableBodyText"/>
                    <w:spacing w:before="40"/>
                  </w:pPr>
                  <w:r>
                    <w:t>–</w:t>
                  </w:r>
                </w:p>
              </w:tc>
              <w:tc>
                <w:tcPr>
                  <w:tcW w:w="663" w:type="dxa"/>
                  <w:tcBorders>
                    <w:top w:val="single" w:sz="6" w:space="0" w:color="BFBFBF"/>
                  </w:tcBorders>
                </w:tcPr>
                <w:p w14:paraId="35EA5581" w14:textId="77777777" w:rsidR="00FC14FC" w:rsidRDefault="00FC14FC" w:rsidP="00D11B9D">
                  <w:pPr>
                    <w:pStyle w:val="TableBodyText"/>
                    <w:spacing w:before="40"/>
                  </w:pPr>
                  <w:r>
                    <w:t>–</w:t>
                  </w:r>
                </w:p>
              </w:tc>
              <w:tc>
                <w:tcPr>
                  <w:tcW w:w="663" w:type="dxa"/>
                  <w:tcBorders>
                    <w:top w:val="single" w:sz="6" w:space="0" w:color="BFBFBF"/>
                  </w:tcBorders>
                </w:tcPr>
                <w:p w14:paraId="79DF0489" w14:textId="77777777" w:rsidR="00FC14FC" w:rsidRDefault="00FC14FC" w:rsidP="00D11B9D">
                  <w:pPr>
                    <w:pStyle w:val="TableBodyText"/>
                    <w:spacing w:before="40"/>
                  </w:pPr>
                  <w:r>
                    <w:t>–</w:t>
                  </w:r>
                </w:p>
              </w:tc>
              <w:tc>
                <w:tcPr>
                  <w:tcW w:w="662" w:type="dxa"/>
                  <w:tcBorders>
                    <w:top w:val="single" w:sz="6" w:space="0" w:color="BFBFBF"/>
                  </w:tcBorders>
                </w:tcPr>
                <w:p w14:paraId="7BBDF154" w14:textId="77777777" w:rsidR="00FC14FC" w:rsidRDefault="00FC14FC" w:rsidP="00D11B9D">
                  <w:pPr>
                    <w:pStyle w:val="TableBodyText"/>
                    <w:spacing w:before="40"/>
                  </w:pPr>
                  <w:r>
                    <w:t>–</w:t>
                  </w:r>
                </w:p>
              </w:tc>
              <w:tc>
                <w:tcPr>
                  <w:tcW w:w="663" w:type="dxa"/>
                  <w:tcBorders>
                    <w:top w:val="single" w:sz="6" w:space="0" w:color="BFBFBF"/>
                  </w:tcBorders>
                </w:tcPr>
                <w:p w14:paraId="40E02391" w14:textId="77777777" w:rsidR="00FC14FC" w:rsidRDefault="00FC14FC" w:rsidP="00D11B9D">
                  <w:pPr>
                    <w:pStyle w:val="TableBodyText"/>
                    <w:spacing w:before="40"/>
                  </w:pPr>
                  <w:r>
                    <w:t>–</w:t>
                  </w:r>
                </w:p>
              </w:tc>
              <w:tc>
                <w:tcPr>
                  <w:tcW w:w="663" w:type="dxa"/>
                  <w:tcBorders>
                    <w:top w:val="single" w:sz="6" w:space="0" w:color="BFBFBF"/>
                  </w:tcBorders>
                </w:tcPr>
                <w:p w14:paraId="71C15BD9" w14:textId="77777777" w:rsidR="00FC14FC" w:rsidRDefault="00FC14FC" w:rsidP="00D11B9D">
                  <w:pPr>
                    <w:pStyle w:val="TableBodyText"/>
                    <w:spacing w:before="40"/>
                  </w:pPr>
                  <w:r>
                    <w:t>12.5</w:t>
                  </w:r>
                </w:p>
              </w:tc>
              <w:tc>
                <w:tcPr>
                  <w:tcW w:w="663" w:type="dxa"/>
                  <w:tcBorders>
                    <w:top w:val="single" w:sz="6" w:space="0" w:color="BFBFBF"/>
                  </w:tcBorders>
                </w:tcPr>
                <w:p w14:paraId="21ED7C6F" w14:textId="77777777" w:rsidR="00FC14FC" w:rsidRDefault="00FC14FC" w:rsidP="00D11B9D">
                  <w:pPr>
                    <w:pStyle w:val="TableBodyText"/>
                    <w:spacing w:before="40"/>
                  </w:pPr>
                  <w:r>
                    <w:t>12.8</w:t>
                  </w:r>
                </w:p>
              </w:tc>
              <w:tc>
                <w:tcPr>
                  <w:tcW w:w="663" w:type="dxa"/>
                  <w:tcBorders>
                    <w:top w:val="single" w:sz="6" w:space="0" w:color="BFBFBF"/>
                  </w:tcBorders>
                </w:tcPr>
                <w:p w14:paraId="2ECB77AE" w14:textId="77777777" w:rsidR="00FC14FC" w:rsidRDefault="00FC14FC" w:rsidP="00D11B9D">
                  <w:pPr>
                    <w:pStyle w:val="TableBodyText"/>
                    <w:spacing w:before="40"/>
                    <w:ind w:right="28"/>
                  </w:pPr>
                  <w:r>
                    <w:t>14.4</w:t>
                  </w:r>
                </w:p>
              </w:tc>
            </w:tr>
            <w:tr w:rsidR="00FC14FC" w14:paraId="01377523" w14:textId="77777777" w:rsidTr="00D11B9D">
              <w:tc>
                <w:tcPr>
                  <w:tcW w:w="1215" w:type="dxa"/>
                </w:tcPr>
                <w:p w14:paraId="7BFC77E7" w14:textId="77777777" w:rsidR="00FC14FC" w:rsidRDefault="00FC14FC" w:rsidP="00D11B9D">
                  <w:pPr>
                    <w:pStyle w:val="TableBodyText"/>
                    <w:jc w:val="left"/>
                  </w:pPr>
                </w:p>
              </w:tc>
              <w:tc>
                <w:tcPr>
                  <w:tcW w:w="1325" w:type="dxa"/>
                </w:tcPr>
                <w:p w14:paraId="1F90C7D0" w14:textId="77777777" w:rsidR="00FC14FC" w:rsidRDefault="00FC14FC" w:rsidP="00D11B9D">
                  <w:pPr>
                    <w:pStyle w:val="TableBodyText"/>
                    <w:jc w:val="left"/>
                  </w:pPr>
                  <w:r>
                    <w:t>Private equity</w:t>
                  </w:r>
                </w:p>
              </w:tc>
              <w:tc>
                <w:tcPr>
                  <w:tcW w:w="662" w:type="dxa"/>
                  <w:vAlign w:val="bottom"/>
                </w:tcPr>
                <w:p w14:paraId="104E49D0" w14:textId="77777777" w:rsidR="00FC14FC" w:rsidRDefault="00FC14FC" w:rsidP="00D11B9D">
                  <w:pPr>
                    <w:pStyle w:val="TableBodyText"/>
                  </w:pPr>
                  <w:r>
                    <w:t>57.3</w:t>
                  </w:r>
                </w:p>
              </w:tc>
              <w:tc>
                <w:tcPr>
                  <w:tcW w:w="663" w:type="dxa"/>
                  <w:vAlign w:val="bottom"/>
                </w:tcPr>
                <w:p w14:paraId="26725C79" w14:textId="77777777" w:rsidR="00FC14FC" w:rsidRDefault="00FC14FC" w:rsidP="00D11B9D">
                  <w:pPr>
                    <w:pStyle w:val="TableBodyText"/>
                  </w:pPr>
                  <w:r>
                    <w:t>34.8</w:t>
                  </w:r>
                </w:p>
              </w:tc>
              <w:tc>
                <w:tcPr>
                  <w:tcW w:w="663" w:type="dxa"/>
                  <w:vAlign w:val="bottom"/>
                </w:tcPr>
                <w:p w14:paraId="0C52525F" w14:textId="77777777" w:rsidR="00FC14FC" w:rsidRDefault="00FC14FC" w:rsidP="00D11B9D">
                  <w:pPr>
                    <w:pStyle w:val="TableBodyText"/>
                  </w:pPr>
                  <w:r>
                    <w:t>34.8</w:t>
                  </w:r>
                </w:p>
              </w:tc>
              <w:tc>
                <w:tcPr>
                  <w:tcW w:w="663" w:type="dxa"/>
                  <w:vAlign w:val="bottom"/>
                </w:tcPr>
                <w:p w14:paraId="4D2EB3C5" w14:textId="77777777" w:rsidR="00FC14FC" w:rsidRDefault="00FC14FC" w:rsidP="00D11B9D">
                  <w:pPr>
                    <w:pStyle w:val="TableBodyText"/>
                  </w:pPr>
                  <w:r>
                    <w:t>34.8</w:t>
                  </w:r>
                </w:p>
              </w:tc>
              <w:tc>
                <w:tcPr>
                  <w:tcW w:w="662" w:type="dxa"/>
                  <w:vAlign w:val="bottom"/>
                </w:tcPr>
                <w:p w14:paraId="13B35B52" w14:textId="77777777" w:rsidR="00FC14FC" w:rsidRDefault="00FC14FC" w:rsidP="00D11B9D">
                  <w:pPr>
                    <w:pStyle w:val="TableBodyText"/>
                  </w:pPr>
                  <w:r>
                    <w:t>34.8</w:t>
                  </w:r>
                </w:p>
              </w:tc>
              <w:tc>
                <w:tcPr>
                  <w:tcW w:w="663" w:type="dxa"/>
                  <w:vAlign w:val="bottom"/>
                </w:tcPr>
                <w:p w14:paraId="62C30897" w14:textId="77777777" w:rsidR="00FC14FC" w:rsidRDefault="00FC14FC" w:rsidP="00D11B9D">
                  <w:pPr>
                    <w:pStyle w:val="TableBodyText"/>
                  </w:pPr>
                  <w:r>
                    <w:t>34.8</w:t>
                  </w:r>
                </w:p>
              </w:tc>
              <w:tc>
                <w:tcPr>
                  <w:tcW w:w="663" w:type="dxa"/>
                  <w:vAlign w:val="bottom"/>
                </w:tcPr>
                <w:p w14:paraId="6F2D84B6" w14:textId="77777777" w:rsidR="00FC14FC" w:rsidRDefault="00FC14FC" w:rsidP="00D11B9D">
                  <w:pPr>
                    <w:pStyle w:val="TableBodyText"/>
                  </w:pPr>
                  <w:r>
                    <w:t>34.8</w:t>
                  </w:r>
                </w:p>
              </w:tc>
              <w:tc>
                <w:tcPr>
                  <w:tcW w:w="663" w:type="dxa"/>
                  <w:vAlign w:val="bottom"/>
                </w:tcPr>
                <w:p w14:paraId="40491D9F" w14:textId="77777777" w:rsidR="00FC14FC" w:rsidRDefault="00FC14FC" w:rsidP="00D11B9D">
                  <w:pPr>
                    <w:pStyle w:val="TableBodyText"/>
                  </w:pPr>
                  <w:r>
                    <w:t>44.9</w:t>
                  </w:r>
                </w:p>
              </w:tc>
              <w:tc>
                <w:tcPr>
                  <w:tcW w:w="663" w:type="dxa"/>
                  <w:vAlign w:val="bottom"/>
                </w:tcPr>
                <w:p w14:paraId="50023EFE" w14:textId="77777777" w:rsidR="00FC14FC" w:rsidRDefault="00FC14FC" w:rsidP="00D11B9D">
                  <w:pPr>
                    <w:pStyle w:val="TableBodyText"/>
                    <w:ind w:right="28"/>
                  </w:pPr>
                  <w:r>
                    <w:t>44.3</w:t>
                  </w:r>
                </w:p>
              </w:tc>
            </w:tr>
            <w:tr w:rsidR="00FC14FC" w14:paraId="1FFC44A7" w14:textId="77777777" w:rsidTr="00D11B9D">
              <w:tc>
                <w:tcPr>
                  <w:tcW w:w="1215" w:type="dxa"/>
                  <w:shd w:val="clear" w:color="auto" w:fill="auto"/>
                </w:tcPr>
                <w:p w14:paraId="4795718B" w14:textId="77777777" w:rsidR="00FC14FC" w:rsidRDefault="00FC14FC" w:rsidP="00D11B9D">
                  <w:pPr>
                    <w:pStyle w:val="TableBodyText"/>
                    <w:jc w:val="left"/>
                  </w:pPr>
                </w:p>
              </w:tc>
              <w:tc>
                <w:tcPr>
                  <w:tcW w:w="1325" w:type="dxa"/>
                </w:tcPr>
                <w:p w14:paraId="4B31B352" w14:textId="77777777" w:rsidR="00FC14FC" w:rsidRDefault="00FC14FC" w:rsidP="00D11B9D">
                  <w:pPr>
                    <w:pStyle w:val="TableBodyText"/>
                    <w:jc w:val="left"/>
                  </w:pPr>
                  <w:r>
                    <w:t>Other</w:t>
                  </w:r>
                </w:p>
              </w:tc>
              <w:tc>
                <w:tcPr>
                  <w:tcW w:w="662" w:type="dxa"/>
                  <w:shd w:val="clear" w:color="auto" w:fill="auto"/>
                </w:tcPr>
                <w:p w14:paraId="4CB91D37" w14:textId="77777777" w:rsidR="00FC14FC" w:rsidRDefault="00FC14FC" w:rsidP="00D11B9D">
                  <w:pPr>
                    <w:pStyle w:val="TableBodyText"/>
                  </w:pPr>
                  <w:r>
                    <w:t>42.7</w:t>
                  </w:r>
                </w:p>
              </w:tc>
              <w:tc>
                <w:tcPr>
                  <w:tcW w:w="663" w:type="dxa"/>
                  <w:shd w:val="clear" w:color="auto" w:fill="auto"/>
                </w:tcPr>
                <w:p w14:paraId="74A2AB4E" w14:textId="77777777" w:rsidR="00FC14FC" w:rsidRDefault="00FC14FC" w:rsidP="00D11B9D">
                  <w:pPr>
                    <w:pStyle w:val="TableBodyText"/>
                  </w:pPr>
                  <w:r>
                    <w:t>49.6</w:t>
                  </w:r>
                </w:p>
              </w:tc>
              <w:tc>
                <w:tcPr>
                  <w:tcW w:w="663" w:type="dxa"/>
                </w:tcPr>
                <w:p w14:paraId="1F92D7DC" w14:textId="77777777" w:rsidR="00FC14FC" w:rsidRDefault="00FC14FC" w:rsidP="00D11B9D">
                  <w:pPr>
                    <w:pStyle w:val="TableBodyText"/>
                  </w:pPr>
                  <w:r>
                    <w:t>48.7</w:t>
                  </w:r>
                </w:p>
              </w:tc>
              <w:tc>
                <w:tcPr>
                  <w:tcW w:w="663" w:type="dxa"/>
                </w:tcPr>
                <w:p w14:paraId="5F6FC499" w14:textId="77777777" w:rsidR="00FC14FC" w:rsidRDefault="00FC14FC" w:rsidP="00D11B9D">
                  <w:pPr>
                    <w:pStyle w:val="TableBodyText"/>
                  </w:pPr>
                  <w:r>
                    <w:t>43.5</w:t>
                  </w:r>
                </w:p>
              </w:tc>
              <w:tc>
                <w:tcPr>
                  <w:tcW w:w="662" w:type="dxa"/>
                </w:tcPr>
                <w:p w14:paraId="5DD60BD4" w14:textId="77777777" w:rsidR="00FC14FC" w:rsidRDefault="00FC14FC" w:rsidP="00D11B9D">
                  <w:pPr>
                    <w:pStyle w:val="TableBodyText"/>
                  </w:pPr>
                  <w:r>
                    <w:t>45.0</w:t>
                  </w:r>
                </w:p>
              </w:tc>
              <w:tc>
                <w:tcPr>
                  <w:tcW w:w="663" w:type="dxa"/>
                </w:tcPr>
                <w:p w14:paraId="7790B395" w14:textId="77777777" w:rsidR="00FC14FC" w:rsidRDefault="00FC14FC" w:rsidP="00D11B9D">
                  <w:pPr>
                    <w:pStyle w:val="TableBodyText"/>
                  </w:pPr>
                  <w:r>
                    <w:t>42.6</w:t>
                  </w:r>
                </w:p>
              </w:tc>
              <w:tc>
                <w:tcPr>
                  <w:tcW w:w="663" w:type="dxa"/>
                </w:tcPr>
                <w:p w14:paraId="054646BB" w14:textId="77777777" w:rsidR="00FC14FC" w:rsidRDefault="00FC14FC" w:rsidP="00D11B9D">
                  <w:pPr>
                    <w:pStyle w:val="TableBodyText"/>
                  </w:pPr>
                  <w:r>
                    <w:t>42.6</w:t>
                  </w:r>
                </w:p>
              </w:tc>
              <w:tc>
                <w:tcPr>
                  <w:tcW w:w="663" w:type="dxa"/>
                </w:tcPr>
                <w:p w14:paraId="7414211D" w14:textId="77777777" w:rsidR="00FC14FC" w:rsidRDefault="00FC14FC" w:rsidP="00D11B9D">
                  <w:pPr>
                    <w:pStyle w:val="TableBodyText"/>
                  </w:pPr>
                  <w:r>
                    <w:t>42.2</w:t>
                  </w:r>
                </w:p>
              </w:tc>
              <w:tc>
                <w:tcPr>
                  <w:tcW w:w="663" w:type="dxa"/>
                </w:tcPr>
                <w:p w14:paraId="434743AE" w14:textId="77777777" w:rsidR="00FC14FC" w:rsidRDefault="00FC14FC" w:rsidP="00D11B9D">
                  <w:pPr>
                    <w:pStyle w:val="TableBodyText"/>
                    <w:ind w:right="28"/>
                  </w:pPr>
                  <w:r>
                    <w:t>41.3</w:t>
                  </w:r>
                </w:p>
              </w:tc>
            </w:tr>
            <w:tr w:rsidR="00FC14FC" w14:paraId="70ADFFB8" w14:textId="77777777" w:rsidTr="00D11B9D">
              <w:tc>
                <w:tcPr>
                  <w:tcW w:w="1215" w:type="dxa"/>
                  <w:vMerge w:val="restart"/>
                  <w:shd w:val="clear" w:color="auto" w:fill="F2F2F2" w:themeFill="background1" w:themeFillShade="F2"/>
                </w:tcPr>
                <w:p w14:paraId="2BE2775D" w14:textId="77777777" w:rsidR="00FC14FC" w:rsidRDefault="00FC14FC" w:rsidP="00D11B9D">
                  <w:pPr>
                    <w:pStyle w:val="TableBodyText"/>
                    <w:jc w:val="left"/>
                  </w:pPr>
                  <w:r>
                    <w:t>Corporate</w:t>
                  </w:r>
                </w:p>
              </w:tc>
              <w:tc>
                <w:tcPr>
                  <w:tcW w:w="1325" w:type="dxa"/>
                  <w:shd w:val="clear" w:color="auto" w:fill="F2F2F2" w:themeFill="background1" w:themeFillShade="F2"/>
                </w:tcPr>
                <w:p w14:paraId="2A09E335" w14:textId="77777777" w:rsidR="00FC14FC" w:rsidRDefault="00FC14FC" w:rsidP="00D11B9D">
                  <w:pPr>
                    <w:pStyle w:val="TableBodyText"/>
                    <w:jc w:val="left"/>
                  </w:pPr>
                  <w:r>
                    <w:t>Infrastructure</w:t>
                  </w:r>
                </w:p>
              </w:tc>
              <w:tc>
                <w:tcPr>
                  <w:tcW w:w="662" w:type="dxa"/>
                  <w:shd w:val="clear" w:color="auto" w:fill="F2F2F2" w:themeFill="background1" w:themeFillShade="F2"/>
                  <w:vAlign w:val="bottom"/>
                </w:tcPr>
                <w:p w14:paraId="585E397A" w14:textId="77777777" w:rsidR="00FC14FC" w:rsidRDefault="00FC14FC" w:rsidP="00D11B9D">
                  <w:pPr>
                    <w:pStyle w:val="TableBodyText"/>
                  </w:pPr>
                  <w:r>
                    <w:t>–</w:t>
                  </w:r>
                </w:p>
              </w:tc>
              <w:tc>
                <w:tcPr>
                  <w:tcW w:w="663" w:type="dxa"/>
                  <w:shd w:val="clear" w:color="auto" w:fill="F2F2F2" w:themeFill="background1" w:themeFillShade="F2"/>
                  <w:vAlign w:val="bottom"/>
                </w:tcPr>
                <w:p w14:paraId="31CFD344" w14:textId="77777777" w:rsidR="00FC14FC" w:rsidRDefault="00FC14FC" w:rsidP="00D11B9D">
                  <w:pPr>
                    <w:pStyle w:val="TableBodyText"/>
                  </w:pPr>
                  <w:r>
                    <w:t>–</w:t>
                  </w:r>
                </w:p>
              </w:tc>
              <w:tc>
                <w:tcPr>
                  <w:tcW w:w="663" w:type="dxa"/>
                  <w:shd w:val="clear" w:color="auto" w:fill="F2F2F2" w:themeFill="background1" w:themeFillShade="F2"/>
                  <w:vAlign w:val="bottom"/>
                </w:tcPr>
                <w:p w14:paraId="0CE8984B" w14:textId="77777777" w:rsidR="00FC14FC" w:rsidRDefault="00FC14FC" w:rsidP="00D11B9D">
                  <w:pPr>
                    <w:pStyle w:val="TableBodyText"/>
                  </w:pPr>
                  <w:r>
                    <w:t>–</w:t>
                  </w:r>
                </w:p>
              </w:tc>
              <w:tc>
                <w:tcPr>
                  <w:tcW w:w="663" w:type="dxa"/>
                  <w:shd w:val="clear" w:color="auto" w:fill="F2F2F2" w:themeFill="background1" w:themeFillShade="F2"/>
                  <w:vAlign w:val="bottom"/>
                </w:tcPr>
                <w:p w14:paraId="52273EC0" w14:textId="77777777" w:rsidR="00FC14FC" w:rsidRDefault="00FC14FC" w:rsidP="00D11B9D">
                  <w:pPr>
                    <w:pStyle w:val="TableBodyText"/>
                  </w:pPr>
                  <w:r>
                    <w:t>–</w:t>
                  </w:r>
                </w:p>
              </w:tc>
              <w:tc>
                <w:tcPr>
                  <w:tcW w:w="662" w:type="dxa"/>
                  <w:shd w:val="clear" w:color="auto" w:fill="F2F2F2" w:themeFill="background1" w:themeFillShade="F2"/>
                  <w:vAlign w:val="bottom"/>
                </w:tcPr>
                <w:p w14:paraId="469F2CDB" w14:textId="77777777" w:rsidR="00FC14FC" w:rsidRDefault="00FC14FC" w:rsidP="00D11B9D">
                  <w:pPr>
                    <w:pStyle w:val="TableBodyText"/>
                  </w:pPr>
                  <w:r>
                    <w:t>–</w:t>
                  </w:r>
                </w:p>
              </w:tc>
              <w:tc>
                <w:tcPr>
                  <w:tcW w:w="663" w:type="dxa"/>
                  <w:shd w:val="clear" w:color="auto" w:fill="F2F2F2" w:themeFill="background1" w:themeFillShade="F2"/>
                  <w:vAlign w:val="bottom"/>
                </w:tcPr>
                <w:p w14:paraId="6388B6FB" w14:textId="77777777" w:rsidR="00FC14FC" w:rsidRDefault="00FC14FC" w:rsidP="00D11B9D">
                  <w:pPr>
                    <w:pStyle w:val="TableBodyText"/>
                  </w:pPr>
                  <w:r>
                    <w:t>–</w:t>
                  </w:r>
                </w:p>
              </w:tc>
              <w:tc>
                <w:tcPr>
                  <w:tcW w:w="663" w:type="dxa"/>
                  <w:shd w:val="clear" w:color="auto" w:fill="F2F2F2" w:themeFill="background1" w:themeFillShade="F2"/>
                  <w:vAlign w:val="bottom"/>
                </w:tcPr>
                <w:p w14:paraId="0EE0AAD4" w14:textId="77777777" w:rsidR="00FC14FC" w:rsidRDefault="00FC14FC" w:rsidP="00D11B9D">
                  <w:pPr>
                    <w:pStyle w:val="TableBodyText"/>
                  </w:pPr>
                  <w:r>
                    <w:t>2.4</w:t>
                  </w:r>
                </w:p>
              </w:tc>
              <w:tc>
                <w:tcPr>
                  <w:tcW w:w="663" w:type="dxa"/>
                  <w:shd w:val="clear" w:color="auto" w:fill="F2F2F2" w:themeFill="background1" w:themeFillShade="F2"/>
                  <w:vAlign w:val="bottom"/>
                </w:tcPr>
                <w:p w14:paraId="5C065337" w14:textId="77777777" w:rsidR="00FC14FC" w:rsidRDefault="00FC14FC" w:rsidP="00D11B9D">
                  <w:pPr>
                    <w:pStyle w:val="TableBodyText"/>
                  </w:pPr>
                  <w:r>
                    <w:t>2.6</w:t>
                  </w:r>
                </w:p>
              </w:tc>
              <w:tc>
                <w:tcPr>
                  <w:tcW w:w="663" w:type="dxa"/>
                  <w:shd w:val="clear" w:color="auto" w:fill="F2F2F2" w:themeFill="background1" w:themeFillShade="F2"/>
                  <w:vAlign w:val="bottom"/>
                </w:tcPr>
                <w:p w14:paraId="79B35AC4" w14:textId="77777777" w:rsidR="00FC14FC" w:rsidRDefault="00FC14FC" w:rsidP="00D11B9D">
                  <w:pPr>
                    <w:pStyle w:val="TableBodyText"/>
                    <w:ind w:right="28"/>
                  </w:pPr>
                  <w:r>
                    <w:t>2.5</w:t>
                  </w:r>
                </w:p>
              </w:tc>
            </w:tr>
            <w:tr w:rsidR="00FC14FC" w14:paraId="47296B66" w14:textId="77777777" w:rsidTr="00D11B9D">
              <w:tc>
                <w:tcPr>
                  <w:tcW w:w="1215" w:type="dxa"/>
                  <w:vMerge/>
                  <w:shd w:val="clear" w:color="auto" w:fill="F2F2F2" w:themeFill="background1" w:themeFillShade="F2"/>
                </w:tcPr>
                <w:p w14:paraId="5E38330C" w14:textId="77777777" w:rsidR="00FC14FC" w:rsidRDefault="00FC14FC" w:rsidP="00D11B9D">
                  <w:pPr>
                    <w:pStyle w:val="TableBodyText"/>
                    <w:jc w:val="left"/>
                  </w:pPr>
                </w:p>
              </w:tc>
              <w:tc>
                <w:tcPr>
                  <w:tcW w:w="1325" w:type="dxa"/>
                  <w:shd w:val="clear" w:color="auto" w:fill="F2F2F2" w:themeFill="background1" w:themeFillShade="F2"/>
                </w:tcPr>
                <w:p w14:paraId="2D0B4148" w14:textId="77777777" w:rsidR="00FC14FC" w:rsidRDefault="00FC14FC" w:rsidP="00D11B9D">
                  <w:pPr>
                    <w:pStyle w:val="TableBodyText"/>
                    <w:jc w:val="left"/>
                  </w:pPr>
                  <w:r>
                    <w:t>Private equity</w:t>
                  </w:r>
                </w:p>
              </w:tc>
              <w:tc>
                <w:tcPr>
                  <w:tcW w:w="662" w:type="dxa"/>
                  <w:shd w:val="clear" w:color="auto" w:fill="F2F2F2" w:themeFill="background1" w:themeFillShade="F2"/>
                  <w:vAlign w:val="bottom"/>
                </w:tcPr>
                <w:p w14:paraId="23D42C8B" w14:textId="77777777" w:rsidR="00FC14FC" w:rsidRDefault="00FC14FC" w:rsidP="00D11B9D">
                  <w:pPr>
                    <w:pStyle w:val="TableBodyText"/>
                  </w:pPr>
                  <w:r>
                    <w:t>30.5</w:t>
                  </w:r>
                </w:p>
              </w:tc>
              <w:tc>
                <w:tcPr>
                  <w:tcW w:w="663" w:type="dxa"/>
                  <w:shd w:val="clear" w:color="auto" w:fill="F2F2F2" w:themeFill="background1" w:themeFillShade="F2"/>
                  <w:vAlign w:val="bottom"/>
                </w:tcPr>
                <w:p w14:paraId="1DBD8B9E" w14:textId="77777777" w:rsidR="00FC14FC" w:rsidRDefault="00FC14FC" w:rsidP="00D11B9D">
                  <w:pPr>
                    <w:pStyle w:val="TableBodyText"/>
                  </w:pPr>
                  <w:r>
                    <w:t>38.4</w:t>
                  </w:r>
                </w:p>
              </w:tc>
              <w:tc>
                <w:tcPr>
                  <w:tcW w:w="663" w:type="dxa"/>
                  <w:shd w:val="clear" w:color="auto" w:fill="F2F2F2" w:themeFill="background1" w:themeFillShade="F2"/>
                  <w:vAlign w:val="bottom"/>
                </w:tcPr>
                <w:p w14:paraId="0BA1EBF1" w14:textId="77777777" w:rsidR="00FC14FC" w:rsidRDefault="00FC14FC" w:rsidP="00D11B9D">
                  <w:pPr>
                    <w:pStyle w:val="TableBodyText"/>
                  </w:pPr>
                  <w:r>
                    <w:t>34.8</w:t>
                  </w:r>
                </w:p>
              </w:tc>
              <w:tc>
                <w:tcPr>
                  <w:tcW w:w="663" w:type="dxa"/>
                  <w:shd w:val="clear" w:color="auto" w:fill="F2F2F2" w:themeFill="background1" w:themeFillShade="F2"/>
                  <w:vAlign w:val="bottom"/>
                </w:tcPr>
                <w:p w14:paraId="5DE53139" w14:textId="77777777" w:rsidR="00FC14FC" w:rsidRDefault="00FC14FC" w:rsidP="00D11B9D">
                  <w:pPr>
                    <w:pStyle w:val="TableBodyText"/>
                  </w:pPr>
                  <w:r>
                    <w:t>45.2</w:t>
                  </w:r>
                </w:p>
              </w:tc>
              <w:tc>
                <w:tcPr>
                  <w:tcW w:w="662" w:type="dxa"/>
                  <w:shd w:val="clear" w:color="auto" w:fill="F2F2F2" w:themeFill="background1" w:themeFillShade="F2"/>
                  <w:vAlign w:val="bottom"/>
                </w:tcPr>
                <w:p w14:paraId="3C9E4C25" w14:textId="77777777" w:rsidR="00FC14FC" w:rsidRDefault="00FC14FC" w:rsidP="00D11B9D">
                  <w:pPr>
                    <w:pStyle w:val="TableBodyText"/>
                  </w:pPr>
                  <w:r>
                    <w:t>46.5</w:t>
                  </w:r>
                </w:p>
              </w:tc>
              <w:tc>
                <w:tcPr>
                  <w:tcW w:w="663" w:type="dxa"/>
                  <w:shd w:val="clear" w:color="auto" w:fill="F2F2F2" w:themeFill="background1" w:themeFillShade="F2"/>
                  <w:vAlign w:val="bottom"/>
                </w:tcPr>
                <w:p w14:paraId="1FDC0B9F" w14:textId="77777777" w:rsidR="00FC14FC" w:rsidRDefault="00FC14FC" w:rsidP="00D11B9D">
                  <w:pPr>
                    <w:pStyle w:val="TableBodyText"/>
                  </w:pPr>
                  <w:r>
                    <w:t>40.7</w:t>
                  </w:r>
                </w:p>
              </w:tc>
              <w:tc>
                <w:tcPr>
                  <w:tcW w:w="663" w:type="dxa"/>
                  <w:shd w:val="clear" w:color="auto" w:fill="F2F2F2" w:themeFill="background1" w:themeFillShade="F2"/>
                  <w:vAlign w:val="bottom"/>
                </w:tcPr>
                <w:p w14:paraId="57B6A6FB" w14:textId="77777777" w:rsidR="00FC14FC" w:rsidRDefault="00FC14FC" w:rsidP="00D11B9D">
                  <w:pPr>
                    <w:pStyle w:val="TableBodyText"/>
                  </w:pPr>
                  <w:r>
                    <w:t>45.4</w:t>
                  </w:r>
                </w:p>
              </w:tc>
              <w:tc>
                <w:tcPr>
                  <w:tcW w:w="663" w:type="dxa"/>
                  <w:shd w:val="clear" w:color="auto" w:fill="F2F2F2" w:themeFill="background1" w:themeFillShade="F2"/>
                  <w:vAlign w:val="bottom"/>
                </w:tcPr>
                <w:p w14:paraId="1530CB52" w14:textId="77777777" w:rsidR="00FC14FC" w:rsidRDefault="00FC14FC" w:rsidP="00D11B9D">
                  <w:pPr>
                    <w:pStyle w:val="TableBodyText"/>
                  </w:pPr>
                  <w:r>
                    <w:t>39.5</w:t>
                  </w:r>
                </w:p>
              </w:tc>
              <w:tc>
                <w:tcPr>
                  <w:tcW w:w="663" w:type="dxa"/>
                  <w:shd w:val="clear" w:color="auto" w:fill="F2F2F2" w:themeFill="background1" w:themeFillShade="F2"/>
                  <w:vAlign w:val="bottom"/>
                </w:tcPr>
                <w:p w14:paraId="0BF4BDFE" w14:textId="77777777" w:rsidR="00FC14FC" w:rsidRDefault="00FC14FC" w:rsidP="00D11B9D">
                  <w:pPr>
                    <w:pStyle w:val="TableBodyText"/>
                    <w:ind w:right="28"/>
                  </w:pPr>
                  <w:r>
                    <w:t>39.1</w:t>
                  </w:r>
                </w:p>
              </w:tc>
            </w:tr>
            <w:tr w:rsidR="00FC14FC" w14:paraId="38F2856A" w14:textId="77777777" w:rsidTr="00D11B9D">
              <w:tc>
                <w:tcPr>
                  <w:tcW w:w="1215" w:type="dxa"/>
                  <w:shd w:val="clear" w:color="auto" w:fill="F2F2F2" w:themeFill="background1" w:themeFillShade="F2"/>
                </w:tcPr>
                <w:p w14:paraId="1B0A15C1" w14:textId="77777777" w:rsidR="00FC14FC" w:rsidRDefault="00FC14FC" w:rsidP="00D11B9D">
                  <w:pPr>
                    <w:pStyle w:val="TableBodyText"/>
                    <w:jc w:val="left"/>
                  </w:pPr>
                </w:p>
              </w:tc>
              <w:tc>
                <w:tcPr>
                  <w:tcW w:w="1325" w:type="dxa"/>
                  <w:shd w:val="clear" w:color="auto" w:fill="F2F2F2" w:themeFill="background1" w:themeFillShade="F2"/>
                </w:tcPr>
                <w:p w14:paraId="6CF13D97" w14:textId="77777777" w:rsidR="00FC14FC" w:rsidRDefault="00FC14FC" w:rsidP="00D11B9D">
                  <w:pPr>
                    <w:pStyle w:val="TableBodyText"/>
                    <w:jc w:val="left"/>
                  </w:pPr>
                  <w:r>
                    <w:t>Other</w:t>
                  </w:r>
                </w:p>
              </w:tc>
              <w:tc>
                <w:tcPr>
                  <w:tcW w:w="662" w:type="dxa"/>
                  <w:shd w:val="clear" w:color="auto" w:fill="F2F2F2" w:themeFill="background1" w:themeFillShade="F2"/>
                  <w:vAlign w:val="bottom"/>
                </w:tcPr>
                <w:p w14:paraId="7DD4B7B2" w14:textId="77777777" w:rsidR="00FC14FC" w:rsidRDefault="00FC14FC" w:rsidP="00D11B9D">
                  <w:pPr>
                    <w:pStyle w:val="TableBodyText"/>
                  </w:pPr>
                  <w:r>
                    <w:t>69.5</w:t>
                  </w:r>
                </w:p>
              </w:tc>
              <w:tc>
                <w:tcPr>
                  <w:tcW w:w="663" w:type="dxa"/>
                  <w:shd w:val="clear" w:color="auto" w:fill="F2F2F2" w:themeFill="background1" w:themeFillShade="F2"/>
                  <w:vAlign w:val="bottom"/>
                </w:tcPr>
                <w:p w14:paraId="649832F4" w14:textId="77777777" w:rsidR="00FC14FC" w:rsidRDefault="00FC14FC" w:rsidP="00D11B9D">
                  <w:pPr>
                    <w:pStyle w:val="TableBodyText"/>
                  </w:pPr>
                  <w:r>
                    <w:t>61.6</w:t>
                  </w:r>
                </w:p>
              </w:tc>
              <w:tc>
                <w:tcPr>
                  <w:tcW w:w="663" w:type="dxa"/>
                  <w:shd w:val="clear" w:color="auto" w:fill="F2F2F2" w:themeFill="background1" w:themeFillShade="F2"/>
                  <w:vAlign w:val="bottom"/>
                </w:tcPr>
                <w:p w14:paraId="3DE7AE41" w14:textId="77777777" w:rsidR="00FC14FC" w:rsidRDefault="00FC14FC" w:rsidP="00D11B9D">
                  <w:pPr>
                    <w:pStyle w:val="TableBodyText"/>
                  </w:pPr>
                  <w:r>
                    <w:t>65.2</w:t>
                  </w:r>
                </w:p>
              </w:tc>
              <w:tc>
                <w:tcPr>
                  <w:tcW w:w="663" w:type="dxa"/>
                  <w:shd w:val="clear" w:color="auto" w:fill="F2F2F2" w:themeFill="background1" w:themeFillShade="F2"/>
                  <w:vAlign w:val="bottom"/>
                </w:tcPr>
                <w:p w14:paraId="7C14D7DD" w14:textId="77777777" w:rsidR="00FC14FC" w:rsidRDefault="00FC14FC" w:rsidP="00D11B9D">
                  <w:pPr>
                    <w:pStyle w:val="TableBodyText"/>
                  </w:pPr>
                  <w:r>
                    <w:t>54.8</w:t>
                  </w:r>
                </w:p>
              </w:tc>
              <w:tc>
                <w:tcPr>
                  <w:tcW w:w="662" w:type="dxa"/>
                  <w:shd w:val="clear" w:color="auto" w:fill="F2F2F2" w:themeFill="background1" w:themeFillShade="F2"/>
                  <w:vAlign w:val="bottom"/>
                </w:tcPr>
                <w:p w14:paraId="46AA3AD6" w14:textId="77777777" w:rsidR="00FC14FC" w:rsidRDefault="00FC14FC" w:rsidP="00D11B9D">
                  <w:pPr>
                    <w:pStyle w:val="TableBodyText"/>
                  </w:pPr>
                  <w:r>
                    <w:t>53.5</w:t>
                  </w:r>
                </w:p>
              </w:tc>
              <w:tc>
                <w:tcPr>
                  <w:tcW w:w="663" w:type="dxa"/>
                  <w:shd w:val="clear" w:color="auto" w:fill="F2F2F2" w:themeFill="background1" w:themeFillShade="F2"/>
                  <w:vAlign w:val="bottom"/>
                </w:tcPr>
                <w:p w14:paraId="0B9FFFD5" w14:textId="77777777" w:rsidR="00FC14FC" w:rsidRDefault="00FC14FC" w:rsidP="00D11B9D">
                  <w:pPr>
                    <w:pStyle w:val="TableBodyText"/>
                  </w:pPr>
                  <w:r>
                    <w:t>59.3</w:t>
                  </w:r>
                </w:p>
              </w:tc>
              <w:tc>
                <w:tcPr>
                  <w:tcW w:w="663" w:type="dxa"/>
                  <w:shd w:val="clear" w:color="auto" w:fill="F2F2F2" w:themeFill="background1" w:themeFillShade="F2"/>
                  <w:vAlign w:val="bottom"/>
                </w:tcPr>
                <w:p w14:paraId="14264AED" w14:textId="77777777" w:rsidR="00FC14FC" w:rsidRDefault="00FC14FC" w:rsidP="00D11B9D">
                  <w:pPr>
                    <w:pStyle w:val="TableBodyText"/>
                  </w:pPr>
                  <w:r>
                    <w:t>52.3</w:t>
                  </w:r>
                </w:p>
              </w:tc>
              <w:tc>
                <w:tcPr>
                  <w:tcW w:w="663" w:type="dxa"/>
                  <w:shd w:val="clear" w:color="auto" w:fill="F2F2F2" w:themeFill="background1" w:themeFillShade="F2"/>
                  <w:vAlign w:val="bottom"/>
                </w:tcPr>
                <w:p w14:paraId="1C151096" w14:textId="77777777" w:rsidR="00FC14FC" w:rsidRDefault="00FC14FC" w:rsidP="00D11B9D">
                  <w:pPr>
                    <w:pStyle w:val="TableBodyText"/>
                  </w:pPr>
                  <w:r>
                    <w:t>57.8</w:t>
                  </w:r>
                </w:p>
              </w:tc>
              <w:tc>
                <w:tcPr>
                  <w:tcW w:w="663" w:type="dxa"/>
                  <w:shd w:val="clear" w:color="auto" w:fill="F2F2F2" w:themeFill="background1" w:themeFillShade="F2"/>
                  <w:vAlign w:val="bottom"/>
                </w:tcPr>
                <w:p w14:paraId="6F29FD97" w14:textId="77777777" w:rsidR="00FC14FC" w:rsidRDefault="00FC14FC" w:rsidP="00D11B9D">
                  <w:pPr>
                    <w:pStyle w:val="TableBodyText"/>
                    <w:ind w:right="28"/>
                  </w:pPr>
                  <w:r>
                    <w:t>58.4</w:t>
                  </w:r>
                </w:p>
              </w:tc>
            </w:tr>
            <w:tr w:rsidR="00FC14FC" w14:paraId="2F1D44CE" w14:textId="77777777" w:rsidTr="00D11B9D">
              <w:trPr>
                <w:trHeight w:val="351"/>
              </w:trPr>
              <w:tc>
                <w:tcPr>
                  <w:tcW w:w="1215" w:type="dxa"/>
                  <w:shd w:val="clear" w:color="auto" w:fill="auto"/>
                </w:tcPr>
                <w:p w14:paraId="4AF4FB37" w14:textId="77777777" w:rsidR="00FC14FC" w:rsidRDefault="00FC14FC" w:rsidP="00D11B9D">
                  <w:pPr>
                    <w:pStyle w:val="TableBodyText"/>
                    <w:jc w:val="left"/>
                  </w:pPr>
                  <w:r>
                    <w:t>Industry</w:t>
                  </w:r>
                </w:p>
              </w:tc>
              <w:tc>
                <w:tcPr>
                  <w:tcW w:w="1325" w:type="dxa"/>
                </w:tcPr>
                <w:p w14:paraId="3356404D" w14:textId="77777777" w:rsidR="00FC14FC" w:rsidRDefault="00FC14FC" w:rsidP="00D11B9D">
                  <w:pPr>
                    <w:pStyle w:val="TableBodyText"/>
                    <w:jc w:val="left"/>
                  </w:pPr>
                  <w:r>
                    <w:t>Infrastructure</w:t>
                  </w:r>
                </w:p>
              </w:tc>
              <w:tc>
                <w:tcPr>
                  <w:tcW w:w="662" w:type="dxa"/>
                  <w:shd w:val="clear" w:color="auto" w:fill="auto"/>
                  <w:vAlign w:val="bottom"/>
                </w:tcPr>
                <w:p w14:paraId="0EEDA337" w14:textId="77777777" w:rsidR="00FC14FC" w:rsidRDefault="00FC14FC" w:rsidP="00D11B9D">
                  <w:pPr>
                    <w:pStyle w:val="TableBodyText"/>
                  </w:pPr>
                  <w:r>
                    <w:t>–</w:t>
                  </w:r>
                </w:p>
              </w:tc>
              <w:tc>
                <w:tcPr>
                  <w:tcW w:w="663" w:type="dxa"/>
                  <w:shd w:val="clear" w:color="auto" w:fill="auto"/>
                  <w:vAlign w:val="bottom"/>
                </w:tcPr>
                <w:p w14:paraId="4D9B3545" w14:textId="77777777" w:rsidR="00FC14FC" w:rsidRDefault="00FC14FC" w:rsidP="00D11B9D">
                  <w:pPr>
                    <w:pStyle w:val="TableBodyText"/>
                  </w:pPr>
                  <w:r>
                    <w:t>–</w:t>
                  </w:r>
                </w:p>
              </w:tc>
              <w:tc>
                <w:tcPr>
                  <w:tcW w:w="663" w:type="dxa"/>
                  <w:vAlign w:val="bottom"/>
                </w:tcPr>
                <w:p w14:paraId="56576C0F" w14:textId="77777777" w:rsidR="00FC14FC" w:rsidRDefault="00FC14FC" w:rsidP="00D11B9D">
                  <w:pPr>
                    <w:pStyle w:val="TableBodyText"/>
                  </w:pPr>
                  <w:r>
                    <w:t>–</w:t>
                  </w:r>
                </w:p>
              </w:tc>
              <w:tc>
                <w:tcPr>
                  <w:tcW w:w="663" w:type="dxa"/>
                  <w:vAlign w:val="bottom"/>
                </w:tcPr>
                <w:p w14:paraId="72D96D0A" w14:textId="77777777" w:rsidR="00FC14FC" w:rsidRDefault="00FC14FC" w:rsidP="00D11B9D">
                  <w:pPr>
                    <w:pStyle w:val="TableBodyText"/>
                  </w:pPr>
                  <w:r>
                    <w:t>–</w:t>
                  </w:r>
                </w:p>
              </w:tc>
              <w:tc>
                <w:tcPr>
                  <w:tcW w:w="662" w:type="dxa"/>
                  <w:vAlign w:val="bottom"/>
                </w:tcPr>
                <w:p w14:paraId="1A390090" w14:textId="77777777" w:rsidR="00FC14FC" w:rsidRDefault="00FC14FC" w:rsidP="00D11B9D">
                  <w:pPr>
                    <w:pStyle w:val="TableBodyText"/>
                  </w:pPr>
                  <w:r>
                    <w:t>–</w:t>
                  </w:r>
                </w:p>
              </w:tc>
              <w:tc>
                <w:tcPr>
                  <w:tcW w:w="663" w:type="dxa"/>
                  <w:vAlign w:val="bottom"/>
                </w:tcPr>
                <w:p w14:paraId="17D74565" w14:textId="77777777" w:rsidR="00FC14FC" w:rsidRDefault="00FC14FC" w:rsidP="00D11B9D">
                  <w:pPr>
                    <w:pStyle w:val="TableBodyText"/>
                  </w:pPr>
                  <w:r>
                    <w:t>–</w:t>
                  </w:r>
                </w:p>
              </w:tc>
              <w:tc>
                <w:tcPr>
                  <w:tcW w:w="663" w:type="dxa"/>
                  <w:vAlign w:val="bottom"/>
                </w:tcPr>
                <w:p w14:paraId="388DE632" w14:textId="77777777" w:rsidR="00FC14FC" w:rsidRDefault="00FC14FC" w:rsidP="00D11B9D">
                  <w:pPr>
                    <w:pStyle w:val="TableBodyText"/>
                  </w:pPr>
                  <w:r>
                    <w:t>19.9</w:t>
                  </w:r>
                </w:p>
              </w:tc>
              <w:tc>
                <w:tcPr>
                  <w:tcW w:w="663" w:type="dxa"/>
                  <w:vAlign w:val="bottom"/>
                </w:tcPr>
                <w:p w14:paraId="36C4CFFA" w14:textId="77777777" w:rsidR="00FC14FC" w:rsidRDefault="00FC14FC" w:rsidP="00D11B9D">
                  <w:pPr>
                    <w:pStyle w:val="TableBodyText"/>
                  </w:pPr>
                  <w:r>
                    <w:t>20.5</w:t>
                  </w:r>
                </w:p>
              </w:tc>
              <w:tc>
                <w:tcPr>
                  <w:tcW w:w="663" w:type="dxa"/>
                  <w:vAlign w:val="bottom"/>
                </w:tcPr>
                <w:p w14:paraId="376B6C0F" w14:textId="77777777" w:rsidR="00FC14FC" w:rsidRDefault="00FC14FC" w:rsidP="00D11B9D">
                  <w:pPr>
                    <w:pStyle w:val="TableBodyText"/>
                    <w:ind w:right="28"/>
                  </w:pPr>
                  <w:r>
                    <w:t>22.7</w:t>
                  </w:r>
                </w:p>
              </w:tc>
            </w:tr>
            <w:tr w:rsidR="00FC14FC" w14:paraId="4C586A5F" w14:textId="77777777" w:rsidTr="00D11B9D">
              <w:tc>
                <w:tcPr>
                  <w:tcW w:w="1215" w:type="dxa"/>
                  <w:shd w:val="clear" w:color="auto" w:fill="auto"/>
                </w:tcPr>
                <w:p w14:paraId="10E56602" w14:textId="77777777" w:rsidR="00FC14FC" w:rsidRDefault="00FC14FC" w:rsidP="00D11B9D">
                  <w:pPr>
                    <w:pStyle w:val="TableBodyText"/>
                    <w:jc w:val="left"/>
                  </w:pPr>
                </w:p>
              </w:tc>
              <w:tc>
                <w:tcPr>
                  <w:tcW w:w="1325" w:type="dxa"/>
                </w:tcPr>
                <w:p w14:paraId="4B872607" w14:textId="77777777" w:rsidR="00FC14FC" w:rsidRDefault="00FC14FC" w:rsidP="00D11B9D">
                  <w:pPr>
                    <w:pStyle w:val="TableBodyText"/>
                    <w:jc w:val="left"/>
                  </w:pPr>
                  <w:r>
                    <w:t>Private equity</w:t>
                  </w:r>
                </w:p>
              </w:tc>
              <w:tc>
                <w:tcPr>
                  <w:tcW w:w="662" w:type="dxa"/>
                  <w:shd w:val="clear" w:color="auto" w:fill="auto"/>
                </w:tcPr>
                <w:p w14:paraId="1ACAC970" w14:textId="77777777" w:rsidR="00FC14FC" w:rsidRDefault="00FC14FC" w:rsidP="00D11B9D">
                  <w:pPr>
                    <w:pStyle w:val="TableBodyText"/>
                  </w:pPr>
                  <w:r>
                    <w:t>64.1</w:t>
                  </w:r>
                </w:p>
              </w:tc>
              <w:tc>
                <w:tcPr>
                  <w:tcW w:w="663" w:type="dxa"/>
                  <w:shd w:val="clear" w:color="auto" w:fill="auto"/>
                </w:tcPr>
                <w:p w14:paraId="709EA0EE" w14:textId="77777777" w:rsidR="00FC14FC" w:rsidRDefault="00FC14FC" w:rsidP="00D11B9D">
                  <w:pPr>
                    <w:pStyle w:val="TableBodyText"/>
                  </w:pPr>
                  <w:r>
                    <w:t>60.1</w:t>
                  </w:r>
                </w:p>
              </w:tc>
              <w:tc>
                <w:tcPr>
                  <w:tcW w:w="663" w:type="dxa"/>
                </w:tcPr>
                <w:p w14:paraId="1090C319" w14:textId="77777777" w:rsidR="00FC14FC" w:rsidRDefault="00FC14FC" w:rsidP="00D11B9D">
                  <w:pPr>
                    <w:pStyle w:val="TableBodyText"/>
                  </w:pPr>
                  <w:r>
                    <w:t>54.4</w:t>
                  </w:r>
                </w:p>
              </w:tc>
              <w:tc>
                <w:tcPr>
                  <w:tcW w:w="663" w:type="dxa"/>
                </w:tcPr>
                <w:p w14:paraId="1C995AA5" w14:textId="77777777" w:rsidR="00FC14FC" w:rsidRDefault="00FC14FC" w:rsidP="00D11B9D">
                  <w:pPr>
                    <w:pStyle w:val="TableBodyText"/>
                  </w:pPr>
                  <w:r>
                    <w:t>57.5</w:t>
                  </w:r>
                </w:p>
              </w:tc>
              <w:tc>
                <w:tcPr>
                  <w:tcW w:w="662" w:type="dxa"/>
                </w:tcPr>
                <w:p w14:paraId="42372723" w14:textId="77777777" w:rsidR="00FC14FC" w:rsidRDefault="00FC14FC" w:rsidP="00D11B9D">
                  <w:pPr>
                    <w:pStyle w:val="TableBodyText"/>
                  </w:pPr>
                  <w:r>
                    <w:t>61.9</w:t>
                  </w:r>
                </w:p>
              </w:tc>
              <w:tc>
                <w:tcPr>
                  <w:tcW w:w="663" w:type="dxa"/>
                </w:tcPr>
                <w:p w14:paraId="58E53039" w14:textId="77777777" w:rsidR="00FC14FC" w:rsidRDefault="00FC14FC" w:rsidP="00D11B9D">
                  <w:pPr>
                    <w:pStyle w:val="TableBodyText"/>
                  </w:pPr>
                  <w:r>
                    <w:t>62.5</w:t>
                  </w:r>
                </w:p>
              </w:tc>
              <w:tc>
                <w:tcPr>
                  <w:tcW w:w="663" w:type="dxa"/>
                </w:tcPr>
                <w:p w14:paraId="6B77D19F" w14:textId="77777777" w:rsidR="00FC14FC" w:rsidRDefault="00FC14FC" w:rsidP="00D11B9D">
                  <w:pPr>
                    <w:pStyle w:val="TableBodyText"/>
                  </w:pPr>
                  <w:r>
                    <w:t>42.8</w:t>
                  </w:r>
                </w:p>
              </w:tc>
              <w:tc>
                <w:tcPr>
                  <w:tcW w:w="663" w:type="dxa"/>
                </w:tcPr>
                <w:p w14:paraId="6EB1B593" w14:textId="77777777" w:rsidR="00FC14FC" w:rsidRDefault="00FC14FC" w:rsidP="00D11B9D">
                  <w:pPr>
                    <w:pStyle w:val="TableBodyText"/>
                  </w:pPr>
                  <w:r>
                    <w:t>42.1</w:t>
                  </w:r>
                </w:p>
              </w:tc>
              <w:tc>
                <w:tcPr>
                  <w:tcW w:w="663" w:type="dxa"/>
                </w:tcPr>
                <w:p w14:paraId="328FA923" w14:textId="77777777" w:rsidR="00FC14FC" w:rsidRDefault="00FC14FC" w:rsidP="00D11B9D">
                  <w:pPr>
                    <w:pStyle w:val="TableBodyText"/>
                    <w:ind w:right="28"/>
                  </w:pPr>
                  <w:r>
                    <w:t>42.5</w:t>
                  </w:r>
                </w:p>
              </w:tc>
            </w:tr>
            <w:tr w:rsidR="00FC14FC" w14:paraId="6439AA49" w14:textId="77777777" w:rsidTr="00D11B9D">
              <w:tc>
                <w:tcPr>
                  <w:tcW w:w="1215" w:type="dxa"/>
                  <w:shd w:val="clear" w:color="auto" w:fill="auto"/>
                </w:tcPr>
                <w:p w14:paraId="76F5A35D" w14:textId="77777777" w:rsidR="00FC14FC" w:rsidRDefault="00FC14FC" w:rsidP="00D11B9D">
                  <w:pPr>
                    <w:pStyle w:val="TableBodyText"/>
                    <w:jc w:val="left"/>
                  </w:pPr>
                </w:p>
              </w:tc>
              <w:tc>
                <w:tcPr>
                  <w:tcW w:w="1325" w:type="dxa"/>
                </w:tcPr>
                <w:p w14:paraId="4889135B" w14:textId="77777777" w:rsidR="00FC14FC" w:rsidRDefault="00FC14FC" w:rsidP="00D11B9D">
                  <w:pPr>
                    <w:pStyle w:val="TableBodyText"/>
                    <w:jc w:val="left"/>
                  </w:pPr>
                  <w:r>
                    <w:t>Other</w:t>
                  </w:r>
                </w:p>
              </w:tc>
              <w:tc>
                <w:tcPr>
                  <w:tcW w:w="662" w:type="dxa"/>
                  <w:shd w:val="clear" w:color="auto" w:fill="auto"/>
                  <w:vAlign w:val="bottom"/>
                </w:tcPr>
                <w:p w14:paraId="4DB86B8A" w14:textId="77777777" w:rsidR="00FC14FC" w:rsidRDefault="00FC14FC" w:rsidP="00D11B9D">
                  <w:pPr>
                    <w:pStyle w:val="TableBodyText"/>
                  </w:pPr>
                  <w:r>
                    <w:t>35.9</w:t>
                  </w:r>
                </w:p>
              </w:tc>
              <w:tc>
                <w:tcPr>
                  <w:tcW w:w="663" w:type="dxa"/>
                  <w:shd w:val="clear" w:color="auto" w:fill="auto"/>
                  <w:vAlign w:val="bottom"/>
                </w:tcPr>
                <w:p w14:paraId="37027309" w14:textId="77777777" w:rsidR="00FC14FC" w:rsidRDefault="00FC14FC" w:rsidP="00D11B9D">
                  <w:pPr>
                    <w:pStyle w:val="TableBodyText"/>
                  </w:pPr>
                  <w:r>
                    <w:t>39.9</w:t>
                  </w:r>
                </w:p>
              </w:tc>
              <w:tc>
                <w:tcPr>
                  <w:tcW w:w="663" w:type="dxa"/>
                  <w:vAlign w:val="bottom"/>
                </w:tcPr>
                <w:p w14:paraId="7403FB4E" w14:textId="77777777" w:rsidR="00FC14FC" w:rsidRDefault="00FC14FC" w:rsidP="00D11B9D">
                  <w:pPr>
                    <w:pStyle w:val="TableBodyText"/>
                  </w:pPr>
                  <w:r>
                    <w:t>45.6</w:t>
                  </w:r>
                </w:p>
              </w:tc>
              <w:tc>
                <w:tcPr>
                  <w:tcW w:w="663" w:type="dxa"/>
                  <w:vAlign w:val="bottom"/>
                </w:tcPr>
                <w:p w14:paraId="57CCD3C6" w14:textId="77777777" w:rsidR="00FC14FC" w:rsidRDefault="00FC14FC" w:rsidP="00D11B9D">
                  <w:pPr>
                    <w:pStyle w:val="TableBodyText"/>
                  </w:pPr>
                  <w:r>
                    <w:t>42.5</w:t>
                  </w:r>
                </w:p>
              </w:tc>
              <w:tc>
                <w:tcPr>
                  <w:tcW w:w="662" w:type="dxa"/>
                  <w:vAlign w:val="bottom"/>
                </w:tcPr>
                <w:p w14:paraId="67E53742" w14:textId="77777777" w:rsidR="00FC14FC" w:rsidRDefault="00FC14FC" w:rsidP="00D11B9D">
                  <w:pPr>
                    <w:pStyle w:val="TableBodyText"/>
                  </w:pPr>
                  <w:r>
                    <w:t>38.1</w:t>
                  </w:r>
                </w:p>
              </w:tc>
              <w:tc>
                <w:tcPr>
                  <w:tcW w:w="663" w:type="dxa"/>
                  <w:vAlign w:val="bottom"/>
                </w:tcPr>
                <w:p w14:paraId="5F85C122" w14:textId="77777777" w:rsidR="00FC14FC" w:rsidRDefault="00FC14FC" w:rsidP="00D11B9D">
                  <w:pPr>
                    <w:pStyle w:val="TableBodyText"/>
                  </w:pPr>
                  <w:r>
                    <w:t>37.5</w:t>
                  </w:r>
                </w:p>
              </w:tc>
              <w:tc>
                <w:tcPr>
                  <w:tcW w:w="663" w:type="dxa"/>
                  <w:vAlign w:val="bottom"/>
                </w:tcPr>
                <w:p w14:paraId="294F0D3F" w14:textId="77777777" w:rsidR="00FC14FC" w:rsidRDefault="00FC14FC" w:rsidP="00D11B9D">
                  <w:pPr>
                    <w:pStyle w:val="TableBodyText"/>
                  </w:pPr>
                  <w:r>
                    <w:t>37.3</w:t>
                  </w:r>
                </w:p>
              </w:tc>
              <w:tc>
                <w:tcPr>
                  <w:tcW w:w="663" w:type="dxa"/>
                  <w:vAlign w:val="bottom"/>
                </w:tcPr>
                <w:p w14:paraId="58BBDFD5" w14:textId="77777777" w:rsidR="00FC14FC" w:rsidRDefault="00FC14FC" w:rsidP="00D11B9D">
                  <w:pPr>
                    <w:pStyle w:val="TableBodyText"/>
                  </w:pPr>
                  <w:r>
                    <w:t>37.4</w:t>
                  </w:r>
                </w:p>
              </w:tc>
              <w:tc>
                <w:tcPr>
                  <w:tcW w:w="663" w:type="dxa"/>
                  <w:vAlign w:val="bottom"/>
                </w:tcPr>
                <w:p w14:paraId="3A86E631" w14:textId="77777777" w:rsidR="00FC14FC" w:rsidRDefault="00FC14FC" w:rsidP="00D11B9D">
                  <w:pPr>
                    <w:pStyle w:val="TableBodyText"/>
                    <w:ind w:right="28"/>
                  </w:pPr>
                  <w:r>
                    <w:t>34.8</w:t>
                  </w:r>
                </w:p>
              </w:tc>
            </w:tr>
            <w:tr w:rsidR="00FC14FC" w14:paraId="549651A0" w14:textId="77777777" w:rsidTr="00D11B9D">
              <w:tc>
                <w:tcPr>
                  <w:tcW w:w="1215" w:type="dxa"/>
                  <w:shd w:val="clear" w:color="auto" w:fill="F2F2F2" w:themeFill="background1" w:themeFillShade="F2"/>
                </w:tcPr>
                <w:p w14:paraId="13468D1C" w14:textId="77777777" w:rsidR="00FC14FC" w:rsidRDefault="00FC14FC" w:rsidP="00D11B9D">
                  <w:pPr>
                    <w:pStyle w:val="TableBodyText"/>
                    <w:jc w:val="left"/>
                  </w:pPr>
                  <w:r>
                    <w:t>Public sector</w:t>
                  </w:r>
                </w:p>
              </w:tc>
              <w:tc>
                <w:tcPr>
                  <w:tcW w:w="1325" w:type="dxa"/>
                  <w:shd w:val="clear" w:color="auto" w:fill="F2F2F2" w:themeFill="background1" w:themeFillShade="F2"/>
                </w:tcPr>
                <w:p w14:paraId="14A035CE" w14:textId="77777777" w:rsidR="00FC14FC" w:rsidRDefault="00FC14FC" w:rsidP="00D11B9D">
                  <w:pPr>
                    <w:pStyle w:val="TableBodyText"/>
                    <w:jc w:val="left"/>
                  </w:pPr>
                  <w:r>
                    <w:t>Infrastructure</w:t>
                  </w:r>
                </w:p>
              </w:tc>
              <w:tc>
                <w:tcPr>
                  <w:tcW w:w="662" w:type="dxa"/>
                  <w:shd w:val="clear" w:color="auto" w:fill="F2F2F2" w:themeFill="background1" w:themeFillShade="F2"/>
                  <w:vAlign w:val="bottom"/>
                </w:tcPr>
                <w:p w14:paraId="613CD003" w14:textId="77777777" w:rsidR="00FC14FC" w:rsidRDefault="00FC14FC" w:rsidP="00D11B9D">
                  <w:pPr>
                    <w:pStyle w:val="TableBodyText"/>
                  </w:pPr>
                  <w:r>
                    <w:t>–</w:t>
                  </w:r>
                </w:p>
              </w:tc>
              <w:tc>
                <w:tcPr>
                  <w:tcW w:w="663" w:type="dxa"/>
                  <w:shd w:val="clear" w:color="auto" w:fill="F2F2F2" w:themeFill="background1" w:themeFillShade="F2"/>
                  <w:vAlign w:val="bottom"/>
                </w:tcPr>
                <w:p w14:paraId="7504FB6C" w14:textId="77777777" w:rsidR="00FC14FC" w:rsidRDefault="00FC14FC" w:rsidP="00D11B9D">
                  <w:pPr>
                    <w:pStyle w:val="TableBodyText"/>
                  </w:pPr>
                  <w:r>
                    <w:t>–</w:t>
                  </w:r>
                </w:p>
              </w:tc>
              <w:tc>
                <w:tcPr>
                  <w:tcW w:w="663" w:type="dxa"/>
                  <w:shd w:val="clear" w:color="auto" w:fill="F2F2F2" w:themeFill="background1" w:themeFillShade="F2"/>
                  <w:vAlign w:val="bottom"/>
                </w:tcPr>
                <w:p w14:paraId="5B2E537F" w14:textId="77777777" w:rsidR="00FC14FC" w:rsidRDefault="00FC14FC" w:rsidP="00D11B9D">
                  <w:pPr>
                    <w:pStyle w:val="TableBodyText"/>
                  </w:pPr>
                  <w:r>
                    <w:t>–</w:t>
                  </w:r>
                </w:p>
              </w:tc>
              <w:tc>
                <w:tcPr>
                  <w:tcW w:w="663" w:type="dxa"/>
                  <w:shd w:val="clear" w:color="auto" w:fill="F2F2F2" w:themeFill="background1" w:themeFillShade="F2"/>
                  <w:vAlign w:val="bottom"/>
                </w:tcPr>
                <w:p w14:paraId="1B461352" w14:textId="77777777" w:rsidR="00FC14FC" w:rsidRDefault="00FC14FC" w:rsidP="00D11B9D">
                  <w:pPr>
                    <w:pStyle w:val="TableBodyText"/>
                  </w:pPr>
                  <w:r>
                    <w:t>–</w:t>
                  </w:r>
                </w:p>
              </w:tc>
              <w:tc>
                <w:tcPr>
                  <w:tcW w:w="662" w:type="dxa"/>
                  <w:shd w:val="clear" w:color="auto" w:fill="F2F2F2" w:themeFill="background1" w:themeFillShade="F2"/>
                  <w:vAlign w:val="bottom"/>
                </w:tcPr>
                <w:p w14:paraId="6A5FDEA5" w14:textId="77777777" w:rsidR="00FC14FC" w:rsidRDefault="00FC14FC" w:rsidP="00D11B9D">
                  <w:pPr>
                    <w:pStyle w:val="TableBodyText"/>
                  </w:pPr>
                  <w:r>
                    <w:t>–</w:t>
                  </w:r>
                </w:p>
              </w:tc>
              <w:tc>
                <w:tcPr>
                  <w:tcW w:w="663" w:type="dxa"/>
                  <w:shd w:val="clear" w:color="auto" w:fill="F2F2F2" w:themeFill="background1" w:themeFillShade="F2"/>
                  <w:vAlign w:val="bottom"/>
                </w:tcPr>
                <w:p w14:paraId="7AED4012" w14:textId="77777777" w:rsidR="00FC14FC" w:rsidRDefault="00FC14FC" w:rsidP="00D11B9D">
                  <w:pPr>
                    <w:pStyle w:val="TableBodyText"/>
                  </w:pPr>
                  <w:r>
                    <w:t>–</w:t>
                  </w:r>
                </w:p>
              </w:tc>
              <w:tc>
                <w:tcPr>
                  <w:tcW w:w="663" w:type="dxa"/>
                  <w:shd w:val="clear" w:color="auto" w:fill="F2F2F2" w:themeFill="background1" w:themeFillShade="F2"/>
                  <w:vAlign w:val="bottom"/>
                </w:tcPr>
                <w:p w14:paraId="7ABFF476" w14:textId="77777777" w:rsidR="00FC14FC" w:rsidRDefault="00FC14FC" w:rsidP="00D11B9D">
                  <w:pPr>
                    <w:pStyle w:val="TableBodyText"/>
                  </w:pPr>
                  <w:r>
                    <w:t>–</w:t>
                  </w:r>
                </w:p>
              </w:tc>
              <w:tc>
                <w:tcPr>
                  <w:tcW w:w="663" w:type="dxa"/>
                  <w:shd w:val="clear" w:color="auto" w:fill="F2F2F2" w:themeFill="background1" w:themeFillShade="F2"/>
                  <w:vAlign w:val="bottom"/>
                </w:tcPr>
                <w:p w14:paraId="311251DF" w14:textId="77777777" w:rsidR="00FC14FC" w:rsidRDefault="00FC14FC" w:rsidP="00D11B9D">
                  <w:pPr>
                    <w:pStyle w:val="TableBodyText"/>
                  </w:pPr>
                  <w:r>
                    <w:t>–</w:t>
                  </w:r>
                </w:p>
              </w:tc>
              <w:tc>
                <w:tcPr>
                  <w:tcW w:w="663" w:type="dxa"/>
                  <w:shd w:val="clear" w:color="auto" w:fill="F2F2F2" w:themeFill="background1" w:themeFillShade="F2"/>
                  <w:vAlign w:val="bottom"/>
                </w:tcPr>
                <w:p w14:paraId="26DBAD5B" w14:textId="77777777" w:rsidR="00FC14FC" w:rsidRDefault="00FC14FC" w:rsidP="00D11B9D">
                  <w:pPr>
                    <w:pStyle w:val="TableBodyText"/>
                    <w:ind w:right="28"/>
                  </w:pPr>
                  <w:r>
                    <w:t>0.9</w:t>
                  </w:r>
                </w:p>
              </w:tc>
            </w:tr>
            <w:tr w:rsidR="00FC14FC" w14:paraId="60DBE0A3" w14:textId="77777777" w:rsidTr="00D11B9D">
              <w:trPr>
                <w:trHeight w:val="257"/>
              </w:trPr>
              <w:tc>
                <w:tcPr>
                  <w:tcW w:w="1215" w:type="dxa"/>
                  <w:shd w:val="clear" w:color="auto" w:fill="F2F2F2" w:themeFill="background1" w:themeFillShade="F2"/>
                </w:tcPr>
                <w:p w14:paraId="25C6519A" w14:textId="77777777" w:rsidR="00FC14FC" w:rsidRDefault="00FC14FC" w:rsidP="00D11B9D">
                  <w:pPr>
                    <w:pStyle w:val="TableBodyText"/>
                    <w:jc w:val="left"/>
                  </w:pPr>
                </w:p>
              </w:tc>
              <w:tc>
                <w:tcPr>
                  <w:tcW w:w="1325" w:type="dxa"/>
                  <w:shd w:val="clear" w:color="auto" w:fill="F2F2F2" w:themeFill="background1" w:themeFillShade="F2"/>
                </w:tcPr>
                <w:p w14:paraId="443538B1" w14:textId="77777777" w:rsidR="00FC14FC" w:rsidRDefault="00FC14FC" w:rsidP="00D11B9D">
                  <w:pPr>
                    <w:pStyle w:val="TableBodyText"/>
                    <w:jc w:val="left"/>
                  </w:pPr>
                  <w:r>
                    <w:t>Private equity</w:t>
                  </w:r>
                </w:p>
              </w:tc>
              <w:tc>
                <w:tcPr>
                  <w:tcW w:w="662" w:type="dxa"/>
                  <w:shd w:val="clear" w:color="auto" w:fill="F2F2F2" w:themeFill="background1" w:themeFillShade="F2"/>
                  <w:vAlign w:val="bottom"/>
                </w:tcPr>
                <w:p w14:paraId="48CCBD89" w14:textId="77777777" w:rsidR="00FC14FC" w:rsidRDefault="00FC14FC" w:rsidP="00D11B9D">
                  <w:pPr>
                    <w:pStyle w:val="TableBodyText"/>
                  </w:pPr>
                  <w:r>
                    <w:t>50.4</w:t>
                  </w:r>
                </w:p>
              </w:tc>
              <w:tc>
                <w:tcPr>
                  <w:tcW w:w="663" w:type="dxa"/>
                  <w:shd w:val="clear" w:color="auto" w:fill="F2F2F2" w:themeFill="background1" w:themeFillShade="F2"/>
                  <w:vAlign w:val="bottom"/>
                </w:tcPr>
                <w:p w14:paraId="71900570" w14:textId="77777777" w:rsidR="00FC14FC" w:rsidRDefault="00FC14FC" w:rsidP="00D11B9D">
                  <w:pPr>
                    <w:pStyle w:val="TableBodyText"/>
                  </w:pPr>
                  <w:r>
                    <w:t>30.7</w:t>
                  </w:r>
                </w:p>
              </w:tc>
              <w:tc>
                <w:tcPr>
                  <w:tcW w:w="663" w:type="dxa"/>
                  <w:shd w:val="clear" w:color="auto" w:fill="F2F2F2" w:themeFill="background1" w:themeFillShade="F2"/>
                  <w:vAlign w:val="bottom"/>
                </w:tcPr>
                <w:p w14:paraId="3D2D7D45" w14:textId="77777777" w:rsidR="00FC14FC" w:rsidRDefault="00FC14FC" w:rsidP="00D11B9D">
                  <w:pPr>
                    <w:pStyle w:val="TableBodyText"/>
                  </w:pPr>
                  <w:r>
                    <w:t>48.1</w:t>
                  </w:r>
                </w:p>
              </w:tc>
              <w:tc>
                <w:tcPr>
                  <w:tcW w:w="663" w:type="dxa"/>
                  <w:shd w:val="clear" w:color="auto" w:fill="F2F2F2" w:themeFill="background1" w:themeFillShade="F2"/>
                  <w:vAlign w:val="bottom"/>
                </w:tcPr>
                <w:p w14:paraId="152B82FB" w14:textId="77777777" w:rsidR="00FC14FC" w:rsidRDefault="00FC14FC" w:rsidP="00D11B9D">
                  <w:pPr>
                    <w:pStyle w:val="TableBodyText"/>
                  </w:pPr>
                  <w:r>
                    <w:t>57.1</w:t>
                  </w:r>
                </w:p>
              </w:tc>
              <w:tc>
                <w:tcPr>
                  <w:tcW w:w="662" w:type="dxa"/>
                  <w:shd w:val="clear" w:color="auto" w:fill="F2F2F2" w:themeFill="background1" w:themeFillShade="F2"/>
                  <w:vAlign w:val="bottom"/>
                </w:tcPr>
                <w:p w14:paraId="414C9287" w14:textId="77777777" w:rsidR="00FC14FC" w:rsidRDefault="00FC14FC" w:rsidP="00D11B9D">
                  <w:pPr>
                    <w:pStyle w:val="TableBodyText"/>
                  </w:pPr>
                  <w:r>
                    <w:t>43.3</w:t>
                  </w:r>
                </w:p>
              </w:tc>
              <w:tc>
                <w:tcPr>
                  <w:tcW w:w="663" w:type="dxa"/>
                  <w:shd w:val="clear" w:color="auto" w:fill="F2F2F2" w:themeFill="background1" w:themeFillShade="F2"/>
                  <w:vAlign w:val="bottom"/>
                </w:tcPr>
                <w:p w14:paraId="319E197D" w14:textId="77777777" w:rsidR="00FC14FC" w:rsidRDefault="00FC14FC" w:rsidP="00D11B9D">
                  <w:pPr>
                    <w:pStyle w:val="TableBodyText"/>
                  </w:pPr>
                  <w:r>
                    <w:t>51.0</w:t>
                  </w:r>
                </w:p>
              </w:tc>
              <w:tc>
                <w:tcPr>
                  <w:tcW w:w="663" w:type="dxa"/>
                  <w:shd w:val="clear" w:color="auto" w:fill="F2F2F2" w:themeFill="background1" w:themeFillShade="F2"/>
                  <w:vAlign w:val="bottom"/>
                </w:tcPr>
                <w:p w14:paraId="19449F16" w14:textId="77777777" w:rsidR="00FC14FC" w:rsidRDefault="00FC14FC" w:rsidP="00D11B9D">
                  <w:pPr>
                    <w:pStyle w:val="TableBodyText"/>
                  </w:pPr>
                  <w:r>
                    <w:t>49.1</w:t>
                  </w:r>
                </w:p>
              </w:tc>
              <w:tc>
                <w:tcPr>
                  <w:tcW w:w="663" w:type="dxa"/>
                  <w:shd w:val="clear" w:color="auto" w:fill="F2F2F2" w:themeFill="background1" w:themeFillShade="F2"/>
                  <w:vAlign w:val="bottom"/>
                </w:tcPr>
                <w:p w14:paraId="7897DE30" w14:textId="77777777" w:rsidR="00FC14FC" w:rsidRDefault="00FC14FC" w:rsidP="00D11B9D">
                  <w:pPr>
                    <w:pStyle w:val="TableBodyText"/>
                  </w:pPr>
                  <w:r>
                    <w:t>50.8</w:t>
                  </w:r>
                </w:p>
              </w:tc>
              <w:tc>
                <w:tcPr>
                  <w:tcW w:w="663" w:type="dxa"/>
                  <w:shd w:val="clear" w:color="auto" w:fill="F2F2F2" w:themeFill="background1" w:themeFillShade="F2"/>
                  <w:vAlign w:val="bottom"/>
                </w:tcPr>
                <w:p w14:paraId="7533D769" w14:textId="77777777" w:rsidR="00FC14FC" w:rsidRDefault="00FC14FC" w:rsidP="00D11B9D">
                  <w:pPr>
                    <w:pStyle w:val="TableBodyText"/>
                    <w:ind w:right="28"/>
                  </w:pPr>
                  <w:r>
                    <w:t>48.4</w:t>
                  </w:r>
                </w:p>
              </w:tc>
            </w:tr>
            <w:tr w:rsidR="00FC14FC" w14:paraId="5F807C16" w14:textId="77777777" w:rsidTr="00D11B9D">
              <w:trPr>
                <w:trHeight w:val="237"/>
              </w:trPr>
              <w:tc>
                <w:tcPr>
                  <w:tcW w:w="1215" w:type="dxa"/>
                  <w:tcBorders>
                    <w:bottom w:val="single" w:sz="6" w:space="0" w:color="BFBFBF"/>
                  </w:tcBorders>
                  <w:shd w:val="clear" w:color="auto" w:fill="F2F2F2" w:themeFill="background1" w:themeFillShade="F2"/>
                </w:tcPr>
                <w:p w14:paraId="6E45B30A" w14:textId="77777777" w:rsidR="00FC14FC" w:rsidRDefault="00FC14FC" w:rsidP="00D11B9D">
                  <w:pPr>
                    <w:pStyle w:val="TableBodyText"/>
                    <w:jc w:val="left"/>
                  </w:pPr>
                </w:p>
              </w:tc>
              <w:tc>
                <w:tcPr>
                  <w:tcW w:w="1325" w:type="dxa"/>
                  <w:tcBorders>
                    <w:bottom w:val="single" w:sz="6" w:space="0" w:color="BFBFBF"/>
                  </w:tcBorders>
                  <w:shd w:val="clear" w:color="auto" w:fill="F2F2F2" w:themeFill="background1" w:themeFillShade="F2"/>
                </w:tcPr>
                <w:p w14:paraId="02F28112" w14:textId="77777777" w:rsidR="00FC14FC" w:rsidRDefault="00FC14FC" w:rsidP="00D11B9D">
                  <w:pPr>
                    <w:pStyle w:val="TableBodyText"/>
                    <w:jc w:val="left"/>
                  </w:pPr>
                  <w:r>
                    <w:t>Other</w:t>
                  </w:r>
                </w:p>
              </w:tc>
              <w:tc>
                <w:tcPr>
                  <w:tcW w:w="662" w:type="dxa"/>
                  <w:tcBorders>
                    <w:bottom w:val="single" w:sz="6" w:space="0" w:color="BFBFBF"/>
                  </w:tcBorders>
                  <w:shd w:val="clear" w:color="auto" w:fill="F2F2F2" w:themeFill="background1" w:themeFillShade="F2"/>
                  <w:vAlign w:val="bottom"/>
                </w:tcPr>
                <w:p w14:paraId="2C4E3B86" w14:textId="77777777" w:rsidR="00FC14FC" w:rsidRDefault="00FC14FC" w:rsidP="00D11B9D">
                  <w:pPr>
                    <w:pStyle w:val="TableBodyText"/>
                  </w:pPr>
                  <w:r w:rsidRPr="008044A6">
                    <w:t>49.6</w:t>
                  </w:r>
                </w:p>
              </w:tc>
              <w:tc>
                <w:tcPr>
                  <w:tcW w:w="663" w:type="dxa"/>
                  <w:tcBorders>
                    <w:bottom w:val="single" w:sz="6" w:space="0" w:color="BFBFBF"/>
                  </w:tcBorders>
                  <w:shd w:val="clear" w:color="auto" w:fill="F2F2F2" w:themeFill="background1" w:themeFillShade="F2"/>
                  <w:vAlign w:val="bottom"/>
                </w:tcPr>
                <w:p w14:paraId="504E4F0F" w14:textId="77777777" w:rsidR="00FC14FC" w:rsidRDefault="00FC14FC" w:rsidP="00D11B9D">
                  <w:pPr>
                    <w:pStyle w:val="TableBodyText"/>
                  </w:pPr>
                  <w:r w:rsidRPr="008044A6">
                    <w:t>69.3</w:t>
                  </w:r>
                </w:p>
              </w:tc>
              <w:tc>
                <w:tcPr>
                  <w:tcW w:w="663" w:type="dxa"/>
                  <w:tcBorders>
                    <w:bottom w:val="single" w:sz="6" w:space="0" w:color="BFBFBF"/>
                  </w:tcBorders>
                  <w:shd w:val="clear" w:color="auto" w:fill="F2F2F2" w:themeFill="background1" w:themeFillShade="F2"/>
                  <w:vAlign w:val="bottom"/>
                </w:tcPr>
                <w:p w14:paraId="673BD8F3" w14:textId="77777777" w:rsidR="00FC14FC" w:rsidRDefault="00FC14FC" w:rsidP="00D11B9D">
                  <w:pPr>
                    <w:pStyle w:val="TableBodyText"/>
                  </w:pPr>
                  <w:r w:rsidRPr="008044A6">
                    <w:t>51.9</w:t>
                  </w:r>
                </w:p>
              </w:tc>
              <w:tc>
                <w:tcPr>
                  <w:tcW w:w="663" w:type="dxa"/>
                  <w:tcBorders>
                    <w:bottom w:val="single" w:sz="6" w:space="0" w:color="BFBFBF"/>
                  </w:tcBorders>
                  <w:shd w:val="clear" w:color="auto" w:fill="F2F2F2" w:themeFill="background1" w:themeFillShade="F2"/>
                  <w:vAlign w:val="bottom"/>
                </w:tcPr>
                <w:p w14:paraId="7DFECEB2" w14:textId="77777777" w:rsidR="00FC14FC" w:rsidRDefault="00FC14FC" w:rsidP="00D11B9D">
                  <w:pPr>
                    <w:pStyle w:val="TableBodyText"/>
                  </w:pPr>
                  <w:r w:rsidRPr="008044A6">
                    <w:t>42.9</w:t>
                  </w:r>
                </w:p>
              </w:tc>
              <w:tc>
                <w:tcPr>
                  <w:tcW w:w="662" w:type="dxa"/>
                  <w:tcBorders>
                    <w:bottom w:val="single" w:sz="6" w:space="0" w:color="BFBFBF"/>
                  </w:tcBorders>
                  <w:shd w:val="clear" w:color="auto" w:fill="F2F2F2" w:themeFill="background1" w:themeFillShade="F2"/>
                  <w:vAlign w:val="bottom"/>
                </w:tcPr>
                <w:p w14:paraId="334C7C80" w14:textId="77777777" w:rsidR="00FC14FC" w:rsidRDefault="00FC14FC" w:rsidP="00D11B9D">
                  <w:pPr>
                    <w:pStyle w:val="TableBodyText"/>
                  </w:pPr>
                  <w:r w:rsidRPr="008044A6">
                    <w:t>56.7</w:t>
                  </w:r>
                </w:p>
              </w:tc>
              <w:tc>
                <w:tcPr>
                  <w:tcW w:w="663" w:type="dxa"/>
                  <w:tcBorders>
                    <w:bottom w:val="single" w:sz="6" w:space="0" w:color="BFBFBF"/>
                  </w:tcBorders>
                  <w:shd w:val="clear" w:color="auto" w:fill="F2F2F2" w:themeFill="background1" w:themeFillShade="F2"/>
                  <w:vAlign w:val="bottom"/>
                </w:tcPr>
                <w:p w14:paraId="1850FB77" w14:textId="77777777" w:rsidR="00FC14FC" w:rsidRDefault="00FC14FC" w:rsidP="00D11B9D">
                  <w:pPr>
                    <w:pStyle w:val="TableBodyText"/>
                  </w:pPr>
                  <w:r w:rsidRPr="008044A6">
                    <w:t>49.0</w:t>
                  </w:r>
                </w:p>
              </w:tc>
              <w:tc>
                <w:tcPr>
                  <w:tcW w:w="663" w:type="dxa"/>
                  <w:tcBorders>
                    <w:bottom w:val="single" w:sz="6" w:space="0" w:color="BFBFBF"/>
                  </w:tcBorders>
                  <w:shd w:val="clear" w:color="auto" w:fill="F2F2F2" w:themeFill="background1" w:themeFillShade="F2"/>
                  <w:vAlign w:val="bottom"/>
                </w:tcPr>
                <w:p w14:paraId="75CBCA36" w14:textId="77777777" w:rsidR="00FC14FC" w:rsidRDefault="00FC14FC" w:rsidP="00D11B9D">
                  <w:pPr>
                    <w:pStyle w:val="TableBodyText"/>
                  </w:pPr>
                  <w:r w:rsidRPr="008044A6">
                    <w:t>50.9</w:t>
                  </w:r>
                </w:p>
              </w:tc>
              <w:tc>
                <w:tcPr>
                  <w:tcW w:w="663" w:type="dxa"/>
                  <w:tcBorders>
                    <w:bottom w:val="single" w:sz="6" w:space="0" w:color="BFBFBF"/>
                  </w:tcBorders>
                  <w:shd w:val="clear" w:color="auto" w:fill="F2F2F2" w:themeFill="background1" w:themeFillShade="F2"/>
                  <w:vAlign w:val="bottom"/>
                </w:tcPr>
                <w:p w14:paraId="26196C7C" w14:textId="77777777" w:rsidR="00FC14FC" w:rsidRDefault="00FC14FC" w:rsidP="00D11B9D">
                  <w:pPr>
                    <w:pStyle w:val="TableBodyText"/>
                  </w:pPr>
                  <w:r w:rsidRPr="008044A6">
                    <w:t>49.2</w:t>
                  </w:r>
                </w:p>
              </w:tc>
              <w:tc>
                <w:tcPr>
                  <w:tcW w:w="663" w:type="dxa"/>
                  <w:tcBorders>
                    <w:bottom w:val="single" w:sz="6" w:space="0" w:color="BFBFBF"/>
                  </w:tcBorders>
                  <w:shd w:val="clear" w:color="auto" w:fill="F2F2F2" w:themeFill="background1" w:themeFillShade="F2"/>
                  <w:vAlign w:val="bottom"/>
                </w:tcPr>
                <w:p w14:paraId="3863960E" w14:textId="77777777" w:rsidR="00FC14FC" w:rsidRDefault="00FC14FC" w:rsidP="00D11B9D">
                  <w:pPr>
                    <w:pStyle w:val="TableBodyText"/>
                    <w:ind w:right="28"/>
                  </w:pPr>
                  <w:r w:rsidRPr="008044A6">
                    <w:t>50.6</w:t>
                  </w:r>
                </w:p>
              </w:tc>
            </w:tr>
          </w:tbl>
          <w:p w14:paraId="5F255280" w14:textId="77777777" w:rsidR="00FC14FC" w:rsidRDefault="00FC14FC" w:rsidP="00D11B9D">
            <w:pPr>
              <w:pStyle w:val="Box"/>
            </w:pPr>
          </w:p>
        </w:tc>
      </w:tr>
      <w:tr w:rsidR="00FC14FC" w14:paraId="6D5D352A" w14:textId="77777777" w:rsidTr="00D11B9D">
        <w:tc>
          <w:tcPr>
            <w:tcW w:w="5000" w:type="pct"/>
            <w:tcBorders>
              <w:top w:val="nil"/>
              <w:left w:val="nil"/>
              <w:bottom w:val="nil"/>
              <w:right w:val="nil"/>
            </w:tcBorders>
            <w:shd w:val="clear" w:color="auto" w:fill="auto"/>
          </w:tcPr>
          <w:p w14:paraId="26AA4671" w14:textId="77777777" w:rsidR="00FC14FC" w:rsidRDefault="00FC14FC" w:rsidP="00D11B9D">
            <w:pPr>
              <w:pStyle w:val="Note"/>
              <w:rPr>
                <w:i/>
              </w:rPr>
            </w:pPr>
            <w:r w:rsidRPr="008E77FE">
              <w:rPr>
                <w:rStyle w:val="NoteLabel"/>
              </w:rPr>
              <w:t>a</w:t>
            </w:r>
            <w:r>
              <w:t xml:space="preserve"> Retail funds are 100 per cent ‘other’ in all years. – Nil or rounded to zero.</w:t>
            </w:r>
          </w:p>
        </w:tc>
      </w:tr>
      <w:tr w:rsidR="00FC14FC" w14:paraId="0553767C" w14:textId="77777777" w:rsidTr="00D11B9D">
        <w:tc>
          <w:tcPr>
            <w:tcW w:w="5000" w:type="pct"/>
            <w:tcBorders>
              <w:top w:val="nil"/>
              <w:left w:val="nil"/>
              <w:bottom w:val="nil"/>
              <w:right w:val="nil"/>
            </w:tcBorders>
            <w:shd w:val="clear" w:color="auto" w:fill="auto"/>
          </w:tcPr>
          <w:p w14:paraId="2BCD7D7A" w14:textId="77777777" w:rsidR="00FC14FC" w:rsidRDefault="00FC14FC" w:rsidP="00D11B9D">
            <w:pPr>
              <w:pStyle w:val="Source"/>
            </w:pPr>
            <w:r>
              <w:rPr>
                <w:i/>
              </w:rPr>
              <w:t>Sources</w:t>
            </w:r>
            <w:r w:rsidRPr="00167F06">
              <w:t xml:space="preserve">: </w:t>
            </w:r>
            <w:r>
              <w:t xml:space="preserve">PC analysis of unpublished APRA </w:t>
            </w:r>
            <w:r w:rsidDel="00F71AE2">
              <w:t xml:space="preserve">data </w:t>
            </w:r>
            <w:r>
              <w:t>and Rainmaker data.</w:t>
            </w:r>
          </w:p>
        </w:tc>
      </w:tr>
      <w:tr w:rsidR="00FC14FC" w14:paraId="6ED6EB3D" w14:textId="77777777" w:rsidTr="00D11B9D">
        <w:tc>
          <w:tcPr>
            <w:tcW w:w="5000" w:type="pct"/>
            <w:tcBorders>
              <w:top w:val="nil"/>
              <w:left w:val="nil"/>
              <w:bottom w:val="single" w:sz="6" w:space="0" w:color="78A22F"/>
              <w:right w:val="nil"/>
            </w:tcBorders>
            <w:shd w:val="clear" w:color="auto" w:fill="auto"/>
          </w:tcPr>
          <w:p w14:paraId="6DF51942" w14:textId="77777777" w:rsidR="00FC14FC" w:rsidRDefault="00FC14FC" w:rsidP="00D11B9D">
            <w:pPr>
              <w:pStyle w:val="Box"/>
              <w:spacing w:before="0" w:line="120" w:lineRule="exact"/>
            </w:pPr>
          </w:p>
        </w:tc>
      </w:tr>
      <w:tr w:rsidR="00FC14FC" w:rsidRPr="000863A5" w14:paraId="42C11846" w14:textId="77777777" w:rsidTr="00D11B9D">
        <w:tc>
          <w:tcPr>
            <w:tcW w:w="5000" w:type="pct"/>
            <w:tcBorders>
              <w:top w:val="single" w:sz="6" w:space="0" w:color="78A22F"/>
              <w:left w:val="nil"/>
              <w:bottom w:val="nil"/>
              <w:right w:val="nil"/>
            </w:tcBorders>
          </w:tcPr>
          <w:p w14:paraId="460B8383" w14:textId="77777777" w:rsidR="00FC14FC" w:rsidRPr="00626D32" w:rsidRDefault="00FC14FC" w:rsidP="00D11B9D">
            <w:pPr>
              <w:pStyle w:val="BoxSpaceBelow"/>
            </w:pPr>
          </w:p>
        </w:tc>
      </w:tr>
    </w:tbl>
    <w:p w14:paraId="04CD0D8D" w14:textId="77777777" w:rsidR="00FC14FC" w:rsidRPr="00E15698" w:rsidRDefault="00FC14FC" w:rsidP="00FC14FC">
      <w:pPr>
        <w:pStyle w:val="BodyText"/>
      </w:pPr>
      <w:r w:rsidRPr="00E15698">
        <w:t>While the apportioning of ‘other’ assets allows all infrastructure assets to be broken out</w:t>
      </w:r>
      <w:r>
        <w:t xml:space="preserve"> from other assets in APRA fund</w:t>
      </w:r>
      <w:r>
        <w:noBreakHyphen/>
      </w:r>
      <w:r w:rsidRPr="00E15698">
        <w:t xml:space="preserve">level asset allocation data prior to 2014, Rainmaker asset allocation data </w:t>
      </w:r>
      <w:r>
        <w:t>are</w:t>
      </w:r>
      <w:r w:rsidRPr="00E15698">
        <w:t xml:space="preserve"> particularly patchy regarding the shares of listed and unlisted infrastructure. Therefore, the Commission used APRA</w:t>
      </w:r>
      <w:r>
        <w:noBreakHyphen/>
      </w:r>
      <w:r w:rsidRPr="00E15698">
        <w:t>level asset allocation data from 2014</w:t>
      </w:r>
      <w:r>
        <w:t>–20</w:t>
      </w:r>
      <w:r w:rsidRPr="00E15698">
        <w:t>1</w:t>
      </w:r>
      <w:r>
        <w:t>7</w:t>
      </w:r>
      <w:r w:rsidRPr="00E15698">
        <w:t xml:space="preserve"> to impute the proportions of listed and unlisted infrastructure assets (table</w:t>
      </w:r>
      <w:r>
        <w:t> </w:t>
      </w:r>
      <w:r w:rsidRPr="00E15698">
        <w:t>4.</w:t>
      </w:r>
      <w:r>
        <w:t>15</w:t>
      </w:r>
      <w:r w:rsidRPr="00E15698">
        <w:t xml:space="preserve">). These proportions were then averaged over the </w:t>
      </w:r>
      <w:r>
        <w:t>four</w:t>
      </w:r>
      <w:r w:rsidRPr="00E15698">
        <w:t xml:space="preserve"> years and applied to all years going back. This implicitly assumes that the listed and unlisted infrastructure splits have been relatively stable over time. The Commission does not have any evidence to examine the </w:t>
      </w:r>
      <w:r w:rsidRPr="00E15698">
        <w:lastRenderedPageBreak/>
        <w:t xml:space="preserve">validity of this assumption, but this was the only way in which unlisted infrastructure could be factored into the benchmarks. These proportions were </w:t>
      </w:r>
      <w:r>
        <w:t>calculated at the system level, and</w:t>
      </w:r>
      <w:r w:rsidRPr="00E15698">
        <w:t xml:space="preserve"> allowed to vary by individual fund for fund</w:t>
      </w:r>
      <w:r>
        <w:noBreakHyphen/>
      </w:r>
      <w:r w:rsidRPr="00E15698">
        <w:t xml:space="preserve">level analysis, </w:t>
      </w:r>
      <w:r>
        <w:t xml:space="preserve">and </w:t>
      </w:r>
      <w:r w:rsidRPr="00E15698">
        <w:t>by fund type for fund</w:t>
      </w:r>
      <w:r>
        <w:noBreakHyphen/>
      </w:r>
      <w:r w:rsidRPr="00E15698">
        <w:t>type segment analysis</w:t>
      </w:r>
      <w:r>
        <w:t>.</w:t>
      </w:r>
    </w:p>
    <w:p w14:paraId="498D7EB6" w14:textId="77777777" w:rsidR="00FC14FC" w:rsidRPr="000136C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28203B49" w14:textId="77777777" w:rsidTr="00D11B9D">
        <w:trPr>
          <w:tblHeader/>
        </w:trPr>
        <w:tc>
          <w:tcPr>
            <w:tcW w:w="5000" w:type="pct"/>
            <w:tcBorders>
              <w:top w:val="single" w:sz="6" w:space="0" w:color="78A22F"/>
              <w:left w:val="nil"/>
              <w:bottom w:val="nil"/>
              <w:right w:val="nil"/>
            </w:tcBorders>
            <w:shd w:val="clear" w:color="auto" w:fill="auto"/>
          </w:tcPr>
          <w:p w14:paraId="5442F790" w14:textId="77777777" w:rsidR="00FC14FC" w:rsidRPr="00784A05" w:rsidRDefault="00FC14FC" w:rsidP="00D11B9D">
            <w:pPr>
              <w:pStyle w:val="TableTitle"/>
            </w:pPr>
            <w:r>
              <w:rPr>
                <w:b w:val="0"/>
              </w:rPr>
              <w:t>Table 4.15</w:t>
            </w:r>
            <w:r>
              <w:tab/>
              <w:t>Apportioning infrastructure into unlisted versus listed</w:t>
            </w:r>
          </w:p>
        </w:tc>
      </w:tr>
      <w:tr w:rsidR="00FC14FC" w14:paraId="01419AB8"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52"/>
              <w:gridCol w:w="4253"/>
            </w:tblGrid>
            <w:tr w:rsidR="00FC14FC" w14:paraId="1C3D5282" w14:textId="77777777" w:rsidTr="00D11B9D">
              <w:trPr>
                <w:tblHeader/>
              </w:trPr>
              <w:tc>
                <w:tcPr>
                  <w:tcW w:w="2500" w:type="pct"/>
                  <w:tcBorders>
                    <w:top w:val="single" w:sz="6" w:space="0" w:color="BFBFBF"/>
                    <w:bottom w:val="single" w:sz="6" w:space="0" w:color="BFBFBF"/>
                  </w:tcBorders>
                  <w:shd w:val="clear" w:color="auto" w:fill="auto"/>
                  <w:tcMar>
                    <w:top w:w="28" w:type="dxa"/>
                  </w:tcMar>
                </w:tcPr>
                <w:p w14:paraId="778F2F8A" w14:textId="77777777" w:rsidR="00FC14FC" w:rsidRDefault="00FC14FC" w:rsidP="00D11B9D">
                  <w:pPr>
                    <w:pStyle w:val="TableColumnHeading"/>
                    <w:jc w:val="left"/>
                  </w:pPr>
                  <w:r>
                    <w:t>Segment</w:t>
                  </w:r>
                </w:p>
              </w:tc>
              <w:tc>
                <w:tcPr>
                  <w:tcW w:w="2500" w:type="pct"/>
                  <w:tcBorders>
                    <w:top w:val="single" w:sz="6" w:space="0" w:color="BFBFBF"/>
                    <w:bottom w:val="single" w:sz="6" w:space="0" w:color="BFBFBF"/>
                  </w:tcBorders>
                  <w:shd w:val="clear" w:color="auto" w:fill="auto"/>
                </w:tcPr>
                <w:p w14:paraId="4B1FC109" w14:textId="77777777" w:rsidR="00FC14FC" w:rsidRDefault="00FC14FC" w:rsidP="00D11B9D">
                  <w:pPr>
                    <w:pStyle w:val="TableColumnHeading"/>
                    <w:ind w:right="28"/>
                  </w:pPr>
                  <w:r>
                    <w:t>Per cent allocation to unlisted</w:t>
                  </w:r>
                </w:p>
              </w:tc>
            </w:tr>
            <w:tr w:rsidR="00FC14FC" w14:paraId="0A93B2B7" w14:textId="77777777" w:rsidTr="00D11B9D">
              <w:tc>
                <w:tcPr>
                  <w:tcW w:w="2500" w:type="pct"/>
                  <w:tcBorders>
                    <w:top w:val="single" w:sz="6" w:space="0" w:color="BFBFBF"/>
                  </w:tcBorders>
                </w:tcPr>
                <w:p w14:paraId="77930FB4" w14:textId="77777777" w:rsidR="00FC14FC" w:rsidRDefault="00FC14FC" w:rsidP="00D11B9D">
                  <w:pPr>
                    <w:pStyle w:val="TableBodyText"/>
                    <w:spacing w:before="40"/>
                    <w:jc w:val="left"/>
                  </w:pPr>
                  <w:r>
                    <w:t>System</w:t>
                  </w:r>
                </w:p>
              </w:tc>
              <w:tc>
                <w:tcPr>
                  <w:tcW w:w="2500" w:type="pct"/>
                  <w:tcBorders>
                    <w:top w:val="single" w:sz="6" w:space="0" w:color="BFBFBF"/>
                  </w:tcBorders>
                </w:tcPr>
                <w:p w14:paraId="5FCE5B5C" w14:textId="77777777" w:rsidR="00FC14FC" w:rsidRDefault="00FC14FC" w:rsidP="00D11B9D">
                  <w:pPr>
                    <w:pStyle w:val="TableBodyText"/>
                    <w:spacing w:before="40"/>
                    <w:ind w:right="28"/>
                  </w:pPr>
                  <w:r>
                    <w:t>73.7</w:t>
                  </w:r>
                </w:p>
              </w:tc>
            </w:tr>
            <w:tr w:rsidR="00FC14FC" w14:paraId="1356F021" w14:textId="77777777" w:rsidTr="00D11B9D">
              <w:tc>
                <w:tcPr>
                  <w:tcW w:w="2500" w:type="pct"/>
                  <w:shd w:val="clear" w:color="auto" w:fill="F2F2F2" w:themeFill="background1" w:themeFillShade="F2"/>
                </w:tcPr>
                <w:p w14:paraId="5F3BC53C" w14:textId="77777777" w:rsidR="00FC14FC" w:rsidRDefault="00FC14FC" w:rsidP="00D11B9D">
                  <w:pPr>
                    <w:pStyle w:val="TableBodyText"/>
                    <w:jc w:val="left"/>
                  </w:pPr>
                  <w:r>
                    <w:t>Corporate</w:t>
                  </w:r>
                </w:p>
              </w:tc>
              <w:tc>
                <w:tcPr>
                  <w:tcW w:w="2500" w:type="pct"/>
                  <w:shd w:val="clear" w:color="auto" w:fill="F2F2F2" w:themeFill="background1" w:themeFillShade="F2"/>
                </w:tcPr>
                <w:p w14:paraId="130A75D4" w14:textId="77777777" w:rsidR="00FC14FC" w:rsidRDefault="00FC14FC" w:rsidP="00D11B9D">
                  <w:pPr>
                    <w:pStyle w:val="TableBodyText"/>
                    <w:ind w:right="28"/>
                  </w:pPr>
                  <w:r>
                    <w:t>75.7</w:t>
                  </w:r>
                </w:p>
              </w:tc>
            </w:tr>
            <w:tr w:rsidR="00FC14FC" w14:paraId="186161B8" w14:textId="77777777" w:rsidTr="00D11B9D">
              <w:tc>
                <w:tcPr>
                  <w:tcW w:w="2500" w:type="pct"/>
                  <w:shd w:val="clear" w:color="auto" w:fill="auto"/>
                </w:tcPr>
                <w:p w14:paraId="0946D89D" w14:textId="77777777" w:rsidR="00FC14FC" w:rsidRDefault="00FC14FC" w:rsidP="00D11B9D">
                  <w:pPr>
                    <w:pStyle w:val="TableBodyText"/>
                    <w:jc w:val="left"/>
                  </w:pPr>
                  <w:r>
                    <w:t>Industry</w:t>
                  </w:r>
                </w:p>
              </w:tc>
              <w:tc>
                <w:tcPr>
                  <w:tcW w:w="2500" w:type="pct"/>
                </w:tcPr>
                <w:p w14:paraId="7DF0C278" w14:textId="77777777" w:rsidR="00FC14FC" w:rsidRDefault="00FC14FC" w:rsidP="00D11B9D">
                  <w:pPr>
                    <w:pStyle w:val="TableBodyText"/>
                    <w:ind w:right="28"/>
                  </w:pPr>
                  <w:r>
                    <w:t>81.7</w:t>
                  </w:r>
                </w:p>
              </w:tc>
            </w:tr>
            <w:tr w:rsidR="00FC14FC" w14:paraId="15A25C49" w14:textId="77777777" w:rsidTr="00D11B9D">
              <w:tc>
                <w:tcPr>
                  <w:tcW w:w="2500" w:type="pct"/>
                  <w:shd w:val="clear" w:color="auto" w:fill="F2F2F2" w:themeFill="background1" w:themeFillShade="F2"/>
                </w:tcPr>
                <w:p w14:paraId="6AEE8783" w14:textId="77777777" w:rsidR="00FC14FC" w:rsidRDefault="00FC14FC" w:rsidP="00D11B9D">
                  <w:pPr>
                    <w:pStyle w:val="TableBodyText"/>
                    <w:jc w:val="left"/>
                  </w:pPr>
                  <w:r>
                    <w:t>Public sector</w:t>
                  </w:r>
                </w:p>
              </w:tc>
              <w:tc>
                <w:tcPr>
                  <w:tcW w:w="2500" w:type="pct"/>
                  <w:shd w:val="clear" w:color="auto" w:fill="F2F2F2" w:themeFill="background1" w:themeFillShade="F2"/>
                </w:tcPr>
                <w:p w14:paraId="5BD1AB38" w14:textId="77777777" w:rsidR="00FC14FC" w:rsidRDefault="00FC14FC" w:rsidP="00D11B9D">
                  <w:pPr>
                    <w:pStyle w:val="TableBodyText"/>
                    <w:ind w:right="28"/>
                  </w:pPr>
                  <w:r>
                    <w:t>70.5</w:t>
                  </w:r>
                </w:p>
              </w:tc>
            </w:tr>
            <w:tr w:rsidR="00FC14FC" w14:paraId="754F0315" w14:textId="77777777" w:rsidTr="00D11B9D">
              <w:tc>
                <w:tcPr>
                  <w:tcW w:w="2500" w:type="pct"/>
                  <w:tcBorders>
                    <w:bottom w:val="single" w:sz="6" w:space="0" w:color="BFBFBF"/>
                  </w:tcBorders>
                  <w:shd w:val="clear" w:color="auto" w:fill="auto"/>
                </w:tcPr>
                <w:p w14:paraId="10BB274D" w14:textId="77777777" w:rsidR="00FC14FC" w:rsidRDefault="00FC14FC" w:rsidP="00D11B9D">
                  <w:pPr>
                    <w:pStyle w:val="TableBodyText"/>
                    <w:jc w:val="left"/>
                  </w:pPr>
                  <w:r>
                    <w:t>Retail</w:t>
                  </w:r>
                </w:p>
              </w:tc>
              <w:tc>
                <w:tcPr>
                  <w:tcW w:w="2500" w:type="pct"/>
                  <w:tcBorders>
                    <w:bottom w:val="single" w:sz="6" w:space="0" w:color="BFBFBF"/>
                  </w:tcBorders>
                </w:tcPr>
                <w:p w14:paraId="76DF7316" w14:textId="77777777" w:rsidR="00FC14FC" w:rsidRDefault="00FC14FC" w:rsidP="00D11B9D">
                  <w:pPr>
                    <w:pStyle w:val="TableBodyText"/>
                    <w:tabs>
                      <w:tab w:val="left" w:pos="640"/>
                      <w:tab w:val="right" w:pos="4225"/>
                    </w:tabs>
                    <w:ind w:right="28"/>
                  </w:pPr>
                  <w:r>
                    <w:t>18.7</w:t>
                  </w:r>
                </w:p>
              </w:tc>
            </w:tr>
          </w:tbl>
          <w:p w14:paraId="733632A3" w14:textId="77777777" w:rsidR="00FC14FC" w:rsidRDefault="00FC14FC" w:rsidP="00D11B9D">
            <w:pPr>
              <w:pStyle w:val="Box"/>
            </w:pPr>
          </w:p>
        </w:tc>
      </w:tr>
      <w:tr w:rsidR="00FC14FC" w14:paraId="431081F2" w14:textId="77777777" w:rsidTr="00D11B9D">
        <w:tc>
          <w:tcPr>
            <w:tcW w:w="5000" w:type="pct"/>
            <w:tcBorders>
              <w:top w:val="nil"/>
              <w:left w:val="nil"/>
              <w:bottom w:val="nil"/>
              <w:right w:val="nil"/>
            </w:tcBorders>
            <w:shd w:val="clear" w:color="auto" w:fill="auto"/>
          </w:tcPr>
          <w:p w14:paraId="4CD92FED" w14:textId="77777777" w:rsidR="00FC14FC" w:rsidRDefault="00FC14FC" w:rsidP="00D11B9D">
            <w:pPr>
              <w:pStyle w:val="Source"/>
            </w:pPr>
            <w:r>
              <w:rPr>
                <w:i/>
              </w:rPr>
              <w:t>Sources</w:t>
            </w:r>
            <w:r w:rsidRPr="00167F06">
              <w:t xml:space="preserve">: </w:t>
            </w:r>
            <w:r>
              <w:t xml:space="preserve">PC analysis of unpublished APRA </w:t>
            </w:r>
            <w:r w:rsidDel="00F71AE2">
              <w:t xml:space="preserve">data </w:t>
            </w:r>
            <w:r>
              <w:t>and Rainmaker data.</w:t>
            </w:r>
          </w:p>
        </w:tc>
      </w:tr>
      <w:tr w:rsidR="00FC14FC" w14:paraId="5E561AB4" w14:textId="77777777" w:rsidTr="00D11B9D">
        <w:tc>
          <w:tcPr>
            <w:tcW w:w="5000" w:type="pct"/>
            <w:tcBorders>
              <w:top w:val="nil"/>
              <w:left w:val="nil"/>
              <w:bottom w:val="single" w:sz="6" w:space="0" w:color="78A22F"/>
              <w:right w:val="nil"/>
            </w:tcBorders>
            <w:shd w:val="clear" w:color="auto" w:fill="auto"/>
          </w:tcPr>
          <w:p w14:paraId="6B5606F7" w14:textId="77777777" w:rsidR="00FC14FC" w:rsidRDefault="00FC14FC" w:rsidP="00D11B9D">
            <w:pPr>
              <w:pStyle w:val="Box"/>
              <w:spacing w:before="0" w:line="120" w:lineRule="exact"/>
            </w:pPr>
          </w:p>
        </w:tc>
      </w:tr>
    </w:tbl>
    <w:p w14:paraId="284B57AA" w14:textId="77777777" w:rsidR="00FC14FC" w:rsidRDefault="00FC14FC" w:rsidP="00FC14FC">
      <w:pPr>
        <w:pStyle w:val="BodyText"/>
      </w:pPr>
      <w:r>
        <w:t>Although APRA asset allocation data distinguish between unlisted property and listed property, there are no domicile breakdowns. All unlisted property was thus benchmarked against a domestic index, as the Commission was unable to acquire international unlisted property indexes. For listed property, the Commission used SuperRatings option</w:t>
      </w:r>
      <w:r>
        <w:noBreakHyphen/>
        <w:t>level asset allocation data (which have better coverage than Rainmaker data).</w:t>
      </w:r>
    </w:p>
    <w:p w14:paraId="6D6EDA4A" w14:textId="77777777" w:rsidR="00FC14FC" w:rsidRDefault="00FC14FC" w:rsidP="00FC14FC">
      <w:pPr>
        <w:pStyle w:val="BodyText"/>
      </w:pPr>
      <w:r>
        <w:t>The domicile splits were calculated and applied in a similar way as for the apportioning out of infrastructure and private equity (table 4.16). In particular, the proportions of domestic and international listed property were calculated with the denominator being all listed property assets. For fund</w:t>
      </w:r>
      <w:r>
        <w:noBreakHyphen/>
        <w:t>level and fund</w:t>
      </w:r>
      <w:r>
        <w:noBreakHyphen/>
        <w:t>type APRA analysis, the splits were allowed to differ by fund type. In most other benchmarks constructed using APRA data (such as system</w:t>
      </w:r>
      <w:r>
        <w:noBreakHyphen/>
        <w:t>level analysis), the splits were calculated over all APRA</w:t>
      </w:r>
      <w:r>
        <w:noBreakHyphen/>
        <w:t>regulated funds. Ideally, the Commission would have allowed the splits to vary by individual fund for fund</w:t>
      </w:r>
      <w:r>
        <w:noBreakHyphen/>
        <w:t>level analysis, but the data were not sufficiently complete to allow for this. A similar approach was taken for the MySuper product</w:t>
      </w:r>
      <w:r>
        <w:noBreakHyphen/>
        <w:t>level analysis (see below).</w:t>
      </w:r>
    </w:p>
    <w:p w14:paraId="50B9384D"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7B8715A6" w14:textId="77777777" w:rsidTr="00D11B9D">
        <w:trPr>
          <w:tblHeader/>
        </w:trPr>
        <w:tc>
          <w:tcPr>
            <w:tcW w:w="5000" w:type="pct"/>
            <w:tcBorders>
              <w:top w:val="single" w:sz="6" w:space="0" w:color="78A22F"/>
              <w:left w:val="nil"/>
              <w:bottom w:val="nil"/>
              <w:right w:val="nil"/>
            </w:tcBorders>
            <w:shd w:val="clear" w:color="auto" w:fill="auto"/>
          </w:tcPr>
          <w:p w14:paraId="6CB1BFB5" w14:textId="77777777" w:rsidR="00FC14FC" w:rsidRPr="00784A05" w:rsidRDefault="00FC14FC" w:rsidP="00D11B9D">
            <w:pPr>
              <w:pStyle w:val="TableTitle"/>
            </w:pPr>
            <w:r>
              <w:rPr>
                <w:b w:val="0"/>
              </w:rPr>
              <w:t>Table 4.16</w:t>
            </w:r>
            <w:r>
              <w:tab/>
              <w:t>Apportioning property into international versus domestic</w:t>
            </w:r>
          </w:p>
          <w:p w14:paraId="7A146582" w14:textId="77777777" w:rsidR="00FC14FC" w:rsidRPr="00784A05" w:rsidRDefault="00FC14FC" w:rsidP="00D11B9D">
            <w:pPr>
              <w:pStyle w:val="Subtitle"/>
            </w:pPr>
            <w:r>
              <w:t>Per cent allocation to international property</w:t>
            </w:r>
          </w:p>
        </w:tc>
      </w:tr>
      <w:tr w:rsidR="00FC14FC" w14:paraId="1B054EBD"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90"/>
              <w:gridCol w:w="520"/>
              <w:gridCol w:w="569"/>
              <w:gridCol w:w="570"/>
              <w:gridCol w:w="570"/>
              <w:gridCol w:w="570"/>
              <w:gridCol w:w="570"/>
              <w:gridCol w:w="570"/>
              <w:gridCol w:w="566"/>
              <w:gridCol w:w="565"/>
              <w:gridCol w:w="565"/>
              <w:gridCol w:w="570"/>
              <w:gridCol w:w="555"/>
              <w:gridCol w:w="555"/>
            </w:tblGrid>
            <w:tr w:rsidR="00FC14FC" w14:paraId="5FBE63C1" w14:textId="77777777" w:rsidTr="00D11B9D">
              <w:trPr>
                <w:tblHeader/>
              </w:trPr>
              <w:tc>
                <w:tcPr>
                  <w:tcW w:w="700" w:type="pct"/>
                  <w:tcBorders>
                    <w:top w:val="single" w:sz="6" w:space="0" w:color="BFBFBF"/>
                    <w:bottom w:val="single" w:sz="6" w:space="0" w:color="BFBFBF"/>
                  </w:tcBorders>
                  <w:shd w:val="clear" w:color="auto" w:fill="auto"/>
                  <w:tcMar>
                    <w:top w:w="28" w:type="dxa"/>
                  </w:tcMar>
                </w:tcPr>
                <w:p w14:paraId="08567107" w14:textId="77777777" w:rsidR="00FC14FC" w:rsidRDefault="00FC14FC" w:rsidP="00D11B9D">
                  <w:pPr>
                    <w:pStyle w:val="TableColumnHeading"/>
                    <w:jc w:val="left"/>
                  </w:pPr>
                  <w:r>
                    <w:t>Segment</w:t>
                  </w:r>
                </w:p>
              </w:tc>
              <w:tc>
                <w:tcPr>
                  <w:tcW w:w="306" w:type="pct"/>
                  <w:tcBorders>
                    <w:top w:val="single" w:sz="6" w:space="0" w:color="BFBFBF"/>
                    <w:bottom w:val="single" w:sz="6" w:space="0" w:color="BFBFBF"/>
                  </w:tcBorders>
                  <w:shd w:val="clear" w:color="auto" w:fill="auto"/>
                </w:tcPr>
                <w:p w14:paraId="773AC66C" w14:textId="77777777" w:rsidR="00FC14FC" w:rsidRDefault="00FC14FC" w:rsidP="00D11B9D">
                  <w:pPr>
                    <w:pStyle w:val="TableColumnHeading"/>
                  </w:pPr>
                  <w:r>
                    <w:t>2005</w:t>
                  </w:r>
                </w:p>
              </w:tc>
              <w:tc>
                <w:tcPr>
                  <w:tcW w:w="335" w:type="pct"/>
                  <w:tcBorders>
                    <w:top w:val="single" w:sz="6" w:space="0" w:color="BFBFBF"/>
                    <w:bottom w:val="single" w:sz="6" w:space="0" w:color="BFBFBF"/>
                  </w:tcBorders>
                  <w:shd w:val="clear" w:color="auto" w:fill="auto"/>
                  <w:tcMar>
                    <w:top w:w="28" w:type="dxa"/>
                  </w:tcMar>
                </w:tcPr>
                <w:p w14:paraId="24DB15DF" w14:textId="77777777" w:rsidR="00FC14FC" w:rsidRDefault="00FC14FC" w:rsidP="00D11B9D">
                  <w:pPr>
                    <w:pStyle w:val="TableColumnHeading"/>
                  </w:pPr>
                  <w:r>
                    <w:t>2006</w:t>
                  </w:r>
                </w:p>
              </w:tc>
              <w:tc>
                <w:tcPr>
                  <w:tcW w:w="335" w:type="pct"/>
                  <w:tcBorders>
                    <w:top w:val="single" w:sz="6" w:space="0" w:color="BFBFBF"/>
                    <w:bottom w:val="single" w:sz="6" w:space="0" w:color="BFBFBF"/>
                  </w:tcBorders>
                  <w:shd w:val="clear" w:color="auto" w:fill="auto"/>
                  <w:tcMar>
                    <w:top w:w="28" w:type="dxa"/>
                  </w:tcMar>
                </w:tcPr>
                <w:p w14:paraId="03E2D093" w14:textId="77777777" w:rsidR="00FC14FC" w:rsidRDefault="00FC14FC" w:rsidP="00D11B9D">
                  <w:pPr>
                    <w:pStyle w:val="TableColumnHeading"/>
                    <w:ind w:right="28"/>
                  </w:pPr>
                  <w:r>
                    <w:t>2007</w:t>
                  </w:r>
                </w:p>
              </w:tc>
              <w:tc>
                <w:tcPr>
                  <w:tcW w:w="335" w:type="pct"/>
                  <w:tcBorders>
                    <w:top w:val="single" w:sz="6" w:space="0" w:color="BFBFBF"/>
                    <w:bottom w:val="single" w:sz="6" w:space="0" w:color="BFBFBF"/>
                  </w:tcBorders>
                  <w:shd w:val="clear" w:color="auto" w:fill="auto"/>
                </w:tcPr>
                <w:p w14:paraId="2F685299" w14:textId="77777777" w:rsidR="00FC14FC" w:rsidRDefault="00FC14FC" w:rsidP="00D11B9D">
                  <w:pPr>
                    <w:pStyle w:val="TableColumnHeading"/>
                    <w:ind w:right="28"/>
                  </w:pPr>
                  <w:r>
                    <w:t>2008</w:t>
                  </w:r>
                </w:p>
              </w:tc>
              <w:tc>
                <w:tcPr>
                  <w:tcW w:w="335" w:type="pct"/>
                  <w:tcBorders>
                    <w:top w:val="single" w:sz="6" w:space="0" w:color="BFBFBF"/>
                    <w:bottom w:val="single" w:sz="6" w:space="0" w:color="BFBFBF"/>
                  </w:tcBorders>
                  <w:shd w:val="clear" w:color="auto" w:fill="auto"/>
                </w:tcPr>
                <w:p w14:paraId="50357E17" w14:textId="77777777" w:rsidR="00FC14FC" w:rsidRDefault="00FC14FC" w:rsidP="00D11B9D">
                  <w:pPr>
                    <w:pStyle w:val="TableColumnHeading"/>
                    <w:ind w:right="28"/>
                  </w:pPr>
                  <w:r>
                    <w:t>2009</w:t>
                  </w:r>
                </w:p>
              </w:tc>
              <w:tc>
                <w:tcPr>
                  <w:tcW w:w="335" w:type="pct"/>
                  <w:tcBorders>
                    <w:top w:val="single" w:sz="6" w:space="0" w:color="BFBFBF"/>
                    <w:bottom w:val="single" w:sz="6" w:space="0" w:color="BFBFBF"/>
                  </w:tcBorders>
                  <w:shd w:val="clear" w:color="auto" w:fill="auto"/>
                </w:tcPr>
                <w:p w14:paraId="2F330F46" w14:textId="77777777" w:rsidR="00FC14FC" w:rsidRDefault="00FC14FC" w:rsidP="00D11B9D">
                  <w:pPr>
                    <w:pStyle w:val="TableColumnHeading"/>
                    <w:ind w:right="28"/>
                  </w:pPr>
                  <w:r>
                    <w:t>2010</w:t>
                  </w:r>
                </w:p>
              </w:tc>
              <w:tc>
                <w:tcPr>
                  <w:tcW w:w="335" w:type="pct"/>
                  <w:tcBorders>
                    <w:top w:val="single" w:sz="6" w:space="0" w:color="BFBFBF"/>
                    <w:bottom w:val="single" w:sz="6" w:space="0" w:color="BFBFBF"/>
                  </w:tcBorders>
                  <w:shd w:val="clear" w:color="auto" w:fill="auto"/>
                </w:tcPr>
                <w:p w14:paraId="54DDBEE1" w14:textId="77777777" w:rsidR="00FC14FC" w:rsidRDefault="00FC14FC" w:rsidP="00D11B9D">
                  <w:pPr>
                    <w:pStyle w:val="TableColumnHeading"/>
                    <w:ind w:right="28"/>
                  </w:pPr>
                  <w:r>
                    <w:t>2011</w:t>
                  </w:r>
                </w:p>
              </w:tc>
              <w:tc>
                <w:tcPr>
                  <w:tcW w:w="333" w:type="pct"/>
                  <w:tcBorders>
                    <w:top w:val="single" w:sz="6" w:space="0" w:color="BFBFBF"/>
                    <w:bottom w:val="single" w:sz="6" w:space="0" w:color="BFBFBF"/>
                  </w:tcBorders>
                  <w:shd w:val="clear" w:color="auto" w:fill="auto"/>
                </w:tcPr>
                <w:p w14:paraId="59F09E65" w14:textId="77777777" w:rsidR="00FC14FC" w:rsidRDefault="00FC14FC" w:rsidP="00D11B9D">
                  <w:pPr>
                    <w:pStyle w:val="TableColumnHeading"/>
                    <w:ind w:right="28"/>
                  </w:pPr>
                  <w:r>
                    <w:t>2012</w:t>
                  </w:r>
                </w:p>
              </w:tc>
              <w:tc>
                <w:tcPr>
                  <w:tcW w:w="332" w:type="pct"/>
                  <w:tcBorders>
                    <w:top w:val="single" w:sz="6" w:space="0" w:color="BFBFBF"/>
                    <w:bottom w:val="single" w:sz="6" w:space="0" w:color="BFBFBF"/>
                  </w:tcBorders>
                  <w:shd w:val="clear" w:color="auto" w:fill="auto"/>
                </w:tcPr>
                <w:p w14:paraId="7EF96EAA" w14:textId="77777777" w:rsidR="00FC14FC" w:rsidRDefault="00FC14FC" w:rsidP="00D11B9D">
                  <w:pPr>
                    <w:pStyle w:val="TableColumnHeading"/>
                    <w:ind w:right="28"/>
                  </w:pPr>
                  <w:r>
                    <w:t>2013</w:t>
                  </w:r>
                </w:p>
              </w:tc>
              <w:tc>
                <w:tcPr>
                  <w:tcW w:w="332" w:type="pct"/>
                  <w:tcBorders>
                    <w:top w:val="single" w:sz="6" w:space="0" w:color="BFBFBF"/>
                    <w:bottom w:val="single" w:sz="6" w:space="0" w:color="BFBFBF"/>
                  </w:tcBorders>
                  <w:shd w:val="clear" w:color="auto" w:fill="auto"/>
                </w:tcPr>
                <w:p w14:paraId="42177821" w14:textId="77777777" w:rsidR="00FC14FC" w:rsidRDefault="00FC14FC" w:rsidP="00D11B9D">
                  <w:pPr>
                    <w:pStyle w:val="TableColumnHeading"/>
                    <w:ind w:right="28"/>
                  </w:pPr>
                  <w:r>
                    <w:t>2014</w:t>
                  </w:r>
                </w:p>
              </w:tc>
              <w:tc>
                <w:tcPr>
                  <w:tcW w:w="335" w:type="pct"/>
                  <w:tcBorders>
                    <w:top w:val="single" w:sz="6" w:space="0" w:color="BFBFBF"/>
                    <w:bottom w:val="single" w:sz="6" w:space="0" w:color="BFBFBF"/>
                  </w:tcBorders>
                  <w:shd w:val="clear" w:color="auto" w:fill="auto"/>
                </w:tcPr>
                <w:p w14:paraId="196853F2" w14:textId="77777777" w:rsidR="00FC14FC" w:rsidRDefault="00FC14FC" w:rsidP="00D11B9D">
                  <w:pPr>
                    <w:pStyle w:val="TableColumnHeading"/>
                    <w:ind w:right="28"/>
                  </w:pPr>
                  <w:r>
                    <w:t>2015</w:t>
                  </w:r>
                </w:p>
              </w:tc>
              <w:tc>
                <w:tcPr>
                  <w:tcW w:w="326" w:type="pct"/>
                  <w:tcBorders>
                    <w:top w:val="single" w:sz="6" w:space="0" w:color="BFBFBF"/>
                    <w:bottom w:val="single" w:sz="6" w:space="0" w:color="BFBFBF"/>
                  </w:tcBorders>
                  <w:shd w:val="clear" w:color="auto" w:fill="auto"/>
                </w:tcPr>
                <w:p w14:paraId="5269291B" w14:textId="77777777" w:rsidR="00FC14FC" w:rsidRDefault="00FC14FC" w:rsidP="00D11B9D">
                  <w:pPr>
                    <w:pStyle w:val="TableColumnHeading"/>
                    <w:ind w:right="28"/>
                  </w:pPr>
                  <w:r w:rsidRPr="007F3A77">
                    <w:t>2016</w:t>
                  </w:r>
                </w:p>
              </w:tc>
              <w:tc>
                <w:tcPr>
                  <w:tcW w:w="326" w:type="pct"/>
                  <w:tcBorders>
                    <w:top w:val="single" w:sz="6" w:space="0" w:color="BFBFBF"/>
                    <w:bottom w:val="single" w:sz="6" w:space="0" w:color="BFBFBF"/>
                  </w:tcBorders>
                  <w:shd w:val="clear" w:color="auto" w:fill="auto"/>
                </w:tcPr>
                <w:p w14:paraId="275AC182" w14:textId="77777777" w:rsidR="00FC14FC" w:rsidRDefault="00FC14FC" w:rsidP="00D11B9D">
                  <w:pPr>
                    <w:pStyle w:val="TableColumnHeading"/>
                    <w:ind w:right="28"/>
                  </w:pPr>
                  <w:r>
                    <w:t>2017</w:t>
                  </w:r>
                </w:p>
              </w:tc>
            </w:tr>
            <w:tr w:rsidR="00FC14FC" w14:paraId="0216B917" w14:textId="77777777" w:rsidTr="00D11B9D">
              <w:tc>
                <w:tcPr>
                  <w:tcW w:w="700" w:type="pct"/>
                  <w:tcBorders>
                    <w:top w:val="single" w:sz="6" w:space="0" w:color="BFBFBF"/>
                  </w:tcBorders>
                </w:tcPr>
                <w:p w14:paraId="2605C08D" w14:textId="77777777" w:rsidR="00FC14FC" w:rsidRDefault="00FC14FC" w:rsidP="00D11B9D">
                  <w:pPr>
                    <w:pStyle w:val="TableUnitsRow"/>
                    <w:jc w:val="left"/>
                  </w:pPr>
                  <w:r>
                    <w:t>System</w:t>
                  </w:r>
                </w:p>
              </w:tc>
              <w:tc>
                <w:tcPr>
                  <w:tcW w:w="306" w:type="pct"/>
                  <w:tcBorders>
                    <w:top w:val="single" w:sz="6" w:space="0" w:color="BFBFBF"/>
                  </w:tcBorders>
                  <w:vAlign w:val="bottom"/>
                </w:tcPr>
                <w:p w14:paraId="45B8A81B" w14:textId="77777777" w:rsidR="00FC14FC" w:rsidRDefault="00FC14FC" w:rsidP="00D11B9D">
                  <w:pPr>
                    <w:pStyle w:val="TableBodyText"/>
                    <w:spacing w:before="40"/>
                  </w:pPr>
                  <w:r>
                    <w:t>52.7</w:t>
                  </w:r>
                </w:p>
              </w:tc>
              <w:tc>
                <w:tcPr>
                  <w:tcW w:w="335" w:type="pct"/>
                  <w:tcBorders>
                    <w:top w:val="single" w:sz="6" w:space="0" w:color="BFBFBF"/>
                  </w:tcBorders>
                  <w:vAlign w:val="bottom"/>
                </w:tcPr>
                <w:p w14:paraId="5815E734" w14:textId="77777777" w:rsidR="00FC14FC" w:rsidRDefault="00FC14FC" w:rsidP="00D11B9D">
                  <w:pPr>
                    <w:pStyle w:val="TableBodyText"/>
                    <w:spacing w:before="40"/>
                  </w:pPr>
                  <w:r>
                    <w:t>50.3</w:t>
                  </w:r>
                </w:p>
              </w:tc>
              <w:tc>
                <w:tcPr>
                  <w:tcW w:w="335" w:type="pct"/>
                  <w:tcBorders>
                    <w:top w:val="single" w:sz="6" w:space="0" w:color="BFBFBF"/>
                  </w:tcBorders>
                  <w:vAlign w:val="bottom"/>
                </w:tcPr>
                <w:p w14:paraId="5B539619" w14:textId="77777777" w:rsidR="00FC14FC" w:rsidRDefault="00FC14FC" w:rsidP="00D11B9D">
                  <w:pPr>
                    <w:pStyle w:val="TableBodyText"/>
                    <w:spacing w:before="40"/>
                  </w:pPr>
                  <w:r>
                    <w:t>63.4</w:t>
                  </w:r>
                </w:p>
              </w:tc>
              <w:tc>
                <w:tcPr>
                  <w:tcW w:w="335" w:type="pct"/>
                  <w:tcBorders>
                    <w:top w:val="single" w:sz="6" w:space="0" w:color="BFBFBF"/>
                  </w:tcBorders>
                  <w:vAlign w:val="bottom"/>
                </w:tcPr>
                <w:p w14:paraId="30B21F9D" w14:textId="77777777" w:rsidR="00FC14FC" w:rsidRDefault="00FC14FC" w:rsidP="00D11B9D">
                  <w:pPr>
                    <w:pStyle w:val="TableBodyText"/>
                    <w:spacing w:before="40"/>
                  </w:pPr>
                  <w:r>
                    <w:t>48.8</w:t>
                  </w:r>
                </w:p>
              </w:tc>
              <w:tc>
                <w:tcPr>
                  <w:tcW w:w="335" w:type="pct"/>
                  <w:tcBorders>
                    <w:top w:val="single" w:sz="6" w:space="0" w:color="BFBFBF"/>
                  </w:tcBorders>
                  <w:vAlign w:val="bottom"/>
                </w:tcPr>
                <w:p w14:paraId="3C739E68" w14:textId="77777777" w:rsidR="00FC14FC" w:rsidRDefault="00FC14FC" w:rsidP="00D11B9D">
                  <w:pPr>
                    <w:pStyle w:val="TableBodyText"/>
                    <w:spacing w:before="40"/>
                  </w:pPr>
                  <w:r>
                    <w:t>51.1</w:t>
                  </w:r>
                </w:p>
              </w:tc>
              <w:tc>
                <w:tcPr>
                  <w:tcW w:w="335" w:type="pct"/>
                  <w:tcBorders>
                    <w:top w:val="single" w:sz="6" w:space="0" w:color="BFBFBF"/>
                  </w:tcBorders>
                  <w:vAlign w:val="bottom"/>
                </w:tcPr>
                <w:p w14:paraId="3A90C37D" w14:textId="77777777" w:rsidR="00FC14FC" w:rsidRDefault="00FC14FC" w:rsidP="00D11B9D">
                  <w:pPr>
                    <w:pStyle w:val="TableBodyText"/>
                    <w:spacing w:before="40"/>
                  </w:pPr>
                  <w:r>
                    <w:t>50.6</w:t>
                  </w:r>
                </w:p>
              </w:tc>
              <w:tc>
                <w:tcPr>
                  <w:tcW w:w="335" w:type="pct"/>
                  <w:tcBorders>
                    <w:top w:val="single" w:sz="6" w:space="0" w:color="BFBFBF"/>
                  </w:tcBorders>
                  <w:vAlign w:val="bottom"/>
                </w:tcPr>
                <w:p w14:paraId="5EA865BB" w14:textId="77777777" w:rsidR="00FC14FC" w:rsidRDefault="00FC14FC" w:rsidP="00D11B9D">
                  <w:pPr>
                    <w:pStyle w:val="TableBodyText"/>
                    <w:spacing w:before="40"/>
                  </w:pPr>
                  <w:r>
                    <w:t>51.5</w:t>
                  </w:r>
                </w:p>
              </w:tc>
              <w:tc>
                <w:tcPr>
                  <w:tcW w:w="333" w:type="pct"/>
                  <w:tcBorders>
                    <w:top w:val="single" w:sz="6" w:space="0" w:color="BFBFBF"/>
                  </w:tcBorders>
                  <w:vAlign w:val="bottom"/>
                </w:tcPr>
                <w:p w14:paraId="7D53902B" w14:textId="77777777" w:rsidR="00FC14FC" w:rsidRDefault="00FC14FC" w:rsidP="00D11B9D">
                  <w:pPr>
                    <w:pStyle w:val="TableBodyText"/>
                    <w:spacing w:before="40"/>
                  </w:pPr>
                  <w:r>
                    <w:t>46.8</w:t>
                  </w:r>
                </w:p>
              </w:tc>
              <w:tc>
                <w:tcPr>
                  <w:tcW w:w="332" w:type="pct"/>
                  <w:tcBorders>
                    <w:top w:val="single" w:sz="6" w:space="0" w:color="BFBFBF"/>
                  </w:tcBorders>
                  <w:vAlign w:val="bottom"/>
                </w:tcPr>
                <w:p w14:paraId="09CECEA4" w14:textId="77777777" w:rsidR="00FC14FC" w:rsidRDefault="00FC14FC" w:rsidP="00D11B9D">
                  <w:pPr>
                    <w:pStyle w:val="TableBodyText"/>
                    <w:spacing w:before="40"/>
                  </w:pPr>
                  <w:r>
                    <w:t>50.0</w:t>
                  </w:r>
                </w:p>
              </w:tc>
              <w:tc>
                <w:tcPr>
                  <w:tcW w:w="332" w:type="pct"/>
                  <w:tcBorders>
                    <w:top w:val="single" w:sz="6" w:space="0" w:color="BFBFBF"/>
                  </w:tcBorders>
                  <w:vAlign w:val="bottom"/>
                </w:tcPr>
                <w:p w14:paraId="5DDA175C" w14:textId="77777777" w:rsidR="00FC14FC" w:rsidRDefault="00FC14FC" w:rsidP="00D11B9D">
                  <w:pPr>
                    <w:pStyle w:val="TableBodyText"/>
                    <w:spacing w:before="40"/>
                  </w:pPr>
                  <w:r>
                    <w:t>57.3</w:t>
                  </w:r>
                </w:p>
              </w:tc>
              <w:tc>
                <w:tcPr>
                  <w:tcW w:w="335" w:type="pct"/>
                  <w:tcBorders>
                    <w:top w:val="single" w:sz="6" w:space="0" w:color="BFBFBF"/>
                  </w:tcBorders>
                  <w:vAlign w:val="bottom"/>
                </w:tcPr>
                <w:p w14:paraId="12BEFD97" w14:textId="77777777" w:rsidR="00FC14FC" w:rsidRDefault="00FC14FC" w:rsidP="00D11B9D">
                  <w:pPr>
                    <w:pStyle w:val="TableBodyText"/>
                    <w:spacing w:before="40"/>
                  </w:pPr>
                  <w:r>
                    <w:t>56.6</w:t>
                  </w:r>
                </w:p>
              </w:tc>
              <w:tc>
                <w:tcPr>
                  <w:tcW w:w="326" w:type="pct"/>
                  <w:tcBorders>
                    <w:top w:val="single" w:sz="6" w:space="0" w:color="BFBFBF"/>
                  </w:tcBorders>
                </w:tcPr>
                <w:p w14:paraId="4413432D" w14:textId="77777777" w:rsidR="00FC14FC" w:rsidRDefault="00FC14FC" w:rsidP="00D11B9D">
                  <w:pPr>
                    <w:pStyle w:val="TableBodyText"/>
                    <w:spacing w:before="40"/>
                    <w:ind w:right="28"/>
                  </w:pPr>
                  <w:r w:rsidRPr="007F3A77">
                    <w:t>50.0</w:t>
                  </w:r>
                </w:p>
              </w:tc>
              <w:tc>
                <w:tcPr>
                  <w:tcW w:w="326" w:type="pct"/>
                  <w:tcBorders>
                    <w:top w:val="single" w:sz="6" w:space="0" w:color="BFBFBF"/>
                  </w:tcBorders>
                  <w:vAlign w:val="bottom"/>
                </w:tcPr>
                <w:p w14:paraId="3204ED77" w14:textId="77777777" w:rsidR="00FC14FC" w:rsidRDefault="00FC14FC" w:rsidP="00D11B9D">
                  <w:pPr>
                    <w:pStyle w:val="TableBodyText"/>
                    <w:spacing w:before="40"/>
                    <w:ind w:right="28"/>
                  </w:pPr>
                  <w:r>
                    <w:t>56.1</w:t>
                  </w:r>
                </w:p>
              </w:tc>
            </w:tr>
            <w:tr w:rsidR="00FC14FC" w14:paraId="204DC757" w14:textId="77777777" w:rsidTr="00D11B9D">
              <w:tc>
                <w:tcPr>
                  <w:tcW w:w="700" w:type="pct"/>
                  <w:shd w:val="clear" w:color="auto" w:fill="F2F2F2" w:themeFill="background1" w:themeFillShade="F2"/>
                </w:tcPr>
                <w:p w14:paraId="3CC74614" w14:textId="77777777" w:rsidR="00FC14FC" w:rsidRDefault="00FC14FC" w:rsidP="00D11B9D">
                  <w:pPr>
                    <w:pStyle w:val="TableBodyText"/>
                    <w:jc w:val="left"/>
                  </w:pPr>
                  <w:r>
                    <w:t>Corporate</w:t>
                  </w:r>
                </w:p>
              </w:tc>
              <w:tc>
                <w:tcPr>
                  <w:tcW w:w="306" w:type="pct"/>
                  <w:shd w:val="clear" w:color="auto" w:fill="F2F2F2" w:themeFill="background1" w:themeFillShade="F2"/>
                  <w:vAlign w:val="bottom"/>
                </w:tcPr>
                <w:p w14:paraId="43D832E0" w14:textId="77777777" w:rsidR="00FC14FC" w:rsidRDefault="00FC14FC" w:rsidP="00D11B9D">
                  <w:pPr>
                    <w:pStyle w:val="TableBodyText"/>
                  </w:pPr>
                  <w:r>
                    <w:t>45.2</w:t>
                  </w:r>
                </w:p>
              </w:tc>
              <w:tc>
                <w:tcPr>
                  <w:tcW w:w="335" w:type="pct"/>
                  <w:shd w:val="clear" w:color="auto" w:fill="F2F2F2" w:themeFill="background1" w:themeFillShade="F2"/>
                  <w:vAlign w:val="bottom"/>
                </w:tcPr>
                <w:p w14:paraId="5824A266" w14:textId="77777777" w:rsidR="00FC14FC" w:rsidRDefault="00FC14FC" w:rsidP="00D11B9D">
                  <w:pPr>
                    <w:pStyle w:val="TableBodyText"/>
                  </w:pPr>
                  <w:r>
                    <w:t>38.0</w:t>
                  </w:r>
                </w:p>
              </w:tc>
              <w:tc>
                <w:tcPr>
                  <w:tcW w:w="335" w:type="pct"/>
                  <w:shd w:val="clear" w:color="auto" w:fill="F2F2F2" w:themeFill="background1" w:themeFillShade="F2"/>
                  <w:vAlign w:val="bottom"/>
                </w:tcPr>
                <w:p w14:paraId="107719E5" w14:textId="77777777" w:rsidR="00FC14FC" w:rsidRDefault="00FC14FC" w:rsidP="00D11B9D">
                  <w:pPr>
                    <w:pStyle w:val="TableBodyText"/>
                  </w:pPr>
                  <w:r>
                    <w:t>45.0</w:t>
                  </w:r>
                </w:p>
              </w:tc>
              <w:tc>
                <w:tcPr>
                  <w:tcW w:w="335" w:type="pct"/>
                  <w:shd w:val="clear" w:color="auto" w:fill="F2F2F2" w:themeFill="background1" w:themeFillShade="F2"/>
                  <w:vAlign w:val="bottom"/>
                </w:tcPr>
                <w:p w14:paraId="44291CD0" w14:textId="77777777" w:rsidR="00FC14FC" w:rsidRDefault="00FC14FC" w:rsidP="00D11B9D">
                  <w:pPr>
                    <w:pStyle w:val="TableBodyText"/>
                  </w:pPr>
                  <w:r>
                    <w:t>47.1</w:t>
                  </w:r>
                </w:p>
              </w:tc>
              <w:tc>
                <w:tcPr>
                  <w:tcW w:w="335" w:type="pct"/>
                  <w:shd w:val="clear" w:color="auto" w:fill="F2F2F2" w:themeFill="background1" w:themeFillShade="F2"/>
                  <w:vAlign w:val="bottom"/>
                </w:tcPr>
                <w:p w14:paraId="7843415C" w14:textId="77777777" w:rsidR="00FC14FC" w:rsidRDefault="00FC14FC" w:rsidP="00D11B9D">
                  <w:pPr>
                    <w:pStyle w:val="TableBodyText"/>
                  </w:pPr>
                  <w:r>
                    <w:t>35.9</w:t>
                  </w:r>
                </w:p>
              </w:tc>
              <w:tc>
                <w:tcPr>
                  <w:tcW w:w="335" w:type="pct"/>
                  <w:shd w:val="clear" w:color="auto" w:fill="F2F2F2" w:themeFill="background1" w:themeFillShade="F2"/>
                  <w:vAlign w:val="bottom"/>
                </w:tcPr>
                <w:p w14:paraId="472F528B" w14:textId="77777777" w:rsidR="00FC14FC" w:rsidRDefault="00FC14FC" w:rsidP="00D11B9D">
                  <w:pPr>
                    <w:pStyle w:val="TableBodyText"/>
                  </w:pPr>
                  <w:r>
                    <w:t>59.9</w:t>
                  </w:r>
                </w:p>
              </w:tc>
              <w:tc>
                <w:tcPr>
                  <w:tcW w:w="335" w:type="pct"/>
                  <w:shd w:val="clear" w:color="auto" w:fill="F2F2F2" w:themeFill="background1" w:themeFillShade="F2"/>
                  <w:vAlign w:val="bottom"/>
                </w:tcPr>
                <w:p w14:paraId="7D7E7C87" w14:textId="77777777" w:rsidR="00FC14FC" w:rsidRDefault="00FC14FC" w:rsidP="00D11B9D">
                  <w:pPr>
                    <w:pStyle w:val="TableBodyText"/>
                  </w:pPr>
                  <w:r>
                    <w:t>68.5</w:t>
                  </w:r>
                </w:p>
              </w:tc>
              <w:tc>
                <w:tcPr>
                  <w:tcW w:w="333" w:type="pct"/>
                  <w:shd w:val="clear" w:color="auto" w:fill="F2F2F2" w:themeFill="background1" w:themeFillShade="F2"/>
                  <w:vAlign w:val="bottom"/>
                </w:tcPr>
                <w:p w14:paraId="787C45AB" w14:textId="77777777" w:rsidR="00FC14FC" w:rsidRDefault="00FC14FC" w:rsidP="00D11B9D">
                  <w:pPr>
                    <w:pStyle w:val="TableBodyText"/>
                  </w:pPr>
                  <w:r>
                    <w:t>86.8</w:t>
                  </w:r>
                </w:p>
              </w:tc>
              <w:tc>
                <w:tcPr>
                  <w:tcW w:w="332" w:type="pct"/>
                  <w:shd w:val="clear" w:color="auto" w:fill="F2F2F2" w:themeFill="background1" w:themeFillShade="F2"/>
                  <w:vAlign w:val="bottom"/>
                </w:tcPr>
                <w:p w14:paraId="5289B06C" w14:textId="77777777" w:rsidR="00FC14FC" w:rsidRDefault="00FC14FC" w:rsidP="00D11B9D">
                  <w:pPr>
                    <w:pStyle w:val="TableBodyText"/>
                  </w:pPr>
                  <w:r>
                    <w:t>71.0</w:t>
                  </w:r>
                </w:p>
              </w:tc>
              <w:tc>
                <w:tcPr>
                  <w:tcW w:w="332" w:type="pct"/>
                  <w:shd w:val="clear" w:color="auto" w:fill="F2F2F2" w:themeFill="background1" w:themeFillShade="F2"/>
                  <w:vAlign w:val="bottom"/>
                </w:tcPr>
                <w:p w14:paraId="07421074" w14:textId="77777777" w:rsidR="00FC14FC" w:rsidRDefault="00FC14FC" w:rsidP="00D11B9D">
                  <w:pPr>
                    <w:pStyle w:val="TableBodyText"/>
                  </w:pPr>
                  <w:r>
                    <w:t>34.2</w:t>
                  </w:r>
                </w:p>
              </w:tc>
              <w:tc>
                <w:tcPr>
                  <w:tcW w:w="335" w:type="pct"/>
                  <w:shd w:val="clear" w:color="auto" w:fill="F2F2F2" w:themeFill="background1" w:themeFillShade="F2"/>
                  <w:vAlign w:val="bottom"/>
                </w:tcPr>
                <w:p w14:paraId="0C7DF73A" w14:textId="77777777" w:rsidR="00FC14FC" w:rsidRDefault="00FC14FC" w:rsidP="00D11B9D">
                  <w:pPr>
                    <w:pStyle w:val="TableBodyText"/>
                  </w:pPr>
                  <w:r>
                    <w:t>20.3</w:t>
                  </w:r>
                </w:p>
              </w:tc>
              <w:tc>
                <w:tcPr>
                  <w:tcW w:w="326" w:type="pct"/>
                  <w:shd w:val="clear" w:color="auto" w:fill="F2F2F2" w:themeFill="background1" w:themeFillShade="F2"/>
                </w:tcPr>
                <w:p w14:paraId="578231AD" w14:textId="77777777" w:rsidR="00FC14FC" w:rsidRDefault="00FC14FC" w:rsidP="00D11B9D">
                  <w:pPr>
                    <w:pStyle w:val="TableBodyText"/>
                    <w:ind w:right="28"/>
                  </w:pPr>
                  <w:r w:rsidRPr="007F3A77">
                    <w:t>17.1</w:t>
                  </w:r>
                </w:p>
              </w:tc>
              <w:tc>
                <w:tcPr>
                  <w:tcW w:w="326" w:type="pct"/>
                  <w:shd w:val="clear" w:color="auto" w:fill="F2F2F2" w:themeFill="background1" w:themeFillShade="F2"/>
                  <w:vAlign w:val="bottom"/>
                </w:tcPr>
                <w:p w14:paraId="38B8B03C" w14:textId="77777777" w:rsidR="00FC14FC" w:rsidRDefault="00FC14FC" w:rsidP="00D11B9D">
                  <w:pPr>
                    <w:pStyle w:val="TableBodyText"/>
                    <w:ind w:right="28"/>
                  </w:pPr>
                  <w:r>
                    <w:t>19.0</w:t>
                  </w:r>
                </w:p>
              </w:tc>
            </w:tr>
            <w:tr w:rsidR="00FC14FC" w14:paraId="73DB8C55" w14:textId="77777777" w:rsidTr="00D11B9D">
              <w:tc>
                <w:tcPr>
                  <w:tcW w:w="700" w:type="pct"/>
                  <w:shd w:val="clear" w:color="auto" w:fill="auto"/>
                </w:tcPr>
                <w:p w14:paraId="62E50A67" w14:textId="77777777" w:rsidR="00FC14FC" w:rsidRDefault="00FC14FC" w:rsidP="00D11B9D">
                  <w:pPr>
                    <w:pStyle w:val="TableBodyText"/>
                    <w:jc w:val="left"/>
                  </w:pPr>
                  <w:r>
                    <w:t>Industry</w:t>
                  </w:r>
                </w:p>
              </w:tc>
              <w:tc>
                <w:tcPr>
                  <w:tcW w:w="306" w:type="pct"/>
                  <w:vAlign w:val="bottom"/>
                </w:tcPr>
                <w:p w14:paraId="07CCFB4C" w14:textId="77777777" w:rsidR="00FC14FC" w:rsidRDefault="00FC14FC" w:rsidP="00D11B9D">
                  <w:pPr>
                    <w:pStyle w:val="TableBodyText"/>
                  </w:pPr>
                  <w:r>
                    <w:t>42.0</w:t>
                  </w:r>
                </w:p>
              </w:tc>
              <w:tc>
                <w:tcPr>
                  <w:tcW w:w="335" w:type="pct"/>
                  <w:shd w:val="clear" w:color="auto" w:fill="auto"/>
                  <w:vAlign w:val="bottom"/>
                </w:tcPr>
                <w:p w14:paraId="5DD138F9" w14:textId="77777777" w:rsidR="00FC14FC" w:rsidRDefault="00FC14FC" w:rsidP="00D11B9D">
                  <w:pPr>
                    <w:pStyle w:val="TableBodyText"/>
                  </w:pPr>
                  <w:r>
                    <w:t>14.1</w:t>
                  </w:r>
                </w:p>
              </w:tc>
              <w:tc>
                <w:tcPr>
                  <w:tcW w:w="335" w:type="pct"/>
                  <w:shd w:val="clear" w:color="auto" w:fill="auto"/>
                  <w:vAlign w:val="bottom"/>
                </w:tcPr>
                <w:p w14:paraId="3E83824C" w14:textId="77777777" w:rsidR="00FC14FC" w:rsidRDefault="00FC14FC" w:rsidP="00D11B9D">
                  <w:pPr>
                    <w:pStyle w:val="TableBodyText"/>
                  </w:pPr>
                  <w:r>
                    <w:t>39.0</w:t>
                  </w:r>
                </w:p>
              </w:tc>
              <w:tc>
                <w:tcPr>
                  <w:tcW w:w="335" w:type="pct"/>
                  <w:vAlign w:val="bottom"/>
                </w:tcPr>
                <w:p w14:paraId="562A6F48" w14:textId="77777777" w:rsidR="00FC14FC" w:rsidRDefault="00FC14FC" w:rsidP="00D11B9D">
                  <w:pPr>
                    <w:pStyle w:val="TableBodyText"/>
                  </w:pPr>
                  <w:r>
                    <w:t>45.2</w:t>
                  </w:r>
                </w:p>
              </w:tc>
              <w:tc>
                <w:tcPr>
                  <w:tcW w:w="335" w:type="pct"/>
                  <w:vAlign w:val="bottom"/>
                </w:tcPr>
                <w:p w14:paraId="34FBF68C" w14:textId="77777777" w:rsidR="00FC14FC" w:rsidRDefault="00FC14FC" w:rsidP="00D11B9D">
                  <w:pPr>
                    <w:pStyle w:val="TableBodyText"/>
                  </w:pPr>
                  <w:r>
                    <w:t>52.6</w:t>
                  </w:r>
                </w:p>
              </w:tc>
              <w:tc>
                <w:tcPr>
                  <w:tcW w:w="335" w:type="pct"/>
                  <w:vAlign w:val="bottom"/>
                </w:tcPr>
                <w:p w14:paraId="412E2716" w14:textId="77777777" w:rsidR="00FC14FC" w:rsidRDefault="00FC14FC" w:rsidP="00D11B9D">
                  <w:pPr>
                    <w:pStyle w:val="TableBodyText"/>
                  </w:pPr>
                  <w:r>
                    <w:t>46.2</w:t>
                  </w:r>
                </w:p>
              </w:tc>
              <w:tc>
                <w:tcPr>
                  <w:tcW w:w="335" w:type="pct"/>
                  <w:vAlign w:val="bottom"/>
                </w:tcPr>
                <w:p w14:paraId="229E42BF" w14:textId="77777777" w:rsidR="00FC14FC" w:rsidRDefault="00FC14FC" w:rsidP="00D11B9D">
                  <w:pPr>
                    <w:pStyle w:val="TableBodyText"/>
                  </w:pPr>
                  <w:r>
                    <w:t>32.5</w:t>
                  </w:r>
                </w:p>
              </w:tc>
              <w:tc>
                <w:tcPr>
                  <w:tcW w:w="333" w:type="pct"/>
                  <w:vAlign w:val="bottom"/>
                </w:tcPr>
                <w:p w14:paraId="2C73655E" w14:textId="77777777" w:rsidR="00FC14FC" w:rsidRDefault="00FC14FC" w:rsidP="00D11B9D">
                  <w:pPr>
                    <w:pStyle w:val="TableBodyText"/>
                  </w:pPr>
                  <w:r>
                    <w:t>29.4</w:t>
                  </w:r>
                </w:p>
              </w:tc>
              <w:tc>
                <w:tcPr>
                  <w:tcW w:w="332" w:type="pct"/>
                  <w:vAlign w:val="bottom"/>
                </w:tcPr>
                <w:p w14:paraId="620481AA" w14:textId="77777777" w:rsidR="00FC14FC" w:rsidRDefault="00FC14FC" w:rsidP="00D11B9D">
                  <w:pPr>
                    <w:pStyle w:val="TableBodyText"/>
                  </w:pPr>
                  <w:r>
                    <w:t>34.0</w:t>
                  </w:r>
                </w:p>
              </w:tc>
              <w:tc>
                <w:tcPr>
                  <w:tcW w:w="332" w:type="pct"/>
                  <w:vAlign w:val="bottom"/>
                </w:tcPr>
                <w:p w14:paraId="61EF51A3" w14:textId="77777777" w:rsidR="00FC14FC" w:rsidRDefault="00FC14FC" w:rsidP="00D11B9D">
                  <w:pPr>
                    <w:pStyle w:val="TableBodyText"/>
                  </w:pPr>
                  <w:r>
                    <w:t>50.5</w:t>
                  </w:r>
                </w:p>
              </w:tc>
              <w:tc>
                <w:tcPr>
                  <w:tcW w:w="335" w:type="pct"/>
                  <w:vAlign w:val="bottom"/>
                </w:tcPr>
                <w:p w14:paraId="351BD639" w14:textId="77777777" w:rsidR="00FC14FC" w:rsidRDefault="00FC14FC" w:rsidP="00D11B9D">
                  <w:pPr>
                    <w:pStyle w:val="TableBodyText"/>
                  </w:pPr>
                  <w:r>
                    <w:t>43.6</w:t>
                  </w:r>
                </w:p>
              </w:tc>
              <w:tc>
                <w:tcPr>
                  <w:tcW w:w="326" w:type="pct"/>
                </w:tcPr>
                <w:p w14:paraId="07F613CA" w14:textId="77777777" w:rsidR="00FC14FC" w:rsidRDefault="00FC14FC" w:rsidP="00D11B9D">
                  <w:pPr>
                    <w:pStyle w:val="TableBodyText"/>
                    <w:ind w:right="28"/>
                  </w:pPr>
                  <w:r w:rsidRPr="007F3A77">
                    <w:t>54.8</w:t>
                  </w:r>
                </w:p>
              </w:tc>
              <w:tc>
                <w:tcPr>
                  <w:tcW w:w="326" w:type="pct"/>
                  <w:vAlign w:val="bottom"/>
                </w:tcPr>
                <w:p w14:paraId="0661E003" w14:textId="77777777" w:rsidR="00FC14FC" w:rsidRDefault="00FC14FC" w:rsidP="00D11B9D">
                  <w:pPr>
                    <w:pStyle w:val="TableBodyText"/>
                    <w:ind w:right="28"/>
                  </w:pPr>
                  <w:r>
                    <w:t>62.7</w:t>
                  </w:r>
                </w:p>
              </w:tc>
            </w:tr>
            <w:tr w:rsidR="00FC14FC" w:rsidRPr="00152A72" w14:paraId="31CD571C" w14:textId="77777777" w:rsidTr="00D11B9D">
              <w:tc>
                <w:tcPr>
                  <w:tcW w:w="700" w:type="pct"/>
                  <w:shd w:val="clear" w:color="auto" w:fill="F2F2F2" w:themeFill="background1" w:themeFillShade="F2"/>
                </w:tcPr>
                <w:p w14:paraId="48A39064" w14:textId="77777777" w:rsidR="00FC14FC" w:rsidRDefault="00FC14FC" w:rsidP="00D11B9D">
                  <w:pPr>
                    <w:pStyle w:val="TableBodyText"/>
                    <w:jc w:val="left"/>
                  </w:pPr>
                  <w:r>
                    <w:t>Public sector</w:t>
                  </w:r>
                </w:p>
              </w:tc>
              <w:tc>
                <w:tcPr>
                  <w:tcW w:w="306" w:type="pct"/>
                  <w:shd w:val="clear" w:color="auto" w:fill="F2F2F2" w:themeFill="background1" w:themeFillShade="F2"/>
                  <w:vAlign w:val="bottom"/>
                </w:tcPr>
                <w:p w14:paraId="45E71B61" w14:textId="77777777" w:rsidR="00FC14FC" w:rsidRDefault="00FC14FC" w:rsidP="00D11B9D">
                  <w:pPr>
                    <w:pStyle w:val="TableBodyText"/>
                  </w:pPr>
                  <w:r>
                    <w:t>61.3</w:t>
                  </w:r>
                </w:p>
              </w:tc>
              <w:tc>
                <w:tcPr>
                  <w:tcW w:w="335" w:type="pct"/>
                  <w:shd w:val="clear" w:color="auto" w:fill="F2F2F2" w:themeFill="background1" w:themeFillShade="F2"/>
                  <w:vAlign w:val="bottom"/>
                </w:tcPr>
                <w:p w14:paraId="4E1223EA" w14:textId="77777777" w:rsidR="00FC14FC" w:rsidRDefault="00FC14FC" w:rsidP="00D11B9D">
                  <w:pPr>
                    <w:pStyle w:val="TableBodyText"/>
                  </w:pPr>
                  <w:r>
                    <w:t>44.3</w:t>
                  </w:r>
                </w:p>
              </w:tc>
              <w:tc>
                <w:tcPr>
                  <w:tcW w:w="335" w:type="pct"/>
                  <w:shd w:val="clear" w:color="auto" w:fill="F2F2F2" w:themeFill="background1" w:themeFillShade="F2"/>
                  <w:vAlign w:val="bottom"/>
                </w:tcPr>
                <w:p w14:paraId="28F8B362" w14:textId="77777777" w:rsidR="00FC14FC" w:rsidRDefault="00FC14FC" w:rsidP="00D11B9D">
                  <w:pPr>
                    <w:pStyle w:val="TableBodyText"/>
                  </w:pPr>
                  <w:r>
                    <w:t>22.3</w:t>
                  </w:r>
                </w:p>
              </w:tc>
              <w:tc>
                <w:tcPr>
                  <w:tcW w:w="335" w:type="pct"/>
                  <w:shd w:val="clear" w:color="auto" w:fill="F2F2F2" w:themeFill="background1" w:themeFillShade="F2"/>
                  <w:vAlign w:val="bottom"/>
                </w:tcPr>
                <w:p w14:paraId="6806753D" w14:textId="77777777" w:rsidR="00FC14FC" w:rsidRDefault="00FC14FC" w:rsidP="00D11B9D">
                  <w:pPr>
                    <w:pStyle w:val="TableBodyText"/>
                  </w:pPr>
                  <w:r>
                    <w:t>46.8</w:t>
                  </w:r>
                </w:p>
              </w:tc>
              <w:tc>
                <w:tcPr>
                  <w:tcW w:w="335" w:type="pct"/>
                  <w:shd w:val="clear" w:color="auto" w:fill="F2F2F2" w:themeFill="background1" w:themeFillShade="F2"/>
                  <w:vAlign w:val="bottom"/>
                </w:tcPr>
                <w:p w14:paraId="5ACC9FAB" w14:textId="77777777" w:rsidR="00FC14FC" w:rsidRDefault="00FC14FC" w:rsidP="00D11B9D">
                  <w:pPr>
                    <w:pStyle w:val="TableBodyText"/>
                  </w:pPr>
                  <w:r>
                    <w:t>72.1</w:t>
                  </w:r>
                </w:p>
              </w:tc>
              <w:tc>
                <w:tcPr>
                  <w:tcW w:w="335" w:type="pct"/>
                  <w:shd w:val="clear" w:color="auto" w:fill="F2F2F2" w:themeFill="background1" w:themeFillShade="F2"/>
                  <w:vAlign w:val="bottom"/>
                </w:tcPr>
                <w:p w14:paraId="77163C48" w14:textId="77777777" w:rsidR="00FC14FC" w:rsidRDefault="00FC14FC" w:rsidP="00D11B9D">
                  <w:pPr>
                    <w:pStyle w:val="TableBodyText"/>
                  </w:pPr>
                  <w:r>
                    <w:t>61.6</w:t>
                  </w:r>
                </w:p>
              </w:tc>
              <w:tc>
                <w:tcPr>
                  <w:tcW w:w="335" w:type="pct"/>
                  <w:shd w:val="clear" w:color="auto" w:fill="F2F2F2" w:themeFill="background1" w:themeFillShade="F2"/>
                  <w:vAlign w:val="bottom"/>
                </w:tcPr>
                <w:p w14:paraId="2B139C34" w14:textId="77777777" w:rsidR="00FC14FC" w:rsidRDefault="00FC14FC" w:rsidP="00D11B9D">
                  <w:pPr>
                    <w:pStyle w:val="TableBodyText"/>
                  </w:pPr>
                  <w:r>
                    <w:t>51.8</w:t>
                  </w:r>
                </w:p>
              </w:tc>
              <w:tc>
                <w:tcPr>
                  <w:tcW w:w="333" w:type="pct"/>
                  <w:shd w:val="clear" w:color="auto" w:fill="F2F2F2" w:themeFill="background1" w:themeFillShade="F2"/>
                  <w:vAlign w:val="bottom"/>
                </w:tcPr>
                <w:p w14:paraId="2A5C4F15" w14:textId="77777777" w:rsidR="00FC14FC" w:rsidRDefault="00FC14FC" w:rsidP="00D11B9D">
                  <w:pPr>
                    <w:pStyle w:val="TableBodyText"/>
                  </w:pPr>
                  <w:r>
                    <w:t>–</w:t>
                  </w:r>
                  <w:r w:rsidRPr="006C2137">
                    <w:rPr>
                      <w:b/>
                    </w:rPr>
                    <w:t xml:space="preserve"> a</w:t>
                  </w:r>
                  <w:r w:rsidRPr="00152A72" w:rsidDel="00152A72">
                    <w:t xml:space="preserve"> </w:t>
                  </w:r>
                </w:p>
              </w:tc>
              <w:tc>
                <w:tcPr>
                  <w:tcW w:w="332" w:type="pct"/>
                  <w:shd w:val="clear" w:color="auto" w:fill="F2F2F2" w:themeFill="background1" w:themeFillShade="F2"/>
                  <w:vAlign w:val="bottom"/>
                </w:tcPr>
                <w:p w14:paraId="3252AA74" w14:textId="77777777" w:rsidR="00FC14FC" w:rsidRDefault="00FC14FC" w:rsidP="00D11B9D">
                  <w:pPr>
                    <w:pStyle w:val="TableBodyText"/>
                    <w:ind w:right="28"/>
                  </w:pPr>
                  <w:r>
                    <w:t>46.7</w:t>
                  </w:r>
                </w:p>
              </w:tc>
              <w:tc>
                <w:tcPr>
                  <w:tcW w:w="332" w:type="pct"/>
                  <w:shd w:val="clear" w:color="auto" w:fill="F2F2F2" w:themeFill="background1" w:themeFillShade="F2"/>
                  <w:vAlign w:val="bottom"/>
                </w:tcPr>
                <w:p w14:paraId="2861E51B" w14:textId="77777777" w:rsidR="00FC14FC" w:rsidRDefault="00FC14FC" w:rsidP="00D11B9D">
                  <w:pPr>
                    <w:pStyle w:val="TableBodyText"/>
                    <w:ind w:right="28"/>
                  </w:pPr>
                  <w:r>
                    <w:t>90.4</w:t>
                  </w:r>
                </w:p>
              </w:tc>
              <w:tc>
                <w:tcPr>
                  <w:tcW w:w="335" w:type="pct"/>
                  <w:shd w:val="clear" w:color="auto" w:fill="F2F2F2" w:themeFill="background1" w:themeFillShade="F2"/>
                  <w:vAlign w:val="bottom"/>
                </w:tcPr>
                <w:p w14:paraId="4E9F02CB" w14:textId="77777777" w:rsidR="00FC14FC" w:rsidRDefault="00FC14FC" w:rsidP="00D11B9D">
                  <w:pPr>
                    <w:pStyle w:val="TableBodyText"/>
                    <w:ind w:right="28"/>
                  </w:pPr>
                  <w:r>
                    <w:t>100.0</w:t>
                  </w:r>
                </w:p>
              </w:tc>
              <w:tc>
                <w:tcPr>
                  <w:tcW w:w="326" w:type="pct"/>
                  <w:shd w:val="clear" w:color="auto" w:fill="F2F2F2" w:themeFill="background1" w:themeFillShade="F2"/>
                  <w:vAlign w:val="bottom"/>
                </w:tcPr>
                <w:p w14:paraId="453AF23F" w14:textId="77777777" w:rsidR="00FC14FC" w:rsidRDefault="00FC14FC" w:rsidP="00D11B9D">
                  <w:pPr>
                    <w:pStyle w:val="TableBodyText"/>
                    <w:ind w:right="28"/>
                  </w:pPr>
                  <w:r w:rsidRPr="007F3A77">
                    <w:t>100.0</w:t>
                  </w:r>
                </w:p>
              </w:tc>
              <w:tc>
                <w:tcPr>
                  <w:tcW w:w="326" w:type="pct"/>
                  <w:shd w:val="clear" w:color="auto" w:fill="F2F2F2" w:themeFill="background1" w:themeFillShade="F2"/>
                  <w:vAlign w:val="bottom"/>
                </w:tcPr>
                <w:p w14:paraId="016C4630" w14:textId="77777777" w:rsidR="00FC14FC" w:rsidRDefault="00FC14FC" w:rsidP="00D11B9D">
                  <w:pPr>
                    <w:pStyle w:val="TableBodyText"/>
                    <w:ind w:right="28"/>
                  </w:pPr>
                  <w:r>
                    <w:t>100.0</w:t>
                  </w:r>
                </w:p>
              </w:tc>
            </w:tr>
            <w:tr w:rsidR="00FC14FC" w14:paraId="1CA6F0DD" w14:textId="77777777" w:rsidTr="00D11B9D">
              <w:tc>
                <w:tcPr>
                  <w:tcW w:w="700" w:type="pct"/>
                  <w:tcBorders>
                    <w:bottom w:val="single" w:sz="6" w:space="0" w:color="BFBFBF"/>
                  </w:tcBorders>
                  <w:shd w:val="clear" w:color="auto" w:fill="auto"/>
                </w:tcPr>
                <w:p w14:paraId="2D93A571" w14:textId="77777777" w:rsidR="00FC14FC" w:rsidRDefault="00FC14FC" w:rsidP="00D11B9D">
                  <w:pPr>
                    <w:pStyle w:val="TableBodyText"/>
                    <w:jc w:val="left"/>
                  </w:pPr>
                  <w:r>
                    <w:t>Retail</w:t>
                  </w:r>
                </w:p>
              </w:tc>
              <w:tc>
                <w:tcPr>
                  <w:tcW w:w="306" w:type="pct"/>
                  <w:tcBorders>
                    <w:bottom w:val="single" w:sz="6" w:space="0" w:color="BFBFBF"/>
                  </w:tcBorders>
                  <w:vAlign w:val="bottom"/>
                </w:tcPr>
                <w:p w14:paraId="143E9DFB" w14:textId="77777777" w:rsidR="00FC14FC" w:rsidRDefault="00FC14FC" w:rsidP="00D11B9D">
                  <w:pPr>
                    <w:pStyle w:val="TableBodyText"/>
                  </w:pPr>
                  <w:r>
                    <w:t>55.3</w:t>
                  </w:r>
                </w:p>
              </w:tc>
              <w:tc>
                <w:tcPr>
                  <w:tcW w:w="335" w:type="pct"/>
                  <w:tcBorders>
                    <w:bottom w:val="single" w:sz="6" w:space="0" w:color="BFBFBF"/>
                  </w:tcBorders>
                  <w:shd w:val="clear" w:color="auto" w:fill="auto"/>
                  <w:vAlign w:val="bottom"/>
                </w:tcPr>
                <w:p w14:paraId="413F71AD" w14:textId="77777777" w:rsidR="00FC14FC" w:rsidRDefault="00FC14FC" w:rsidP="00D11B9D">
                  <w:pPr>
                    <w:pStyle w:val="TableBodyText"/>
                  </w:pPr>
                  <w:r>
                    <w:t>70.9</w:t>
                  </w:r>
                </w:p>
              </w:tc>
              <w:tc>
                <w:tcPr>
                  <w:tcW w:w="335" w:type="pct"/>
                  <w:tcBorders>
                    <w:bottom w:val="single" w:sz="6" w:space="0" w:color="BFBFBF"/>
                  </w:tcBorders>
                  <w:shd w:val="clear" w:color="auto" w:fill="auto"/>
                  <w:vAlign w:val="bottom"/>
                </w:tcPr>
                <w:p w14:paraId="39F8C09E" w14:textId="77777777" w:rsidR="00FC14FC" w:rsidRDefault="00FC14FC" w:rsidP="00D11B9D">
                  <w:pPr>
                    <w:pStyle w:val="TableBodyText"/>
                  </w:pPr>
                  <w:r>
                    <w:t>73.5</w:t>
                  </w:r>
                </w:p>
              </w:tc>
              <w:tc>
                <w:tcPr>
                  <w:tcW w:w="335" w:type="pct"/>
                  <w:tcBorders>
                    <w:bottom w:val="single" w:sz="6" w:space="0" w:color="BFBFBF"/>
                  </w:tcBorders>
                  <w:vAlign w:val="bottom"/>
                </w:tcPr>
                <w:p w14:paraId="17024990" w14:textId="77777777" w:rsidR="00FC14FC" w:rsidRDefault="00FC14FC" w:rsidP="00D11B9D">
                  <w:pPr>
                    <w:pStyle w:val="TableBodyText"/>
                  </w:pPr>
                  <w:r>
                    <w:t>49.5</w:t>
                  </w:r>
                </w:p>
              </w:tc>
              <w:tc>
                <w:tcPr>
                  <w:tcW w:w="335" w:type="pct"/>
                  <w:tcBorders>
                    <w:bottom w:val="single" w:sz="6" w:space="0" w:color="BFBFBF"/>
                  </w:tcBorders>
                  <w:vAlign w:val="bottom"/>
                </w:tcPr>
                <w:p w14:paraId="4DCCDCD3" w14:textId="77777777" w:rsidR="00FC14FC" w:rsidRDefault="00FC14FC" w:rsidP="00D11B9D">
                  <w:pPr>
                    <w:pStyle w:val="TableBodyText"/>
                  </w:pPr>
                  <w:r>
                    <w:t>50.8</w:t>
                  </w:r>
                </w:p>
              </w:tc>
              <w:tc>
                <w:tcPr>
                  <w:tcW w:w="335" w:type="pct"/>
                  <w:tcBorders>
                    <w:bottom w:val="single" w:sz="6" w:space="0" w:color="BFBFBF"/>
                  </w:tcBorders>
                  <w:vAlign w:val="bottom"/>
                </w:tcPr>
                <w:p w14:paraId="47405761" w14:textId="77777777" w:rsidR="00FC14FC" w:rsidRDefault="00FC14FC" w:rsidP="00D11B9D">
                  <w:pPr>
                    <w:pStyle w:val="TableBodyText"/>
                  </w:pPr>
                  <w:r>
                    <w:t>50.8</w:t>
                  </w:r>
                </w:p>
              </w:tc>
              <w:tc>
                <w:tcPr>
                  <w:tcW w:w="335" w:type="pct"/>
                  <w:tcBorders>
                    <w:bottom w:val="single" w:sz="6" w:space="0" w:color="BFBFBF"/>
                  </w:tcBorders>
                  <w:vAlign w:val="bottom"/>
                </w:tcPr>
                <w:p w14:paraId="0A64FE15" w14:textId="77777777" w:rsidR="00FC14FC" w:rsidRDefault="00FC14FC" w:rsidP="00D11B9D">
                  <w:pPr>
                    <w:pStyle w:val="TableBodyText"/>
                  </w:pPr>
                  <w:r>
                    <w:t>53.3</w:t>
                  </w:r>
                </w:p>
              </w:tc>
              <w:tc>
                <w:tcPr>
                  <w:tcW w:w="333" w:type="pct"/>
                  <w:tcBorders>
                    <w:bottom w:val="single" w:sz="6" w:space="0" w:color="BFBFBF"/>
                  </w:tcBorders>
                  <w:vAlign w:val="bottom"/>
                </w:tcPr>
                <w:p w14:paraId="5F7416F0" w14:textId="77777777" w:rsidR="00FC14FC" w:rsidRDefault="00FC14FC" w:rsidP="00D11B9D">
                  <w:pPr>
                    <w:pStyle w:val="TableBodyText"/>
                  </w:pPr>
                  <w:r>
                    <w:t>48.2</w:t>
                  </w:r>
                </w:p>
              </w:tc>
              <w:tc>
                <w:tcPr>
                  <w:tcW w:w="332" w:type="pct"/>
                  <w:tcBorders>
                    <w:bottom w:val="single" w:sz="6" w:space="0" w:color="BFBFBF"/>
                  </w:tcBorders>
                  <w:vAlign w:val="bottom"/>
                </w:tcPr>
                <w:p w14:paraId="03A0CE95" w14:textId="77777777" w:rsidR="00FC14FC" w:rsidRDefault="00FC14FC" w:rsidP="00D11B9D">
                  <w:pPr>
                    <w:pStyle w:val="TableBodyText"/>
                  </w:pPr>
                  <w:r>
                    <w:t>50.9</w:t>
                  </w:r>
                </w:p>
              </w:tc>
              <w:tc>
                <w:tcPr>
                  <w:tcW w:w="332" w:type="pct"/>
                  <w:tcBorders>
                    <w:bottom w:val="single" w:sz="6" w:space="0" w:color="BFBFBF"/>
                  </w:tcBorders>
                  <w:vAlign w:val="bottom"/>
                </w:tcPr>
                <w:p w14:paraId="4B21D1FE" w14:textId="77777777" w:rsidR="00FC14FC" w:rsidRDefault="00FC14FC" w:rsidP="00D11B9D">
                  <w:pPr>
                    <w:pStyle w:val="TableBodyText"/>
                  </w:pPr>
                  <w:r>
                    <w:t>56.6</w:t>
                  </w:r>
                </w:p>
              </w:tc>
              <w:tc>
                <w:tcPr>
                  <w:tcW w:w="335" w:type="pct"/>
                  <w:tcBorders>
                    <w:bottom w:val="single" w:sz="6" w:space="0" w:color="BFBFBF"/>
                  </w:tcBorders>
                  <w:vAlign w:val="bottom"/>
                </w:tcPr>
                <w:p w14:paraId="6B81C906" w14:textId="77777777" w:rsidR="00FC14FC" w:rsidRDefault="00FC14FC" w:rsidP="00D11B9D">
                  <w:pPr>
                    <w:pStyle w:val="TableBodyText"/>
                  </w:pPr>
                  <w:r>
                    <w:t>56.2</w:t>
                  </w:r>
                </w:p>
              </w:tc>
              <w:tc>
                <w:tcPr>
                  <w:tcW w:w="326" w:type="pct"/>
                  <w:tcBorders>
                    <w:bottom w:val="single" w:sz="6" w:space="0" w:color="BFBFBF"/>
                  </w:tcBorders>
                </w:tcPr>
                <w:p w14:paraId="6D09DD85" w14:textId="77777777" w:rsidR="00FC14FC" w:rsidRDefault="00FC14FC" w:rsidP="00D11B9D">
                  <w:pPr>
                    <w:pStyle w:val="TableBodyText"/>
                    <w:ind w:right="28"/>
                  </w:pPr>
                  <w:r w:rsidRPr="007F3A77">
                    <w:t>48.5</w:t>
                  </w:r>
                </w:p>
              </w:tc>
              <w:tc>
                <w:tcPr>
                  <w:tcW w:w="326" w:type="pct"/>
                  <w:tcBorders>
                    <w:bottom w:val="single" w:sz="6" w:space="0" w:color="BFBFBF"/>
                  </w:tcBorders>
                  <w:vAlign w:val="bottom"/>
                </w:tcPr>
                <w:p w14:paraId="2E84185A" w14:textId="77777777" w:rsidR="00FC14FC" w:rsidRDefault="00FC14FC" w:rsidP="00D11B9D">
                  <w:pPr>
                    <w:pStyle w:val="TableBodyText"/>
                    <w:ind w:right="28"/>
                  </w:pPr>
                  <w:r>
                    <w:t>54.6</w:t>
                  </w:r>
                </w:p>
              </w:tc>
            </w:tr>
          </w:tbl>
          <w:p w14:paraId="4B7322A7" w14:textId="77777777" w:rsidR="00FC14FC" w:rsidRDefault="00FC14FC" w:rsidP="00D11B9D">
            <w:pPr>
              <w:pStyle w:val="Box"/>
            </w:pPr>
          </w:p>
        </w:tc>
      </w:tr>
      <w:tr w:rsidR="00FC14FC" w14:paraId="6863256C" w14:textId="77777777" w:rsidTr="00D11B9D">
        <w:tc>
          <w:tcPr>
            <w:tcW w:w="5000" w:type="pct"/>
            <w:tcBorders>
              <w:top w:val="nil"/>
              <w:left w:val="nil"/>
              <w:bottom w:val="nil"/>
              <w:right w:val="nil"/>
            </w:tcBorders>
            <w:shd w:val="clear" w:color="auto" w:fill="auto"/>
          </w:tcPr>
          <w:p w14:paraId="35AA7BFB" w14:textId="77777777" w:rsidR="00FC14FC" w:rsidRDefault="00FC14FC" w:rsidP="00D11B9D">
            <w:pPr>
              <w:pStyle w:val="Note"/>
              <w:rPr>
                <w:i/>
              </w:rPr>
            </w:pPr>
            <w:r w:rsidRPr="008E77FE">
              <w:rPr>
                <w:rStyle w:val="NoteLabel"/>
              </w:rPr>
              <w:t>a</w:t>
            </w:r>
            <w:r>
              <w:t xml:space="preserve"> The public sector options that reported on property in this year only had investments in domestic property. – Nil or rounded to zero. </w:t>
            </w:r>
          </w:p>
        </w:tc>
      </w:tr>
      <w:tr w:rsidR="00FC14FC" w14:paraId="09068677" w14:textId="77777777" w:rsidTr="00D11B9D">
        <w:tc>
          <w:tcPr>
            <w:tcW w:w="5000" w:type="pct"/>
            <w:tcBorders>
              <w:top w:val="nil"/>
              <w:left w:val="nil"/>
              <w:bottom w:val="single" w:sz="4" w:space="0" w:color="78A22F"/>
              <w:right w:val="nil"/>
            </w:tcBorders>
            <w:shd w:val="clear" w:color="auto" w:fill="auto"/>
          </w:tcPr>
          <w:p w14:paraId="3E9F86E3" w14:textId="77777777" w:rsidR="00FC14FC" w:rsidRDefault="00FC14FC" w:rsidP="00D11B9D">
            <w:pPr>
              <w:pStyle w:val="Source"/>
              <w:spacing w:after="120"/>
            </w:pPr>
            <w:r>
              <w:rPr>
                <w:i/>
              </w:rPr>
              <w:t>Sources</w:t>
            </w:r>
            <w:r w:rsidRPr="00167F06">
              <w:t xml:space="preserve">: </w:t>
            </w:r>
            <w:r>
              <w:t xml:space="preserve">PC analysis of unpublished APRA </w:t>
            </w:r>
            <w:r w:rsidDel="00F71AE2">
              <w:t>data</w:t>
            </w:r>
            <w:r>
              <w:t xml:space="preserve"> and Rainmaker data.</w:t>
            </w:r>
          </w:p>
        </w:tc>
      </w:tr>
    </w:tbl>
    <w:p w14:paraId="5A612818" w14:textId="77777777" w:rsidR="00FC14FC" w:rsidRDefault="00FC14FC" w:rsidP="00FC14FC">
      <w:pPr>
        <w:pStyle w:val="Heading5"/>
      </w:pPr>
      <w:r>
        <w:lastRenderedPageBreak/>
        <w:t>Research firm asset allocation data</w:t>
      </w:r>
    </w:p>
    <w:p w14:paraId="5C4C08A5" w14:textId="77777777" w:rsidR="00FC14FC" w:rsidRDefault="00FC14FC" w:rsidP="00FC14FC">
      <w:pPr>
        <w:pStyle w:val="BodyText"/>
      </w:pPr>
      <w:r>
        <w:t>While research firm asset allocation data were useful for addressing gaps in APRA asset allocation data (as described above) and constructing BPs for some segments (such as default and choice), the unaudited nature of the asset allocation data meant they were sometimes of questionable quality. For example, for some options in some years, the asset allocation summed to well below 100 per cent despite a comprehensive set of asset classes being allowed for. In some cases ‘other’ assets occupied an unusually large proportion of an investment option’s reported assets.</w:t>
      </w:r>
    </w:p>
    <w:p w14:paraId="6BF4794E" w14:textId="77777777" w:rsidR="00FC14FC" w:rsidRDefault="00FC14FC" w:rsidP="00FC14FC">
      <w:pPr>
        <w:pStyle w:val="BodyText"/>
      </w:pPr>
      <w:r>
        <w:t>The Commission has applied adjustments when asset allocations do not sum to 100 per cent, by assuming that the asset</w:t>
      </w:r>
      <w:r>
        <w:noBreakHyphen/>
        <w:t xml:space="preserve">weighted asset allocation by segment is representative of the relative allocations between asset classes. Scaling factors were then applied to ensure the weighted segment asset allocation sums to 100 per cent while maintaining the relative allocation to each asset class. </w:t>
      </w:r>
    </w:p>
    <w:p w14:paraId="1CDE9D99" w14:textId="77777777" w:rsidR="00FC14FC" w:rsidRPr="00175BF2" w:rsidRDefault="00FC14FC" w:rsidP="00FC14FC">
      <w:pPr>
        <w:pStyle w:val="BodyText"/>
      </w:pPr>
      <w:r>
        <w:t>For the choice segment option</w:t>
      </w:r>
      <w:r>
        <w:noBreakHyphen/>
        <w:t>level distributional analysis (figure 4.20), the Commission has not made similar adjustments. Whereas at a segment level the asset allocations were not too far from 100 per cent, at the option level, there were many instances where the asset allocation fell far short of 100 per cent, potentially due to nonreporting for some asset classes. In these cases, scaling the reported assets to 100 per cent would not necessarily be accurate. This approach of no adjustment means that some options may be treated generously by the analysis as the option’s benchmark would place a zero weight on non</w:t>
      </w:r>
      <w:r>
        <w:noBreakHyphen/>
        <w:t xml:space="preserve">reported assets, meaning that the BPs would only be constructed on the basis of a proportion of the option’s returns. This is consistent with giving funds the benefit of the doubt where there are significant uncertainties. </w:t>
      </w:r>
    </w:p>
    <w:p w14:paraId="2350BE97" w14:textId="77777777" w:rsidR="00FC14FC" w:rsidRDefault="00FC14FC" w:rsidP="00FC14FC">
      <w:pPr>
        <w:pStyle w:val="Heading5"/>
      </w:pPr>
      <w:r>
        <w:t>Fixed 70:30 BPs</w:t>
      </w:r>
    </w:p>
    <w:p w14:paraId="6BAC6FAF" w14:textId="77777777" w:rsidR="00FC14FC" w:rsidRDefault="00FC14FC" w:rsidP="00FC14FC">
      <w:pPr>
        <w:pStyle w:val="BodyText"/>
      </w:pPr>
      <w:r>
        <w:t xml:space="preserve">In chapter 2, the Commission used BPs constructed from average asset allocations (weighted by assets) or the asset allocation of segments, individual funds or options. In this technical supplement, the Commission also used BPs which fix the asset allocation of the portfolio at 70 per cent in growth asset classes (equities, infrastructure and property) and 30 per cent in defensive asset classes (fixed income and cash) (a 70:30 BP). This was suggested by some participants in stage 1 as one of many benchmarks that could be drawn on. </w:t>
      </w:r>
    </w:p>
    <w:p w14:paraId="51457BB1" w14:textId="77777777" w:rsidR="00FC14FC" w:rsidRPr="002E62CB" w:rsidDel="004C0861" w:rsidRDefault="00FC14FC" w:rsidP="00FC14FC">
      <w:pPr>
        <w:pStyle w:val="BodyText"/>
      </w:pPr>
      <w:r>
        <w:t>To construct these BPs, the Commission drew on the asset allocation of balanced investment options as a starting point — many balanced options have growth orientations of approximately 70 per cent. The average asset allocation (to individual asset classes) among these options was calculated. Similar to other adjustments, the Commission then scaled growth and defensive assets so that the average asset allocation in each year was fixed at 70 per cent growth assets. Rainmaker option asset allocation data were used for this.</w:t>
      </w:r>
    </w:p>
    <w:p w14:paraId="71A71D86" w14:textId="77777777" w:rsidR="00FC14FC" w:rsidRDefault="00FC14FC" w:rsidP="00FC14FC">
      <w:pPr>
        <w:pStyle w:val="Heading5"/>
      </w:pPr>
      <w:r>
        <w:lastRenderedPageBreak/>
        <w:t>Deriving individual default product asset allocation</w:t>
      </w:r>
    </w:p>
    <w:p w14:paraId="332490EC" w14:textId="77777777" w:rsidR="00FC14FC" w:rsidRDefault="00FC14FC" w:rsidP="00FC14FC">
      <w:pPr>
        <w:pStyle w:val="BodyText"/>
      </w:pPr>
      <w:r>
        <w:t>Adjustments also had to be made to asset allocation data for MySuper products so that these allocations would sum to 100 per cent and be consistent with reported growth and defensive ratios.</w:t>
      </w:r>
      <w:r w:rsidDel="002C0CFC">
        <w:t xml:space="preserve"> </w:t>
      </w:r>
      <w:r>
        <w:t>The first step was to impute listed/unlisted and domestic/international breakdowns for those observations without them (table 4.17).</w:t>
      </w:r>
      <w:r w:rsidDel="00A13A56">
        <w:t xml:space="preserve"> </w:t>
      </w:r>
      <w:r>
        <w:t>For these observations, the average breakdown for a given year for other observations with the data was used.</w:t>
      </w:r>
      <w:r w:rsidDel="00A13A56">
        <w:t xml:space="preserve"> </w:t>
      </w:r>
    </w:p>
    <w:p w14:paraId="1CD86F4D"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05E637C7" w14:textId="77777777" w:rsidTr="00D11B9D">
        <w:trPr>
          <w:tblHeader/>
        </w:trPr>
        <w:tc>
          <w:tcPr>
            <w:tcW w:w="5000" w:type="pct"/>
            <w:tcBorders>
              <w:top w:val="single" w:sz="6" w:space="0" w:color="78A22F"/>
              <w:left w:val="nil"/>
              <w:bottom w:val="nil"/>
              <w:right w:val="nil"/>
            </w:tcBorders>
            <w:shd w:val="clear" w:color="auto" w:fill="auto"/>
          </w:tcPr>
          <w:p w14:paraId="36328DFA" w14:textId="77777777" w:rsidR="00FC14FC" w:rsidRDefault="00FC14FC" w:rsidP="00D11B9D">
            <w:pPr>
              <w:pStyle w:val="TableTitle"/>
            </w:pPr>
            <w:r>
              <w:rPr>
                <w:b w:val="0"/>
              </w:rPr>
              <w:t>Table 4.17</w:t>
            </w:r>
            <w:r>
              <w:tab/>
              <w:t>Individual default product asset allocation imputations</w:t>
            </w:r>
          </w:p>
          <w:p w14:paraId="4C7D81B7" w14:textId="77777777" w:rsidR="00FC14FC" w:rsidRPr="0084775B" w:rsidRDefault="00FC14FC" w:rsidP="00D11B9D">
            <w:pPr>
              <w:pStyle w:val="Subtitle"/>
            </w:pPr>
            <w:r>
              <w:t>2008</w:t>
            </w:r>
            <w:r>
              <w:noBreakHyphen/>
              <w:t>2018</w:t>
            </w:r>
          </w:p>
        </w:tc>
      </w:tr>
      <w:tr w:rsidR="00FC14FC" w14:paraId="7867D539"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19"/>
              <w:gridCol w:w="2126"/>
              <w:gridCol w:w="2550"/>
              <w:gridCol w:w="2410"/>
            </w:tblGrid>
            <w:tr w:rsidR="00FC14FC" w14:paraId="3AB3ED08" w14:textId="77777777" w:rsidTr="00D11B9D">
              <w:trPr>
                <w:tblHeader/>
              </w:trPr>
              <w:tc>
                <w:tcPr>
                  <w:tcW w:w="834" w:type="pct"/>
                  <w:tcBorders>
                    <w:top w:val="single" w:sz="6" w:space="0" w:color="BFBFBF"/>
                    <w:bottom w:val="single" w:sz="6" w:space="0" w:color="BFBFBF"/>
                  </w:tcBorders>
                  <w:shd w:val="clear" w:color="auto" w:fill="auto"/>
                  <w:tcMar>
                    <w:top w:w="28" w:type="dxa"/>
                  </w:tcMar>
                </w:tcPr>
                <w:p w14:paraId="6BF68F27" w14:textId="77777777" w:rsidR="00FC14FC" w:rsidRDefault="00FC14FC" w:rsidP="00D11B9D">
                  <w:pPr>
                    <w:pStyle w:val="TableColumnHeading"/>
                    <w:jc w:val="left"/>
                  </w:pPr>
                  <w:r>
                    <w:t>Asset class</w:t>
                  </w:r>
                </w:p>
              </w:tc>
              <w:tc>
                <w:tcPr>
                  <w:tcW w:w="1250" w:type="pct"/>
                  <w:tcBorders>
                    <w:top w:val="single" w:sz="6" w:space="0" w:color="BFBFBF"/>
                    <w:bottom w:val="single" w:sz="6" w:space="0" w:color="BFBFBF"/>
                  </w:tcBorders>
                  <w:shd w:val="clear" w:color="auto" w:fill="auto"/>
                  <w:tcMar>
                    <w:top w:w="28" w:type="dxa"/>
                  </w:tcMar>
                </w:tcPr>
                <w:p w14:paraId="6CDEBE68" w14:textId="77777777" w:rsidR="00FC14FC" w:rsidRDefault="00FC14FC" w:rsidP="00D11B9D">
                  <w:pPr>
                    <w:pStyle w:val="TableColumnHeading"/>
                    <w:ind w:right="28"/>
                    <w:jc w:val="left"/>
                  </w:pPr>
                  <w:r>
                    <w:t>Breakdown</w:t>
                  </w:r>
                </w:p>
              </w:tc>
              <w:tc>
                <w:tcPr>
                  <w:tcW w:w="1499" w:type="pct"/>
                  <w:tcBorders>
                    <w:top w:val="single" w:sz="6" w:space="0" w:color="BFBFBF"/>
                    <w:bottom w:val="single" w:sz="6" w:space="0" w:color="BFBFBF"/>
                  </w:tcBorders>
                </w:tcPr>
                <w:p w14:paraId="383B83B5" w14:textId="77777777" w:rsidR="00FC14FC" w:rsidRDefault="00FC14FC" w:rsidP="00D11B9D">
                  <w:pPr>
                    <w:pStyle w:val="TableColumnHeading"/>
                    <w:ind w:right="28"/>
                  </w:pPr>
                  <w:r>
                    <w:t>Number of obs (% of sample)</w:t>
                  </w:r>
                </w:p>
              </w:tc>
              <w:tc>
                <w:tcPr>
                  <w:tcW w:w="1417" w:type="pct"/>
                  <w:tcBorders>
                    <w:top w:val="single" w:sz="6" w:space="0" w:color="BFBFBF"/>
                    <w:bottom w:val="single" w:sz="6" w:space="0" w:color="BFBFBF"/>
                  </w:tcBorders>
                </w:tcPr>
                <w:p w14:paraId="5E388E32" w14:textId="77777777" w:rsidR="00FC14FC" w:rsidRDefault="00FC14FC" w:rsidP="00D11B9D">
                  <w:pPr>
                    <w:pStyle w:val="TableColumnHeading"/>
                    <w:ind w:right="28"/>
                  </w:pPr>
                  <w:r>
                    <w:t>Avg. annual imputation (%)</w:t>
                  </w:r>
                </w:p>
              </w:tc>
            </w:tr>
            <w:tr w:rsidR="00FC14FC" w14:paraId="3134A226" w14:textId="77777777" w:rsidTr="00D11B9D">
              <w:tc>
                <w:tcPr>
                  <w:tcW w:w="834" w:type="pct"/>
                  <w:tcBorders>
                    <w:top w:val="single" w:sz="6" w:space="0" w:color="BFBFBF"/>
                  </w:tcBorders>
                </w:tcPr>
                <w:p w14:paraId="23990FB8" w14:textId="77777777" w:rsidR="00FC14FC" w:rsidRPr="00B81656" w:rsidRDefault="00FC14FC" w:rsidP="00D11B9D">
                  <w:pPr>
                    <w:pStyle w:val="TableBodyText"/>
                    <w:spacing w:before="40"/>
                    <w:jc w:val="left"/>
                  </w:pPr>
                  <w:r>
                    <w:t>Property</w:t>
                  </w:r>
                </w:p>
              </w:tc>
              <w:tc>
                <w:tcPr>
                  <w:tcW w:w="1250" w:type="pct"/>
                  <w:tcBorders>
                    <w:top w:val="single" w:sz="6" w:space="0" w:color="BFBFBF"/>
                  </w:tcBorders>
                </w:tcPr>
                <w:p w14:paraId="41FCC815" w14:textId="77777777" w:rsidR="00FC14FC" w:rsidRPr="00B81656" w:rsidRDefault="00FC14FC" w:rsidP="00D11B9D">
                  <w:pPr>
                    <w:pStyle w:val="TableBodyText"/>
                    <w:spacing w:before="40"/>
                    <w:jc w:val="left"/>
                  </w:pPr>
                  <w:r>
                    <w:t>Unlisted / listed</w:t>
                  </w:r>
                </w:p>
              </w:tc>
              <w:tc>
                <w:tcPr>
                  <w:tcW w:w="1499" w:type="pct"/>
                  <w:tcBorders>
                    <w:top w:val="single" w:sz="6" w:space="0" w:color="BFBFBF"/>
                  </w:tcBorders>
                </w:tcPr>
                <w:p w14:paraId="199496FD" w14:textId="77777777" w:rsidR="00FC14FC" w:rsidRPr="00B81656" w:rsidRDefault="00FC14FC" w:rsidP="00D11B9D">
                  <w:pPr>
                    <w:pStyle w:val="TableBodyText"/>
                    <w:spacing w:before="40"/>
                  </w:pPr>
                  <w:r>
                    <w:t>163 (27)</w:t>
                  </w:r>
                </w:p>
              </w:tc>
              <w:tc>
                <w:tcPr>
                  <w:tcW w:w="1417" w:type="pct"/>
                  <w:tcBorders>
                    <w:top w:val="single" w:sz="6" w:space="0" w:color="BFBFBF"/>
                  </w:tcBorders>
                </w:tcPr>
                <w:p w14:paraId="747114B7" w14:textId="77777777" w:rsidR="00FC14FC" w:rsidRPr="00B81656" w:rsidRDefault="00FC14FC" w:rsidP="00D11B9D">
                  <w:pPr>
                    <w:pStyle w:val="TableBodyText"/>
                    <w:spacing w:before="40"/>
                    <w:ind w:right="28"/>
                  </w:pPr>
                  <w:r>
                    <w:t xml:space="preserve">66 / 34 </w:t>
                  </w:r>
                </w:p>
              </w:tc>
            </w:tr>
            <w:tr w:rsidR="00FC14FC" w14:paraId="4BF82E89" w14:textId="77777777" w:rsidTr="00D11B9D">
              <w:tc>
                <w:tcPr>
                  <w:tcW w:w="834" w:type="pct"/>
                  <w:shd w:val="clear" w:color="auto" w:fill="F2F2F2" w:themeFill="background1" w:themeFillShade="F2"/>
                </w:tcPr>
                <w:p w14:paraId="4B3D5469" w14:textId="77777777" w:rsidR="00FC14FC" w:rsidRDefault="00FC14FC" w:rsidP="00D11B9D">
                  <w:pPr>
                    <w:pStyle w:val="TableBodyText"/>
                    <w:jc w:val="left"/>
                  </w:pPr>
                  <w:r>
                    <w:t>Listed property</w:t>
                  </w:r>
                </w:p>
              </w:tc>
              <w:tc>
                <w:tcPr>
                  <w:tcW w:w="1250" w:type="pct"/>
                  <w:shd w:val="clear" w:color="auto" w:fill="F2F2F2" w:themeFill="background1" w:themeFillShade="F2"/>
                </w:tcPr>
                <w:p w14:paraId="0ADC1A5D" w14:textId="77777777" w:rsidR="00FC14FC" w:rsidRPr="00B81656" w:rsidRDefault="00FC14FC" w:rsidP="00D11B9D">
                  <w:pPr>
                    <w:pStyle w:val="TableBodyText"/>
                    <w:jc w:val="left"/>
                  </w:pPr>
                  <w:r>
                    <w:t>Domestic / international</w:t>
                  </w:r>
                </w:p>
              </w:tc>
              <w:tc>
                <w:tcPr>
                  <w:tcW w:w="1499" w:type="pct"/>
                  <w:shd w:val="clear" w:color="auto" w:fill="F2F2F2" w:themeFill="background1" w:themeFillShade="F2"/>
                </w:tcPr>
                <w:p w14:paraId="38EC0993" w14:textId="77777777" w:rsidR="00FC14FC" w:rsidRPr="00B81656" w:rsidRDefault="00FC14FC" w:rsidP="00D11B9D">
                  <w:pPr>
                    <w:pStyle w:val="TableBodyText"/>
                  </w:pPr>
                  <w:r>
                    <w:t>204 (34)</w:t>
                  </w:r>
                </w:p>
              </w:tc>
              <w:tc>
                <w:tcPr>
                  <w:tcW w:w="1417" w:type="pct"/>
                  <w:shd w:val="clear" w:color="auto" w:fill="F2F2F2" w:themeFill="background1" w:themeFillShade="F2"/>
                </w:tcPr>
                <w:p w14:paraId="52381130" w14:textId="77777777" w:rsidR="00FC14FC" w:rsidRPr="00B81656" w:rsidRDefault="00FC14FC" w:rsidP="00D11B9D">
                  <w:pPr>
                    <w:pStyle w:val="TableBodyText"/>
                    <w:ind w:right="28"/>
                  </w:pPr>
                  <w:r>
                    <w:t>50 / 50</w:t>
                  </w:r>
                </w:p>
              </w:tc>
            </w:tr>
            <w:tr w:rsidR="00FC14FC" w14:paraId="7ED038E5" w14:textId="77777777" w:rsidTr="00D11B9D">
              <w:tc>
                <w:tcPr>
                  <w:tcW w:w="834" w:type="pct"/>
                  <w:shd w:val="clear" w:color="auto" w:fill="auto"/>
                </w:tcPr>
                <w:p w14:paraId="0B1E1E48" w14:textId="77777777" w:rsidR="00FC14FC" w:rsidRDefault="00FC14FC" w:rsidP="00D11B9D">
                  <w:pPr>
                    <w:pStyle w:val="TableBodyText"/>
                    <w:jc w:val="left"/>
                  </w:pPr>
                  <w:r>
                    <w:t>Infrastructure</w:t>
                  </w:r>
                </w:p>
              </w:tc>
              <w:tc>
                <w:tcPr>
                  <w:tcW w:w="1250" w:type="pct"/>
                  <w:shd w:val="clear" w:color="auto" w:fill="auto"/>
                </w:tcPr>
                <w:p w14:paraId="1D7C61D6" w14:textId="77777777" w:rsidR="00FC14FC" w:rsidRPr="00B81656" w:rsidRDefault="00FC14FC" w:rsidP="00D11B9D">
                  <w:pPr>
                    <w:pStyle w:val="TableBodyText"/>
                    <w:jc w:val="left"/>
                  </w:pPr>
                  <w:r>
                    <w:t>Domestic / international</w:t>
                  </w:r>
                </w:p>
              </w:tc>
              <w:tc>
                <w:tcPr>
                  <w:tcW w:w="1499" w:type="pct"/>
                </w:tcPr>
                <w:p w14:paraId="47C212A1" w14:textId="77777777" w:rsidR="00FC14FC" w:rsidRPr="00B81656" w:rsidRDefault="00FC14FC" w:rsidP="00D11B9D">
                  <w:pPr>
                    <w:pStyle w:val="TableBodyText"/>
                  </w:pPr>
                  <w:r>
                    <w:t>89 (15)</w:t>
                  </w:r>
                </w:p>
              </w:tc>
              <w:tc>
                <w:tcPr>
                  <w:tcW w:w="1417" w:type="pct"/>
                </w:tcPr>
                <w:p w14:paraId="7B5173B1" w14:textId="77777777" w:rsidR="00FC14FC" w:rsidRPr="00B81656" w:rsidRDefault="00FC14FC" w:rsidP="00D11B9D">
                  <w:pPr>
                    <w:pStyle w:val="TableBodyText"/>
                    <w:ind w:right="28"/>
                  </w:pPr>
                  <w:r>
                    <w:t>64 / 36</w:t>
                  </w:r>
                </w:p>
              </w:tc>
            </w:tr>
            <w:tr w:rsidR="00FC14FC" w14:paraId="693EE26F" w14:textId="77777777" w:rsidTr="00D11B9D">
              <w:trPr>
                <w:trHeight w:val="193"/>
              </w:trPr>
              <w:tc>
                <w:tcPr>
                  <w:tcW w:w="834" w:type="pct"/>
                  <w:shd w:val="clear" w:color="auto" w:fill="F2F2F2" w:themeFill="background1" w:themeFillShade="F2"/>
                </w:tcPr>
                <w:p w14:paraId="1523A31A" w14:textId="77777777" w:rsidR="00FC14FC" w:rsidRPr="0058334B" w:rsidRDefault="00FC14FC" w:rsidP="00D11B9D">
                  <w:pPr>
                    <w:pStyle w:val="TableBodyText"/>
                    <w:jc w:val="left"/>
                  </w:pPr>
                  <w:r>
                    <w:t>Private equity</w:t>
                  </w:r>
                </w:p>
              </w:tc>
              <w:tc>
                <w:tcPr>
                  <w:tcW w:w="1250" w:type="pct"/>
                  <w:shd w:val="clear" w:color="auto" w:fill="F2F2F2" w:themeFill="background1" w:themeFillShade="F2"/>
                </w:tcPr>
                <w:p w14:paraId="1334E44E" w14:textId="77777777" w:rsidR="00FC14FC" w:rsidRPr="00B81656" w:rsidRDefault="00FC14FC" w:rsidP="00D11B9D">
                  <w:pPr>
                    <w:pStyle w:val="TableBodyText"/>
                    <w:jc w:val="left"/>
                  </w:pPr>
                  <w:r>
                    <w:t>Domestic / international</w:t>
                  </w:r>
                </w:p>
              </w:tc>
              <w:tc>
                <w:tcPr>
                  <w:tcW w:w="1499" w:type="pct"/>
                  <w:shd w:val="clear" w:color="auto" w:fill="F2F2F2" w:themeFill="background1" w:themeFillShade="F2"/>
                </w:tcPr>
                <w:p w14:paraId="6F273F3A" w14:textId="77777777" w:rsidR="00FC14FC" w:rsidRPr="00B81656" w:rsidRDefault="00FC14FC" w:rsidP="00D11B9D">
                  <w:pPr>
                    <w:pStyle w:val="TableBodyText"/>
                  </w:pPr>
                  <w:r>
                    <w:t>66 (11)</w:t>
                  </w:r>
                </w:p>
              </w:tc>
              <w:tc>
                <w:tcPr>
                  <w:tcW w:w="1417" w:type="pct"/>
                  <w:shd w:val="clear" w:color="auto" w:fill="F2F2F2" w:themeFill="background1" w:themeFillShade="F2"/>
                </w:tcPr>
                <w:p w14:paraId="4FB18B6E" w14:textId="77777777" w:rsidR="00FC14FC" w:rsidRPr="00B81656" w:rsidRDefault="00FC14FC" w:rsidP="00D11B9D">
                  <w:pPr>
                    <w:pStyle w:val="TableBodyText"/>
                    <w:ind w:right="28"/>
                  </w:pPr>
                  <w:r>
                    <w:t>37 / 63</w:t>
                  </w:r>
                </w:p>
              </w:tc>
            </w:tr>
            <w:tr w:rsidR="00FC14FC" w14:paraId="19D713C4" w14:textId="77777777" w:rsidTr="00D11B9D">
              <w:trPr>
                <w:trHeight w:val="212"/>
              </w:trPr>
              <w:tc>
                <w:tcPr>
                  <w:tcW w:w="834" w:type="pct"/>
                  <w:tcBorders>
                    <w:bottom w:val="single" w:sz="4" w:space="0" w:color="BFBFBF"/>
                  </w:tcBorders>
                  <w:shd w:val="clear" w:color="auto" w:fill="auto"/>
                </w:tcPr>
                <w:p w14:paraId="2C81B69C" w14:textId="77777777" w:rsidR="00FC14FC" w:rsidRPr="0058334B" w:rsidRDefault="00FC14FC" w:rsidP="00D11B9D">
                  <w:pPr>
                    <w:pStyle w:val="TableBodyText"/>
                    <w:jc w:val="left"/>
                  </w:pPr>
                  <w:r>
                    <w:t>Fixed income</w:t>
                  </w:r>
                </w:p>
              </w:tc>
              <w:tc>
                <w:tcPr>
                  <w:tcW w:w="1250" w:type="pct"/>
                  <w:tcBorders>
                    <w:bottom w:val="single" w:sz="4" w:space="0" w:color="BFBFBF"/>
                  </w:tcBorders>
                  <w:shd w:val="clear" w:color="auto" w:fill="auto"/>
                </w:tcPr>
                <w:p w14:paraId="074742EF" w14:textId="77777777" w:rsidR="00FC14FC" w:rsidRPr="00B81656" w:rsidRDefault="00FC14FC" w:rsidP="00D11B9D">
                  <w:pPr>
                    <w:pStyle w:val="TableBodyText"/>
                    <w:jc w:val="left"/>
                  </w:pPr>
                  <w:r>
                    <w:t>Domestic / international</w:t>
                  </w:r>
                </w:p>
              </w:tc>
              <w:tc>
                <w:tcPr>
                  <w:tcW w:w="1499" w:type="pct"/>
                  <w:tcBorders>
                    <w:bottom w:val="single" w:sz="4" w:space="0" w:color="BFBFBF"/>
                  </w:tcBorders>
                </w:tcPr>
                <w:p w14:paraId="53DF9082" w14:textId="77777777" w:rsidR="00FC14FC" w:rsidRPr="00B81656" w:rsidRDefault="00FC14FC" w:rsidP="00D11B9D">
                  <w:pPr>
                    <w:pStyle w:val="TableBodyText"/>
                  </w:pPr>
                  <w:r>
                    <w:t>142 (23)</w:t>
                  </w:r>
                </w:p>
              </w:tc>
              <w:tc>
                <w:tcPr>
                  <w:tcW w:w="1417" w:type="pct"/>
                  <w:tcBorders>
                    <w:bottom w:val="single" w:sz="4" w:space="0" w:color="BFBFBF"/>
                  </w:tcBorders>
                  <w:shd w:val="clear" w:color="auto" w:fill="auto"/>
                </w:tcPr>
                <w:p w14:paraId="42B7A238" w14:textId="77777777" w:rsidR="00FC14FC" w:rsidRPr="00B81656" w:rsidRDefault="00FC14FC" w:rsidP="00D11B9D">
                  <w:pPr>
                    <w:pStyle w:val="TableBodyText"/>
                    <w:ind w:right="28"/>
                  </w:pPr>
                  <w:r>
                    <w:t>56 / 44</w:t>
                  </w:r>
                </w:p>
              </w:tc>
            </w:tr>
          </w:tbl>
          <w:p w14:paraId="6B1DFC60" w14:textId="77777777" w:rsidR="00FC14FC" w:rsidRDefault="00FC14FC" w:rsidP="00D11B9D">
            <w:pPr>
              <w:pStyle w:val="Box"/>
            </w:pPr>
          </w:p>
        </w:tc>
      </w:tr>
      <w:tr w:rsidR="00FC14FC" w14:paraId="41FE131D" w14:textId="77777777" w:rsidTr="00D11B9D">
        <w:tc>
          <w:tcPr>
            <w:tcW w:w="5000" w:type="pct"/>
            <w:tcBorders>
              <w:top w:val="nil"/>
              <w:left w:val="nil"/>
              <w:bottom w:val="nil"/>
              <w:right w:val="nil"/>
            </w:tcBorders>
            <w:shd w:val="clear" w:color="auto" w:fill="auto"/>
          </w:tcPr>
          <w:p w14:paraId="426BF0B4" w14:textId="77777777" w:rsidR="00FC14FC" w:rsidRDefault="00FC14FC" w:rsidP="00D11B9D">
            <w:pPr>
              <w:pStyle w:val="Source"/>
            </w:pPr>
            <w:r>
              <w:rPr>
                <w:i/>
              </w:rPr>
              <w:t>Source</w:t>
            </w:r>
            <w:r w:rsidRPr="00167F06">
              <w:t xml:space="preserve">: </w:t>
            </w:r>
            <w:r>
              <w:t>PC analysis of SuperRatings data.</w:t>
            </w:r>
          </w:p>
        </w:tc>
      </w:tr>
      <w:tr w:rsidR="00FC14FC" w14:paraId="10FC5606" w14:textId="77777777" w:rsidTr="00D11B9D">
        <w:tc>
          <w:tcPr>
            <w:tcW w:w="5000" w:type="pct"/>
            <w:tcBorders>
              <w:top w:val="nil"/>
              <w:left w:val="nil"/>
              <w:bottom w:val="single" w:sz="6" w:space="0" w:color="78A22F"/>
              <w:right w:val="nil"/>
            </w:tcBorders>
            <w:shd w:val="clear" w:color="auto" w:fill="auto"/>
          </w:tcPr>
          <w:p w14:paraId="4B3024B0" w14:textId="77777777" w:rsidR="00FC14FC" w:rsidRDefault="00FC14FC" w:rsidP="00D11B9D">
            <w:pPr>
              <w:pStyle w:val="Box"/>
              <w:spacing w:before="0" w:line="120" w:lineRule="exact"/>
            </w:pPr>
          </w:p>
        </w:tc>
      </w:tr>
      <w:tr w:rsidR="00FC14FC" w:rsidRPr="000863A5" w14:paraId="3E140918" w14:textId="77777777" w:rsidTr="00D11B9D">
        <w:tc>
          <w:tcPr>
            <w:tcW w:w="5000" w:type="pct"/>
            <w:tcBorders>
              <w:top w:val="single" w:sz="6" w:space="0" w:color="78A22F"/>
              <w:left w:val="nil"/>
              <w:bottom w:val="nil"/>
              <w:right w:val="nil"/>
            </w:tcBorders>
          </w:tcPr>
          <w:p w14:paraId="3B7CCEBD" w14:textId="77777777" w:rsidR="00FC14FC" w:rsidRPr="00626D32" w:rsidRDefault="00FC14FC" w:rsidP="00D11B9D">
            <w:pPr>
              <w:pStyle w:val="BoxSpaceBelow"/>
            </w:pPr>
          </w:p>
        </w:tc>
      </w:tr>
    </w:tbl>
    <w:p w14:paraId="21ADAECB" w14:textId="77777777" w:rsidR="00FC14FC" w:rsidRDefault="00FC14FC" w:rsidP="00FC14FC">
      <w:pPr>
        <w:pStyle w:val="BodyText"/>
      </w:pPr>
      <w:r>
        <w:t xml:space="preserve">The second step was to ensure the asset allocation data summed to 100 per cent. After the imputations in the first step, the average total was 86 per cent. This was due to a mix of missing data and trace allocations to alternative asset classes. The missing percentage points were then allocated to ‘other growth’ (which was benchmarked against </w:t>
      </w:r>
      <w:r>
        <w:br/>
        <w:t>50/50 domestic/international equities in the BP2), and ‘other defensive’ (benchmarked against 50/50 domestic/international fixed income) such that the final asset allocation is consistent with the reported growth and defensive ratio in the data. The downside of this approach is that the benchmarks would be sensitive</w:t>
      </w:r>
      <w:r w:rsidDel="009E3327">
        <w:t xml:space="preserve"> </w:t>
      </w:r>
      <w:r>
        <w:t>to any misclassification of assets by funds, which some participants argued is common (CFS, sub. DR163; NAB Wealth, sub. 63, DR223; Richard Wilkins, sub. DR169).</w:t>
      </w:r>
    </w:p>
    <w:p w14:paraId="1F1769C1" w14:textId="77777777" w:rsidR="00FC14FC" w:rsidRDefault="00FC14FC" w:rsidP="00FC14FC">
      <w:pPr>
        <w:pStyle w:val="Heading5"/>
      </w:pPr>
      <w:r>
        <w:t xml:space="preserve">System and segment asset allocation </w:t>
      </w:r>
    </w:p>
    <w:p w14:paraId="6040D9F1" w14:textId="77777777" w:rsidR="00FC14FC" w:rsidRDefault="00FC14FC" w:rsidP="00FC14FC">
      <w:pPr>
        <w:pStyle w:val="BodyText"/>
      </w:pPr>
      <w:r>
        <w:t xml:space="preserve">The following tables (4.18–4.22) provide a description of the asset allocation data used for the system and segment benchmarking. There may be some discrepancies across segments due to the specific data sources used. </w:t>
      </w:r>
    </w:p>
    <w:p w14:paraId="32F5E1AC" w14:textId="77777777" w:rsidR="00FC14FC" w:rsidRDefault="00FC14FC" w:rsidP="00FC14FC">
      <w:pPr>
        <w:pStyle w:val="BodyText"/>
      </w:pPr>
    </w:p>
    <w:p w14:paraId="1DDF4546" w14:textId="77777777" w:rsidR="00FC14FC" w:rsidRDefault="00FC14FC" w:rsidP="00FC14FC">
      <w:pPr>
        <w:pStyle w:val="BodyText"/>
        <w:sectPr w:rsidR="00FC14FC" w:rsidSect="00A85997">
          <w:headerReference w:type="even" r:id="rId25"/>
          <w:headerReference w:type="default" r:id="rId26"/>
          <w:footerReference w:type="even" r:id="rId27"/>
          <w:footerReference w:type="default" r:id="rId28"/>
          <w:pgSz w:w="11907" w:h="16840" w:code="9"/>
          <w:pgMar w:top="1985" w:right="1304" w:bottom="1418" w:left="1814" w:header="1701" w:footer="567" w:gutter="0"/>
          <w:pgNumType w:chapSep="period"/>
          <w:cols w:space="720"/>
          <w:docGrid w:linePitch="326"/>
        </w:sectPr>
      </w:pPr>
    </w:p>
    <w:p w14:paraId="19715457"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437"/>
      </w:tblGrid>
      <w:tr w:rsidR="00FC14FC" w14:paraId="2E6DD703" w14:textId="77777777" w:rsidTr="00D11B9D">
        <w:trPr>
          <w:tblHeader/>
        </w:trPr>
        <w:tc>
          <w:tcPr>
            <w:tcW w:w="5000" w:type="pct"/>
            <w:tcBorders>
              <w:top w:val="single" w:sz="6" w:space="0" w:color="78A22F"/>
              <w:left w:val="nil"/>
              <w:bottom w:val="nil"/>
              <w:right w:val="nil"/>
            </w:tcBorders>
            <w:shd w:val="clear" w:color="auto" w:fill="auto"/>
          </w:tcPr>
          <w:p w14:paraId="2BBD5324" w14:textId="77777777" w:rsidR="00FC14FC" w:rsidRDefault="00FC14FC" w:rsidP="00D11B9D">
            <w:pPr>
              <w:pStyle w:val="TableTitle"/>
              <w:rPr>
                <w:rStyle w:val="NoteLabel"/>
                <w:b/>
              </w:rPr>
            </w:pPr>
            <w:r>
              <w:rPr>
                <w:b w:val="0"/>
              </w:rPr>
              <w:t>Table 4.18</w:t>
            </w:r>
            <w:r>
              <w:tab/>
              <w:t>Asset allocation: System and fund</w:t>
            </w:r>
            <w:r>
              <w:noBreakHyphen/>
              <w:t>type segments</w:t>
            </w:r>
            <w:r w:rsidRPr="00F20664">
              <w:rPr>
                <w:rStyle w:val="NoteLabel"/>
                <w:b/>
              </w:rPr>
              <w:t>a</w:t>
            </w:r>
          </w:p>
          <w:p w14:paraId="192B5523" w14:textId="77777777" w:rsidR="00FC14FC" w:rsidRPr="00F95476" w:rsidRDefault="00FC14FC" w:rsidP="00D11B9D">
            <w:pPr>
              <w:pStyle w:val="Subtitle"/>
            </w:pPr>
            <w:r w:rsidRPr="00F95476">
              <w:t>Per cent</w:t>
            </w:r>
          </w:p>
        </w:tc>
      </w:tr>
      <w:tr w:rsidR="00FC14FC" w14:paraId="69C4075D" w14:textId="77777777" w:rsidTr="00D11B9D">
        <w:tc>
          <w:tcPr>
            <w:tcW w:w="5000" w:type="pct"/>
            <w:tcBorders>
              <w:top w:val="nil"/>
              <w:left w:val="nil"/>
              <w:bottom w:val="nil"/>
              <w:right w:val="nil"/>
            </w:tcBorders>
            <w:shd w:val="clear" w:color="auto" w:fill="auto"/>
          </w:tcPr>
          <w:tbl>
            <w:tblPr>
              <w:tblW w:w="13164" w:type="dxa"/>
              <w:tblCellMar>
                <w:top w:w="28" w:type="dxa"/>
                <w:left w:w="0" w:type="dxa"/>
                <w:right w:w="0" w:type="dxa"/>
              </w:tblCellMar>
              <w:tblLook w:val="0000" w:firstRow="0" w:lastRow="0" w:firstColumn="0" w:lastColumn="0" w:noHBand="0" w:noVBand="0"/>
            </w:tblPr>
            <w:tblGrid>
              <w:gridCol w:w="3003"/>
              <w:gridCol w:w="993"/>
              <w:gridCol w:w="993"/>
              <w:gridCol w:w="1135"/>
              <w:gridCol w:w="1419"/>
              <w:gridCol w:w="853"/>
              <w:gridCol w:w="1135"/>
              <w:gridCol w:w="8"/>
              <w:gridCol w:w="1411"/>
              <w:gridCol w:w="956"/>
              <w:gridCol w:w="1258"/>
            </w:tblGrid>
            <w:tr w:rsidR="00FC14FC" w14:paraId="68CDC998" w14:textId="77777777" w:rsidTr="00D11B9D">
              <w:trPr>
                <w:tblHeader/>
              </w:trPr>
              <w:tc>
                <w:tcPr>
                  <w:tcW w:w="1141" w:type="pct"/>
                  <w:tcBorders>
                    <w:top w:val="single" w:sz="6" w:space="0" w:color="BFBFBF"/>
                  </w:tcBorders>
                  <w:shd w:val="clear" w:color="auto" w:fill="auto"/>
                  <w:tcMar>
                    <w:top w:w="28" w:type="dxa"/>
                  </w:tcMar>
                </w:tcPr>
                <w:p w14:paraId="46DE69E0" w14:textId="77777777" w:rsidR="00FC14FC" w:rsidRDefault="00FC14FC" w:rsidP="00D11B9D">
                  <w:pPr>
                    <w:pStyle w:val="TableColumnHeading"/>
                    <w:jc w:val="left"/>
                  </w:pPr>
                </w:p>
              </w:tc>
              <w:tc>
                <w:tcPr>
                  <w:tcW w:w="1185" w:type="pct"/>
                  <w:gridSpan w:val="3"/>
                  <w:tcBorders>
                    <w:top w:val="single" w:sz="6" w:space="0" w:color="BFBFBF"/>
                    <w:bottom w:val="single" w:sz="6" w:space="0" w:color="BFBFBF"/>
                  </w:tcBorders>
                </w:tcPr>
                <w:p w14:paraId="5D90A3C5" w14:textId="77777777" w:rsidR="00FC14FC" w:rsidRDefault="00FC14FC" w:rsidP="00D11B9D">
                  <w:pPr>
                    <w:pStyle w:val="TableColumnHeading"/>
                    <w:ind w:right="28"/>
                    <w:jc w:val="center"/>
                  </w:pPr>
                  <w:r>
                    <w:t xml:space="preserve">2007 </w:t>
                  </w:r>
                </w:p>
              </w:tc>
              <w:tc>
                <w:tcPr>
                  <w:tcW w:w="1297" w:type="pct"/>
                  <w:gridSpan w:val="4"/>
                  <w:tcBorders>
                    <w:top w:val="single" w:sz="6" w:space="0" w:color="BFBFBF"/>
                    <w:bottom w:val="single" w:sz="6" w:space="0" w:color="BFBFBF"/>
                  </w:tcBorders>
                </w:tcPr>
                <w:p w14:paraId="10E79DE7" w14:textId="77777777" w:rsidR="00FC14FC" w:rsidRDefault="00FC14FC" w:rsidP="00D11B9D">
                  <w:pPr>
                    <w:pStyle w:val="TableColumnHeading"/>
                    <w:ind w:right="28"/>
                    <w:jc w:val="center"/>
                  </w:pPr>
                  <w:r>
                    <w:t>2012</w:t>
                  </w:r>
                </w:p>
              </w:tc>
              <w:tc>
                <w:tcPr>
                  <w:tcW w:w="1377" w:type="pct"/>
                  <w:gridSpan w:val="3"/>
                  <w:tcBorders>
                    <w:top w:val="single" w:sz="6" w:space="0" w:color="BFBFBF"/>
                    <w:bottom w:val="single" w:sz="6" w:space="0" w:color="BFBFBF"/>
                  </w:tcBorders>
                </w:tcPr>
                <w:p w14:paraId="20A15886" w14:textId="77777777" w:rsidR="00FC14FC" w:rsidRDefault="00FC14FC" w:rsidP="00D11B9D">
                  <w:pPr>
                    <w:pStyle w:val="TableColumnHeading"/>
                    <w:ind w:right="28"/>
                    <w:jc w:val="center"/>
                  </w:pPr>
                  <w:r>
                    <w:t>2017</w:t>
                  </w:r>
                </w:p>
              </w:tc>
            </w:tr>
            <w:tr w:rsidR="00FC14FC" w14:paraId="52167ADA" w14:textId="77777777" w:rsidTr="00D11B9D">
              <w:trPr>
                <w:tblHeader/>
              </w:trPr>
              <w:tc>
                <w:tcPr>
                  <w:tcW w:w="1141" w:type="pct"/>
                  <w:tcBorders>
                    <w:bottom w:val="single" w:sz="6" w:space="0" w:color="BFBFBF"/>
                  </w:tcBorders>
                  <w:shd w:val="clear" w:color="auto" w:fill="auto"/>
                  <w:tcMar>
                    <w:top w:w="28" w:type="dxa"/>
                  </w:tcMar>
                </w:tcPr>
                <w:p w14:paraId="39BBBFE9" w14:textId="77777777" w:rsidR="00FC14FC" w:rsidRDefault="00FC14FC" w:rsidP="00D11B9D">
                  <w:pPr>
                    <w:pStyle w:val="TableColumnHeading"/>
                    <w:jc w:val="left"/>
                  </w:pPr>
                </w:p>
              </w:tc>
              <w:tc>
                <w:tcPr>
                  <w:tcW w:w="377" w:type="pct"/>
                  <w:tcBorders>
                    <w:top w:val="single" w:sz="6" w:space="0" w:color="BFBFBF"/>
                    <w:bottom w:val="single" w:sz="6" w:space="0" w:color="BFBFBF"/>
                  </w:tcBorders>
                </w:tcPr>
                <w:p w14:paraId="72BE1280" w14:textId="77777777" w:rsidR="00FC14FC" w:rsidRDefault="00FC14FC" w:rsidP="00D11B9D">
                  <w:pPr>
                    <w:pStyle w:val="TableColumnHeading"/>
                  </w:pPr>
                  <w:r>
                    <w:t xml:space="preserve">System </w:t>
                  </w:r>
                </w:p>
              </w:tc>
              <w:tc>
                <w:tcPr>
                  <w:tcW w:w="377" w:type="pct"/>
                  <w:tcBorders>
                    <w:top w:val="single" w:sz="6" w:space="0" w:color="BFBFBF"/>
                    <w:bottom w:val="single" w:sz="6" w:space="0" w:color="BFBFBF"/>
                  </w:tcBorders>
                  <w:shd w:val="clear" w:color="auto" w:fill="auto"/>
                  <w:tcMar>
                    <w:top w:w="28" w:type="dxa"/>
                  </w:tcMar>
                </w:tcPr>
                <w:p w14:paraId="00D8B5EF" w14:textId="77777777" w:rsidR="00FC14FC" w:rsidRDefault="00FC14FC" w:rsidP="00D11B9D">
                  <w:pPr>
                    <w:pStyle w:val="TableColumnHeading"/>
                  </w:pPr>
                  <w:r>
                    <w:t>Retail</w:t>
                  </w:r>
                </w:p>
              </w:tc>
              <w:tc>
                <w:tcPr>
                  <w:tcW w:w="431" w:type="pct"/>
                  <w:tcBorders>
                    <w:top w:val="single" w:sz="6" w:space="0" w:color="BFBFBF"/>
                    <w:bottom w:val="single" w:sz="6" w:space="0" w:color="BFBFBF"/>
                  </w:tcBorders>
                  <w:shd w:val="clear" w:color="auto" w:fill="auto"/>
                  <w:tcMar>
                    <w:top w:w="28" w:type="dxa"/>
                  </w:tcMar>
                </w:tcPr>
                <w:p w14:paraId="14C84800" w14:textId="77777777" w:rsidR="00FC14FC" w:rsidRDefault="00FC14FC" w:rsidP="00D11B9D">
                  <w:pPr>
                    <w:pStyle w:val="TableColumnHeading"/>
                  </w:pPr>
                  <w:r>
                    <w:t>Not</w:t>
                  </w:r>
                  <w:r>
                    <w:noBreakHyphen/>
                    <w:t>for</w:t>
                  </w:r>
                  <w:r>
                    <w:noBreakHyphen/>
                    <w:t>profit</w:t>
                  </w:r>
                </w:p>
              </w:tc>
              <w:tc>
                <w:tcPr>
                  <w:tcW w:w="539" w:type="pct"/>
                  <w:tcBorders>
                    <w:top w:val="single" w:sz="6" w:space="0" w:color="BFBFBF"/>
                    <w:bottom w:val="single" w:sz="6" w:space="0" w:color="BFBFBF"/>
                  </w:tcBorders>
                </w:tcPr>
                <w:p w14:paraId="627EE7FD" w14:textId="77777777" w:rsidR="00FC14FC" w:rsidRDefault="00FC14FC" w:rsidP="00D11B9D">
                  <w:pPr>
                    <w:pStyle w:val="TableColumnHeading"/>
                  </w:pPr>
                  <w:r>
                    <w:t>System</w:t>
                  </w:r>
                </w:p>
              </w:tc>
              <w:tc>
                <w:tcPr>
                  <w:tcW w:w="324" w:type="pct"/>
                  <w:tcBorders>
                    <w:top w:val="single" w:sz="6" w:space="0" w:color="BFBFBF"/>
                    <w:bottom w:val="single" w:sz="6" w:space="0" w:color="BFBFBF"/>
                  </w:tcBorders>
                </w:tcPr>
                <w:p w14:paraId="3996BEE6" w14:textId="77777777" w:rsidR="00FC14FC" w:rsidRDefault="00FC14FC" w:rsidP="00D11B9D">
                  <w:pPr>
                    <w:pStyle w:val="TableColumnHeading"/>
                  </w:pPr>
                  <w:r>
                    <w:t>Retail</w:t>
                  </w:r>
                </w:p>
              </w:tc>
              <w:tc>
                <w:tcPr>
                  <w:tcW w:w="434" w:type="pct"/>
                  <w:gridSpan w:val="2"/>
                  <w:tcBorders>
                    <w:top w:val="single" w:sz="6" w:space="0" w:color="BFBFBF"/>
                    <w:bottom w:val="single" w:sz="6" w:space="0" w:color="BFBFBF"/>
                  </w:tcBorders>
                </w:tcPr>
                <w:p w14:paraId="67264196" w14:textId="77777777" w:rsidR="00FC14FC" w:rsidRDefault="00FC14FC" w:rsidP="00D11B9D">
                  <w:pPr>
                    <w:pStyle w:val="TableColumnHeading"/>
                  </w:pPr>
                  <w:r>
                    <w:t>Not</w:t>
                  </w:r>
                  <w:r>
                    <w:noBreakHyphen/>
                    <w:t>for</w:t>
                  </w:r>
                  <w:r>
                    <w:noBreakHyphen/>
                    <w:t>profit</w:t>
                  </w:r>
                </w:p>
              </w:tc>
              <w:tc>
                <w:tcPr>
                  <w:tcW w:w="536" w:type="pct"/>
                  <w:tcBorders>
                    <w:top w:val="single" w:sz="6" w:space="0" w:color="BFBFBF"/>
                    <w:bottom w:val="single" w:sz="6" w:space="0" w:color="BFBFBF"/>
                  </w:tcBorders>
                </w:tcPr>
                <w:p w14:paraId="41AF14FF" w14:textId="77777777" w:rsidR="00FC14FC" w:rsidRDefault="00FC14FC" w:rsidP="00D11B9D">
                  <w:pPr>
                    <w:pStyle w:val="TableColumnHeading"/>
                  </w:pPr>
                  <w:r>
                    <w:t>System</w:t>
                  </w:r>
                </w:p>
              </w:tc>
              <w:tc>
                <w:tcPr>
                  <w:tcW w:w="363" w:type="pct"/>
                  <w:tcBorders>
                    <w:top w:val="single" w:sz="6" w:space="0" w:color="BFBFBF"/>
                    <w:bottom w:val="single" w:sz="6" w:space="0" w:color="BFBFBF"/>
                  </w:tcBorders>
                </w:tcPr>
                <w:p w14:paraId="74C55DFD" w14:textId="77777777" w:rsidR="00FC14FC" w:rsidRDefault="00FC14FC" w:rsidP="00D11B9D">
                  <w:pPr>
                    <w:pStyle w:val="TableColumnHeading"/>
                  </w:pPr>
                  <w:r>
                    <w:t>Retail</w:t>
                  </w:r>
                </w:p>
              </w:tc>
              <w:tc>
                <w:tcPr>
                  <w:tcW w:w="478" w:type="pct"/>
                  <w:tcBorders>
                    <w:top w:val="single" w:sz="6" w:space="0" w:color="BFBFBF"/>
                    <w:bottom w:val="single" w:sz="6" w:space="0" w:color="BFBFBF"/>
                  </w:tcBorders>
                </w:tcPr>
                <w:p w14:paraId="52B3AD91" w14:textId="77777777" w:rsidR="00FC14FC" w:rsidRDefault="00FC14FC" w:rsidP="00D11B9D">
                  <w:pPr>
                    <w:pStyle w:val="TableColumnHeading"/>
                    <w:ind w:right="28"/>
                  </w:pPr>
                  <w:r>
                    <w:t>Not</w:t>
                  </w:r>
                  <w:r>
                    <w:noBreakHyphen/>
                    <w:t>for</w:t>
                  </w:r>
                  <w:r>
                    <w:noBreakHyphen/>
                    <w:t xml:space="preserve">profit </w:t>
                  </w:r>
                </w:p>
              </w:tc>
            </w:tr>
            <w:tr w:rsidR="00FC14FC" w14:paraId="6FD83DE6" w14:textId="77777777" w:rsidTr="00D11B9D">
              <w:tc>
                <w:tcPr>
                  <w:tcW w:w="1141" w:type="pct"/>
                  <w:tcBorders>
                    <w:top w:val="single" w:sz="6" w:space="0" w:color="BFBFBF"/>
                  </w:tcBorders>
                </w:tcPr>
                <w:p w14:paraId="4373DB9B" w14:textId="77777777" w:rsidR="00FC14FC" w:rsidRDefault="00FC14FC" w:rsidP="00D11B9D">
                  <w:pPr>
                    <w:pStyle w:val="TableUnitsRow"/>
                    <w:jc w:val="left"/>
                  </w:pPr>
                  <w:r w:rsidRPr="00AC6008">
                    <w:t>Cash</w:t>
                  </w:r>
                </w:p>
              </w:tc>
              <w:tc>
                <w:tcPr>
                  <w:tcW w:w="377" w:type="pct"/>
                  <w:tcBorders>
                    <w:top w:val="single" w:sz="6" w:space="0" w:color="BFBFBF"/>
                  </w:tcBorders>
                </w:tcPr>
                <w:p w14:paraId="4EBC9E0D" w14:textId="77777777" w:rsidR="00FC14FC" w:rsidRDefault="00FC14FC" w:rsidP="00D11B9D">
                  <w:pPr>
                    <w:pStyle w:val="TableUnitsRow"/>
                  </w:pPr>
                  <w:r w:rsidRPr="000F6F85">
                    <w:t>9.7</w:t>
                  </w:r>
                </w:p>
              </w:tc>
              <w:tc>
                <w:tcPr>
                  <w:tcW w:w="377" w:type="pct"/>
                  <w:tcBorders>
                    <w:top w:val="single" w:sz="6" w:space="0" w:color="BFBFBF"/>
                  </w:tcBorders>
                </w:tcPr>
                <w:p w14:paraId="35084346" w14:textId="77777777" w:rsidR="00FC14FC" w:rsidRDefault="00FC14FC" w:rsidP="00D11B9D">
                  <w:pPr>
                    <w:pStyle w:val="TableUnitsRow"/>
                  </w:pPr>
                  <w:r>
                    <w:t>12.9</w:t>
                  </w:r>
                </w:p>
              </w:tc>
              <w:tc>
                <w:tcPr>
                  <w:tcW w:w="431" w:type="pct"/>
                  <w:tcBorders>
                    <w:top w:val="single" w:sz="6" w:space="0" w:color="BFBFBF"/>
                  </w:tcBorders>
                </w:tcPr>
                <w:p w14:paraId="19099326" w14:textId="77777777" w:rsidR="00FC14FC" w:rsidRDefault="00FC14FC" w:rsidP="00D11B9D">
                  <w:pPr>
                    <w:pStyle w:val="TableUnitsRow"/>
                  </w:pPr>
                  <w:r w:rsidRPr="000F6F85">
                    <w:t>8.3</w:t>
                  </w:r>
                </w:p>
              </w:tc>
              <w:tc>
                <w:tcPr>
                  <w:tcW w:w="539" w:type="pct"/>
                  <w:tcBorders>
                    <w:top w:val="single" w:sz="6" w:space="0" w:color="BFBFBF"/>
                  </w:tcBorders>
                </w:tcPr>
                <w:p w14:paraId="1F5ECD8E" w14:textId="77777777" w:rsidR="00FC14FC" w:rsidRPr="00AC6008" w:rsidRDefault="00FC14FC" w:rsidP="00D11B9D">
                  <w:pPr>
                    <w:pStyle w:val="TableUnitsRow"/>
                  </w:pPr>
                  <w:r w:rsidRPr="000F6F85">
                    <w:t>11.3</w:t>
                  </w:r>
                </w:p>
              </w:tc>
              <w:tc>
                <w:tcPr>
                  <w:tcW w:w="324" w:type="pct"/>
                  <w:tcBorders>
                    <w:top w:val="single" w:sz="6" w:space="0" w:color="BFBFBF"/>
                  </w:tcBorders>
                </w:tcPr>
                <w:p w14:paraId="130095A2" w14:textId="77777777" w:rsidR="00FC14FC" w:rsidRPr="00AC6008" w:rsidRDefault="00FC14FC" w:rsidP="00D11B9D">
                  <w:pPr>
                    <w:pStyle w:val="TableUnitsRow"/>
                  </w:pPr>
                  <w:r>
                    <w:t>21.4</w:t>
                  </w:r>
                </w:p>
              </w:tc>
              <w:tc>
                <w:tcPr>
                  <w:tcW w:w="434" w:type="pct"/>
                  <w:gridSpan w:val="2"/>
                  <w:tcBorders>
                    <w:top w:val="single" w:sz="6" w:space="0" w:color="BFBFBF"/>
                  </w:tcBorders>
                </w:tcPr>
                <w:p w14:paraId="1879218D" w14:textId="77777777" w:rsidR="00FC14FC" w:rsidRPr="00AC6008" w:rsidRDefault="00FC14FC" w:rsidP="00D11B9D">
                  <w:pPr>
                    <w:pStyle w:val="TableUnitsRow"/>
                  </w:pPr>
                  <w:r w:rsidRPr="000F6F85">
                    <w:t>13.0</w:t>
                  </w:r>
                </w:p>
              </w:tc>
              <w:tc>
                <w:tcPr>
                  <w:tcW w:w="536" w:type="pct"/>
                  <w:tcBorders>
                    <w:top w:val="single" w:sz="6" w:space="0" w:color="BFBFBF"/>
                  </w:tcBorders>
                </w:tcPr>
                <w:p w14:paraId="7A08CC73" w14:textId="77777777" w:rsidR="00FC14FC" w:rsidRPr="00AC6008" w:rsidRDefault="00FC14FC" w:rsidP="00D11B9D">
                  <w:pPr>
                    <w:pStyle w:val="TableUnitsRow"/>
                  </w:pPr>
                  <w:r w:rsidRPr="000F6F85">
                    <w:t>12.4</w:t>
                  </w:r>
                </w:p>
              </w:tc>
              <w:tc>
                <w:tcPr>
                  <w:tcW w:w="363" w:type="pct"/>
                  <w:tcBorders>
                    <w:top w:val="single" w:sz="6" w:space="0" w:color="BFBFBF"/>
                  </w:tcBorders>
                </w:tcPr>
                <w:p w14:paraId="3E985AC1" w14:textId="77777777" w:rsidR="00FC14FC" w:rsidRPr="00AC6008" w:rsidRDefault="00FC14FC" w:rsidP="00D11B9D">
                  <w:pPr>
                    <w:pStyle w:val="TableUnitsRow"/>
                  </w:pPr>
                  <w:r w:rsidRPr="000F6F85">
                    <w:t>15.6</w:t>
                  </w:r>
                </w:p>
              </w:tc>
              <w:tc>
                <w:tcPr>
                  <w:tcW w:w="478" w:type="pct"/>
                  <w:tcBorders>
                    <w:top w:val="single" w:sz="6" w:space="0" w:color="BFBFBF"/>
                  </w:tcBorders>
                </w:tcPr>
                <w:p w14:paraId="75DE6511" w14:textId="77777777" w:rsidR="00FC14FC" w:rsidRPr="00AC6008" w:rsidRDefault="00FC14FC" w:rsidP="00D11B9D">
                  <w:pPr>
                    <w:pStyle w:val="TableUnitsRow"/>
                    <w:ind w:right="28"/>
                  </w:pPr>
                  <w:r w:rsidRPr="000F6F85">
                    <w:t>10.8</w:t>
                  </w:r>
                </w:p>
              </w:tc>
            </w:tr>
            <w:tr w:rsidR="00FC14FC" w14:paraId="54CBA7BB" w14:textId="77777777" w:rsidTr="00D11B9D">
              <w:tc>
                <w:tcPr>
                  <w:tcW w:w="1141" w:type="pct"/>
                  <w:shd w:val="clear" w:color="auto" w:fill="F2F2F2" w:themeFill="background1" w:themeFillShade="F2"/>
                </w:tcPr>
                <w:p w14:paraId="55CBA327" w14:textId="77777777" w:rsidR="00FC14FC" w:rsidRDefault="00FC14FC" w:rsidP="00D11B9D">
                  <w:pPr>
                    <w:pStyle w:val="TableBodyText"/>
                    <w:jc w:val="left"/>
                  </w:pPr>
                  <w:r w:rsidRPr="00AC6008">
                    <w:t xml:space="preserve">Australian fixed </w:t>
                  </w:r>
                  <w:r>
                    <w:t>income</w:t>
                  </w:r>
                </w:p>
              </w:tc>
              <w:tc>
                <w:tcPr>
                  <w:tcW w:w="377" w:type="pct"/>
                  <w:shd w:val="clear" w:color="auto" w:fill="F2F2F2" w:themeFill="background1" w:themeFillShade="F2"/>
                </w:tcPr>
                <w:p w14:paraId="003F0017" w14:textId="77777777" w:rsidR="00FC14FC" w:rsidRDefault="00FC14FC" w:rsidP="00D11B9D">
                  <w:pPr>
                    <w:pStyle w:val="TableBodyText"/>
                  </w:pPr>
                  <w:r w:rsidRPr="000F6F85">
                    <w:t>14.1</w:t>
                  </w:r>
                </w:p>
              </w:tc>
              <w:tc>
                <w:tcPr>
                  <w:tcW w:w="377" w:type="pct"/>
                  <w:shd w:val="clear" w:color="auto" w:fill="F2F2F2" w:themeFill="background1" w:themeFillShade="F2"/>
                </w:tcPr>
                <w:p w14:paraId="0BF31B92" w14:textId="77777777" w:rsidR="00FC14FC" w:rsidRDefault="00FC14FC" w:rsidP="00D11B9D">
                  <w:pPr>
                    <w:pStyle w:val="TableBodyText"/>
                  </w:pPr>
                  <w:r>
                    <w:t>12.5</w:t>
                  </w:r>
                </w:p>
              </w:tc>
              <w:tc>
                <w:tcPr>
                  <w:tcW w:w="431" w:type="pct"/>
                  <w:shd w:val="clear" w:color="auto" w:fill="F2F2F2" w:themeFill="background1" w:themeFillShade="F2"/>
                </w:tcPr>
                <w:p w14:paraId="08755FC6" w14:textId="77777777" w:rsidR="00FC14FC" w:rsidRDefault="00FC14FC" w:rsidP="00D11B9D">
                  <w:pPr>
                    <w:pStyle w:val="TableBodyText"/>
                  </w:pPr>
                  <w:r w:rsidRPr="000F6F85">
                    <w:t>10.9</w:t>
                  </w:r>
                </w:p>
              </w:tc>
              <w:tc>
                <w:tcPr>
                  <w:tcW w:w="539" w:type="pct"/>
                  <w:shd w:val="clear" w:color="auto" w:fill="F2F2F2" w:themeFill="background1" w:themeFillShade="F2"/>
                </w:tcPr>
                <w:p w14:paraId="19E7E579" w14:textId="77777777" w:rsidR="00FC14FC" w:rsidRPr="00AC6008" w:rsidRDefault="00FC14FC" w:rsidP="00D11B9D">
                  <w:pPr>
                    <w:pStyle w:val="TableBodyText"/>
                  </w:pPr>
                  <w:r w:rsidRPr="000F6F85">
                    <w:t>11.0</w:t>
                  </w:r>
                </w:p>
              </w:tc>
              <w:tc>
                <w:tcPr>
                  <w:tcW w:w="324" w:type="pct"/>
                  <w:shd w:val="clear" w:color="auto" w:fill="F2F2F2" w:themeFill="background1" w:themeFillShade="F2"/>
                </w:tcPr>
                <w:p w14:paraId="705B002A" w14:textId="77777777" w:rsidR="00FC14FC" w:rsidRPr="00AC6008" w:rsidRDefault="00FC14FC" w:rsidP="00D11B9D">
                  <w:pPr>
                    <w:pStyle w:val="TableBodyText"/>
                  </w:pPr>
                  <w:r>
                    <w:t>17.7</w:t>
                  </w:r>
                </w:p>
              </w:tc>
              <w:tc>
                <w:tcPr>
                  <w:tcW w:w="431" w:type="pct"/>
                  <w:shd w:val="clear" w:color="auto" w:fill="F2F2F2" w:themeFill="background1" w:themeFillShade="F2"/>
                </w:tcPr>
                <w:p w14:paraId="6E2240D1" w14:textId="77777777" w:rsidR="00FC14FC" w:rsidRPr="00AC6008" w:rsidRDefault="00FC14FC" w:rsidP="00D11B9D">
                  <w:pPr>
                    <w:pStyle w:val="TableBodyText"/>
                  </w:pPr>
                  <w:r w:rsidRPr="000F6F85">
                    <w:t>11.3</w:t>
                  </w:r>
                </w:p>
              </w:tc>
              <w:tc>
                <w:tcPr>
                  <w:tcW w:w="539" w:type="pct"/>
                  <w:gridSpan w:val="2"/>
                  <w:shd w:val="clear" w:color="auto" w:fill="F2F2F2" w:themeFill="background1" w:themeFillShade="F2"/>
                </w:tcPr>
                <w:p w14:paraId="331D91FB" w14:textId="77777777" w:rsidR="00FC14FC" w:rsidRPr="00AC6008" w:rsidRDefault="00FC14FC" w:rsidP="00D11B9D">
                  <w:pPr>
                    <w:pStyle w:val="TableBodyText"/>
                  </w:pPr>
                  <w:r w:rsidRPr="000F6F85">
                    <w:t>13.4</w:t>
                  </w:r>
                </w:p>
              </w:tc>
              <w:tc>
                <w:tcPr>
                  <w:tcW w:w="363" w:type="pct"/>
                  <w:shd w:val="clear" w:color="auto" w:fill="F2F2F2" w:themeFill="background1" w:themeFillShade="F2"/>
                </w:tcPr>
                <w:p w14:paraId="10760DFF" w14:textId="77777777" w:rsidR="00FC14FC" w:rsidRPr="00AC6008" w:rsidRDefault="00FC14FC" w:rsidP="00D11B9D">
                  <w:pPr>
                    <w:pStyle w:val="TableBodyText"/>
                  </w:pPr>
                  <w:r w:rsidRPr="000F6F85">
                    <w:t>14.0</w:t>
                  </w:r>
                </w:p>
              </w:tc>
              <w:tc>
                <w:tcPr>
                  <w:tcW w:w="478" w:type="pct"/>
                  <w:shd w:val="clear" w:color="auto" w:fill="F2F2F2" w:themeFill="background1" w:themeFillShade="F2"/>
                </w:tcPr>
                <w:p w14:paraId="1C03B1E0" w14:textId="77777777" w:rsidR="00FC14FC" w:rsidRPr="00AC6008" w:rsidRDefault="00FC14FC" w:rsidP="00D11B9D">
                  <w:pPr>
                    <w:pStyle w:val="TableBodyText"/>
                    <w:ind w:right="28"/>
                  </w:pPr>
                  <w:r w:rsidRPr="000F6F85">
                    <w:t>12.9</w:t>
                  </w:r>
                </w:p>
              </w:tc>
            </w:tr>
            <w:tr w:rsidR="00FC14FC" w14:paraId="5C8B0E05" w14:textId="77777777" w:rsidTr="00D11B9D">
              <w:tc>
                <w:tcPr>
                  <w:tcW w:w="1141" w:type="pct"/>
                  <w:shd w:val="clear" w:color="auto" w:fill="auto"/>
                </w:tcPr>
                <w:p w14:paraId="23EE841B" w14:textId="77777777" w:rsidR="00FC14FC" w:rsidRDefault="00FC14FC" w:rsidP="00D11B9D">
                  <w:pPr>
                    <w:pStyle w:val="TableBodyText"/>
                    <w:jc w:val="left"/>
                  </w:pPr>
                  <w:r w:rsidRPr="00AC6008">
                    <w:t xml:space="preserve">International fixed </w:t>
                  </w:r>
                  <w:r>
                    <w:t>income</w:t>
                  </w:r>
                </w:p>
              </w:tc>
              <w:tc>
                <w:tcPr>
                  <w:tcW w:w="377" w:type="pct"/>
                </w:tcPr>
                <w:p w14:paraId="104ECB1D" w14:textId="77777777" w:rsidR="00FC14FC" w:rsidRDefault="00FC14FC" w:rsidP="00D11B9D">
                  <w:pPr>
                    <w:pStyle w:val="TableBodyText"/>
                  </w:pPr>
                  <w:r w:rsidRPr="000F6F85">
                    <w:t>8.1</w:t>
                  </w:r>
                </w:p>
              </w:tc>
              <w:tc>
                <w:tcPr>
                  <w:tcW w:w="377" w:type="pct"/>
                  <w:shd w:val="clear" w:color="auto" w:fill="auto"/>
                </w:tcPr>
                <w:p w14:paraId="39D2E011" w14:textId="77777777" w:rsidR="00FC14FC" w:rsidRDefault="00FC14FC" w:rsidP="00D11B9D">
                  <w:pPr>
                    <w:pStyle w:val="TableBodyText"/>
                  </w:pPr>
                  <w:r>
                    <w:t>5.7</w:t>
                  </w:r>
                </w:p>
              </w:tc>
              <w:tc>
                <w:tcPr>
                  <w:tcW w:w="431" w:type="pct"/>
                  <w:shd w:val="clear" w:color="auto" w:fill="auto"/>
                </w:tcPr>
                <w:p w14:paraId="69EABF6B" w14:textId="77777777" w:rsidR="00FC14FC" w:rsidRDefault="00FC14FC" w:rsidP="00D11B9D">
                  <w:pPr>
                    <w:pStyle w:val="TableBodyText"/>
                  </w:pPr>
                  <w:r w:rsidRPr="000F6F85">
                    <w:t>10.8</w:t>
                  </w:r>
                </w:p>
              </w:tc>
              <w:tc>
                <w:tcPr>
                  <w:tcW w:w="539" w:type="pct"/>
                </w:tcPr>
                <w:p w14:paraId="6DBE6481" w14:textId="77777777" w:rsidR="00FC14FC" w:rsidRPr="00AC6008" w:rsidRDefault="00FC14FC" w:rsidP="00D11B9D">
                  <w:pPr>
                    <w:pStyle w:val="TableBodyText"/>
                  </w:pPr>
                  <w:r w:rsidRPr="000F6F85">
                    <w:t>6.8</w:t>
                  </w:r>
                </w:p>
              </w:tc>
              <w:tc>
                <w:tcPr>
                  <w:tcW w:w="324" w:type="pct"/>
                </w:tcPr>
                <w:p w14:paraId="3C2293A3" w14:textId="77777777" w:rsidR="00FC14FC" w:rsidRPr="00AC6008" w:rsidRDefault="00FC14FC" w:rsidP="00D11B9D">
                  <w:pPr>
                    <w:pStyle w:val="TableBodyText"/>
                  </w:pPr>
                  <w:r>
                    <w:t>5.8</w:t>
                  </w:r>
                </w:p>
              </w:tc>
              <w:tc>
                <w:tcPr>
                  <w:tcW w:w="431" w:type="pct"/>
                </w:tcPr>
                <w:p w14:paraId="1586A7EA" w14:textId="77777777" w:rsidR="00FC14FC" w:rsidRPr="00AC6008" w:rsidRDefault="00FC14FC" w:rsidP="00D11B9D">
                  <w:pPr>
                    <w:pStyle w:val="TableBodyText"/>
                  </w:pPr>
                  <w:r w:rsidRPr="000F6F85">
                    <w:t>9.2</w:t>
                  </w:r>
                </w:p>
              </w:tc>
              <w:tc>
                <w:tcPr>
                  <w:tcW w:w="539" w:type="pct"/>
                  <w:gridSpan w:val="2"/>
                </w:tcPr>
                <w:p w14:paraId="69E46B5C" w14:textId="77777777" w:rsidR="00FC14FC" w:rsidRPr="00AC6008" w:rsidRDefault="00FC14FC" w:rsidP="00D11B9D">
                  <w:pPr>
                    <w:pStyle w:val="TableBodyText"/>
                  </w:pPr>
                  <w:r w:rsidRPr="000F6F85">
                    <w:t>7.5</w:t>
                  </w:r>
                </w:p>
              </w:tc>
              <w:tc>
                <w:tcPr>
                  <w:tcW w:w="363" w:type="pct"/>
                </w:tcPr>
                <w:p w14:paraId="7AF7A0D4" w14:textId="77777777" w:rsidR="00FC14FC" w:rsidRPr="00AC6008" w:rsidRDefault="00FC14FC" w:rsidP="00D11B9D">
                  <w:pPr>
                    <w:pStyle w:val="TableBodyText"/>
                  </w:pPr>
                  <w:r w:rsidRPr="000F6F85">
                    <w:t>7.6</w:t>
                  </w:r>
                </w:p>
              </w:tc>
              <w:tc>
                <w:tcPr>
                  <w:tcW w:w="478" w:type="pct"/>
                </w:tcPr>
                <w:p w14:paraId="08E1E140" w14:textId="77777777" w:rsidR="00FC14FC" w:rsidRPr="00AC6008" w:rsidRDefault="00FC14FC" w:rsidP="00D11B9D">
                  <w:pPr>
                    <w:pStyle w:val="TableBodyText"/>
                    <w:ind w:right="28"/>
                  </w:pPr>
                  <w:r w:rsidRPr="000F6F85">
                    <w:t>7.4</w:t>
                  </w:r>
                </w:p>
              </w:tc>
            </w:tr>
            <w:tr w:rsidR="00FC14FC" w14:paraId="6FC68E09" w14:textId="77777777" w:rsidTr="00D11B9D">
              <w:tc>
                <w:tcPr>
                  <w:tcW w:w="1141" w:type="pct"/>
                  <w:shd w:val="clear" w:color="auto" w:fill="F2F2F2" w:themeFill="background1" w:themeFillShade="F2"/>
                </w:tcPr>
                <w:p w14:paraId="5DA5B161" w14:textId="77777777" w:rsidR="00FC14FC" w:rsidRDefault="00FC14FC" w:rsidP="00D11B9D">
                  <w:pPr>
                    <w:pStyle w:val="TableBodyText"/>
                    <w:jc w:val="left"/>
                  </w:pPr>
                  <w:r w:rsidRPr="00AC6008">
                    <w:t>Australian listed equity</w:t>
                  </w:r>
                </w:p>
              </w:tc>
              <w:tc>
                <w:tcPr>
                  <w:tcW w:w="377" w:type="pct"/>
                  <w:shd w:val="clear" w:color="auto" w:fill="F2F2F2" w:themeFill="background1" w:themeFillShade="F2"/>
                </w:tcPr>
                <w:p w14:paraId="3892AEBB" w14:textId="77777777" w:rsidR="00FC14FC" w:rsidRDefault="00FC14FC" w:rsidP="00D11B9D">
                  <w:pPr>
                    <w:pStyle w:val="TableBodyText"/>
                  </w:pPr>
                  <w:r w:rsidRPr="000F6F85">
                    <w:t>28.4</w:t>
                  </w:r>
                </w:p>
              </w:tc>
              <w:tc>
                <w:tcPr>
                  <w:tcW w:w="377" w:type="pct"/>
                  <w:shd w:val="clear" w:color="auto" w:fill="F2F2F2" w:themeFill="background1" w:themeFillShade="F2"/>
                </w:tcPr>
                <w:p w14:paraId="6E460343" w14:textId="77777777" w:rsidR="00FC14FC" w:rsidRDefault="00FC14FC" w:rsidP="00D11B9D">
                  <w:pPr>
                    <w:pStyle w:val="TableBodyText"/>
                  </w:pPr>
                  <w:r>
                    <w:t>34.5</w:t>
                  </w:r>
                </w:p>
              </w:tc>
              <w:tc>
                <w:tcPr>
                  <w:tcW w:w="431" w:type="pct"/>
                  <w:shd w:val="clear" w:color="auto" w:fill="F2F2F2" w:themeFill="background1" w:themeFillShade="F2"/>
                </w:tcPr>
                <w:p w14:paraId="0EF81E8C" w14:textId="77777777" w:rsidR="00FC14FC" w:rsidRDefault="00FC14FC" w:rsidP="00D11B9D">
                  <w:pPr>
                    <w:pStyle w:val="TableBodyText"/>
                  </w:pPr>
                  <w:r w:rsidRPr="000F6F85">
                    <w:t>33.8</w:t>
                  </w:r>
                </w:p>
              </w:tc>
              <w:tc>
                <w:tcPr>
                  <w:tcW w:w="539" w:type="pct"/>
                  <w:shd w:val="clear" w:color="auto" w:fill="F2F2F2" w:themeFill="background1" w:themeFillShade="F2"/>
                </w:tcPr>
                <w:p w14:paraId="5FB8A86A" w14:textId="77777777" w:rsidR="00FC14FC" w:rsidRPr="00AC6008" w:rsidRDefault="00FC14FC" w:rsidP="00D11B9D">
                  <w:pPr>
                    <w:pStyle w:val="TableBodyText"/>
                  </w:pPr>
                  <w:r w:rsidRPr="000F6F85">
                    <w:t>25.3</w:t>
                  </w:r>
                </w:p>
              </w:tc>
              <w:tc>
                <w:tcPr>
                  <w:tcW w:w="324" w:type="pct"/>
                  <w:shd w:val="clear" w:color="auto" w:fill="F2F2F2" w:themeFill="background1" w:themeFillShade="F2"/>
                </w:tcPr>
                <w:p w14:paraId="4A21D641" w14:textId="77777777" w:rsidR="00FC14FC" w:rsidRPr="00AC6008" w:rsidRDefault="00FC14FC" w:rsidP="00D11B9D">
                  <w:pPr>
                    <w:pStyle w:val="TableBodyText"/>
                  </w:pPr>
                  <w:r>
                    <w:t>26.1</w:t>
                  </w:r>
                </w:p>
              </w:tc>
              <w:tc>
                <w:tcPr>
                  <w:tcW w:w="431" w:type="pct"/>
                  <w:shd w:val="clear" w:color="auto" w:fill="F2F2F2" w:themeFill="background1" w:themeFillShade="F2"/>
                </w:tcPr>
                <w:p w14:paraId="0F255D19" w14:textId="77777777" w:rsidR="00FC14FC" w:rsidRPr="00AC6008" w:rsidRDefault="00FC14FC" w:rsidP="00D11B9D">
                  <w:pPr>
                    <w:pStyle w:val="TableBodyText"/>
                  </w:pPr>
                  <w:r>
                    <w:t>30.0</w:t>
                  </w:r>
                </w:p>
              </w:tc>
              <w:tc>
                <w:tcPr>
                  <w:tcW w:w="539" w:type="pct"/>
                  <w:gridSpan w:val="2"/>
                  <w:shd w:val="clear" w:color="auto" w:fill="F2F2F2" w:themeFill="background1" w:themeFillShade="F2"/>
                </w:tcPr>
                <w:p w14:paraId="277147A0" w14:textId="77777777" w:rsidR="00FC14FC" w:rsidRPr="00AC6008" w:rsidRDefault="00FC14FC" w:rsidP="00D11B9D">
                  <w:pPr>
                    <w:pStyle w:val="TableBodyText"/>
                  </w:pPr>
                  <w:r w:rsidRPr="000F6F85">
                    <w:t>22.8</w:t>
                  </w:r>
                </w:p>
              </w:tc>
              <w:tc>
                <w:tcPr>
                  <w:tcW w:w="363" w:type="pct"/>
                  <w:shd w:val="clear" w:color="auto" w:fill="F2F2F2" w:themeFill="background1" w:themeFillShade="F2"/>
                </w:tcPr>
                <w:p w14:paraId="3FD579CD" w14:textId="77777777" w:rsidR="00FC14FC" w:rsidRPr="00AC6008" w:rsidRDefault="00FC14FC" w:rsidP="00D11B9D">
                  <w:pPr>
                    <w:pStyle w:val="TableBodyText"/>
                  </w:pPr>
                  <w:r w:rsidRPr="000F6F85">
                    <w:t>26.7</w:t>
                  </w:r>
                </w:p>
              </w:tc>
              <w:tc>
                <w:tcPr>
                  <w:tcW w:w="478" w:type="pct"/>
                  <w:shd w:val="clear" w:color="auto" w:fill="F2F2F2" w:themeFill="background1" w:themeFillShade="F2"/>
                </w:tcPr>
                <w:p w14:paraId="7BAE7B8B" w14:textId="77777777" w:rsidR="00FC14FC" w:rsidRPr="00AC6008" w:rsidRDefault="00FC14FC" w:rsidP="00D11B9D">
                  <w:pPr>
                    <w:pStyle w:val="TableBodyText"/>
                    <w:ind w:right="28"/>
                  </w:pPr>
                  <w:r w:rsidRPr="000F6F85">
                    <w:t>20.3</w:t>
                  </w:r>
                </w:p>
              </w:tc>
            </w:tr>
            <w:tr w:rsidR="00FC14FC" w14:paraId="39AC707D" w14:textId="77777777" w:rsidTr="00D11B9D">
              <w:tc>
                <w:tcPr>
                  <w:tcW w:w="1141" w:type="pct"/>
                  <w:shd w:val="clear" w:color="auto" w:fill="auto"/>
                </w:tcPr>
                <w:p w14:paraId="2F43E9EE" w14:textId="77777777" w:rsidR="00FC14FC" w:rsidRDefault="00FC14FC" w:rsidP="00D11B9D">
                  <w:pPr>
                    <w:pStyle w:val="TableBodyText"/>
                    <w:jc w:val="left"/>
                  </w:pPr>
                  <w:r w:rsidRPr="00AC6008">
                    <w:t>International listed equity</w:t>
                  </w:r>
                </w:p>
              </w:tc>
              <w:tc>
                <w:tcPr>
                  <w:tcW w:w="377" w:type="pct"/>
                </w:tcPr>
                <w:p w14:paraId="5B721046" w14:textId="77777777" w:rsidR="00FC14FC" w:rsidRDefault="00FC14FC" w:rsidP="00D11B9D">
                  <w:pPr>
                    <w:pStyle w:val="TableBodyText"/>
                  </w:pPr>
                  <w:r>
                    <w:t>21.5</w:t>
                  </w:r>
                </w:p>
              </w:tc>
              <w:tc>
                <w:tcPr>
                  <w:tcW w:w="377" w:type="pct"/>
                  <w:shd w:val="clear" w:color="auto" w:fill="auto"/>
                </w:tcPr>
                <w:p w14:paraId="41E72BD7" w14:textId="77777777" w:rsidR="00FC14FC" w:rsidRDefault="00FC14FC" w:rsidP="00D11B9D">
                  <w:pPr>
                    <w:pStyle w:val="TableBodyText"/>
                  </w:pPr>
                  <w:r>
                    <w:t>26.0</w:t>
                  </w:r>
                </w:p>
              </w:tc>
              <w:tc>
                <w:tcPr>
                  <w:tcW w:w="431" w:type="pct"/>
                  <w:shd w:val="clear" w:color="auto" w:fill="auto"/>
                </w:tcPr>
                <w:p w14:paraId="5C89ABD9" w14:textId="77777777" w:rsidR="00FC14FC" w:rsidRDefault="00FC14FC" w:rsidP="00D11B9D">
                  <w:pPr>
                    <w:pStyle w:val="TableBodyText"/>
                  </w:pPr>
                  <w:r w:rsidRPr="000F6F85">
                    <w:t>25.3</w:t>
                  </w:r>
                </w:p>
              </w:tc>
              <w:tc>
                <w:tcPr>
                  <w:tcW w:w="539" w:type="pct"/>
                </w:tcPr>
                <w:p w14:paraId="28928E62" w14:textId="77777777" w:rsidR="00FC14FC" w:rsidRPr="00AC6008" w:rsidRDefault="00FC14FC" w:rsidP="00D11B9D">
                  <w:pPr>
                    <w:pStyle w:val="TableBodyText"/>
                  </w:pPr>
                  <w:r w:rsidRPr="000F6F85">
                    <w:t>21.3</w:t>
                  </w:r>
                </w:p>
              </w:tc>
              <w:tc>
                <w:tcPr>
                  <w:tcW w:w="324" w:type="pct"/>
                </w:tcPr>
                <w:p w14:paraId="196D0452" w14:textId="77777777" w:rsidR="00FC14FC" w:rsidRPr="00AC6008" w:rsidRDefault="00FC14FC" w:rsidP="00D11B9D">
                  <w:pPr>
                    <w:pStyle w:val="TableBodyText"/>
                  </w:pPr>
                  <w:r>
                    <w:t>21.8</w:t>
                  </w:r>
                </w:p>
              </w:tc>
              <w:tc>
                <w:tcPr>
                  <w:tcW w:w="431" w:type="pct"/>
                </w:tcPr>
                <w:p w14:paraId="064B728B" w14:textId="77777777" w:rsidR="00FC14FC" w:rsidRPr="00AC6008" w:rsidRDefault="00FC14FC" w:rsidP="00D11B9D">
                  <w:pPr>
                    <w:pStyle w:val="TableBodyText"/>
                  </w:pPr>
                  <w:r w:rsidRPr="000F6F85">
                    <w:t>24.9</w:t>
                  </w:r>
                </w:p>
              </w:tc>
              <w:tc>
                <w:tcPr>
                  <w:tcW w:w="539" w:type="pct"/>
                  <w:gridSpan w:val="2"/>
                </w:tcPr>
                <w:p w14:paraId="1775ED2E" w14:textId="77777777" w:rsidR="00FC14FC" w:rsidRPr="00AC6008" w:rsidRDefault="00FC14FC" w:rsidP="00D11B9D">
                  <w:pPr>
                    <w:pStyle w:val="TableBodyText"/>
                  </w:pPr>
                  <w:r w:rsidRPr="000F6F85">
                    <w:t>22.9</w:t>
                  </w:r>
                </w:p>
              </w:tc>
              <w:tc>
                <w:tcPr>
                  <w:tcW w:w="363" w:type="pct"/>
                </w:tcPr>
                <w:p w14:paraId="2218B768" w14:textId="77777777" w:rsidR="00FC14FC" w:rsidRPr="00AC6008" w:rsidRDefault="00FC14FC" w:rsidP="00D11B9D">
                  <w:pPr>
                    <w:pStyle w:val="TableBodyText"/>
                  </w:pPr>
                  <w:r w:rsidRPr="000F6F85">
                    <w:t>22.4</w:t>
                  </w:r>
                </w:p>
              </w:tc>
              <w:tc>
                <w:tcPr>
                  <w:tcW w:w="478" w:type="pct"/>
                </w:tcPr>
                <w:p w14:paraId="2940E561" w14:textId="77777777" w:rsidR="00FC14FC" w:rsidRPr="00AC6008" w:rsidRDefault="00FC14FC" w:rsidP="00D11B9D">
                  <w:pPr>
                    <w:pStyle w:val="TableBodyText"/>
                    <w:ind w:right="28"/>
                  </w:pPr>
                  <w:r w:rsidRPr="000F6F85">
                    <w:t>23.4</w:t>
                  </w:r>
                </w:p>
              </w:tc>
            </w:tr>
            <w:tr w:rsidR="00FC14FC" w14:paraId="79F3EB8A" w14:textId="77777777" w:rsidTr="00D11B9D">
              <w:tc>
                <w:tcPr>
                  <w:tcW w:w="1141" w:type="pct"/>
                  <w:shd w:val="clear" w:color="auto" w:fill="F2F2F2" w:themeFill="background1" w:themeFillShade="F2"/>
                </w:tcPr>
                <w:p w14:paraId="2764325E" w14:textId="77777777" w:rsidR="00FC14FC" w:rsidRDefault="00FC14FC" w:rsidP="00D11B9D">
                  <w:pPr>
                    <w:pStyle w:val="TableBodyText"/>
                    <w:jc w:val="left"/>
                  </w:pPr>
                  <w:r w:rsidRPr="00AC6008">
                    <w:t>Private equity</w:t>
                  </w:r>
                </w:p>
              </w:tc>
              <w:tc>
                <w:tcPr>
                  <w:tcW w:w="377" w:type="pct"/>
                  <w:shd w:val="clear" w:color="auto" w:fill="F2F2F2" w:themeFill="background1" w:themeFillShade="F2"/>
                </w:tcPr>
                <w:p w14:paraId="49ED1A83" w14:textId="77777777" w:rsidR="00FC14FC" w:rsidRDefault="00FC14FC" w:rsidP="00D11B9D">
                  <w:pPr>
                    <w:pStyle w:val="TableBodyText"/>
                  </w:pPr>
                  <w:r w:rsidRPr="000F6F85">
                    <w:t>4.8</w:t>
                  </w:r>
                </w:p>
              </w:tc>
              <w:tc>
                <w:tcPr>
                  <w:tcW w:w="377" w:type="pct"/>
                  <w:shd w:val="clear" w:color="auto" w:fill="F2F2F2" w:themeFill="background1" w:themeFillShade="F2"/>
                </w:tcPr>
                <w:p w14:paraId="281EEFAE" w14:textId="77777777" w:rsidR="00FC14FC" w:rsidRDefault="00FC14FC" w:rsidP="00D11B9D">
                  <w:pPr>
                    <w:pStyle w:val="TableBodyText"/>
                  </w:pPr>
                  <w:r w:rsidRPr="000F6F85">
                    <w:t>0.0</w:t>
                  </w:r>
                </w:p>
              </w:tc>
              <w:tc>
                <w:tcPr>
                  <w:tcW w:w="431" w:type="pct"/>
                  <w:shd w:val="clear" w:color="auto" w:fill="F2F2F2" w:themeFill="background1" w:themeFillShade="F2"/>
                </w:tcPr>
                <w:p w14:paraId="45DDA2C1" w14:textId="77777777" w:rsidR="00FC14FC" w:rsidRDefault="00FC14FC" w:rsidP="00D11B9D">
                  <w:pPr>
                    <w:pStyle w:val="TableBodyText"/>
                  </w:pPr>
                  <w:r w:rsidRPr="000F6F85">
                    <w:t>0.0</w:t>
                  </w:r>
                </w:p>
              </w:tc>
              <w:tc>
                <w:tcPr>
                  <w:tcW w:w="539" w:type="pct"/>
                  <w:shd w:val="clear" w:color="auto" w:fill="F2F2F2" w:themeFill="background1" w:themeFillShade="F2"/>
                </w:tcPr>
                <w:p w14:paraId="62B996F6" w14:textId="77777777" w:rsidR="00FC14FC" w:rsidRPr="00AC6008" w:rsidRDefault="00FC14FC" w:rsidP="00D11B9D">
                  <w:pPr>
                    <w:pStyle w:val="TableBodyText"/>
                  </w:pPr>
                  <w:r w:rsidRPr="000F6F85">
                    <w:t>6.7</w:t>
                  </w:r>
                </w:p>
              </w:tc>
              <w:tc>
                <w:tcPr>
                  <w:tcW w:w="324" w:type="pct"/>
                  <w:shd w:val="clear" w:color="auto" w:fill="F2F2F2" w:themeFill="background1" w:themeFillShade="F2"/>
                </w:tcPr>
                <w:p w14:paraId="04E134D6" w14:textId="77777777" w:rsidR="00FC14FC" w:rsidRPr="00AC6008" w:rsidRDefault="00FC14FC" w:rsidP="00D11B9D">
                  <w:pPr>
                    <w:pStyle w:val="TableBodyText"/>
                  </w:pPr>
                  <w:r w:rsidRPr="000F6F85">
                    <w:t>0.0</w:t>
                  </w:r>
                </w:p>
              </w:tc>
              <w:tc>
                <w:tcPr>
                  <w:tcW w:w="431" w:type="pct"/>
                  <w:shd w:val="clear" w:color="auto" w:fill="F2F2F2" w:themeFill="background1" w:themeFillShade="F2"/>
                </w:tcPr>
                <w:p w14:paraId="4EB4A492" w14:textId="77777777" w:rsidR="00FC14FC" w:rsidRPr="00AC6008" w:rsidRDefault="00FC14FC" w:rsidP="00D11B9D">
                  <w:pPr>
                    <w:pStyle w:val="TableBodyText"/>
                  </w:pPr>
                  <w:r w:rsidRPr="000F6F85">
                    <w:t>0.0</w:t>
                  </w:r>
                </w:p>
              </w:tc>
              <w:tc>
                <w:tcPr>
                  <w:tcW w:w="539" w:type="pct"/>
                  <w:gridSpan w:val="2"/>
                  <w:shd w:val="clear" w:color="auto" w:fill="F2F2F2" w:themeFill="background1" w:themeFillShade="F2"/>
                </w:tcPr>
                <w:p w14:paraId="031A630A" w14:textId="77777777" w:rsidR="00FC14FC" w:rsidRPr="00AC6008" w:rsidRDefault="00FC14FC" w:rsidP="00D11B9D">
                  <w:pPr>
                    <w:pStyle w:val="TableBodyText"/>
                  </w:pPr>
                  <w:r w:rsidRPr="000F6F85">
                    <w:t>4.2</w:t>
                  </w:r>
                </w:p>
              </w:tc>
              <w:tc>
                <w:tcPr>
                  <w:tcW w:w="363" w:type="pct"/>
                  <w:shd w:val="clear" w:color="auto" w:fill="F2F2F2" w:themeFill="background1" w:themeFillShade="F2"/>
                </w:tcPr>
                <w:p w14:paraId="26561CA0" w14:textId="77777777" w:rsidR="00FC14FC" w:rsidRPr="00AC6008" w:rsidRDefault="00FC14FC" w:rsidP="00D11B9D">
                  <w:pPr>
                    <w:pStyle w:val="TableBodyText"/>
                  </w:pPr>
                  <w:r w:rsidRPr="000F6F85">
                    <w:t>1.9</w:t>
                  </w:r>
                </w:p>
              </w:tc>
              <w:tc>
                <w:tcPr>
                  <w:tcW w:w="478" w:type="pct"/>
                  <w:shd w:val="clear" w:color="auto" w:fill="F2F2F2" w:themeFill="background1" w:themeFillShade="F2"/>
                </w:tcPr>
                <w:p w14:paraId="5094DD20" w14:textId="77777777" w:rsidR="00FC14FC" w:rsidRPr="00AC6008" w:rsidRDefault="00FC14FC" w:rsidP="00D11B9D">
                  <w:pPr>
                    <w:pStyle w:val="TableBodyText"/>
                    <w:ind w:right="28"/>
                  </w:pPr>
                  <w:r w:rsidRPr="000F6F85">
                    <w:t>5.7</w:t>
                  </w:r>
                </w:p>
              </w:tc>
            </w:tr>
            <w:tr w:rsidR="00FC14FC" w14:paraId="326058BA" w14:textId="77777777" w:rsidTr="00D11B9D">
              <w:tc>
                <w:tcPr>
                  <w:tcW w:w="1141" w:type="pct"/>
                  <w:shd w:val="clear" w:color="auto" w:fill="auto"/>
                </w:tcPr>
                <w:p w14:paraId="1DA001F3" w14:textId="77777777" w:rsidR="00FC14FC" w:rsidRDefault="00FC14FC" w:rsidP="00D11B9D">
                  <w:pPr>
                    <w:pStyle w:val="TableBodyText"/>
                    <w:jc w:val="left"/>
                  </w:pPr>
                  <w:r w:rsidRPr="00AC6008">
                    <w:t>Property</w:t>
                  </w:r>
                </w:p>
              </w:tc>
              <w:tc>
                <w:tcPr>
                  <w:tcW w:w="377" w:type="pct"/>
                </w:tcPr>
                <w:p w14:paraId="1E7781A6" w14:textId="77777777" w:rsidR="00FC14FC" w:rsidRDefault="00FC14FC" w:rsidP="00D11B9D">
                  <w:pPr>
                    <w:pStyle w:val="TableBodyText"/>
                  </w:pPr>
                  <w:r w:rsidRPr="000F6F85">
                    <w:t>8.9</w:t>
                  </w:r>
                </w:p>
              </w:tc>
              <w:tc>
                <w:tcPr>
                  <w:tcW w:w="377" w:type="pct"/>
                  <w:shd w:val="clear" w:color="auto" w:fill="auto"/>
                </w:tcPr>
                <w:p w14:paraId="69B583E3" w14:textId="77777777" w:rsidR="00FC14FC" w:rsidRDefault="00FC14FC" w:rsidP="00D11B9D">
                  <w:pPr>
                    <w:pStyle w:val="TableBodyText"/>
                  </w:pPr>
                  <w:r>
                    <w:t>8.5</w:t>
                  </w:r>
                </w:p>
              </w:tc>
              <w:tc>
                <w:tcPr>
                  <w:tcW w:w="431" w:type="pct"/>
                  <w:shd w:val="clear" w:color="auto" w:fill="auto"/>
                </w:tcPr>
                <w:p w14:paraId="73917959" w14:textId="77777777" w:rsidR="00FC14FC" w:rsidRDefault="00FC14FC" w:rsidP="00D11B9D">
                  <w:pPr>
                    <w:pStyle w:val="TableBodyText"/>
                  </w:pPr>
                  <w:r w:rsidRPr="000F6F85">
                    <w:t>10.9</w:t>
                  </w:r>
                </w:p>
              </w:tc>
              <w:tc>
                <w:tcPr>
                  <w:tcW w:w="539" w:type="pct"/>
                </w:tcPr>
                <w:p w14:paraId="2EE93C07" w14:textId="77777777" w:rsidR="00FC14FC" w:rsidRPr="00AC6008" w:rsidRDefault="00FC14FC" w:rsidP="00D11B9D">
                  <w:pPr>
                    <w:pStyle w:val="TableBodyText"/>
                  </w:pPr>
                  <w:r w:rsidRPr="000F6F85">
                    <w:t>9.3</w:t>
                  </w:r>
                </w:p>
              </w:tc>
              <w:tc>
                <w:tcPr>
                  <w:tcW w:w="324" w:type="pct"/>
                </w:tcPr>
                <w:p w14:paraId="44B09336" w14:textId="77777777" w:rsidR="00FC14FC" w:rsidRPr="00AC6008" w:rsidRDefault="00FC14FC" w:rsidP="00D11B9D">
                  <w:pPr>
                    <w:pStyle w:val="TableBodyText"/>
                  </w:pPr>
                  <w:r>
                    <w:t>7.2</w:t>
                  </w:r>
                </w:p>
              </w:tc>
              <w:tc>
                <w:tcPr>
                  <w:tcW w:w="431" w:type="pct"/>
                </w:tcPr>
                <w:p w14:paraId="450C6113" w14:textId="77777777" w:rsidR="00FC14FC" w:rsidRPr="00AC6008" w:rsidRDefault="00FC14FC" w:rsidP="00D11B9D">
                  <w:pPr>
                    <w:pStyle w:val="TableBodyText"/>
                  </w:pPr>
                  <w:r w:rsidRPr="000F6F85">
                    <w:t>11.5</w:t>
                  </w:r>
                </w:p>
              </w:tc>
              <w:tc>
                <w:tcPr>
                  <w:tcW w:w="539" w:type="pct"/>
                  <w:gridSpan w:val="2"/>
                </w:tcPr>
                <w:p w14:paraId="06F4E34F" w14:textId="77777777" w:rsidR="00FC14FC" w:rsidRPr="00AC6008" w:rsidRDefault="00FC14FC" w:rsidP="00D11B9D">
                  <w:pPr>
                    <w:pStyle w:val="TableBodyText"/>
                  </w:pPr>
                  <w:r w:rsidRPr="000F6F85">
                    <w:t>8.2</w:t>
                  </w:r>
                </w:p>
              </w:tc>
              <w:tc>
                <w:tcPr>
                  <w:tcW w:w="363" w:type="pct"/>
                </w:tcPr>
                <w:p w14:paraId="7BC0F329" w14:textId="77777777" w:rsidR="00FC14FC" w:rsidRPr="00AC6008" w:rsidRDefault="00FC14FC" w:rsidP="00D11B9D">
                  <w:pPr>
                    <w:pStyle w:val="TableBodyText"/>
                  </w:pPr>
                  <w:r w:rsidRPr="000F6F85">
                    <w:t>6.0</w:t>
                  </w:r>
                </w:p>
              </w:tc>
              <w:tc>
                <w:tcPr>
                  <w:tcW w:w="478" w:type="pct"/>
                </w:tcPr>
                <w:p w14:paraId="343D6534" w14:textId="77777777" w:rsidR="00FC14FC" w:rsidRPr="00AC6008" w:rsidRDefault="00FC14FC" w:rsidP="00D11B9D">
                  <w:pPr>
                    <w:pStyle w:val="TableBodyText"/>
                    <w:ind w:right="28"/>
                  </w:pPr>
                  <w:r w:rsidRPr="000F6F85">
                    <w:t>9.4</w:t>
                  </w:r>
                </w:p>
              </w:tc>
            </w:tr>
            <w:tr w:rsidR="00FC14FC" w14:paraId="090D1D13" w14:textId="77777777" w:rsidTr="00D11B9D">
              <w:tc>
                <w:tcPr>
                  <w:tcW w:w="1141" w:type="pct"/>
                  <w:shd w:val="clear" w:color="auto" w:fill="F2F2F2" w:themeFill="background1" w:themeFillShade="F2"/>
                </w:tcPr>
                <w:p w14:paraId="3538B36F" w14:textId="77777777" w:rsidR="00FC14FC" w:rsidRDefault="00FC14FC" w:rsidP="00D11B9D">
                  <w:pPr>
                    <w:pStyle w:val="TableBodyText"/>
                    <w:jc w:val="left"/>
                  </w:pPr>
                  <w:r w:rsidRPr="00AC6008">
                    <w:t>Infrastructure</w:t>
                  </w:r>
                </w:p>
              </w:tc>
              <w:tc>
                <w:tcPr>
                  <w:tcW w:w="377" w:type="pct"/>
                  <w:shd w:val="clear" w:color="auto" w:fill="F2F2F2" w:themeFill="background1" w:themeFillShade="F2"/>
                </w:tcPr>
                <w:p w14:paraId="5B487753" w14:textId="77777777" w:rsidR="00FC14FC" w:rsidRDefault="00FC14FC" w:rsidP="00D11B9D">
                  <w:pPr>
                    <w:pStyle w:val="TableBodyText"/>
                  </w:pPr>
                  <w:r w:rsidRPr="000F6F85">
                    <w:t>0.0</w:t>
                  </w:r>
                </w:p>
              </w:tc>
              <w:tc>
                <w:tcPr>
                  <w:tcW w:w="377" w:type="pct"/>
                  <w:shd w:val="clear" w:color="auto" w:fill="F2F2F2" w:themeFill="background1" w:themeFillShade="F2"/>
                </w:tcPr>
                <w:p w14:paraId="0616885E" w14:textId="77777777" w:rsidR="00FC14FC" w:rsidRDefault="00FC14FC" w:rsidP="00D11B9D">
                  <w:pPr>
                    <w:pStyle w:val="TableBodyText"/>
                  </w:pPr>
                  <w:r w:rsidRPr="000F6F85">
                    <w:t>0.0</w:t>
                  </w:r>
                </w:p>
              </w:tc>
              <w:tc>
                <w:tcPr>
                  <w:tcW w:w="431" w:type="pct"/>
                  <w:shd w:val="clear" w:color="auto" w:fill="F2F2F2" w:themeFill="background1" w:themeFillShade="F2"/>
                </w:tcPr>
                <w:p w14:paraId="297A3021" w14:textId="77777777" w:rsidR="00FC14FC" w:rsidRDefault="00FC14FC" w:rsidP="00D11B9D">
                  <w:pPr>
                    <w:pStyle w:val="TableBodyText"/>
                  </w:pPr>
                  <w:r w:rsidRPr="000F6F85">
                    <w:t>0.0</w:t>
                  </w:r>
                </w:p>
              </w:tc>
              <w:tc>
                <w:tcPr>
                  <w:tcW w:w="539" w:type="pct"/>
                  <w:shd w:val="clear" w:color="auto" w:fill="F2F2F2" w:themeFill="background1" w:themeFillShade="F2"/>
                </w:tcPr>
                <w:p w14:paraId="4F951B62" w14:textId="77777777" w:rsidR="00FC14FC" w:rsidRPr="00AC6008" w:rsidRDefault="00FC14FC" w:rsidP="00D11B9D">
                  <w:pPr>
                    <w:pStyle w:val="TableBodyText"/>
                  </w:pPr>
                  <w:r w:rsidRPr="000F6F85">
                    <w:t>1.9</w:t>
                  </w:r>
                </w:p>
              </w:tc>
              <w:tc>
                <w:tcPr>
                  <w:tcW w:w="324" w:type="pct"/>
                  <w:shd w:val="clear" w:color="auto" w:fill="F2F2F2" w:themeFill="background1" w:themeFillShade="F2"/>
                </w:tcPr>
                <w:p w14:paraId="26485DB0" w14:textId="77777777" w:rsidR="00FC14FC" w:rsidRPr="00AC6008" w:rsidRDefault="00FC14FC" w:rsidP="00D11B9D">
                  <w:pPr>
                    <w:pStyle w:val="TableBodyText"/>
                  </w:pPr>
                  <w:r w:rsidRPr="000F6F85">
                    <w:t>0.0</w:t>
                  </w:r>
                </w:p>
              </w:tc>
              <w:tc>
                <w:tcPr>
                  <w:tcW w:w="431" w:type="pct"/>
                  <w:shd w:val="clear" w:color="auto" w:fill="F2F2F2" w:themeFill="background1" w:themeFillShade="F2"/>
                </w:tcPr>
                <w:p w14:paraId="413EEFAC" w14:textId="77777777" w:rsidR="00FC14FC" w:rsidRPr="00AC6008" w:rsidRDefault="00FC14FC" w:rsidP="00D11B9D">
                  <w:pPr>
                    <w:pStyle w:val="TableBodyText"/>
                  </w:pPr>
                  <w:r w:rsidRPr="000F6F85">
                    <w:t>0.0</w:t>
                  </w:r>
                </w:p>
              </w:tc>
              <w:tc>
                <w:tcPr>
                  <w:tcW w:w="539" w:type="pct"/>
                  <w:gridSpan w:val="2"/>
                  <w:shd w:val="clear" w:color="auto" w:fill="F2F2F2" w:themeFill="background1" w:themeFillShade="F2"/>
                </w:tcPr>
                <w:p w14:paraId="267D5EF2" w14:textId="77777777" w:rsidR="00FC14FC" w:rsidRPr="00AC6008" w:rsidRDefault="00FC14FC" w:rsidP="00D11B9D">
                  <w:pPr>
                    <w:pStyle w:val="TableBodyText"/>
                  </w:pPr>
                  <w:r w:rsidRPr="000F6F85">
                    <w:t>5.0</w:t>
                  </w:r>
                </w:p>
              </w:tc>
              <w:tc>
                <w:tcPr>
                  <w:tcW w:w="363" w:type="pct"/>
                  <w:shd w:val="clear" w:color="auto" w:fill="F2F2F2" w:themeFill="background1" w:themeFillShade="F2"/>
                </w:tcPr>
                <w:p w14:paraId="32B02C01" w14:textId="77777777" w:rsidR="00FC14FC" w:rsidRPr="00AC6008" w:rsidRDefault="00FC14FC" w:rsidP="00D11B9D">
                  <w:pPr>
                    <w:pStyle w:val="TableBodyText"/>
                  </w:pPr>
                  <w:r w:rsidRPr="000F6F85">
                    <w:t>1.8</w:t>
                  </w:r>
                </w:p>
              </w:tc>
              <w:tc>
                <w:tcPr>
                  <w:tcW w:w="478" w:type="pct"/>
                  <w:shd w:val="clear" w:color="auto" w:fill="F2F2F2" w:themeFill="background1" w:themeFillShade="F2"/>
                </w:tcPr>
                <w:p w14:paraId="2B94DDC8" w14:textId="77777777" w:rsidR="00FC14FC" w:rsidRPr="00AC6008" w:rsidRDefault="00FC14FC" w:rsidP="00D11B9D">
                  <w:pPr>
                    <w:pStyle w:val="TableBodyText"/>
                    <w:ind w:right="28"/>
                  </w:pPr>
                  <w:r w:rsidRPr="000F6F85">
                    <w:t>7.1</w:t>
                  </w:r>
                </w:p>
              </w:tc>
            </w:tr>
            <w:tr w:rsidR="00FC14FC" w14:paraId="1493785A" w14:textId="77777777" w:rsidTr="00D11B9D">
              <w:tc>
                <w:tcPr>
                  <w:tcW w:w="1141" w:type="pct"/>
                  <w:tcBorders>
                    <w:bottom w:val="single" w:sz="6" w:space="0" w:color="BFBFBF"/>
                  </w:tcBorders>
                  <w:shd w:val="clear" w:color="auto" w:fill="auto"/>
                </w:tcPr>
                <w:p w14:paraId="57210617" w14:textId="77777777" w:rsidR="00FC14FC" w:rsidRDefault="00FC14FC" w:rsidP="00D11B9D">
                  <w:pPr>
                    <w:pStyle w:val="TableBodyText"/>
                    <w:jc w:val="left"/>
                  </w:pPr>
                  <w:r w:rsidRPr="00AC6008">
                    <w:t>Other</w:t>
                  </w:r>
                </w:p>
              </w:tc>
              <w:tc>
                <w:tcPr>
                  <w:tcW w:w="377" w:type="pct"/>
                  <w:tcBorders>
                    <w:bottom w:val="single" w:sz="6" w:space="0" w:color="BFBFBF"/>
                  </w:tcBorders>
                </w:tcPr>
                <w:p w14:paraId="28F3964B" w14:textId="77777777" w:rsidR="00FC14FC" w:rsidRDefault="00FC14FC" w:rsidP="00D11B9D">
                  <w:pPr>
                    <w:pStyle w:val="TableBodyText"/>
                  </w:pPr>
                  <w:r w:rsidRPr="000F6F85">
                    <w:t>4.6</w:t>
                  </w:r>
                </w:p>
              </w:tc>
              <w:tc>
                <w:tcPr>
                  <w:tcW w:w="377" w:type="pct"/>
                  <w:tcBorders>
                    <w:bottom w:val="single" w:sz="6" w:space="0" w:color="BFBFBF"/>
                  </w:tcBorders>
                  <w:shd w:val="clear" w:color="auto" w:fill="auto"/>
                </w:tcPr>
                <w:p w14:paraId="23D99157" w14:textId="77777777" w:rsidR="00FC14FC" w:rsidRDefault="00FC14FC" w:rsidP="00D11B9D">
                  <w:pPr>
                    <w:pStyle w:val="TableBodyText"/>
                  </w:pPr>
                  <w:r w:rsidRPr="000F6F85">
                    <w:t>0.0</w:t>
                  </w:r>
                </w:p>
              </w:tc>
              <w:tc>
                <w:tcPr>
                  <w:tcW w:w="431" w:type="pct"/>
                  <w:tcBorders>
                    <w:bottom w:val="single" w:sz="6" w:space="0" w:color="BFBFBF"/>
                  </w:tcBorders>
                  <w:shd w:val="clear" w:color="auto" w:fill="auto"/>
                </w:tcPr>
                <w:p w14:paraId="6CA98521" w14:textId="77777777" w:rsidR="00FC14FC" w:rsidRDefault="00FC14FC" w:rsidP="00D11B9D">
                  <w:pPr>
                    <w:pStyle w:val="TableBodyText"/>
                  </w:pPr>
                  <w:r w:rsidRPr="000F6F85">
                    <w:t>0.0</w:t>
                  </w:r>
                </w:p>
              </w:tc>
              <w:tc>
                <w:tcPr>
                  <w:tcW w:w="539" w:type="pct"/>
                  <w:tcBorders>
                    <w:bottom w:val="single" w:sz="6" w:space="0" w:color="BFBFBF"/>
                  </w:tcBorders>
                </w:tcPr>
                <w:p w14:paraId="3E652A9D" w14:textId="77777777" w:rsidR="00FC14FC" w:rsidRPr="00AC6008" w:rsidRDefault="00FC14FC" w:rsidP="00D11B9D">
                  <w:pPr>
                    <w:pStyle w:val="TableBodyText"/>
                  </w:pPr>
                  <w:r w:rsidRPr="000F6F85">
                    <w:t>6.3</w:t>
                  </w:r>
                </w:p>
              </w:tc>
              <w:tc>
                <w:tcPr>
                  <w:tcW w:w="324" w:type="pct"/>
                  <w:tcBorders>
                    <w:bottom w:val="single" w:sz="6" w:space="0" w:color="BFBFBF"/>
                  </w:tcBorders>
                </w:tcPr>
                <w:p w14:paraId="4A20AAF7" w14:textId="77777777" w:rsidR="00FC14FC" w:rsidRPr="00AC6008" w:rsidRDefault="00FC14FC" w:rsidP="00D11B9D">
                  <w:pPr>
                    <w:pStyle w:val="TableBodyText"/>
                  </w:pPr>
                  <w:r w:rsidRPr="000F6F85">
                    <w:t>0.0</w:t>
                  </w:r>
                </w:p>
              </w:tc>
              <w:tc>
                <w:tcPr>
                  <w:tcW w:w="431" w:type="pct"/>
                  <w:tcBorders>
                    <w:bottom w:val="single" w:sz="6" w:space="0" w:color="BFBFBF"/>
                  </w:tcBorders>
                </w:tcPr>
                <w:p w14:paraId="624BAF14" w14:textId="77777777" w:rsidR="00FC14FC" w:rsidRPr="00AC6008" w:rsidRDefault="00FC14FC" w:rsidP="00D11B9D">
                  <w:pPr>
                    <w:pStyle w:val="TableBodyText"/>
                  </w:pPr>
                  <w:r w:rsidRPr="000F6F85">
                    <w:t>0.0</w:t>
                  </w:r>
                </w:p>
              </w:tc>
              <w:tc>
                <w:tcPr>
                  <w:tcW w:w="539" w:type="pct"/>
                  <w:gridSpan w:val="2"/>
                  <w:tcBorders>
                    <w:bottom w:val="single" w:sz="6" w:space="0" w:color="BFBFBF"/>
                  </w:tcBorders>
                </w:tcPr>
                <w:p w14:paraId="0C887AF2" w14:textId="77777777" w:rsidR="00FC14FC" w:rsidRPr="00AC6008" w:rsidRDefault="00FC14FC" w:rsidP="00D11B9D">
                  <w:pPr>
                    <w:pStyle w:val="TableBodyText"/>
                  </w:pPr>
                  <w:r w:rsidRPr="000F6F85">
                    <w:t>3.5</w:t>
                  </w:r>
                </w:p>
              </w:tc>
              <w:tc>
                <w:tcPr>
                  <w:tcW w:w="363" w:type="pct"/>
                  <w:tcBorders>
                    <w:bottom w:val="single" w:sz="6" w:space="0" w:color="BFBFBF"/>
                  </w:tcBorders>
                </w:tcPr>
                <w:p w14:paraId="6AE13FDF" w14:textId="77777777" w:rsidR="00FC14FC" w:rsidRPr="00AC6008" w:rsidRDefault="00FC14FC" w:rsidP="00D11B9D">
                  <w:pPr>
                    <w:pStyle w:val="TableBodyText"/>
                  </w:pPr>
                  <w:r w:rsidRPr="000F6F85">
                    <w:t>3.9</w:t>
                  </w:r>
                </w:p>
              </w:tc>
              <w:tc>
                <w:tcPr>
                  <w:tcW w:w="478" w:type="pct"/>
                  <w:tcBorders>
                    <w:bottom w:val="single" w:sz="6" w:space="0" w:color="BFBFBF"/>
                  </w:tcBorders>
                </w:tcPr>
                <w:p w14:paraId="5E5C436C" w14:textId="77777777" w:rsidR="00FC14FC" w:rsidRPr="00AC6008" w:rsidRDefault="00FC14FC" w:rsidP="00D11B9D">
                  <w:pPr>
                    <w:pStyle w:val="TableBodyText"/>
                    <w:ind w:right="28"/>
                  </w:pPr>
                  <w:r w:rsidRPr="000F6F85">
                    <w:t>3.0</w:t>
                  </w:r>
                </w:p>
              </w:tc>
            </w:tr>
          </w:tbl>
          <w:p w14:paraId="787CE0AB" w14:textId="77777777" w:rsidR="00FC14FC" w:rsidRDefault="00FC14FC" w:rsidP="00D11B9D">
            <w:pPr>
              <w:pStyle w:val="Box"/>
            </w:pPr>
          </w:p>
        </w:tc>
      </w:tr>
      <w:tr w:rsidR="00FC14FC" w14:paraId="6FC0D6A2" w14:textId="77777777" w:rsidTr="00D11B9D">
        <w:tc>
          <w:tcPr>
            <w:tcW w:w="5000" w:type="pct"/>
            <w:tcBorders>
              <w:top w:val="nil"/>
              <w:left w:val="nil"/>
              <w:bottom w:val="nil"/>
              <w:right w:val="nil"/>
            </w:tcBorders>
            <w:shd w:val="clear" w:color="auto" w:fill="auto"/>
          </w:tcPr>
          <w:p w14:paraId="205B75BF" w14:textId="77777777" w:rsidR="00FC14FC" w:rsidRDefault="00FC14FC" w:rsidP="00D11B9D">
            <w:pPr>
              <w:pStyle w:val="Note"/>
              <w:rPr>
                <w:i/>
              </w:rPr>
            </w:pPr>
            <w:r w:rsidRPr="008E77FE">
              <w:rPr>
                <w:rStyle w:val="NoteLabel"/>
              </w:rPr>
              <w:t>a</w:t>
            </w:r>
            <w:r>
              <w:t xml:space="preserve"> System benchmarks are based on APRA system</w:t>
            </w:r>
            <w:r>
              <w:noBreakHyphen/>
              <w:t>level asset allocation data. Segment benchmarks are based on APRA fund</w:t>
            </w:r>
            <w:r>
              <w:noBreakHyphen/>
              <w:t>level asset allocation data. The underlying datasets do not reconcile, therefore the asset allocations may materially differ in some cases.</w:t>
            </w:r>
          </w:p>
        </w:tc>
      </w:tr>
      <w:tr w:rsidR="00FC14FC" w14:paraId="43B55C6C" w14:textId="77777777" w:rsidTr="00D11B9D">
        <w:tc>
          <w:tcPr>
            <w:tcW w:w="5000" w:type="pct"/>
            <w:tcBorders>
              <w:top w:val="nil"/>
              <w:left w:val="nil"/>
              <w:bottom w:val="nil"/>
              <w:right w:val="nil"/>
            </w:tcBorders>
            <w:shd w:val="clear" w:color="auto" w:fill="auto"/>
          </w:tcPr>
          <w:p w14:paraId="53F6F22C" w14:textId="77777777" w:rsidR="00FC14FC" w:rsidRDefault="00FC14FC" w:rsidP="00D11B9D">
            <w:pPr>
              <w:pStyle w:val="Source"/>
            </w:pPr>
            <w:r>
              <w:rPr>
                <w:i/>
              </w:rPr>
              <w:t>Source</w:t>
            </w:r>
            <w:r w:rsidRPr="00167F06">
              <w:t xml:space="preserve">: </w:t>
            </w:r>
            <w:r w:rsidRPr="002D557A">
              <w:rPr>
                <w:rFonts w:asciiTheme="minorHAnsi" w:cstheme="minorBidi"/>
                <w:color w:val="000000" w:themeColor="text1"/>
                <w:kern w:val="24"/>
                <w:szCs w:val="18"/>
              </w:rPr>
              <w:t>PC analysis of unpublished APRA data</w:t>
            </w:r>
            <w:r>
              <w:rPr>
                <w:rFonts w:asciiTheme="minorHAnsi" w:cstheme="minorBidi"/>
                <w:color w:val="000000" w:themeColor="text1"/>
                <w:kern w:val="24"/>
                <w:szCs w:val="18"/>
              </w:rPr>
              <w:t>.</w:t>
            </w:r>
          </w:p>
        </w:tc>
      </w:tr>
      <w:tr w:rsidR="00FC14FC" w14:paraId="77A4BBAA" w14:textId="77777777" w:rsidTr="00D11B9D">
        <w:tc>
          <w:tcPr>
            <w:tcW w:w="5000" w:type="pct"/>
            <w:tcBorders>
              <w:top w:val="nil"/>
              <w:left w:val="nil"/>
              <w:bottom w:val="single" w:sz="6" w:space="0" w:color="78A22F"/>
              <w:right w:val="nil"/>
            </w:tcBorders>
            <w:shd w:val="clear" w:color="auto" w:fill="auto"/>
          </w:tcPr>
          <w:p w14:paraId="1FA77E4B" w14:textId="77777777" w:rsidR="00FC14FC" w:rsidRDefault="00FC14FC" w:rsidP="00D11B9D">
            <w:pPr>
              <w:pStyle w:val="Box"/>
              <w:spacing w:before="0" w:line="120" w:lineRule="exact"/>
            </w:pPr>
          </w:p>
        </w:tc>
      </w:tr>
      <w:tr w:rsidR="00FC14FC" w:rsidRPr="000863A5" w14:paraId="403CE5E9" w14:textId="77777777" w:rsidTr="00D11B9D">
        <w:tc>
          <w:tcPr>
            <w:tcW w:w="5000" w:type="pct"/>
            <w:tcBorders>
              <w:top w:val="single" w:sz="6" w:space="0" w:color="78A22F"/>
              <w:left w:val="nil"/>
              <w:bottom w:val="nil"/>
              <w:right w:val="nil"/>
            </w:tcBorders>
          </w:tcPr>
          <w:p w14:paraId="05C06059" w14:textId="77777777" w:rsidR="00FC14FC" w:rsidRPr="00626D32" w:rsidRDefault="00FC14FC" w:rsidP="00D11B9D">
            <w:pPr>
              <w:pStyle w:val="BoxSpaceBelow"/>
            </w:pPr>
          </w:p>
        </w:tc>
      </w:tr>
    </w:tbl>
    <w:p w14:paraId="7B4D0298"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13437"/>
      </w:tblGrid>
      <w:tr w:rsidR="00FC14FC" w14:paraId="44D89A60" w14:textId="77777777" w:rsidTr="00D11B9D">
        <w:trPr>
          <w:tblHeader/>
        </w:trPr>
        <w:tc>
          <w:tcPr>
            <w:tcW w:w="5000" w:type="pct"/>
            <w:tcBorders>
              <w:top w:val="single" w:sz="6" w:space="0" w:color="78A22F"/>
              <w:left w:val="nil"/>
              <w:bottom w:val="nil"/>
              <w:right w:val="nil"/>
            </w:tcBorders>
            <w:shd w:val="clear" w:color="auto" w:fill="auto"/>
          </w:tcPr>
          <w:p w14:paraId="54697116" w14:textId="77777777" w:rsidR="00FC14FC" w:rsidRDefault="00FC14FC" w:rsidP="00D11B9D">
            <w:pPr>
              <w:pStyle w:val="TableTitle"/>
            </w:pPr>
            <w:r>
              <w:rPr>
                <w:b w:val="0"/>
              </w:rPr>
              <w:t>Table 4.19</w:t>
            </w:r>
            <w:r>
              <w:tab/>
              <w:t>Asset allocation: MySuper and choice segments</w:t>
            </w:r>
          </w:p>
          <w:p w14:paraId="6C243A2C" w14:textId="77777777" w:rsidR="00FC14FC" w:rsidRPr="00F95476" w:rsidRDefault="00FC14FC" w:rsidP="00D11B9D">
            <w:pPr>
              <w:pStyle w:val="Subtitle"/>
            </w:pPr>
            <w:r w:rsidRPr="00F95476">
              <w:t>Per cent</w:t>
            </w:r>
          </w:p>
        </w:tc>
      </w:tr>
      <w:tr w:rsidR="00FC14FC" w14:paraId="6C5FE4E1" w14:textId="77777777" w:rsidTr="00D11B9D">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4146"/>
              <w:gridCol w:w="1536"/>
              <w:gridCol w:w="1368"/>
              <w:gridCol w:w="1757"/>
              <w:gridCol w:w="1315"/>
              <w:gridCol w:w="1755"/>
              <w:gridCol w:w="1276"/>
            </w:tblGrid>
            <w:tr w:rsidR="00FC14FC" w14:paraId="67439E2E" w14:textId="77777777" w:rsidTr="00D11B9D">
              <w:trPr>
                <w:tblHeader/>
              </w:trPr>
              <w:tc>
                <w:tcPr>
                  <w:tcW w:w="1576" w:type="pct"/>
                  <w:tcBorders>
                    <w:top w:val="single" w:sz="6" w:space="0" w:color="BFBFBF"/>
                  </w:tcBorders>
                  <w:shd w:val="clear" w:color="auto" w:fill="auto"/>
                  <w:tcMar>
                    <w:top w:w="28" w:type="dxa"/>
                  </w:tcMar>
                </w:tcPr>
                <w:p w14:paraId="44A74066" w14:textId="77777777" w:rsidR="00FC14FC" w:rsidRDefault="00FC14FC" w:rsidP="00D11B9D">
                  <w:pPr>
                    <w:pStyle w:val="TableColumnHeading"/>
                    <w:jc w:val="left"/>
                  </w:pPr>
                </w:p>
              </w:tc>
              <w:tc>
                <w:tcPr>
                  <w:tcW w:w="1104" w:type="pct"/>
                  <w:gridSpan w:val="2"/>
                  <w:tcBorders>
                    <w:top w:val="single" w:sz="6" w:space="0" w:color="BFBFBF"/>
                    <w:bottom w:val="single" w:sz="6" w:space="0" w:color="BFBFBF"/>
                  </w:tcBorders>
                </w:tcPr>
                <w:p w14:paraId="5F5E55A1" w14:textId="77777777" w:rsidR="00FC14FC" w:rsidRDefault="00FC14FC" w:rsidP="00D11B9D">
                  <w:pPr>
                    <w:pStyle w:val="TableColumnHeading"/>
                    <w:jc w:val="center"/>
                  </w:pPr>
                  <w:r>
                    <w:t xml:space="preserve">2007 </w:t>
                  </w:r>
                </w:p>
              </w:tc>
              <w:tc>
                <w:tcPr>
                  <w:tcW w:w="1168" w:type="pct"/>
                  <w:gridSpan w:val="2"/>
                  <w:tcBorders>
                    <w:top w:val="single" w:sz="6" w:space="0" w:color="BFBFBF"/>
                    <w:bottom w:val="single" w:sz="6" w:space="0" w:color="BFBFBF"/>
                  </w:tcBorders>
                </w:tcPr>
                <w:p w14:paraId="4107F3C1" w14:textId="77777777" w:rsidR="00FC14FC" w:rsidRDefault="00FC14FC" w:rsidP="00D11B9D">
                  <w:pPr>
                    <w:pStyle w:val="TableColumnHeading"/>
                    <w:ind w:right="28"/>
                    <w:jc w:val="center"/>
                  </w:pPr>
                  <w:r>
                    <w:t xml:space="preserve">2012 </w:t>
                  </w:r>
                </w:p>
              </w:tc>
              <w:tc>
                <w:tcPr>
                  <w:tcW w:w="1152" w:type="pct"/>
                  <w:gridSpan w:val="2"/>
                  <w:tcBorders>
                    <w:top w:val="single" w:sz="6" w:space="0" w:color="BFBFBF"/>
                    <w:bottom w:val="single" w:sz="6" w:space="0" w:color="BFBFBF"/>
                  </w:tcBorders>
                </w:tcPr>
                <w:p w14:paraId="691F0D06" w14:textId="77777777" w:rsidR="00FC14FC" w:rsidRDefault="00FC14FC" w:rsidP="00D11B9D">
                  <w:pPr>
                    <w:pStyle w:val="TableColumnHeading"/>
                    <w:ind w:right="28"/>
                    <w:jc w:val="center"/>
                  </w:pPr>
                  <w:r>
                    <w:t xml:space="preserve">2017 </w:t>
                  </w:r>
                </w:p>
              </w:tc>
            </w:tr>
            <w:tr w:rsidR="00FC14FC" w14:paraId="329CA47F" w14:textId="77777777" w:rsidTr="00D11B9D">
              <w:trPr>
                <w:tblHeader/>
              </w:trPr>
              <w:tc>
                <w:tcPr>
                  <w:tcW w:w="1576" w:type="pct"/>
                  <w:tcBorders>
                    <w:bottom w:val="single" w:sz="6" w:space="0" w:color="BFBFBF"/>
                  </w:tcBorders>
                  <w:shd w:val="clear" w:color="auto" w:fill="auto"/>
                  <w:tcMar>
                    <w:top w:w="28" w:type="dxa"/>
                  </w:tcMar>
                </w:tcPr>
                <w:p w14:paraId="28184658" w14:textId="77777777" w:rsidR="00FC14FC" w:rsidRDefault="00FC14FC" w:rsidP="00D11B9D">
                  <w:pPr>
                    <w:pStyle w:val="TableColumnHeading"/>
                    <w:jc w:val="left"/>
                  </w:pPr>
                </w:p>
              </w:tc>
              <w:tc>
                <w:tcPr>
                  <w:tcW w:w="584" w:type="pct"/>
                  <w:tcBorders>
                    <w:top w:val="single" w:sz="6" w:space="0" w:color="BFBFBF"/>
                    <w:bottom w:val="single" w:sz="6" w:space="0" w:color="BFBFBF"/>
                  </w:tcBorders>
                </w:tcPr>
                <w:p w14:paraId="464F6C92" w14:textId="77777777" w:rsidR="00FC14FC" w:rsidRDefault="00FC14FC" w:rsidP="00D11B9D">
                  <w:pPr>
                    <w:pStyle w:val="TableColumnHeading"/>
                  </w:pPr>
                  <w:r w:rsidRPr="00C94BB2">
                    <w:t>MySuper</w:t>
                  </w:r>
                </w:p>
              </w:tc>
              <w:tc>
                <w:tcPr>
                  <w:tcW w:w="520" w:type="pct"/>
                  <w:tcBorders>
                    <w:top w:val="single" w:sz="6" w:space="0" w:color="BFBFBF"/>
                    <w:bottom w:val="single" w:sz="6" w:space="0" w:color="BFBFBF"/>
                  </w:tcBorders>
                  <w:shd w:val="clear" w:color="auto" w:fill="auto"/>
                  <w:tcMar>
                    <w:top w:w="28" w:type="dxa"/>
                  </w:tcMar>
                </w:tcPr>
                <w:p w14:paraId="7004E544" w14:textId="77777777" w:rsidR="00FC14FC" w:rsidRDefault="00FC14FC" w:rsidP="00D11B9D">
                  <w:pPr>
                    <w:pStyle w:val="TableColumnHeading"/>
                  </w:pPr>
                  <w:r w:rsidRPr="00C94BB2">
                    <w:t>Choice</w:t>
                  </w:r>
                </w:p>
              </w:tc>
              <w:tc>
                <w:tcPr>
                  <w:tcW w:w="668" w:type="pct"/>
                  <w:tcBorders>
                    <w:top w:val="single" w:sz="6" w:space="0" w:color="BFBFBF"/>
                    <w:bottom w:val="single" w:sz="6" w:space="0" w:color="BFBFBF"/>
                  </w:tcBorders>
                </w:tcPr>
                <w:p w14:paraId="06DC65CE" w14:textId="77777777" w:rsidR="00FC14FC" w:rsidRDefault="00FC14FC" w:rsidP="00D11B9D">
                  <w:pPr>
                    <w:pStyle w:val="TableColumnHeading"/>
                  </w:pPr>
                  <w:r w:rsidRPr="00C94BB2">
                    <w:t>MySuper</w:t>
                  </w:r>
                </w:p>
              </w:tc>
              <w:tc>
                <w:tcPr>
                  <w:tcW w:w="500" w:type="pct"/>
                  <w:tcBorders>
                    <w:top w:val="single" w:sz="6" w:space="0" w:color="BFBFBF"/>
                    <w:bottom w:val="single" w:sz="6" w:space="0" w:color="BFBFBF"/>
                  </w:tcBorders>
                </w:tcPr>
                <w:p w14:paraId="503A4C4D" w14:textId="77777777" w:rsidR="00FC14FC" w:rsidRDefault="00FC14FC" w:rsidP="00D11B9D">
                  <w:pPr>
                    <w:pStyle w:val="TableColumnHeading"/>
                  </w:pPr>
                  <w:r w:rsidRPr="00C94BB2">
                    <w:t>Choice</w:t>
                  </w:r>
                </w:p>
              </w:tc>
              <w:tc>
                <w:tcPr>
                  <w:tcW w:w="667" w:type="pct"/>
                  <w:tcBorders>
                    <w:top w:val="single" w:sz="6" w:space="0" w:color="BFBFBF"/>
                    <w:bottom w:val="single" w:sz="6" w:space="0" w:color="BFBFBF"/>
                  </w:tcBorders>
                </w:tcPr>
                <w:p w14:paraId="678E1637" w14:textId="77777777" w:rsidR="00FC14FC" w:rsidRDefault="00FC14FC" w:rsidP="00D11B9D">
                  <w:pPr>
                    <w:pStyle w:val="TableColumnHeading"/>
                  </w:pPr>
                  <w:r w:rsidRPr="00C94BB2">
                    <w:t>MySuper</w:t>
                  </w:r>
                  <w:r>
                    <w:t xml:space="preserve"> </w:t>
                  </w:r>
                </w:p>
              </w:tc>
              <w:tc>
                <w:tcPr>
                  <w:tcW w:w="485" w:type="pct"/>
                  <w:tcBorders>
                    <w:top w:val="single" w:sz="6" w:space="0" w:color="BFBFBF"/>
                    <w:bottom w:val="single" w:sz="6" w:space="0" w:color="BFBFBF"/>
                  </w:tcBorders>
                </w:tcPr>
                <w:p w14:paraId="50F71991" w14:textId="77777777" w:rsidR="00FC14FC" w:rsidRDefault="00FC14FC" w:rsidP="00D11B9D">
                  <w:pPr>
                    <w:pStyle w:val="TableColumnHeading"/>
                    <w:ind w:right="28"/>
                  </w:pPr>
                  <w:r w:rsidRPr="00C94BB2">
                    <w:t>Choice</w:t>
                  </w:r>
                  <w:r>
                    <w:t xml:space="preserve"> </w:t>
                  </w:r>
                </w:p>
              </w:tc>
            </w:tr>
            <w:tr w:rsidR="00FC14FC" w14:paraId="02CD735C" w14:textId="77777777" w:rsidTr="00D11B9D">
              <w:tc>
                <w:tcPr>
                  <w:tcW w:w="1576" w:type="pct"/>
                  <w:tcBorders>
                    <w:top w:val="single" w:sz="6" w:space="0" w:color="BFBFBF"/>
                  </w:tcBorders>
                </w:tcPr>
                <w:p w14:paraId="3E5F674A" w14:textId="77777777" w:rsidR="00FC14FC" w:rsidRDefault="00FC14FC" w:rsidP="00D11B9D">
                  <w:pPr>
                    <w:pStyle w:val="TableUnitsRow"/>
                    <w:jc w:val="left"/>
                  </w:pPr>
                  <w:r w:rsidRPr="00AC6008">
                    <w:t>Cash</w:t>
                  </w:r>
                </w:p>
              </w:tc>
              <w:tc>
                <w:tcPr>
                  <w:tcW w:w="584" w:type="pct"/>
                  <w:tcBorders>
                    <w:top w:val="single" w:sz="6" w:space="0" w:color="BFBFBF"/>
                  </w:tcBorders>
                </w:tcPr>
                <w:p w14:paraId="6D0A62D6" w14:textId="77777777" w:rsidR="00FC14FC" w:rsidRDefault="00FC14FC" w:rsidP="00D11B9D">
                  <w:pPr>
                    <w:pStyle w:val="TableUnitsRow"/>
                  </w:pPr>
                  <w:r w:rsidRPr="00C94BB2">
                    <w:t>5.4</w:t>
                  </w:r>
                </w:p>
              </w:tc>
              <w:tc>
                <w:tcPr>
                  <w:tcW w:w="520" w:type="pct"/>
                  <w:tcBorders>
                    <w:top w:val="single" w:sz="6" w:space="0" w:color="BFBFBF"/>
                  </w:tcBorders>
                </w:tcPr>
                <w:p w14:paraId="427EAD98" w14:textId="77777777" w:rsidR="00FC14FC" w:rsidRDefault="00FC14FC" w:rsidP="00D11B9D">
                  <w:pPr>
                    <w:pStyle w:val="TableUnitsRow"/>
                  </w:pPr>
                  <w:r>
                    <w:t>9.2</w:t>
                  </w:r>
                </w:p>
              </w:tc>
              <w:tc>
                <w:tcPr>
                  <w:tcW w:w="668" w:type="pct"/>
                  <w:tcBorders>
                    <w:top w:val="single" w:sz="6" w:space="0" w:color="BFBFBF"/>
                  </w:tcBorders>
                </w:tcPr>
                <w:p w14:paraId="10D671D2" w14:textId="77777777" w:rsidR="00FC14FC" w:rsidRPr="00AC6008" w:rsidRDefault="00FC14FC" w:rsidP="00D11B9D">
                  <w:pPr>
                    <w:pStyle w:val="TableUnitsRow"/>
                  </w:pPr>
                  <w:r w:rsidRPr="00C94BB2">
                    <w:t>5.6</w:t>
                  </w:r>
                </w:p>
              </w:tc>
              <w:tc>
                <w:tcPr>
                  <w:tcW w:w="500" w:type="pct"/>
                  <w:tcBorders>
                    <w:top w:val="single" w:sz="6" w:space="0" w:color="BFBFBF"/>
                  </w:tcBorders>
                </w:tcPr>
                <w:p w14:paraId="0DD9315A" w14:textId="77777777" w:rsidR="00FC14FC" w:rsidRPr="00AC6008" w:rsidRDefault="00FC14FC" w:rsidP="00D11B9D">
                  <w:pPr>
                    <w:pStyle w:val="TableUnitsRow"/>
                  </w:pPr>
                  <w:r>
                    <w:t>16.8</w:t>
                  </w:r>
                </w:p>
              </w:tc>
              <w:tc>
                <w:tcPr>
                  <w:tcW w:w="667" w:type="pct"/>
                  <w:tcBorders>
                    <w:top w:val="single" w:sz="6" w:space="0" w:color="BFBFBF"/>
                  </w:tcBorders>
                </w:tcPr>
                <w:p w14:paraId="6046F5AD" w14:textId="77777777" w:rsidR="00FC14FC" w:rsidRPr="00AC6008" w:rsidRDefault="00FC14FC" w:rsidP="00D11B9D">
                  <w:pPr>
                    <w:pStyle w:val="TableUnitsRow"/>
                    <w:tabs>
                      <w:tab w:val="center" w:pos="824"/>
                      <w:tab w:val="right" w:pos="1642"/>
                    </w:tabs>
                    <w:jc w:val="left"/>
                  </w:pPr>
                  <w:r>
                    <w:tab/>
                  </w:r>
                  <w:r>
                    <w:tab/>
                  </w:r>
                  <w:r w:rsidRPr="00C94BB2">
                    <w:t>9.1</w:t>
                  </w:r>
                </w:p>
              </w:tc>
              <w:tc>
                <w:tcPr>
                  <w:tcW w:w="485" w:type="pct"/>
                  <w:tcBorders>
                    <w:top w:val="single" w:sz="6" w:space="0" w:color="BFBFBF"/>
                  </w:tcBorders>
                </w:tcPr>
                <w:p w14:paraId="1D4BDF97" w14:textId="77777777" w:rsidR="00FC14FC" w:rsidRPr="00AC6008" w:rsidRDefault="00FC14FC" w:rsidP="00D11B9D">
                  <w:pPr>
                    <w:pStyle w:val="TableUnitsRow"/>
                    <w:ind w:right="28"/>
                  </w:pPr>
                  <w:r>
                    <w:t>11.9</w:t>
                  </w:r>
                </w:p>
              </w:tc>
            </w:tr>
            <w:tr w:rsidR="00FC14FC" w14:paraId="04C55D8D" w14:textId="77777777" w:rsidTr="00D11B9D">
              <w:tc>
                <w:tcPr>
                  <w:tcW w:w="1576" w:type="pct"/>
                  <w:shd w:val="clear" w:color="auto" w:fill="F2F2F2" w:themeFill="background1" w:themeFillShade="F2"/>
                </w:tcPr>
                <w:p w14:paraId="1ECF392F" w14:textId="77777777" w:rsidR="00FC14FC" w:rsidRDefault="00FC14FC" w:rsidP="00D11B9D">
                  <w:pPr>
                    <w:pStyle w:val="TableBodyText"/>
                    <w:jc w:val="left"/>
                  </w:pPr>
                  <w:r w:rsidRPr="00AC6008">
                    <w:t>Australian fixed in</w:t>
                  </w:r>
                  <w:r>
                    <w:t>come</w:t>
                  </w:r>
                </w:p>
              </w:tc>
              <w:tc>
                <w:tcPr>
                  <w:tcW w:w="584" w:type="pct"/>
                  <w:shd w:val="clear" w:color="auto" w:fill="F2F2F2" w:themeFill="background1" w:themeFillShade="F2"/>
                </w:tcPr>
                <w:p w14:paraId="0ED192BA" w14:textId="77777777" w:rsidR="00FC14FC" w:rsidRDefault="00FC14FC" w:rsidP="00D11B9D">
                  <w:pPr>
                    <w:pStyle w:val="TableBodyText"/>
                  </w:pPr>
                  <w:r w:rsidRPr="00C94BB2">
                    <w:t>5.1</w:t>
                  </w:r>
                </w:p>
              </w:tc>
              <w:tc>
                <w:tcPr>
                  <w:tcW w:w="520" w:type="pct"/>
                  <w:shd w:val="clear" w:color="auto" w:fill="F2F2F2" w:themeFill="background1" w:themeFillShade="F2"/>
                </w:tcPr>
                <w:p w14:paraId="18F69B1A" w14:textId="77777777" w:rsidR="00FC14FC" w:rsidRDefault="00FC14FC" w:rsidP="00D11B9D">
                  <w:pPr>
                    <w:pStyle w:val="TableBodyText"/>
                  </w:pPr>
                  <w:r>
                    <w:t>7.0</w:t>
                  </w:r>
                </w:p>
              </w:tc>
              <w:tc>
                <w:tcPr>
                  <w:tcW w:w="668" w:type="pct"/>
                  <w:shd w:val="clear" w:color="auto" w:fill="F2F2F2" w:themeFill="background1" w:themeFillShade="F2"/>
                </w:tcPr>
                <w:p w14:paraId="47A8EA65" w14:textId="77777777" w:rsidR="00FC14FC" w:rsidRPr="00AC6008" w:rsidRDefault="00FC14FC" w:rsidP="00D11B9D">
                  <w:pPr>
                    <w:pStyle w:val="TableBodyText"/>
                  </w:pPr>
                  <w:r w:rsidRPr="00C94BB2">
                    <w:t>5.4</w:t>
                  </w:r>
                </w:p>
              </w:tc>
              <w:tc>
                <w:tcPr>
                  <w:tcW w:w="500" w:type="pct"/>
                  <w:shd w:val="clear" w:color="auto" w:fill="F2F2F2" w:themeFill="background1" w:themeFillShade="F2"/>
                </w:tcPr>
                <w:p w14:paraId="3634F624" w14:textId="77777777" w:rsidR="00FC14FC" w:rsidRPr="00AC6008" w:rsidRDefault="00FC14FC" w:rsidP="00D11B9D">
                  <w:pPr>
                    <w:pStyle w:val="TableBodyText"/>
                  </w:pPr>
                  <w:r>
                    <w:t>6.9</w:t>
                  </w:r>
                </w:p>
              </w:tc>
              <w:tc>
                <w:tcPr>
                  <w:tcW w:w="667" w:type="pct"/>
                  <w:shd w:val="clear" w:color="auto" w:fill="F2F2F2" w:themeFill="background1" w:themeFillShade="F2"/>
                </w:tcPr>
                <w:p w14:paraId="28D38790" w14:textId="77777777" w:rsidR="00FC14FC" w:rsidRPr="00AC6008" w:rsidRDefault="00FC14FC" w:rsidP="00D11B9D">
                  <w:pPr>
                    <w:pStyle w:val="TableBodyText"/>
                  </w:pPr>
                  <w:r w:rsidRPr="00C94BB2">
                    <w:t>3.9</w:t>
                  </w:r>
                </w:p>
              </w:tc>
              <w:tc>
                <w:tcPr>
                  <w:tcW w:w="485" w:type="pct"/>
                  <w:shd w:val="clear" w:color="auto" w:fill="F2F2F2" w:themeFill="background1" w:themeFillShade="F2"/>
                </w:tcPr>
                <w:p w14:paraId="560479E6" w14:textId="77777777" w:rsidR="00FC14FC" w:rsidRPr="00AC6008" w:rsidRDefault="00FC14FC" w:rsidP="00D11B9D">
                  <w:pPr>
                    <w:pStyle w:val="TableBodyText"/>
                    <w:ind w:right="28"/>
                  </w:pPr>
                  <w:r>
                    <w:t>4.0</w:t>
                  </w:r>
                </w:p>
              </w:tc>
            </w:tr>
            <w:tr w:rsidR="00FC14FC" w14:paraId="7DBFA178" w14:textId="77777777" w:rsidTr="00D11B9D">
              <w:tc>
                <w:tcPr>
                  <w:tcW w:w="1576" w:type="pct"/>
                  <w:shd w:val="clear" w:color="auto" w:fill="auto"/>
                </w:tcPr>
                <w:p w14:paraId="22A29A67" w14:textId="77777777" w:rsidR="00FC14FC" w:rsidRDefault="00FC14FC" w:rsidP="00D11B9D">
                  <w:pPr>
                    <w:pStyle w:val="TableBodyText"/>
                    <w:jc w:val="left"/>
                  </w:pPr>
                  <w:r w:rsidRPr="00AC6008">
                    <w:t>International fixed in</w:t>
                  </w:r>
                  <w:r>
                    <w:t>come</w:t>
                  </w:r>
                </w:p>
              </w:tc>
              <w:tc>
                <w:tcPr>
                  <w:tcW w:w="584" w:type="pct"/>
                </w:tcPr>
                <w:p w14:paraId="530A3364" w14:textId="77777777" w:rsidR="00FC14FC" w:rsidRDefault="00FC14FC" w:rsidP="00D11B9D">
                  <w:pPr>
                    <w:pStyle w:val="TableBodyText"/>
                  </w:pPr>
                  <w:r w:rsidRPr="00C94BB2">
                    <w:t>4.8</w:t>
                  </w:r>
                </w:p>
              </w:tc>
              <w:tc>
                <w:tcPr>
                  <w:tcW w:w="520" w:type="pct"/>
                  <w:shd w:val="clear" w:color="auto" w:fill="auto"/>
                </w:tcPr>
                <w:p w14:paraId="4962523A" w14:textId="77777777" w:rsidR="00FC14FC" w:rsidRDefault="00FC14FC" w:rsidP="00D11B9D">
                  <w:pPr>
                    <w:pStyle w:val="TableBodyText"/>
                  </w:pPr>
                  <w:r>
                    <w:t>6.1</w:t>
                  </w:r>
                </w:p>
              </w:tc>
              <w:tc>
                <w:tcPr>
                  <w:tcW w:w="668" w:type="pct"/>
                </w:tcPr>
                <w:p w14:paraId="5BF95F2C" w14:textId="77777777" w:rsidR="00FC14FC" w:rsidRPr="00AC6008" w:rsidRDefault="00FC14FC" w:rsidP="00D11B9D">
                  <w:pPr>
                    <w:pStyle w:val="TableBodyText"/>
                  </w:pPr>
                  <w:r w:rsidRPr="00C94BB2">
                    <w:t>2.9</w:t>
                  </w:r>
                </w:p>
              </w:tc>
              <w:tc>
                <w:tcPr>
                  <w:tcW w:w="500" w:type="pct"/>
                </w:tcPr>
                <w:p w14:paraId="08C50E9A" w14:textId="77777777" w:rsidR="00FC14FC" w:rsidRPr="00AC6008" w:rsidRDefault="00FC14FC" w:rsidP="00D11B9D">
                  <w:pPr>
                    <w:pStyle w:val="TableBodyText"/>
                  </w:pPr>
                  <w:r>
                    <w:t>4.8</w:t>
                  </w:r>
                </w:p>
              </w:tc>
              <w:tc>
                <w:tcPr>
                  <w:tcW w:w="667" w:type="pct"/>
                </w:tcPr>
                <w:p w14:paraId="0ACDE7D7" w14:textId="77777777" w:rsidR="00FC14FC" w:rsidRPr="00AC6008" w:rsidRDefault="00FC14FC" w:rsidP="00D11B9D">
                  <w:pPr>
                    <w:pStyle w:val="TableBodyText"/>
                  </w:pPr>
                  <w:r w:rsidRPr="00C94BB2">
                    <w:t>3.4</w:t>
                  </w:r>
                </w:p>
              </w:tc>
              <w:tc>
                <w:tcPr>
                  <w:tcW w:w="485" w:type="pct"/>
                </w:tcPr>
                <w:p w14:paraId="1843D7EF" w14:textId="77777777" w:rsidR="00FC14FC" w:rsidRPr="00AC6008" w:rsidRDefault="00FC14FC" w:rsidP="00D11B9D">
                  <w:pPr>
                    <w:pStyle w:val="TableBodyText"/>
                    <w:ind w:right="28"/>
                  </w:pPr>
                  <w:r>
                    <w:t>3.9</w:t>
                  </w:r>
                </w:p>
              </w:tc>
            </w:tr>
            <w:tr w:rsidR="00FC14FC" w14:paraId="2456B425" w14:textId="77777777" w:rsidTr="00D11B9D">
              <w:tc>
                <w:tcPr>
                  <w:tcW w:w="1576" w:type="pct"/>
                  <w:shd w:val="clear" w:color="auto" w:fill="F2F2F2" w:themeFill="background1" w:themeFillShade="F2"/>
                </w:tcPr>
                <w:p w14:paraId="3BA27AE5" w14:textId="77777777" w:rsidR="00FC14FC" w:rsidRDefault="00FC14FC" w:rsidP="00D11B9D">
                  <w:pPr>
                    <w:pStyle w:val="TableBodyText"/>
                    <w:jc w:val="left"/>
                  </w:pPr>
                  <w:r w:rsidRPr="00AC6008">
                    <w:t>Australian listed equity</w:t>
                  </w:r>
                </w:p>
              </w:tc>
              <w:tc>
                <w:tcPr>
                  <w:tcW w:w="584" w:type="pct"/>
                  <w:shd w:val="clear" w:color="auto" w:fill="F2F2F2" w:themeFill="background1" w:themeFillShade="F2"/>
                </w:tcPr>
                <w:p w14:paraId="6351783C" w14:textId="77777777" w:rsidR="00FC14FC" w:rsidRDefault="00FC14FC" w:rsidP="00D11B9D">
                  <w:pPr>
                    <w:pStyle w:val="TableBodyText"/>
                  </w:pPr>
                  <w:r w:rsidRPr="00C94BB2">
                    <w:t>33.1</w:t>
                  </w:r>
                </w:p>
              </w:tc>
              <w:tc>
                <w:tcPr>
                  <w:tcW w:w="520" w:type="pct"/>
                  <w:shd w:val="clear" w:color="auto" w:fill="F2F2F2" w:themeFill="background1" w:themeFillShade="F2"/>
                </w:tcPr>
                <w:p w14:paraId="477E75DB" w14:textId="77777777" w:rsidR="00FC14FC" w:rsidRDefault="00FC14FC" w:rsidP="00D11B9D">
                  <w:pPr>
                    <w:pStyle w:val="TableBodyText"/>
                  </w:pPr>
                  <w:r>
                    <w:t>33.1</w:t>
                  </w:r>
                </w:p>
              </w:tc>
              <w:tc>
                <w:tcPr>
                  <w:tcW w:w="668" w:type="pct"/>
                  <w:shd w:val="clear" w:color="auto" w:fill="F2F2F2" w:themeFill="background1" w:themeFillShade="F2"/>
                </w:tcPr>
                <w:p w14:paraId="597C2727" w14:textId="77777777" w:rsidR="00FC14FC" w:rsidRPr="00AC6008" w:rsidRDefault="00FC14FC" w:rsidP="00D11B9D">
                  <w:pPr>
                    <w:pStyle w:val="TableBodyText"/>
                  </w:pPr>
                  <w:r w:rsidRPr="00C94BB2">
                    <w:t>29.8</w:t>
                  </w:r>
                </w:p>
              </w:tc>
              <w:tc>
                <w:tcPr>
                  <w:tcW w:w="500" w:type="pct"/>
                  <w:shd w:val="clear" w:color="auto" w:fill="F2F2F2" w:themeFill="background1" w:themeFillShade="F2"/>
                </w:tcPr>
                <w:p w14:paraId="0AF6DFC8" w14:textId="77777777" w:rsidR="00FC14FC" w:rsidRPr="00AC6008" w:rsidRDefault="00FC14FC" w:rsidP="00D11B9D">
                  <w:pPr>
                    <w:pStyle w:val="TableBodyText"/>
                  </w:pPr>
                  <w:r>
                    <w:t>27.4</w:t>
                  </w:r>
                </w:p>
              </w:tc>
              <w:tc>
                <w:tcPr>
                  <w:tcW w:w="667" w:type="pct"/>
                  <w:shd w:val="clear" w:color="auto" w:fill="F2F2F2" w:themeFill="background1" w:themeFillShade="F2"/>
                </w:tcPr>
                <w:p w14:paraId="3BF3C29D" w14:textId="77777777" w:rsidR="00FC14FC" w:rsidRPr="00AC6008" w:rsidRDefault="00FC14FC" w:rsidP="00D11B9D">
                  <w:pPr>
                    <w:pStyle w:val="TableBodyText"/>
                  </w:pPr>
                  <w:r w:rsidRPr="00C94BB2">
                    <w:t>23.8</w:t>
                  </w:r>
                </w:p>
              </w:tc>
              <w:tc>
                <w:tcPr>
                  <w:tcW w:w="485" w:type="pct"/>
                  <w:shd w:val="clear" w:color="auto" w:fill="F2F2F2" w:themeFill="background1" w:themeFillShade="F2"/>
                </w:tcPr>
                <w:p w14:paraId="117DDB67" w14:textId="77777777" w:rsidR="00FC14FC" w:rsidRPr="00AC6008" w:rsidRDefault="00FC14FC" w:rsidP="00D11B9D">
                  <w:pPr>
                    <w:pStyle w:val="TableBodyText"/>
                    <w:ind w:right="28"/>
                  </w:pPr>
                  <w:r>
                    <w:t>25.6</w:t>
                  </w:r>
                </w:p>
              </w:tc>
            </w:tr>
            <w:tr w:rsidR="00FC14FC" w14:paraId="6A6B7A1D" w14:textId="77777777" w:rsidTr="00D11B9D">
              <w:tc>
                <w:tcPr>
                  <w:tcW w:w="1576" w:type="pct"/>
                  <w:shd w:val="clear" w:color="auto" w:fill="auto"/>
                </w:tcPr>
                <w:p w14:paraId="2D49ABFC" w14:textId="77777777" w:rsidR="00FC14FC" w:rsidRDefault="00FC14FC" w:rsidP="00D11B9D">
                  <w:pPr>
                    <w:pStyle w:val="TableBodyText"/>
                    <w:jc w:val="left"/>
                  </w:pPr>
                  <w:r w:rsidRPr="00AC6008">
                    <w:t>International listed equity</w:t>
                  </w:r>
                </w:p>
              </w:tc>
              <w:tc>
                <w:tcPr>
                  <w:tcW w:w="584" w:type="pct"/>
                </w:tcPr>
                <w:p w14:paraId="7E57B364" w14:textId="77777777" w:rsidR="00FC14FC" w:rsidRDefault="00FC14FC" w:rsidP="00D11B9D">
                  <w:pPr>
                    <w:pStyle w:val="TableBodyText"/>
                  </w:pPr>
                  <w:r w:rsidRPr="00C94BB2">
                    <w:t>26.2</w:t>
                  </w:r>
                </w:p>
              </w:tc>
              <w:tc>
                <w:tcPr>
                  <w:tcW w:w="520" w:type="pct"/>
                  <w:shd w:val="clear" w:color="auto" w:fill="auto"/>
                </w:tcPr>
                <w:p w14:paraId="058A0329" w14:textId="77777777" w:rsidR="00FC14FC" w:rsidRDefault="00FC14FC" w:rsidP="00D11B9D">
                  <w:pPr>
                    <w:pStyle w:val="TableBodyText"/>
                  </w:pPr>
                  <w:r>
                    <w:t>25.9</w:t>
                  </w:r>
                </w:p>
              </w:tc>
              <w:tc>
                <w:tcPr>
                  <w:tcW w:w="668" w:type="pct"/>
                </w:tcPr>
                <w:p w14:paraId="1AA7EAE1" w14:textId="77777777" w:rsidR="00FC14FC" w:rsidRPr="00AC6008" w:rsidRDefault="00FC14FC" w:rsidP="00D11B9D">
                  <w:pPr>
                    <w:pStyle w:val="TableBodyText"/>
                  </w:pPr>
                  <w:r w:rsidRPr="00C94BB2">
                    <w:t>22.4</w:t>
                  </w:r>
                </w:p>
              </w:tc>
              <w:tc>
                <w:tcPr>
                  <w:tcW w:w="500" w:type="pct"/>
                </w:tcPr>
                <w:p w14:paraId="36EA68F2" w14:textId="77777777" w:rsidR="00FC14FC" w:rsidRPr="00AC6008" w:rsidRDefault="00FC14FC" w:rsidP="00D11B9D">
                  <w:pPr>
                    <w:pStyle w:val="TableBodyText"/>
                  </w:pPr>
                  <w:r>
                    <w:t>20.9</w:t>
                  </w:r>
                </w:p>
              </w:tc>
              <w:tc>
                <w:tcPr>
                  <w:tcW w:w="667" w:type="pct"/>
                </w:tcPr>
                <w:p w14:paraId="59C8D006" w14:textId="77777777" w:rsidR="00FC14FC" w:rsidRPr="00AC6008" w:rsidRDefault="00FC14FC" w:rsidP="00D11B9D">
                  <w:pPr>
                    <w:pStyle w:val="TableBodyText"/>
                  </w:pPr>
                  <w:r>
                    <w:t>26.3</w:t>
                  </w:r>
                </w:p>
              </w:tc>
              <w:tc>
                <w:tcPr>
                  <w:tcW w:w="485" w:type="pct"/>
                </w:tcPr>
                <w:p w14:paraId="07E1544B" w14:textId="77777777" w:rsidR="00FC14FC" w:rsidRPr="00AC6008" w:rsidRDefault="00FC14FC" w:rsidP="00D11B9D">
                  <w:pPr>
                    <w:pStyle w:val="TableBodyText"/>
                    <w:ind w:right="28"/>
                  </w:pPr>
                  <w:r>
                    <w:t>25.3</w:t>
                  </w:r>
                </w:p>
              </w:tc>
            </w:tr>
            <w:tr w:rsidR="00FC14FC" w14:paraId="5B8FC616" w14:textId="77777777" w:rsidTr="00D11B9D">
              <w:tc>
                <w:tcPr>
                  <w:tcW w:w="1576" w:type="pct"/>
                  <w:shd w:val="clear" w:color="auto" w:fill="F2F2F2" w:themeFill="background1" w:themeFillShade="F2"/>
                </w:tcPr>
                <w:p w14:paraId="3838A591" w14:textId="77777777" w:rsidR="00FC14FC" w:rsidRDefault="00FC14FC" w:rsidP="00D11B9D">
                  <w:pPr>
                    <w:pStyle w:val="TableBodyText"/>
                    <w:jc w:val="left"/>
                  </w:pPr>
                  <w:r w:rsidRPr="00AC6008">
                    <w:t>Private equity</w:t>
                  </w:r>
                </w:p>
              </w:tc>
              <w:tc>
                <w:tcPr>
                  <w:tcW w:w="584" w:type="pct"/>
                  <w:shd w:val="clear" w:color="auto" w:fill="F2F2F2" w:themeFill="background1" w:themeFillShade="F2"/>
                </w:tcPr>
                <w:p w14:paraId="70348F41" w14:textId="77777777" w:rsidR="00FC14FC" w:rsidRDefault="00FC14FC" w:rsidP="00D11B9D">
                  <w:pPr>
                    <w:pStyle w:val="TableBodyText"/>
                  </w:pPr>
                  <w:r w:rsidRPr="00C94BB2">
                    <w:t>2.3</w:t>
                  </w:r>
                </w:p>
              </w:tc>
              <w:tc>
                <w:tcPr>
                  <w:tcW w:w="520" w:type="pct"/>
                  <w:shd w:val="clear" w:color="auto" w:fill="F2F2F2" w:themeFill="background1" w:themeFillShade="F2"/>
                </w:tcPr>
                <w:p w14:paraId="2B6899D0" w14:textId="77777777" w:rsidR="00FC14FC" w:rsidRDefault="00FC14FC" w:rsidP="00D11B9D">
                  <w:pPr>
                    <w:pStyle w:val="TableBodyText"/>
                  </w:pPr>
                  <w:r w:rsidRPr="00C94BB2">
                    <w:t>1.1</w:t>
                  </w:r>
                </w:p>
              </w:tc>
              <w:tc>
                <w:tcPr>
                  <w:tcW w:w="668" w:type="pct"/>
                  <w:shd w:val="clear" w:color="auto" w:fill="F2F2F2" w:themeFill="background1" w:themeFillShade="F2"/>
                </w:tcPr>
                <w:p w14:paraId="66E19B4C" w14:textId="77777777" w:rsidR="00FC14FC" w:rsidRPr="00AC6008" w:rsidRDefault="00FC14FC" w:rsidP="00D11B9D">
                  <w:pPr>
                    <w:pStyle w:val="TableBodyText"/>
                  </w:pPr>
                  <w:r w:rsidRPr="00C94BB2">
                    <w:t>4.3</w:t>
                  </w:r>
                </w:p>
              </w:tc>
              <w:tc>
                <w:tcPr>
                  <w:tcW w:w="500" w:type="pct"/>
                  <w:shd w:val="clear" w:color="auto" w:fill="F2F2F2" w:themeFill="background1" w:themeFillShade="F2"/>
                </w:tcPr>
                <w:p w14:paraId="780FB189" w14:textId="77777777" w:rsidR="00FC14FC" w:rsidRPr="00AC6008" w:rsidRDefault="00FC14FC" w:rsidP="00D11B9D">
                  <w:pPr>
                    <w:pStyle w:val="TableBodyText"/>
                  </w:pPr>
                  <w:r>
                    <w:t>1.6</w:t>
                  </w:r>
                </w:p>
              </w:tc>
              <w:tc>
                <w:tcPr>
                  <w:tcW w:w="667" w:type="pct"/>
                  <w:shd w:val="clear" w:color="auto" w:fill="F2F2F2" w:themeFill="background1" w:themeFillShade="F2"/>
                </w:tcPr>
                <w:p w14:paraId="0D1AC970" w14:textId="77777777" w:rsidR="00FC14FC" w:rsidRPr="00AC6008" w:rsidRDefault="00FC14FC" w:rsidP="00D11B9D">
                  <w:pPr>
                    <w:pStyle w:val="TableBodyText"/>
                  </w:pPr>
                  <w:r w:rsidRPr="00C94BB2">
                    <w:t>3.5</w:t>
                  </w:r>
                </w:p>
              </w:tc>
              <w:tc>
                <w:tcPr>
                  <w:tcW w:w="485" w:type="pct"/>
                  <w:shd w:val="clear" w:color="auto" w:fill="F2F2F2" w:themeFill="background1" w:themeFillShade="F2"/>
                </w:tcPr>
                <w:p w14:paraId="57AE7A1E" w14:textId="77777777" w:rsidR="00FC14FC" w:rsidRPr="00AC6008" w:rsidRDefault="00FC14FC" w:rsidP="00D11B9D">
                  <w:pPr>
                    <w:pStyle w:val="TableBodyText"/>
                    <w:ind w:right="28"/>
                  </w:pPr>
                  <w:r>
                    <w:t>2.6</w:t>
                  </w:r>
                </w:p>
              </w:tc>
            </w:tr>
            <w:tr w:rsidR="00FC14FC" w14:paraId="369D417F" w14:textId="77777777" w:rsidTr="00D11B9D">
              <w:tc>
                <w:tcPr>
                  <w:tcW w:w="1576" w:type="pct"/>
                  <w:shd w:val="clear" w:color="auto" w:fill="auto"/>
                </w:tcPr>
                <w:p w14:paraId="35AF1721" w14:textId="77777777" w:rsidR="00FC14FC" w:rsidRDefault="00FC14FC" w:rsidP="00D11B9D">
                  <w:pPr>
                    <w:pStyle w:val="TableBodyText"/>
                    <w:jc w:val="left"/>
                  </w:pPr>
                  <w:r w:rsidRPr="00AC6008">
                    <w:t>Property</w:t>
                  </w:r>
                </w:p>
              </w:tc>
              <w:tc>
                <w:tcPr>
                  <w:tcW w:w="584" w:type="pct"/>
                </w:tcPr>
                <w:p w14:paraId="19171E5D" w14:textId="77777777" w:rsidR="00FC14FC" w:rsidRDefault="00FC14FC" w:rsidP="00D11B9D">
                  <w:pPr>
                    <w:pStyle w:val="TableBodyText"/>
                  </w:pPr>
                  <w:r w:rsidRPr="00C94BB2">
                    <w:t>6.6</w:t>
                  </w:r>
                </w:p>
              </w:tc>
              <w:tc>
                <w:tcPr>
                  <w:tcW w:w="520" w:type="pct"/>
                  <w:shd w:val="clear" w:color="auto" w:fill="auto"/>
                </w:tcPr>
                <w:p w14:paraId="26F4934E" w14:textId="77777777" w:rsidR="00FC14FC" w:rsidRDefault="00FC14FC" w:rsidP="00D11B9D">
                  <w:pPr>
                    <w:pStyle w:val="TableBodyText"/>
                  </w:pPr>
                  <w:r>
                    <w:t>8.1</w:t>
                  </w:r>
                </w:p>
              </w:tc>
              <w:tc>
                <w:tcPr>
                  <w:tcW w:w="668" w:type="pct"/>
                </w:tcPr>
                <w:p w14:paraId="0FC3CFAF" w14:textId="77777777" w:rsidR="00FC14FC" w:rsidRPr="00AC6008" w:rsidRDefault="00FC14FC" w:rsidP="00D11B9D">
                  <w:pPr>
                    <w:pStyle w:val="TableBodyText"/>
                  </w:pPr>
                  <w:r w:rsidRPr="00C94BB2">
                    <w:t>7.2</w:t>
                  </w:r>
                </w:p>
              </w:tc>
              <w:tc>
                <w:tcPr>
                  <w:tcW w:w="500" w:type="pct"/>
                </w:tcPr>
                <w:p w14:paraId="660336D3" w14:textId="77777777" w:rsidR="00FC14FC" w:rsidRPr="00AC6008" w:rsidRDefault="00FC14FC" w:rsidP="00D11B9D">
                  <w:pPr>
                    <w:pStyle w:val="TableBodyText"/>
                  </w:pPr>
                  <w:r>
                    <w:t>6.1</w:t>
                  </w:r>
                </w:p>
              </w:tc>
              <w:tc>
                <w:tcPr>
                  <w:tcW w:w="667" w:type="pct"/>
                </w:tcPr>
                <w:p w14:paraId="245B3D15" w14:textId="77777777" w:rsidR="00FC14FC" w:rsidRPr="00AC6008" w:rsidRDefault="00FC14FC" w:rsidP="00D11B9D">
                  <w:pPr>
                    <w:pStyle w:val="TableBodyText"/>
                  </w:pPr>
                  <w:r w:rsidRPr="00C94BB2">
                    <w:t>5.5</w:t>
                  </w:r>
                </w:p>
              </w:tc>
              <w:tc>
                <w:tcPr>
                  <w:tcW w:w="485" w:type="pct"/>
                </w:tcPr>
                <w:p w14:paraId="5B430ED7" w14:textId="77777777" w:rsidR="00FC14FC" w:rsidRPr="00AC6008" w:rsidRDefault="00FC14FC" w:rsidP="00D11B9D">
                  <w:pPr>
                    <w:pStyle w:val="TableBodyText"/>
                    <w:ind w:right="28"/>
                  </w:pPr>
                  <w:r>
                    <w:t>6.1</w:t>
                  </w:r>
                </w:p>
              </w:tc>
            </w:tr>
            <w:tr w:rsidR="00FC14FC" w14:paraId="73BB9691" w14:textId="77777777" w:rsidTr="00D11B9D">
              <w:tc>
                <w:tcPr>
                  <w:tcW w:w="1576" w:type="pct"/>
                  <w:shd w:val="clear" w:color="auto" w:fill="F2F2F2" w:themeFill="background1" w:themeFillShade="F2"/>
                </w:tcPr>
                <w:p w14:paraId="49E6747C" w14:textId="77777777" w:rsidR="00FC14FC" w:rsidRDefault="00FC14FC" w:rsidP="00D11B9D">
                  <w:pPr>
                    <w:pStyle w:val="TableBodyText"/>
                    <w:jc w:val="left"/>
                  </w:pPr>
                  <w:r w:rsidRPr="00AC6008">
                    <w:t>Infrastructure</w:t>
                  </w:r>
                </w:p>
              </w:tc>
              <w:tc>
                <w:tcPr>
                  <w:tcW w:w="584" w:type="pct"/>
                  <w:shd w:val="clear" w:color="auto" w:fill="F2F2F2" w:themeFill="background1" w:themeFillShade="F2"/>
                </w:tcPr>
                <w:p w14:paraId="290FA099" w14:textId="77777777" w:rsidR="00FC14FC" w:rsidRDefault="00FC14FC" w:rsidP="00D11B9D">
                  <w:pPr>
                    <w:pStyle w:val="TableBodyText"/>
                  </w:pPr>
                  <w:r w:rsidRPr="00C94BB2">
                    <w:t>6.9</w:t>
                  </w:r>
                </w:p>
              </w:tc>
              <w:tc>
                <w:tcPr>
                  <w:tcW w:w="520" w:type="pct"/>
                  <w:shd w:val="clear" w:color="auto" w:fill="F2F2F2" w:themeFill="background1" w:themeFillShade="F2"/>
                </w:tcPr>
                <w:p w14:paraId="5790E878" w14:textId="77777777" w:rsidR="00FC14FC" w:rsidRDefault="00FC14FC" w:rsidP="00D11B9D">
                  <w:pPr>
                    <w:pStyle w:val="TableBodyText"/>
                  </w:pPr>
                  <w:r>
                    <w:t>1.5</w:t>
                  </w:r>
                </w:p>
              </w:tc>
              <w:tc>
                <w:tcPr>
                  <w:tcW w:w="668" w:type="pct"/>
                  <w:shd w:val="clear" w:color="auto" w:fill="F2F2F2" w:themeFill="background1" w:themeFillShade="F2"/>
                </w:tcPr>
                <w:p w14:paraId="6D332A18" w14:textId="77777777" w:rsidR="00FC14FC" w:rsidRPr="00AC6008" w:rsidRDefault="00FC14FC" w:rsidP="00D11B9D">
                  <w:pPr>
                    <w:pStyle w:val="TableBodyText"/>
                  </w:pPr>
                  <w:r w:rsidRPr="00C94BB2">
                    <w:t>7.7</w:t>
                  </w:r>
                </w:p>
              </w:tc>
              <w:tc>
                <w:tcPr>
                  <w:tcW w:w="500" w:type="pct"/>
                  <w:shd w:val="clear" w:color="auto" w:fill="F2F2F2" w:themeFill="background1" w:themeFillShade="F2"/>
                </w:tcPr>
                <w:p w14:paraId="5EE2C723" w14:textId="77777777" w:rsidR="00FC14FC" w:rsidRPr="00AC6008" w:rsidRDefault="00FC14FC" w:rsidP="00D11B9D">
                  <w:pPr>
                    <w:pStyle w:val="TableBodyText"/>
                  </w:pPr>
                  <w:r>
                    <w:t>1.9</w:t>
                  </w:r>
                </w:p>
              </w:tc>
              <w:tc>
                <w:tcPr>
                  <w:tcW w:w="667" w:type="pct"/>
                  <w:shd w:val="clear" w:color="auto" w:fill="F2F2F2" w:themeFill="background1" w:themeFillShade="F2"/>
                </w:tcPr>
                <w:p w14:paraId="3CFE83A0" w14:textId="77777777" w:rsidR="00FC14FC" w:rsidRPr="00AC6008" w:rsidRDefault="00FC14FC" w:rsidP="00D11B9D">
                  <w:pPr>
                    <w:pStyle w:val="TableBodyText"/>
                  </w:pPr>
                  <w:r w:rsidRPr="00C94BB2">
                    <w:t>7.3</w:t>
                  </w:r>
                </w:p>
              </w:tc>
              <w:tc>
                <w:tcPr>
                  <w:tcW w:w="485" w:type="pct"/>
                  <w:shd w:val="clear" w:color="auto" w:fill="F2F2F2" w:themeFill="background1" w:themeFillShade="F2"/>
                </w:tcPr>
                <w:p w14:paraId="0B0C58E9" w14:textId="77777777" w:rsidR="00FC14FC" w:rsidRPr="00AC6008" w:rsidRDefault="00FC14FC" w:rsidP="00D11B9D">
                  <w:pPr>
                    <w:pStyle w:val="TableBodyText"/>
                    <w:ind w:right="28"/>
                  </w:pPr>
                  <w:r>
                    <w:t>4.9</w:t>
                  </w:r>
                </w:p>
              </w:tc>
            </w:tr>
            <w:tr w:rsidR="00FC14FC" w14:paraId="384F6581" w14:textId="77777777" w:rsidTr="00D11B9D">
              <w:tc>
                <w:tcPr>
                  <w:tcW w:w="1576" w:type="pct"/>
                  <w:tcBorders>
                    <w:bottom w:val="single" w:sz="6" w:space="0" w:color="BFBFBF"/>
                  </w:tcBorders>
                  <w:shd w:val="clear" w:color="auto" w:fill="auto"/>
                </w:tcPr>
                <w:p w14:paraId="7E8C3427" w14:textId="77777777" w:rsidR="00FC14FC" w:rsidRDefault="00FC14FC" w:rsidP="00D11B9D">
                  <w:pPr>
                    <w:pStyle w:val="TableBodyText"/>
                    <w:jc w:val="left"/>
                  </w:pPr>
                  <w:r w:rsidRPr="00AC6008">
                    <w:t>Other</w:t>
                  </w:r>
                </w:p>
              </w:tc>
              <w:tc>
                <w:tcPr>
                  <w:tcW w:w="584" w:type="pct"/>
                  <w:tcBorders>
                    <w:bottom w:val="single" w:sz="6" w:space="0" w:color="BFBFBF"/>
                  </w:tcBorders>
                </w:tcPr>
                <w:p w14:paraId="63B9C98E" w14:textId="77777777" w:rsidR="00FC14FC" w:rsidRDefault="00FC14FC" w:rsidP="00D11B9D">
                  <w:pPr>
                    <w:pStyle w:val="TableBodyText"/>
                  </w:pPr>
                  <w:r w:rsidRPr="00C94BB2">
                    <w:t>9.6</w:t>
                  </w:r>
                </w:p>
              </w:tc>
              <w:tc>
                <w:tcPr>
                  <w:tcW w:w="520" w:type="pct"/>
                  <w:tcBorders>
                    <w:bottom w:val="single" w:sz="6" w:space="0" w:color="BFBFBF"/>
                  </w:tcBorders>
                  <w:shd w:val="clear" w:color="auto" w:fill="auto"/>
                </w:tcPr>
                <w:p w14:paraId="6976437F" w14:textId="77777777" w:rsidR="00FC14FC" w:rsidRDefault="00FC14FC" w:rsidP="00D11B9D">
                  <w:pPr>
                    <w:pStyle w:val="TableBodyText"/>
                  </w:pPr>
                  <w:r>
                    <w:t>8.0</w:t>
                  </w:r>
                </w:p>
              </w:tc>
              <w:tc>
                <w:tcPr>
                  <w:tcW w:w="668" w:type="pct"/>
                  <w:tcBorders>
                    <w:bottom w:val="single" w:sz="6" w:space="0" w:color="BFBFBF"/>
                  </w:tcBorders>
                </w:tcPr>
                <w:p w14:paraId="79084317" w14:textId="77777777" w:rsidR="00FC14FC" w:rsidRPr="00AC6008" w:rsidRDefault="00FC14FC" w:rsidP="00D11B9D">
                  <w:pPr>
                    <w:pStyle w:val="TableBodyText"/>
                  </w:pPr>
                  <w:r w:rsidRPr="00C94BB2">
                    <w:t>14.6</w:t>
                  </w:r>
                </w:p>
              </w:tc>
              <w:tc>
                <w:tcPr>
                  <w:tcW w:w="500" w:type="pct"/>
                  <w:tcBorders>
                    <w:bottom w:val="single" w:sz="6" w:space="0" w:color="BFBFBF"/>
                  </w:tcBorders>
                </w:tcPr>
                <w:p w14:paraId="4D02AF08" w14:textId="77777777" w:rsidR="00FC14FC" w:rsidRPr="00AC6008" w:rsidRDefault="00FC14FC" w:rsidP="00D11B9D">
                  <w:pPr>
                    <w:pStyle w:val="TableBodyText"/>
                  </w:pPr>
                  <w:r>
                    <w:t>13.6</w:t>
                  </w:r>
                </w:p>
              </w:tc>
              <w:tc>
                <w:tcPr>
                  <w:tcW w:w="667" w:type="pct"/>
                  <w:tcBorders>
                    <w:bottom w:val="single" w:sz="6" w:space="0" w:color="BFBFBF"/>
                  </w:tcBorders>
                </w:tcPr>
                <w:p w14:paraId="7B01B279" w14:textId="77777777" w:rsidR="00FC14FC" w:rsidRPr="00AC6008" w:rsidRDefault="00FC14FC" w:rsidP="00D11B9D">
                  <w:pPr>
                    <w:pStyle w:val="TableBodyText"/>
                  </w:pPr>
                  <w:r w:rsidRPr="00C94BB2">
                    <w:t>17.3</w:t>
                  </w:r>
                </w:p>
              </w:tc>
              <w:tc>
                <w:tcPr>
                  <w:tcW w:w="485" w:type="pct"/>
                  <w:tcBorders>
                    <w:bottom w:val="single" w:sz="6" w:space="0" w:color="BFBFBF"/>
                  </w:tcBorders>
                </w:tcPr>
                <w:p w14:paraId="0B28D3BB" w14:textId="77777777" w:rsidR="00FC14FC" w:rsidRPr="00AC6008" w:rsidRDefault="00FC14FC" w:rsidP="00D11B9D">
                  <w:pPr>
                    <w:pStyle w:val="TableBodyText"/>
                    <w:ind w:right="28"/>
                  </w:pPr>
                  <w:r>
                    <w:t>15.9</w:t>
                  </w:r>
                </w:p>
              </w:tc>
            </w:tr>
          </w:tbl>
          <w:p w14:paraId="58F5E505" w14:textId="77777777" w:rsidR="00FC14FC" w:rsidRDefault="00FC14FC" w:rsidP="00D11B9D">
            <w:pPr>
              <w:pStyle w:val="Box"/>
            </w:pPr>
          </w:p>
        </w:tc>
      </w:tr>
      <w:tr w:rsidR="00FC14FC" w14:paraId="65457883" w14:textId="77777777" w:rsidTr="00D11B9D">
        <w:tc>
          <w:tcPr>
            <w:tcW w:w="5000" w:type="pct"/>
            <w:tcBorders>
              <w:top w:val="nil"/>
              <w:left w:val="nil"/>
              <w:bottom w:val="nil"/>
              <w:right w:val="nil"/>
            </w:tcBorders>
            <w:shd w:val="clear" w:color="auto" w:fill="auto"/>
          </w:tcPr>
          <w:p w14:paraId="35DC7371" w14:textId="77777777" w:rsidR="00FC14FC" w:rsidRDefault="00FC14FC" w:rsidP="00D11B9D">
            <w:pPr>
              <w:pStyle w:val="Source"/>
            </w:pPr>
            <w:r>
              <w:rPr>
                <w:i/>
              </w:rPr>
              <w:t>Source</w:t>
            </w:r>
            <w:r w:rsidRPr="00167F06">
              <w:t xml:space="preserve">: </w:t>
            </w:r>
            <w:r w:rsidRPr="002D557A">
              <w:rPr>
                <w:rFonts w:asciiTheme="minorHAnsi" w:cstheme="minorBidi"/>
                <w:color w:val="000000" w:themeColor="text1"/>
                <w:kern w:val="24"/>
                <w:szCs w:val="18"/>
              </w:rPr>
              <w:t xml:space="preserve">PC analysis of </w:t>
            </w:r>
            <w:r>
              <w:rPr>
                <w:rFonts w:asciiTheme="minorHAnsi" w:cstheme="minorBidi"/>
                <w:color w:val="000000" w:themeColor="text1"/>
                <w:kern w:val="24"/>
                <w:szCs w:val="18"/>
              </w:rPr>
              <w:t>SuperRatings data.</w:t>
            </w:r>
          </w:p>
        </w:tc>
      </w:tr>
      <w:tr w:rsidR="00FC14FC" w14:paraId="1DF8CD01" w14:textId="77777777" w:rsidTr="00D11B9D">
        <w:tc>
          <w:tcPr>
            <w:tcW w:w="5000" w:type="pct"/>
            <w:tcBorders>
              <w:top w:val="nil"/>
              <w:left w:val="nil"/>
              <w:bottom w:val="single" w:sz="6" w:space="0" w:color="78A22F"/>
              <w:right w:val="nil"/>
            </w:tcBorders>
            <w:shd w:val="clear" w:color="auto" w:fill="auto"/>
          </w:tcPr>
          <w:p w14:paraId="352D17DA" w14:textId="77777777" w:rsidR="00FC14FC" w:rsidRDefault="00FC14FC" w:rsidP="00D11B9D">
            <w:pPr>
              <w:pStyle w:val="Box"/>
              <w:spacing w:before="0" w:line="120" w:lineRule="exact"/>
            </w:pPr>
          </w:p>
        </w:tc>
      </w:tr>
      <w:tr w:rsidR="00FC14FC" w:rsidRPr="000863A5" w14:paraId="057D08B7" w14:textId="77777777" w:rsidTr="00D11B9D">
        <w:tc>
          <w:tcPr>
            <w:tcW w:w="5000" w:type="pct"/>
            <w:tcBorders>
              <w:top w:val="single" w:sz="6" w:space="0" w:color="78A22F"/>
              <w:left w:val="nil"/>
              <w:bottom w:val="nil"/>
              <w:right w:val="nil"/>
            </w:tcBorders>
          </w:tcPr>
          <w:p w14:paraId="6CDD6BCA" w14:textId="77777777" w:rsidR="00FC14FC" w:rsidRPr="00626D32" w:rsidRDefault="00FC14FC" w:rsidP="00D11B9D">
            <w:pPr>
              <w:pStyle w:val="BoxSpaceBelow"/>
            </w:pPr>
          </w:p>
        </w:tc>
      </w:tr>
    </w:tbl>
    <w:p w14:paraId="28C4105A"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437"/>
      </w:tblGrid>
      <w:tr w:rsidR="00FC14FC" w14:paraId="448AE218" w14:textId="77777777" w:rsidTr="00D11B9D">
        <w:trPr>
          <w:tblHeader/>
        </w:trPr>
        <w:tc>
          <w:tcPr>
            <w:tcW w:w="5000" w:type="pct"/>
            <w:tcBorders>
              <w:top w:val="single" w:sz="6" w:space="0" w:color="78A22F"/>
              <w:left w:val="nil"/>
              <w:bottom w:val="nil"/>
              <w:right w:val="nil"/>
            </w:tcBorders>
            <w:shd w:val="clear" w:color="auto" w:fill="auto"/>
          </w:tcPr>
          <w:p w14:paraId="04B40532" w14:textId="77777777" w:rsidR="00FC14FC" w:rsidRDefault="00FC14FC" w:rsidP="00D11B9D">
            <w:pPr>
              <w:pStyle w:val="TableTitle"/>
            </w:pPr>
            <w:r>
              <w:rPr>
                <w:b w:val="0"/>
              </w:rPr>
              <w:t>Table 4.20</w:t>
            </w:r>
            <w:r>
              <w:tab/>
              <w:t>Asset allocation:</w:t>
            </w:r>
            <w:r w:rsidDel="00BF028F">
              <w:t xml:space="preserve"> </w:t>
            </w:r>
            <w:r>
              <w:t>accumulation and retirement</w:t>
            </w:r>
          </w:p>
          <w:p w14:paraId="093800FF" w14:textId="77777777" w:rsidR="00FC14FC" w:rsidRPr="00F95476" w:rsidRDefault="00FC14FC" w:rsidP="00D11B9D">
            <w:pPr>
              <w:pStyle w:val="Subtitle"/>
            </w:pPr>
            <w:r w:rsidRPr="00F95476">
              <w:t>Per cent</w:t>
            </w:r>
          </w:p>
        </w:tc>
      </w:tr>
      <w:tr w:rsidR="00FC14FC" w14:paraId="6CED7E58"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963"/>
              <w:gridCol w:w="1336"/>
              <w:gridCol w:w="1563"/>
              <w:gridCol w:w="1726"/>
              <w:gridCol w:w="1313"/>
              <w:gridCol w:w="1755"/>
              <w:gridCol w:w="1497"/>
            </w:tblGrid>
            <w:tr w:rsidR="00FC14FC" w14:paraId="0FDC06DE" w14:textId="77777777" w:rsidTr="00D11B9D">
              <w:trPr>
                <w:tblHeader/>
              </w:trPr>
              <w:tc>
                <w:tcPr>
                  <w:tcW w:w="1507" w:type="pct"/>
                  <w:tcBorders>
                    <w:top w:val="single" w:sz="6" w:space="0" w:color="BFBFBF"/>
                  </w:tcBorders>
                  <w:shd w:val="clear" w:color="auto" w:fill="auto"/>
                  <w:tcMar>
                    <w:top w:w="28" w:type="dxa"/>
                  </w:tcMar>
                </w:tcPr>
                <w:p w14:paraId="1F109A0C" w14:textId="77777777" w:rsidR="00FC14FC" w:rsidRDefault="00FC14FC" w:rsidP="00D11B9D">
                  <w:pPr>
                    <w:pStyle w:val="TableColumnHeading"/>
                    <w:jc w:val="left"/>
                  </w:pPr>
                </w:p>
              </w:tc>
              <w:tc>
                <w:tcPr>
                  <w:tcW w:w="1102" w:type="pct"/>
                  <w:gridSpan w:val="2"/>
                  <w:tcBorders>
                    <w:top w:val="single" w:sz="6" w:space="0" w:color="BFBFBF"/>
                    <w:bottom w:val="single" w:sz="6" w:space="0" w:color="BFBFBF"/>
                  </w:tcBorders>
                </w:tcPr>
                <w:p w14:paraId="5AF28457" w14:textId="77777777" w:rsidR="00FC14FC" w:rsidRDefault="00FC14FC" w:rsidP="00D11B9D">
                  <w:pPr>
                    <w:pStyle w:val="TableColumnHeading"/>
                    <w:jc w:val="center"/>
                  </w:pPr>
                  <w:r>
                    <w:t xml:space="preserve">2007 </w:t>
                  </w:r>
                </w:p>
              </w:tc>
              <w:tc>
                <w:tcPr>
                  <w:tcW w:w="1155" w:type="pct"/>
                  <w:gridSpan w:val="2"/>
                  <w:tcBorders>
                    <w:top w:val="single" w:sz="6" w:space="0" w:color="BFBFBF"/>
                    <w:bottom w:val="single" w:sz="6" w:space="0" w:color="BFBFBF"/>
                  </w:tcBorders>
                </w:tcPr>
                <w:p w14:paraId="24CBF079" w14:textId="77777777" w:rsidR="00FC14FC" w:rsidRDefault="00FC14FC" w:rsidP="00D11B9D">
                  <w:pPr>
                    <w:pStyle w:val="TableColumnHeading"/>
                    <w:ind w:right="28"/>
                    <w:jc w:val="center"/>
                  </w:pPr>
                  <w:r>
                    <w:t>2012</w:t>
                  </w:r>
                </w:p>
              </w:tc>
              <w:tc>
                <w:tcPr>
                  <w:tcW w:w="1236" w:type="pct"/>
                  <w:gridSpan w:val="2"/>
                  <w:tcBorders>
                    <w:top w:val="single" w:sz="6" w:space="0" w:color="BFBFBF"/>
                    <w:bottom w:val="single" w:sz="6" w:space="0" w:color="BFBFBF"/>
                  </w:tcBorders>
                </w:tcPr>
                <w:p w14:paraId="3ED516E4" w14:textId="77777777" w:rsidR="00FC14FC" w:rsidRDefault="00FC14FC" w:rsidP="00D11B9D">
                  <w:pPr>
                    <w:pStyle w:val="TableColumnHeading"/>
                    <w:ind w:right="28"/>
                    <w:jc w:val="center"/>
                  </w:pPr>
                  <w:r>
                    <w:t>2017</w:t>
                  </w:r>
                </w:p>
              </w:tc>
            </w:tr>
            <w:tr w:rsidR="00FC14FC" w14:paraId="03BA4EDA" w14:textId="77777777" w:rsidTr="00D11B9D">
              <w:trPr>
                <w:tblHeader/>
              </w:trPr>
              <w:tc>
                <w:tcPr>
                  <w:tcW w:w="1507" w:type="pct"/>
                  <w:tcBorders>
                    <w:bottom w:val="single" w:sz="6" w:space="0" w:color="BFBFBF"/>
                  </w:tcBorders>
                  <w:shd w:val="clear" w:color="auto" w:fill="auto"/>
                  <w:tcMar>
                    <w:top w:w="28" w:type="dxa"/>
                  </w:tcMar>
                </w:tcPr>
                <w:p w14:paraId="0700248E" w14:textId="77777777" w:rsidR="00FC14FC" w:rsidRDefault="00FC14FC" w:rsidP="00D11B9D">
                  <w:pPr>
                    <w:pStyle w:val="TableColumnHeading"/>
                    <w:jc w:val="left"/>
                  </w:pPr>
                </w:p>
              </w:tc>
              <w:tc>
                <w:tcPr>
                  <w:tcW w:w="508" w:type="pct"/>
                  <w:tcBorders>
                    <w:top w:val="single" w:sz="6" w:space="0" w:color="BFBFBF"/>
                    <w:bottom w:val="single" w:sz="6" w:space="0" w:color="BFBFBF"/>
                  </w:tcBorders>
                </w:tcPr>
                <w:p w14:paraId="2B870E04" w14:textId="77777777" w:rsidR="00FC14FC" w:rsidRDefault="00FC14FC" w:rsidP="00D11B9D">
                  <w:pPr>
                    <w:pStyle w:val="TableColumnHeading"/>
                  </w:pPr>
                  <w:r w:rsidRPr="00C94BB2">
                    <w:t>Accum</w:t>
                  </w:r>
                  <w:r>
                    <w:t>ulation</w:t>
                  </w:r>
                </w:p>
              </w:tc>
              <w:tc>
                <w:tcPr>
                  <w:tcW w:w="594" w:type="pct"/>
                  <w:tcBorders>
                    <w:top w:val="single" w:sz="6" w:space="0" w:color="BFBFBF"/>
                    <w:bottom w:val="single" w:sz="6" w:space="0" w:color="BFBFBF"/>
                  </w:tcBorders>
                  <w:shd w:val="clear" w:color="auto" w:fill="auto"/>
                  <w:tcMar>
                    <w:top w:w="28" w:type="dxa"/>
                  </w:tcMar>
                </w:tcPr>
                <w:p w14:paraId="77316C4B" w14:textId="77777777" w:rsidR="00FC14FC" w:rsidRDefault="00FC14FC" w:rsidP="00D11B9D">
                  <w:pPr>
                    <w:pStyle w:val="TableColumnHeading"/>
                  </w:pPr>
                  <w:r w:rsidRPr="00C94BB2">
                    <w:t>Retirement</w:t>
                  </w:r>
                </w:p>
              </w:tc>
              <w:tc>
                <w:tcPr>
                  <w:tcW w:w="656" w:type="pct"/>
                  <w:tcBorders>
                    <w:top w:val="single" w:sz="6" w:space="0" w:color="BFBFBF"/>
                    <w:bottom w:val="single" w:sz="6" w:space="0" w:color="BFBFBF"/>
                  </w:tcBorders>
                </w:tcPr>
                <w:p w14:paraId="3E1465F8" w14:textId="77777777" w:rsidR="00FC14FC" w:rsidRDefault="00FC14FC" w:rsidP="00D11B9D">
                  <w:pPr>
                    <w:pStyle w:val="TableColumnHeading"/>
                  </w:pPr>
                  <w:r w:rsidRPr="00C94BB2">
                    <w:t>Accum</w:t>
                  </w:r>
                  <w:r>
                    <w:t>ulation</w:t>
                  </w:r>
                </w:p>
              </w:tc>
              <w:tc>
                <w:tcPr>
                  <w:tcW w:w="499" w:type="pct"/>
                  <w:tcBorders>
                    <w:top w:val="single" w:sz="6" w:space="0" w:color="BFBFBF"/>
                    <w:bottom w:val="single" w:sz="6" w:space="0" w:color="BFBFBF"/>
                  </w:tcBorders>
                </w:tcPr>
                <w:p w14:paraId="2F98A426" w14:textId="77777777" w:rsidR="00FC14FC" w:rsidRDefault="00FC14FC" w:rsidP="00D11B9D">
                  <w:pPr>
                    <w:pStyle w:val="TableColumnHeading"/>
                  </w:pPr>
                  <w:r w:rsidRPr="00C94BB2">
                    <w:t>Retirement</w:t>
                  </w:r>
                </w:p>
              </w:tc>
              <w:tc>
                <w:tcPr>
                  <w:tcW w:w="667" w:type="pct"/>
                  <w:tcBorders>
                    <w:top w:val="single" w:sz="6" w:space="0" w:color="BFBFBF"/>
                    <w:bottom w:val="single" w:sz="6" w:space="0" w:color="BFBFBF"/>
                  </w:tcBorders>
                </w:tcPr>
                <w:p w14:paraId="0DDE2378" w14:textId="77777777" w:rsidR="00FC14FC" w:rsidRDefault="00FC14FC" w:rsidP="00D11B9D">
                  <w:pPr>
                    <w:pStyle w:val="TableColumnHeading"/>
                  </w:pPr>
                  <w:r w:rsidRPr="00C94BB2">
                    <w:t>Accum</w:t>
                  </w:r>
                  <w:r>
                    <w:t>ulation</w:t>
                  </w:r>
                </w:p>
              </w:tc>
              <w:tc>
                <w:tcPr>
                  <w:tcW w:w="569" w:type="pct"/>
                  <w:tcBorders>
                    <w:top w:val="single" w:sz="6" w:space="0" w:color="BFBFBF"/>
                    <w:bottom w:val="single" w:sz="6" w:space="0" w:color="BFBFBF"/>
                  </w:tcBorders>
                </w:tcPr>
                <w:p w14:paraId="1E036805" w14:textId="77777777" w:rsidR="00FC14FC" w:rsidRDefault="00FC14FC" w:rsidP="00D11B9D">
                  <w:pPr>
                    <w:pStyle w:val="TableColumnHeading"/>
                    <w:ind w:right="28"/>
                  </w:pPr>
                  <w:r w:rsidRPr="00C94BB2">
                    <w:t>Retirement</w:t>
                  </w:r>
                </w:p>
              </w:tc>
            </w:tr>
            <w:tr w:rsidR="00FC14FC" w14:paraId="5F4109B7" w14:textId="77777777" w:rsidTr="00D11B9D">
              <w:tc>
                <w:tcPr>
                  <w:tcW w:w="1507" w:type="pct"/>
                  <w:tcBorders>
                    <w:top w:val="single" w:sz="6" w:space="0" w:color="BFBFBF"/>
                  </w:tcBorders>
                </w:tcPr>
                <w:p w14:paraId="1D6FBC2B" w14:textId="77777777" w:rsidR="00FC14FC" w:rsidRDefault="00FC14FC" w:rsidP="00D11B9D">
                  <w:pPr>
                    <w:pStyle w:val="TableUnitsRow"/>
                    <w:jc w:val="left"/>
                  </w:pPr>
                  <w:r w:rsidRPr="00AC6008">
                    <w:t>Cash</w:t>
                  </w:r>
                </w:p>
              </w:tc>
              <w:tc>
                <w:tcPr>
                  <w:tcW w:w="508" w:type="pct"/>
                  <w:tcBorders>
                    <w:top w:val="single" w:sz="6" w:space="0" w:color="BFBFBF"/>
                  </w:tcBorders>
                </w:tcPr>
                <w:p w14:paraId="62926F39" w14:textId="77777777" w:rsidR="00FC14FC" w:rsidRDefault="00FC14FC" w:rsidP="00D11B9D">
                  <w:pPr>
                    <w:pStyle w:val="TableUnitsRow"/>
                  </w:pPr>
                  <w:r>
                    <w:t>7.9</w:t>
                  </w:r>
                </w:p>
              </w:tc>
              <w:tc>
                <w:tcPr>
                  <w:tcW w:w="594" w:type="pct"/>
                  <w:tcBorders>
                    <w:top w:val="single" w:sz="6" w:space="0" w:color="BFBFBF"/>
                  </w:tcBorders>
                </w:tcPr>
                <w:p w14:paraId="26C1C0FD" w14:textId="77777777" w:rsidR="00FC14FC" w:rsidRDefault="00FC14FC" w:rsidP="00D11B9D">
                  <w:pPr>
                    <w:pStyle w:val="TableUnitsRow"/>
                  </w:pPr>
                  <w:r>
                    <w:t>16</w:t>
                  </w:r>
                  <w:r w:rsidRPr="00C94BB2">
                    <w:t>.8</w:t>
                  </w:r>
                </w:p>
              </w:tc>
              <w:tc>
                <w:tcPr>
                  <w:tcW w:w="656" w:type="pct"/>
                  <w:tcBorders>
                    <w:top w:val="single" w:sz="6" w:space="0" w:color="BFBFBF"/>
                  </w:tcBorders>
                </w:tcPr>
                <w:p w14:paraId="7215773C" w14:textId="77777777" w:rsidR="00FC14FC" w:rsidRPr="00AC6008" w:rsidRDefault="00FC14FC" w:rsidP="00D11B9D">
                  <w:pPr>
                    <w:pStyle w:val="TableUnitsRow"/>
                  </w:pPr>
                  <w:r>
                    <w:t>12.3</w:t>
                  </w:r>
                </w:p>
              </w:tc>
              <w:tc>
                <w:tcPr>
                  <w:tcW w:w="499" w:type="pct"/>
                  <w:tcBorders>
                    <w:top w:val="single" w:sz="6" w:space="0" w:color="BFBFBF"/>
                  </w:tcBorders>
                </w:tcPr>
                <w:p w14:paraId="3C8C2405" w14:textId="77777777" w:rsidR="00FC14FC" w:rsidRPr="00AC6008" w:rsidRDefault="00FC14FC" w:rsidP="00D11B9D">
                  <w:pPr>
                    <w:pStyle w:val="TableUnitsRow"/>
                  </w:pPr>
                  <w:r>
                    <w:t>22.5</w:t>
                  </w:r>
                </w:p>
              </w:tc>
              <w:tc>
                <w:tcPr>
                  <w:tcW w:w="667" w:type="pct"/>
                  <w:tcBorders>
                    <w:top w:val="single" w:sz="6" w:space="0" w:color="BFBFBF"/>
                  </w:tcBorders>
                </w:tcPr>
                <w:p w14:paraId="674EAAF5" w14:textId="77777777" w:rsidR="00FC14FC" w:rsidRPr="00AC6008" w:rsidRDefault="00FC14FC" w:rsidP="00D11B9D">
                  <w:pPr>
                    <w:pStyle w:val="TableUnitsRow"/>
                  </w:pPr>
                  <w:r>
                    <w:t>10.7</w:t>
                  </w:r>
                </w:p>
              </w:tc>
              <w:tc>
                <w:tcPr>
                  <w:tcW w:w="569" w:type="pct"/>
                  <w:tcBorders>
                    <w:top w:val="single" w:sz="6" w:space="0" w:color="BFBFBF"/>
                  </w:tcBorders>
                </w:tcPr>
                <w:p w14:paraId="50015C5C" w14:textId="77777777" w:rsidR="00FC14FC" w:rsidRPr="00AC6008" w:rsidRDefault="00FC14FC" w:rsidP="00D11B9D">
                  <w:pPr>
                    <w:pStyle w:val="TableUnitsRow"/>
                    <w:ind w:right="28"/>
                  </w:pPr>
                  <w:r>
                    <w:t>19.7</w:t>
                  </w:r>
                </w:p>
              </w:tc>
            </w:tr>
            <w:tr w:rsidR="00FC14FC" w14:paraId="0514FB32" w14:textId="77777777" w:rsidTr="00D11B9D">
              <w:tc>
                <w:tcPr>
                  <w:tcW w:w="1507" w:type="pct"/>
                  <w:shd w:val="clear" w:color="auto" w:fill="F2F2F2" w:themeFill="background1" w:themeFillShade="F2"/>
                </w:tcPr>
                <w:p w14:paraId="5D1E9895" w14:textId="77777777" w:rsidR="00FC14FC" w:rsidRDefault="00FC14FC" w:rsidP="00D11B9D">
                  <w:pPr>
                    <w:pStyle w:val="TableBodyText"/>
                    <w:jc w:val="left"/>
                  </w:pPr>
                  <w:r w:rsidRPr="00AC6008">
                    <w:t>Australian fixed in</w:t>
                  </w:r>
                  <w:r>
                    <w:t>come</w:t>
                  </w:r>
                </w:p>
              </w:tc>
              <w:tc>
                <w:tcPr>
                  <w:tcW w:w="508" w:type="pct"/>
                  <w:shd w:val="clear" w:color="auto" w:fill="F2F2F2" w:themeFill="background1" w:themeFillShade="F2"/>
                </w:tcPr>
                <w:p w14:paraId="79D06391" w14:textId="77777777" w:rsidR="00FC14FC" w:rsidRDefault="00FC14FC" w:rsidP="00D11B9D">
                  <w:pPr>
                    <w:pStyle w:val="TableBodyText"/>
                  </w:pPr>
                  <w:r>
                    <w:t>6.3</w:t>
                  </w:r>
                </w:p>
              </w:tc>
              <w:tc>
                <w:tcPr>
                  <w:tcW w:w="594" w:type="pct"/>
                  <w:shd w:val="clear" w:color="auto" w:fill="F2F2F2" w:themeFill="background1" w:themeFillShade="F2"/>
                </w:tcPr>
                <w:p w14:paraId="4A88B0E7" w14:textId="77777777" w:rsidR="00FC14FC" w:rsidRDefault="00FC14FC" w:rsidP="00D11B9D">
                  <w:pPr>
                    <w:pStyle w:val="TableBodyText"/>
                  </w:pPr>
                  <w:r>
                    <w:t>7.9</w:t>
                  </w:r>
                </w:p>
              </w:tc>
              <w:tc>
                <w:tcPr>
                  <w:tcW w:w="656" w:type="pct"/>
                  <w:shd w:val="clear" w:color="auto" w:fill="F2F2F2" w:themeFill="background1" w:themeFillShade="F2"/>
                </w:tcPr>
                <w:p w14:paraId="78F7783D" w14:textId="77777777" w:rsidR="00FC14FC" w:rsidRPr="00AC6008" w:rsidRDefault="00FC14FC" w:rsidP="00D11B9D">
                  <w:pPr>
                    <w:pStyle w:val="TableBodyText"/>
                  </w:pPr>
                  <w:r w:rsidRPr="00C94BB2">
                    <w:t>6.3</w:t>
                  </w:r>
                </w:p>
              </w:tc>
              <w:tc>
                <w:tcPr>
                  <w:tcW w:w="499" w:type="pct"/>
                  <w:shd w:val="clear" w:color="auto" w:fill="F2F2F2" w:themeFill="background1" w:themeFillShade="F2"/>
                </w:tcPr>
                <w:p w14:paraId="48CCB2B2" w14:textId="77777777" w:rsidR="00FC14FC" w:rsidRPr="00AC6008" w:rsidRDefault="00FC14FC" w:rsidP="00D11B9D">
                  <w:pPr>
                    <w:pStyle w:val="TableBodyText"/>
                  </w:pPr>
                  <w:r>
                    <w:t>9.8</w:t>
                  </w:r>
                </w:p>
              </w:tc>
              <w:tc>
                <w:tcPr>
                  <w:tcW w:w="667" w:type="pct"/>
                  <w:shd w:val="clear" w:color="auto" w:fill="F2F2F2" w:themeFill="background1" w:themeFillShade="F2"/>
                </w:tcPr>
                <w:p w14:paraId="6FF03E4A" w14:textId="77777777" w:rsidR="00FC14FC" w:rsidRPr="00AC6008" w:rsidRDefault="00FC14FC" w:rsidP="00D11B9D">
                  <w:pPr>
                    <w:pStyle w:val="TableBodyText"/>
                  </w:pPr>
                  <w:r>
                    <w:t>3.9</w:t>
                  </w:r>
                </w:p>
              </w:tc>
              <w:tc>
                <w:tcPr>
                  <w:tcW w:w="569" w:type="pct"/>
                  <w:shd w:val="clear" w:color="auto" w:fill="F2F2F2" w:themeFill="background1" w:themeFillShade="F2"/>
                </w:tcPr>
                <w:p w14:paraId="6E927EBD" w14:textId="77777777" w:rsidR="00FC14FC" w:rsidRPr="00AC6008" w:rsidRDefault="00FC14FC" w:rsidP="00D11B9D">
                  <w:pPr>
                    <w:pStyle w:val="TableBodyText"/>
                    <w:ind w:right="28"/>
                  </w:pPr>
                  <w:r>
                    <w:t>8.0</w:t>
                  </w:r>
                </w:p>
              </w:tc>
            </w:tr>
            <w:tr w:rsidR="00FC14FC" w14:paraId="707B1465" w14:textId="77777777" w:rsidTr="00D11B9D">
              <w:tc>
                <w:tcPr>
                  <w:tcW w:w="1507" w:type="pct"/>
                  <w:shd w:val="clear" w:color="auto" w:fill="auto"/>
                </w:tcPr>
                <w:p w14:paraId="10F55B40" w14:textId="77777777" w:rsidR="00FC14FC" w:rsidRDefault="00FC14FC" w:rsidP="00D11B9D">
                  <w:pPr>
                    <w:pStyle w:val="TableBodyText"/>
                    <w:jc w:val="left"/>
                  </w:pPr>
                  <w:r w:rsidRPr="00AC6008">
                    <w:t>International fixed in</w:t>
                  </w:r>
                  <w:r>
                    <w:t>come</w:t>
                  </w:r>
                </w:p>
              </w:tc>
              <w:tc>
                <w:tcPr>
                  <w:tcW w:w="508" w:type="pct"/>
                </w:tcPr>
                <w:p w14:paraId="2FBA4E90" w14:textId="77777777" w:rsidR="00FC14FC" w:rsidRDefault="00FC14FC" w:rsidP="00D11B9D">
                  <w:pPr>
                    <w:pStyle w:val="TableBodyText"/>
                  </w:pPr>
                  <w:r>
                    <w:t>5.7</w:t>
                  </w:r>
                </w:p>
              </w:tc>
              <w:tc>
                <w:tcPr>
                  <w:tcW w:w="594" w:type="pct"/>
                  <w:shd w:val="clear" w:color="auto" w:fill="auto"/>
                </w:tcPr>
                <w:p w14:paraId="1964B984" w14:textId="77777777" w:rsidR="00FC14FC" w:rsidRDefault="00FC14FC" w:rsidP="00D11B9D">
                  <w:pPr>
                    <w:pStyle w:val="TableBodyText"/>
                  </w:pPr>
                  <w:r>
                    <w:t>7.5</w:t>
                  </w:r>
                </w:p>
              </w:tc>
              <w:tc>
                <w:tcPr>
                  <w:tcW w:w="656" w:type="pct"/>
                </w:tcPr>
                <w:p w14:paraId="482DB034" w14:textId="77777777" w:rsidR="00FC14FC" w:rsidRPr="00AC6008" w:rsidRDefault="00FC14FC" w:rsidP="00D11B9D">
                  <w:pPr>
                    <w:pStyle w:val="TableBodyText"/>
                  </w:pPr>
                  <w:r>
                    <w:t>4.1</w:t>
                  </w:r>
                </w:p>
              </w:tc>
              <w:tc>
                <w:tcPr>
                  <w:tcW w:w="499" w:type="pct"/>
                </w:tcPr>
                <w:p w14:paraId="1BCD9E06" w14:textId="77777777" w:rsidR="00FC14FC" w:rsidRPr="00AC6008" w:rsidRDefault="00FC14FC" w:rsidP="00D11B9D">
                  <w:pPr>
                    <w:pStyle w:val="TableBodyText"/>
                  </w:pPr>
                  <w:r>
                    <w:t>6.5</w:t>
                  </w:r>
                </w:p>
              </w:tc>
              <w:tc>
                <w:tcPr>
                  <w:tcW w:w="667" w:type="pct"/>
                </w:tcPr>
                <w:p w14:paraId="3A340B92" w14:textId="77777777" w:rsidR="00FC14FC" w:rsidRPr="00AC6008" w:rsidRDefault="00FC14FC" w:rsidP="00D11B9D">
                  <w:pPr>
                    <w:pStyle w:val="TableBodyText"/>
                  </w:pPr>
                  <w:r w:rsidRPr="00C94BB2">
                    <w:t>3.6</w:t>
                  </w:r>
                </w:p>
              </w:tc>
              <w:tc>
                <w:tcPr>
                  <w:tcW w:w="569" w:type="pct"/>
                </w:tcPr>
                <w:p w14:paraId="79ACAD23" w14:textId="77777777" w:rsidR="00FC14FC" w:rsidRPr="00AC6008" w:rsidRDefault="00FC14FC" w:rsidP="00D11B9D">
                  <w:pPr>
                    <w:pStyle w:val="TableBodyText"/>
                    <w:ind w:right="28"/>
                  </w:pPr>
                  <w:r w:rsidRPr="00C94BB2">
                    <w:t>5.1</w:t>
                  </w:r>
                </w:p>
              </w:tc>
            </w:tr>
            <w:tr w:rsidR="00FC14FC" w14:paraId="4F5CA6E0" w14:textId="77777777" w:rsidTr="00D11B9D">
              <w:tc>
                <w:tcPr>
                  <w:tcW w:w="1507" w:type="pct"/>
                  <w:shd w:val="clear" w:color="auto" w:fill="F2F2F2" w:themeFill="background1" w:themeFillShade="F2"/>
                </w:tcPr>
                <w:p w14:paraId="3CCA4A1F" w14:textId="77777777" w:rsidR="00FC14FC" w:rsidRDefault="00FC14FC" w:rsidP="00D11B9D">
                  <w:pPr>
                    <w:pStyle w:val="TableBodyText"/>
                    <w:jc w:val="left"/>
                  </w:pPr>
                  <w:r w:rsidRPr="00AC6008">
                    <w:t>Australian listed equity</w:t>
                  </w:r>
                </w:p>
              </w:tc>
              <w:tc>
                <w:tcPr>
                  <w:tcW w:w="508" w:type="pct"/>
                  <w:shd w:val="clear" w:color="auto" w:fill="F2F2F2" w:themeFill="background1" w:themeFillShade="F2"/>
                </w:tcPr>
                <w:p w14:paraId="378A629A" w14:textId="77777777" w:rsidR="00FC14FC" w:rsidRDefault="00FC14FC" w:rsidP="00D11B9D">
                  <w:pPr>
                    <w:pStyle w:val="TableBodyText"/>
                  </w:pPr>
                  <w:r>
                    <w:t>33.1</w:t>
                  </w:r>
                </w:p>
              </w:tc>
              <w:tc>
                <w:tcPr>
                  <w:tcW w:w="594" w:type="pct"/>
                  <w:shd w:val="clear" w:color="auto" w:fill="F2F2F2" w:themeFill="background1" w:themeFillShade="F2"/>
                </w:tcPr>
                <w:p w14:paraId="52F57188" w14:textId="77777777" w:rsidR="00FC14FC" w:rsidRDefault="00FC14FC" w:rsidP="00D11B9D">
                  <w:pPr>
                    <w:pStyle w:val="TableBodyText"/>
                  </w:pPr>
                  <w:r>
                    <w:t>29.8</w:t>
                  </w:r>
                </w:p>
              </w:tc>
              <w:tc>
                <w:tcPr>
                  <w:tcW w:w="656" w:type="pct"/>
                  <w:shd w:val="clear" w:color="auto" w:fill="F2F2F2" w:themeFill="background1" w:themeFillShade="F2"/>
                </w:tcPr>
                <w:p w14:paraId="2D11421A" w14:textId="77777777" w:rsidR="00FC14FC" w:rsidRPr="00AC6008" w:rsidRDefault="00FC14FC" w:rsidP="00D11B9D">
                  <w:pPr>
                    <w:pStyle w:val="TableBodyText"/>
                  </w:pPr>
                  <w:r>
                    <w:t>28.4</w:t>
                  </w:r>
                </w:p>
              </w:tc>
              <w:tc>
                <w:tcPr>
                  <w:tcW w:w="499" w:type="pct"/>
                  <w:shd w:val="clear" w:color="auto" w:fill="F2F2F2" w:themeFill="background1" w:themeFillShade="F2"/>
                </w:tcPr>
                <w:p w14:paraId="0A21B52B" w14:textId="77777777" w:rsidR="00FC14FC" w:rsidRPr="00AC6008" w:rsidRDefault="00FC14FC" w:rsidP="00D11B9D">
                  <w:pPr>
                    <w:pStyle w:val="TableBodyText"/>
                  </w:pPr>
                  <w:r>
                    <w:t>23.1</w:t>
                  </w:r>
                </w:p>
              </w:tc>
              <w:tc>
                <w:tcPr>
                  <w:tcW w:w="667" w:type="pct"/>
                  <w:shd w:val="clear" w:color="auto" w:fill="F2F2F2" w:themeFill="background1" w:themeFillShade="F2"/>
                </w:tcPr>
                <w:p w14:paraId="4A2FDE4E" w14:textId="77777777" w:rsidR="00FC14FC" w:rsidRPr="00AC6008" w:rsidRDefault="00FC14FC" w:rsidP="00D11B9D">
                  <w:pPr>
                    <w:pStyle w:val="TableBodyText"/>
                  </w:pPr>
                  <w:r>
                    <w:t>24.8</w:t>
                  </w:r>
                </w:p>
              </w:tc>
              <w:tc>
                <w:tcPr>
                  <w:tcW w:w="569" w:type="pct"/>
                  <w:shd w:val="clear" w:color="auto" w:fill="F2F2F2" w:themeFill="background1" w:themeFillShade="F2"/>
                </w:tcPr>
                <w:p w14:paraId="29702C35" w14:textId="77777777" w:rsidR="00FC14FC" w:rsidRPr="00AC6008" w:rsidRDefault="00FC14FC" w:rsidP="00D11B9D">
                  <w:pPr>
                    <w:pStyle w:val="TableBodyText"/>
                    <w:ind w:right="28"/>
                  </w:pPr>
                  <w:r>
                    <w:t>18.6</w:t>
                  </w:r>
                </w:p>
              </w:tc>
            </w:tr>
            <w:tr w:rsidR="00FC14FC" w14:paraId="5FEFEC30" w14:textId="77777777" w:rsidTr="00D11B9D">
              <w:tc>
                <w:tcPr>
                  <w:tcW w:w="1507" w:type="pct"/>
                  <w:shd w:val="clear" w:color="auto" w:fill="auto"/>
                </w:tcPr>
                <w:p w14:paraId="307AAD01" w14:textId="77777777" w:rsidR="00FC14FC" w:rsidRDefault="00FC14FC" w:rsidP="00D11B9D">
                  <w:pPr>
                    <w:pStyle w:val="TableBodyText"/>
                    <w:jc w:val="left"/>
                  </w:pPr>
                  <w:r w:rsidRPr="00AC6008">
                    <w:t>International listed equity</w:t>
                  </w:r>
                </w:p>
              </w:tc>
              <w:tc>
                <w:tcPr>
                  <w:tcW w:w="508" w:type="pct"/>
                </w:tcPr>
                <w:p w14:paraId="6D4BB9BB" w14:textId="77777777" w:rsidR="00FC14FC" w:rsidRDefault="00FC14FC" w:rsidP="00D11B9D">
                  <w:pPr>
                    <w:pStyle w:val="TableBodyText"/>
                  </w:pPr>
                  <w:r>
                    <w:t>26.0</w:t>
                  </w:r>
                </w:p>
              </w:tc>
              <w:tc>
                <w:tcPr>
                  <w:tcW w:w="594" w:type="pct"/>
                  <w:shd w:val="clear" w:color="auto" w:fill="auto"/>
                </w:tcPr>
                <w:p w14:paraId="0D2127E2" w14:textId="77777777" w:rsidR="00FC14FC" w:rsidRDefault="00FC14FC" w:rsidP="00D11B9D">
                  <w:pPr>
                    <w:pStyle w:val="TableBodyText"/>
                  </w:pPr>
                  <w:r>
                    <w:t>23.1</w:t>
                  </w:r>
                </w:p>
              </w:tc>
              <w:tc>
                <w:tcPr>
                  <w:tcW w:w="656" w:type="pct"/>
                </w:tcPr>
                <w:p w14:paraId="4C03C0C6" w14:textId="77777777" w:rsidR="00FC14FC" w:rsidRPr="00AC6008" w:rsidRDefault="00FC14FC" w:rsidP="00D11B9D">
                  <w:pPr>
                    <w:pStyle w:val="TableBodyText"/>
                  </w:pPr>
                  <w:r>
                    <w:t>21.5</w:t>
                  </w:r>
                </w:p>
              </w:tc>
              <w:tc>
                <w:tcPr>
                  <w:tcW w:w="499" w:type="pct"/>
                </w:tcPr>
                <w:p w14:paraId="47074432" w14:textId="77777777" w:rsidR="00FC14FC" w:rsidRPr="00AC6008" w:rsidRDefault="00FC14FC" w:rsidP="00D11B9D">
                  <w:pPr>
                    <w:pStyle w:val="TableBodyText"/>
                  </w:pPr>
                  <w:r>
                    <w:t>16.0</w:t>
                  </w:r>
                </w:p>
              </w:tc>
              <w:tc>
                <w:tcPr>
                  <w:tcW w:w="667" w:type="pct"/>
                </w:tcPr>
                <w:p w14:paraId="7CD00AF3" w14:textId="77777777" w:rsidR="00FC14FC" w:rsidRPr="00AC6008" w:rsidRDefault="00FC14FC" w:rsidP="00D11B9D">
                  <w:pPr>
                    <w:pStyle w:val="TableBodyText"/>
                  </w:pPr>
                  <w:r>
                    <w:t>25.7</w:t>
                  </w:r>
                </w:p>
              </w:tc>
              <w:tc>
                <w:tcPr>
                  <w:tcW w:w="569" w:type="pct"/>
                </w:tcPr>
                <w:p w14:paraId="544115D8" w14:textId="77777777" w:rsidR="00FC14FC" w:rsidRPr="00AC6008" w:rsidRDefault="00FC14FC" w:rsidP="00D11B9D">
                  <w:pPr>
                    <w:pStyle w:val="TableBodyText"/>
                    <w:ind w:right="28"/>
                  </w:pPr>
                  <w:r>
                    <w:t>19.2</w:t>
                  </w:r>
                </w:p>
              </w:tc>
            </w:tr>
            <w:tr w:rsidR="00FC14FC" w14:paraId="3C264C29" w14:textId="77777777" w:rsidTr="00D11B9D">
              <w:tc>
                <w:tcPr>
                  <w:tcW w:w="1507" w:type="pct"/>
                  <w:shd w:val="clear" w:color="auto" w:fill="F2F2F2" w:themeFill="background1" w:themeFillShade="F2"/>
                </w:tcPr>
                <w:p w14:paraId="1244DCC9" w14:textId="77777777" w:rsidR="00FC14FC" w:rsidRDefault="00FC14FC" w:rsidP="00D11B9D">
                  <w:pPr>
                    <w:pStyle w:val="TableBodyText"/>
                    <w:jc w:val="left"/>
                  </w:pPr>
                  <w:r w:rsidRPr="00AC6008">
                    <w:t>Private equity</w:t>
                  </w:r>
                </w:p>
              </w:tc>
              <w:tc>
                <w:tcPr>
                  <w:tcW w:w="508" w:type="pct"/>
                  <w:shd w:val="clear" w:color="auto" w:fill="F2F2F2" w:themeFill="background1" w:themeFillShade="F2"/>
                </w:tcPr>
                <w:p w14:paraId="76D6BB58" w14:textId="77777777" w:rsidR="00FC14FC" w:rsidRDefault="00FC14FC" w:rsidP="00D11B9D">
                  <w:pPr>
                    <w:pStyle w:val="TableBodyText"/>
                  </w:pPr>
                  <w:r>
                    <w:t>1.5</w:t>
                  </w:r>
                </w:p>
              </w:tc>
              <w:tc>
                <w:tcPr>
                  <w:tcW w:w="594" w:type="pct"/>
                  <w:shd w:val="clear" w:color="auto" w:fill="F2F2F2" w:themeFill="background1" w:themeFillShade="F2"/>
                </w:tcPr>
                <w:p w14:paraId="26DE253E" w14:textId="77777777" w:rsidR="00FC14FC" w:rsidRDefault="00FC14FC" w:rsidP="00D11B9D">
                  <w:pPr>
                    <w:pStyle w:val="TableBodyText"/>
                  </w:pPr>
                  <w:r>
                    <w:t>1.0</w:t>
                  </w:r>
                </w:p>
              </w:tc>
              <w:tc>
                <w:tcPr>
                  <w:tcW w:w="656" w:type="pct"/>
                  <w:shd w:val="clear" w:color="auto" w:fill="F2F2F2" w:themeFill="background1" w:themeFillShade="F2"/>
                </w:tcPr>
                <w:p w14:paraId="3347822F" w14:textId="77777777" w:rsidR="00FC14FC" w:rsidRPr="00AC6008" w:rsidRDefault="00FC14FC" w:rsidP="00D11B9D">
                  <w:pPr>
                    <w:pStyle w:val="TableBodyText"/>
                  </w:pPr>
                  <w:r>
                    <w:t>2.7</w:t>
                  </w:r>
                </w:p>
              </w:tc>
              <w:tc>
                <w:tcPr>
                  <w:tcW w:w="499" w:type="pct"/>
                  <w:shd w:val="clear" w:color="auto" w:fill="F2F2F2" w:themeFill="background1" w:themeFillShade="F2"/>
                </w:tcPr>
                <w:p w14:paraId="595A0390" w14:textId="77777777" w:rsidR="00FC14FC" w:rsidRPr="00AC6008" w:rsidRDefault="00FC14FC" w:rsidP="00D11B9D">
                  <w:pPr>
                    <w:pStyle w:val="TableBodyText"/>
                  </w:pPr>
                  <w:r>
                    <w:t>1.0</w:t>
                  </w:r>
                </w:p>
              </w:tc>
              <w:tc>
                <w:tcPr>
                  <w:tcW w:w="667" w:type="pct"/>
                  <w:shd w:val="clear" w:color="auto" w:fill="F2F2F2" w:themeFill="background1" w:themeFillShade="F2"/>
                </w:tcPr>
                <w:p w14:paraId="6D4797E2" w14:textId="77777777" w:rsidR="00FC14FC" w:rsidRPr="00AC6008" w:rsidRDefault="00FC14FC" w:rsidP="00D11B9D">
                  <w:pPr>
                    <w:pStyle w:val="TableBodyText"/>
                  </w:pPr>
                  <w:r>
                    <w:t>3.0</w:t>
                  </w:r>
                </w:p>
              </w:tc>
              <w:tc>
                <w:tcPr>
                  <w:tcW w:w="569" w:type="pct"/>
                  <w:shd w:val="clear" w:color="auto" w:fill="F2F2F2" w:themeFill="background1" w:themeFillShade="F2"/>
                </w:tcPr>
                <w:p w14:paraId="6E9A9A81" w14:textId="77777777" w:rsidR="00FC14FC" w:rsidRPr="00AC6008" w:rsidRDefault="00FC14FC" w:rsidP="00D11B9D">
                  <w:pPr>
                    <w:pStyle w:val="TableBodyText"/>
                    <w:ind w:right="28"/>
                  </w:pPr>
                  <w:r>
                    <w:t>1.5</w:t>
                  </w:r>
                </w:p>
              </w:tc>
            </w:tr>
            <w:tr w:rsidR="00FC14FC" w14:paraId="1C5A5CAA" w14:textId="77777777" w:rsidTr="00D11B9D">
              <w:tc>
                <w:tcPr>
                  <w:tcW w:w="1507" w:type="pct"/>
                  <w:shd w:val="clear" w:color="auto" w:fill="auto"/>
                </w:tcPr>
                <w:p w14:paraId="2444A021" w14:textId="77777777" w:rsidR="00FC14FC" w:rsidRDefault="00FC14FC" w:rsidP="00D11B9D">
                  <w:pPr>
                    <w:pStyle w:val="TableBodyText"/>
                    <w:jc w:val="left"/>
                  </w:pPr>
                  <w:r w:rsidRPr="00AC6008">
                    <w:t>Property</w:t>
                  </w:r>
                </w:p>
              </w:tc>
              <w:tc>
                <w:tcPr>
                  <w:tcW w:w="508" w:type="pct"/>
                </w:tcPr>
                <w:p w14:paraId="77BFE6A7" w14:textId="77777777" w:rsidR="00FC14FC" w:rsidRDefault="00FC14FC" w:rsidP="00D11B9D">
                  <w:pPr>
                    <w:pStyle w:val="TableBodyText"/>
                  </w:pPr>
                  <w:r>
                    <w:t>7.6</w:t>
                  </w:r>
                </w:p>
              </w:tc>
              <w:tc>
                <w:tcPr>
                  <w:tcW w:w="594" w:type="pct"/>
                  <w:shd w:val="clear" w:color="auto" w:fill="auto"/>
                </w:tcPr>
                <w:p w14:paraId="18009E9D" w14:textId="77777777" w:rsidR="00FC14FC" w:rsidRDefault="00FC14FC" w:rsidP="00D11B9D">
                  <w:pPr>
                    <w:pStyle w:val="TableBodyText"/>
                  </w:pPr>
                  <w:r>
                    <w:t>8.2</w:t>
                  </w:r>
                </w:p>
              </w:tc>
              <w:tc>
                <w:tcPr>
                  <w:tcW w:w="656" w:type="pct"/>
                </w:tcPr>
                <w:p w14:paraId="6AD1AFF2" w14:textId="77777777" w:rsidR="00FC14FC" w:rsidRPr="00AC6008" w:rsidRDefault="00FC14FC" w:rsidP="00D11B9D">
                  <w:pPr>
                    <w:pStyle w:val="TableBodyText"/>
                  </w:pPr>
                  <w:r>
                    <w:t>6.5</w:t>
                  </w:r>
                </w:p>
              </w:tc>
              <w:tc>
                <w:tcPr>
                  <w:tcW w:w="499" w:type="pct"/>
                </w:tcPr>
                <w:p w14:paraId="0957B8A0" w14:textId="77777777" w:rsidR="00FC14FC" w:rsidRPr="00AC6008" w:rsidRDefault="00FC14FC" w:rsidP="00D11B9D">
                  <w:pPr>
                    <w:pStyle w:val="TableBodyText"/>
                  </w:pPr>
                  <w:r>
                    <w:t>6.5</w:t>
                  </w:r>
                </w:p>
              </w:tc>
              <w:tc>
                <w:tcPr>
                  <w:tcW w:w="667" w:type="pct"/>
                </w:tcPr>
                <w:p w14:paraId="05528036" w14:textId="77777777" w:rsidR="00FC14FC" w:rsidRPr="00AC6008" w:rsidRDefault="00FC14FC" w:rsidP="00D11B9D">
                  <w:pPr>
                    <w:pStyle w:val="TableBodyText"/>
                  </w:pPr>
                  <w:r>
                    <w:t>5.8</w:t>
                  </w:r>
                </w:p>
              </w:tc>
              <w:tc>
                <w:tcPr>
                  <w:tcW w:w="569" w:type="pct"/>
                </w:tcPr>
                <w:p w14:paraId="490D3FEE" w14:textId="77777777" w:rsidR="00FC14FC" w:rsidRPr="00AC6008" w:rsidRDefault="00FC14FC" w:rsidP="00D11B9D">
                  <w:pPr>
                    <w:pStyle w:val="TableBodyText"/>
                    <w:ind w:right="28"/>
                  </w:pPr>
                  <w:r>
                    <w:t>6.1</w:t>
                  </w:r>
                </w:p>
              </w:tc>
            </w:tr>
            <w:tr w:rsidR="00FC14FC" w14:paraId="46988CC3" w14:textId="77777777" w:rsidTr="00D11B9D">
              <w:tc>
                <w:tcPr>
                  <w:tcW w:w="1507" w:type="pct"/>
                  <w:shd w:val="clear" w:color="auto" w:fill="F2F2F2" w:themeFill="background1" w:themeFillShade="F2"/>
                </w:tcPr>
                <w:p w14:paraId="51A19902" w14:textId="77777777" w:rsidR="00FC14FC" w:rsidRDefault="00FC14FC" w:rsidP="00D11B9D">
                  <w:pPr>
                    <w:pStyle w:val="TableBodyText"/>
                    <w:jc w:val="left"/>
                  </w:pPr>
                  <w:r w:rsidRPr="00AC6008">
                    <w:t>Infrastructure</w:t>
                  </w:r>
                </w:p>
              </w:tc>
              <w:tc>
                <w:tcPr>
                  <w:tcW w:w="508" w:type="pct"/>
                  <w:shd w:val="clear" w:color="auto" w:fill="F2F2F2" w:themeFill="background1" w:themeFillShade="F2"/>
                </w:tcPr>
                <w:p w14:paraId="3F77C4DB" w14:textId="77777777" w:rsidR="00FC14FC" w:rsidRDefault="00FC14FC" w:rsidP="00D11B9D">
                  <w:pPr>
                    <w:pStyle w:val="TableBodyText"/>
                  </w:pPr>
                  <w:r>
                    <w:t>3.4</w:t>
                  </w:r>
                </w:p>
              </w:tc>
              <w:tc>
                <w:tcPr>
                  <w:tcW w:w="594" w:type="pct"/>
                  <w:shd w:val="clear" w:color="auto" w:fill="F2F2F2" w:themeFill="background1" w:themeFillShade="F2"/>
                </w:tcPr>
                <w:p w14:paraId="70C7EB4F" w14:textId="77777777" w:rsidR="00FC14FC" w:rsidRDefault="00FC14FC" w:rsidP="00D11B9D">
                  <w:pPr>
                    <w:pStyle w:val="TableBodyText"/>
                  </w:pPr>
                  <w:r>
                    <w:t>1.0</w:t>
                  </w:r>
                </w:p>
              </w:tc>
              <w:tc>
                <w:tcPr>
                  <w:tcW w:w="656" w:type="pct"/>
                  <w:shd w:val="clear" w:color="auto" w:fill="F2F2F2" w:themeFill="background1" w:themeFillShade="F2"/>
                </w:tcPr>
                <w:p w14:paraId="409B292A" w14:textId="77777777" w:rsidR="00FC14FC" w:rsidRPr="00AC6008" w:rsidRDefault="00FC14FC" w:rsidP="00D11B9D">
                  <w:pPr>
                    <w:pStyle w:val="TableBodyText"/>
                  </w:pPr>
                  <w:r>
                    <w:t>4.2</w:t>
                  </w:r>
                </w:p>
              </w:tc>
              <w:tc>
                <w:tcPr>
                  <w:tcW w:w="499" w:type="pct"/>
                  <w:shd w:val="clear" w:color="auto" w:fill="F2F2F2" w:themeFill="background1" w:themeFillShade="F2"/>
                </w:tcPr>
                <w:p w14:paraId="1B8706A7" w14:textId="77777777" w:rsidR="00FC14FC" w:rsidRPr="00AC6008" w:rsidRDefault="00FC14FC" w:rsidP="00D11B9D">
                  <w:pPr>
                    <w:pStyle w:val="TableBodyText"/>
                  </w:pPr>
                  <w:r>
                    <w:t>2.1</w:t>
                  </w:r>
                </w:p>
              </w:tc>
              <w:tc>
                <w:tcPr>
                  <w:tcW w:w="667" w:type="pct"/>
                  <w:shd w:val="clear" w:color="auto" w:fill="F2F2F2" w:themeFill="background1" w:themeFillShade="F2"/>
                </w:tcPr>
                <w:p w14:paraId="2616F8B4" w14:textId="77777777" w:rsidR="00FC14FC" w:rsidRPr="00AC6008" w:rsidRDefault="00FC14FC" w:rsidP="00D11B9D">
                  <w:pPr>
                    <w:pStyle w:val="TableBodyText"/>
                  </w:pPr>
                  <w:r>
                    <w:t>6.0</w:t>
                  </w:r>
                </w:p>
              </w:tc>
              <w:tc>
                <w:tcPr>
                  <w:tcW w:w="569" w:type="pct"/>
                  <w:shd w:val="clear" w:color="auto" w:fill="F2F2F2" w:themeFill="background1" w:themeFillShade="F2"/>
                </w:tcPr>
                <w:p w14:paraId="5A4FE888" w14:textId="77777777" w:rsidR="00FC14FC" w:rsidRPr="00AC6008" w:rsidRDefault="00FC14FC" w:rsidP="00D11B9D">
                  <w:pPr>
                    <w:pStyle w:val="TableBodyText"/>
                    <w:ind w:right="28"/>
                  </w:pPr>
                  <w:r>
                    <w:t>4.4</w:t>
                  </w:r>
                </w:p>
              </w:tc>
            </w:tr>
            <w:tr w:rsidR="00FC14FC" w14:paraId="5AAF7771" w14:textId="77777777" w:rsidTr="00D11B9D">
              <w:tc>
                <w:tcPr>
                  <w:tcW w:w="1507" w:type="pct"/>
                  <w:tcBorders>
                    <w:bottom w:val="single" w:sz="6" w:space="0" w:color="BFBFBF"/>
                  </w:tcBorders>
                  <w:shd w:val="clear" w:color="auto" w:fill="auto"/>
                </w:tcPr>
                <w:p w14:paraId="655CE922" w14:textId="77777777" w:rsidR="00FC14FC" w:rsidRDefault="00FC14FC" w:rsidP="00D11B9D">
                  <w:pPr>
                    <w:pStyle w:val="TableBodyText"/>
                    <w:jc w:val="left"/>
                  </w:pPr>
                  <w:r w:rsidRPr="00AC6008">
                    <w:t>Other</w:t>
                  </w:r>
                </w:p>
              </w:tc>
              <w:tc>
                <w:tcPr>
                  <w:tcW w:w="508" w:type="pct"/>
                  <w:tcBorders>
                    <w:bottom w:val="single" w:sz="6" w:space="0" w:color="BFBFBF"/>
                  </w:tcBorders>
                </w:tcPr>
                <w:p w14:paraId="3868A474" w14:textId="77777777" w:rsidR="00FC14FC" w:rsidRDefault="00FC14FC" w:rsidP="00D11B9D">
                  <w:pPr>
                    <w:pStyle w:val="TableBodyText"/>
                  </w:pPr>
                  <w:r>
                    <w:t>8.6</w:t>
                  </w:r>
                </w:p>
              </w:tc>
              <w:tc>
                <w:tcPr>
                  <w:tcW w:w="594" w:type="pct"/>
                  <w:tcBorders>
                    <w:bottom w:val="single" w:sz="6" w:space="0" w:color="BFBFBF"/>
                  </w:tcBorders>
                  <w:shd w:val="clear" w:color="auto" w:fill="auto"/>
                </w:tcPr>
                <w:p w14:paraId="2179CD96" w14:textId="77777777" w:rsidR="00FC14FC" w:rsidRDefault="00FC14FC" w:rsidP="00D11B9D">
                  <w:pPr>
                    <w:pStyle w:val="TableBodyText"/>
                  </w:pPr>
                  <w:r>
                    <w:t>5.1</w:t>
                  </w:r>
                </w:p>
              </w:tc>
              <w:tc>
                <w:tcPr>
                  <w:tcW w:w="656" w:type="pct"/>
                  <w:tcBorders>
                    <w:bottom w:val="single" w:sz="6" w:space="0" w:color="BFBFBF"/>
                  </w:tcBorders>
                </w:tcPr>
                <w:p w14:paraId="58D0A5FE" w14:textId="77777777" w:rsidR="00FC14FC" w:rsidRPr="00AC6008" w:rsidRDefault="00FC14FC" w:rsidP="00D11B9D">
                  <w:pPr>
                    <w:pStyle w:val="TableBodyText"/>
                  </w:pPr>
                  <w:r>
                    <w:t>14.0</w:t>
                  </w:r>
                </w:p>
              </w:tc>
              <w:tc>
                <w:tcPr>
                  <w:tcW w:w="499" w:type="pct"/>
                  <w:tcBorders>
                    <w:bottom w:val="single" w:sz="6" w:space="0" w:color="BFBFBF"/>
                  </w:tcBorders>
                </w:tcPr>
                <w:p w14:paraId="577CEB72" w14:textId="77777777" w:rsidR="00FC14FC" w:rsidRPr="00AC6008" w:rsidRDefault="00FC14FC" w:rsidP="00D11B9D">
                  <w:pPr>
                    <w:pStyle w:val="TableBodyText"/>
                  </w:pPr>
                  <w:r>
                    <w:t>12.6</w:t>
                  </w:r>
                </w:p>
              </w:tc>
              <w:tc>
                <w:tcPr>
                  <w:tcW w:w="667" w:type="pct"/>
                  <w:tcBorders>
                    <w:bottom w:val="single" w:sz="6" w:space="0" w:color="BFBFBF"/>
                  </w:tcBorders>
                </w:tcPr>
                <w:p w14:paraId="6E615D03" w14:textId="77777777" w:rsidR="00FC14FC" w:rsidRPr="00AC6008" w:rsidRDefault="00FC14FC" w:rsidP="00D11B9D">
                  <w:pPr>
                    <w:pStyle w:val="TableBodyText"/>
                  </w:pPr>
                  <w:r w:rsidRPr="00C94BB2">
                    <w:t>17.0</w:t>
                  </w:r>
                </w:p>
              </w:tc>
              <w:tc>
                <w:tcPr>
                  <w:tcW w:w="569" w:type="pct"/>
                  <w:tcBorders>
                    <w:bottom w:val="single" w:sz="6" w:space="0" w:color="BFBFBF"/>
                  </w:tcBorders>
                </w:tcPr>
                <w:p w14:paraId="283A2BCF" w14:textId="77777777" w:rsidR="00FC14FC" w:rsidRPr="00AC6008" w:rsidRDefault="00FC14FC" w:rsidP="00D11B9D">
                  <w:pPr>
                    <w:pStyle w:val="TableBodyText"/>
                    <w:ind w:right="28"/>
                  </w:pPr>
                  <w:r>
                    <w:t>17.5</w:t>
                  </w:r>
                </w:p>
              </w:tc>
            </w:tr>
          </w:tbl>
          <w:p w14:paraId="188622B0" w14:textId="77777777" w:rsidR="00FC14FC" w:rsidRDefault="00FC14FC" w:rsidP="00D11B9D">
            <w:pPr>
              <w:pStyle w:val="Box"/>
            </w:pPr>
          </w:p>
        </w:tc>
      </w:tr>
      <w:tr w:rsidR="00FC14FC" w14:paraId="34463264" w14:textId="77777777" w:rsidTr="00D11B9D">
        <w:tc>
          <w:tcPr>
            <w:tcW w:w="5000" w:type="pct"/>
            <w:tcBorders>
              <w:top w:val="nil"/>
              <w:left w:val="nil"/>
              <w:bottom w:val="nil"/>
              <w:right w:val="nil"/>
            </w:tcBorders>
            <w:shd w:val="clear" w:color="auto" w:fill="auto"/>
          </w:tcPr>
          <w:p w14:paraId="6E14EFF3" w14:textId="77777777" w:rsidR="00FC14FC" w:rsidRDefault="00FC14FC" w:rsidP="00D11B9D">
            <w:pPr>
              <w:pStyle w:val="Source"/>
            </w:pPr>
            <w:r>
              <w:rPr>
                <w:i/>
              </w:rPr>
              <w:t>Source</w:t>
            </w:r>
            <w:r w:rsidRPr="00167F06">
              <w:t xml:space="preserve">: </w:t>
            </w:r>
            <w:r w:rsidRPr="002D557A">
              <w:rPr>
                <w:rFonts w:asciiTheme="minorHAnsi" w:cstheme="minorBidi"/>
                <w:color w:val="000000" w:themeColor="text1"/>
                <w:kern w:val="24"/>
                <w:szCs w:val="18"/>
              </w:rPr>
              <w:t xml:space="preserve">PC analysis of </w:t>
            </w:r>
            <w:r>
              <w:rPr>
                <w:rFonts w:asciiTheme="minorHAnsi" w:cstheme="minorBidi"/>
                <w:color w:val="000000" w:themeColor="text1"/>
                <w:kern w:val="24"/>
                <w:szCs w:val="18"/>
              </w:rPr>
              <w:t>SuperRatings data.</w:t>
            </w:r>
          </w:p>
        </w:tc>
      </w:tr>
      <w:tr w:rsidR="00FC14FC" w14:paraId="41714980" w14:textId="77777777" w:rsidTr="00D11B9D">
        <w:tc>
          <w:tcPr>
            <w:tcW w:w="5000" w:type="pct"/>
            <w:tcBorders>
              <w:top w:val="nil"/>
              <w:left w:val="nil"/>
              <w:bottom w:val="single" w:sz="6" w:space="0" w:color="78A22F"/>
              <w:right w:val="nil"/>
            </w:tcBorders>
            <w:shd w:val="clear" w:color="auto" w:fill="auto"/>
          </w:tcPr>
          <w:p w14:paraId="0407FC93" w14:textId="77777777" w:rsidR="00FC14FC" w:rsidRDefault="00FC14FC" w:rsidP="00D11B9D">
            <w:pPr>
              <w:pStyle w:val="Box"/>
              <w:spacing w:before="0" w:line="120" w:lineRule="exact"/>
            </w:pPr>
          </w:p>
        </w:tc>
      </w:tr>
      <w:tr w:rsidR="00FC14FC" w:rsidRPr="000863A5" w14:paraId="3398CAB5" w14:textId="77777777" w:rsidTr="00D11B9D">
        <w:tc>
          <w:tcPr>
            <w:tcW w:w="5000" w:type="pct"/>
            <w:tcBorders>
              <w:top w:val="single" w:sz="6" w:space="0" w:color="78A22F"/>
              <w:left w:val="nil"/>
              <w:bottom w:val="nil"/>
              <w:right w:val="nil"/>
            </w:tcBorders>
          </w:tcPr>
          <w:p w14:paraId="321D92E3" w14:textId="77777777" w:rsidR="00FC14FC" w:rsidRPr="00626D32" w:rsidRDefault="00FC14FC" w:rsidP="00D11B9D">
            <w:pPr>
              <w:pStyle w:val="BoxSpaceBelow"/>
            </w:pPr>
          </w:p>
        </w:tc>
      </w:tr>
    </w:tbl>
    <w:p w14:paraId="07A55D18"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13437"/>
      </w:tblGrid>
      <w:tr w:rsidR="00FC14FC" w14:paraId="0C3509B4" w14:textId="77777777" w:rsidTr="00D11B9D">
        <w:trPr>
          <w:tblHeader/>
        </w:trPr>
        <w:tc>
          <w:tcPr>
            <w:tcW w:w="5000" w:type="pct"/>
            <w:tcBorders>
              <w:top w:val="single" w:sz="6" w:space="0" w:color="78A22F"/>
              <w:left w:val="nil"/>
              <w:bottom w:val="nil"/>
              <w:right w:val="nil"/>
            </w:tcBorders>
            <w:shd w:val="clear" w:color="auto" w:fill="auto"/>
          </w:tcPr>
          <w:p w14:paraId="6DF1254D" w14:textId="77777777" w:rsidR="00FC14FC" w:rsidRDefault="00FC14FC" w:rsidP="00D11B9D">
            <w:pPr>
              <w:pStyle w:val="TableTitle"/>
            </w:pPr>
            <w:r>
              <w:rPr>
                <w:b w:val="0"/>
              </w:rPr>
              <w:t>Table 4.21</w:t>
            </w:r>
            <w:r>
              <w:tab/>
              <w:t>Asset allocation: option types</w:t>
            </w:r>
          </w:p>
          <w:p w14:paraId="5730F508" w14:textId="77777777" w:rsidR="00FC14FC" w:rsidRPr="00F95476" w:rsidRDefault="00FC14FC" w:rsidP="00D11B9D">
            <w:pPr>
              <w:pStyle w:val="Subtitle"/>
            </w:pPr>
            <w:r w:rsidRPr="00F95476">
              <w:t>Per cent</w:t>
            </w:r>
          </w:p>
        </w:tc>
      </w:tr>
      <w:tr w:rsidR="00FC14FC" w14:paraId="37CACE78" w14:textId="77777777" w:rsidTr="00D11B9D">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2268"/>
              <w:gridCol w:w="1210"/>
              <w:gridCol w:w="1210"/>
              <w:gridCol w:w="1210"/>
              <w:gridCol w:w="1210"/>
              <w:gridCol w:w="1210"/>
              <w:gridCol w:w="1210"/>
              <w:gridCol w:w="1210"/>
              <w:gridCol w:w="1210"/>
              <w:gridCol w:w="1205"/>
            </w:tblGrid>
            <w:tr w:rsidR="00FC14FC" w14:paraId="31D1D5E2" w14:textId="77777777" w:rsidTr="00D11B9D">
              <w:trPr>
                <w:tblHeader/>
              </w:trPr>
              <w:tc>
                <w:tcPr>
                  <w:tcW w:w="862" w:type="pct"/>
                  <w:tcBorders>
                    <w:top w:val="single" w:sz="6" w:space="0" w:color="BFBFBF"/>
                  </w:tcBorders>
                  <w:shd w:val="clear" w:color="auto" w:fill="auto"/>
                  <w:tcMar>
                    <w:top w:w="28" w:type="dxa"/>
                  </w:tcMar>
                </w:tcPr>
                <w:p w14:paraId="69C1F10A" w14:textId="77777777" w:rsidR="00FC14FC" w:rsidRDefault="00FC14FC" w:rsidP="00D11B9D">
                  <w:pPr>
                    <w:pStyle w:val="TableColumnHeading"/>
                    <w:jc w:val="left"/>
                  </w:pPr>
                </w:p>
              </w:tc>
              <w:tc>
                <w:tcPr>
                  <w:tcW w:w="1379" w:type="pct"/>
                  <w:gridSpan w:val="3"/>
                  <w:tcBorders>
                    <w:top w:val="single" w:sz="6" w:space="0" w:color="BFBFBF"/>
                    <w:bottom w:val="single" w:sz="6" w:space="0" w:color="BFBFBF"/>
                  </w:tcBorders>
                </w:tcPr>
                <w:p w14:paraId="504904BE" w14:textId="77777777" w:rsidR="00FC14FC" w:rsidRDefault="00FC14FC" w:rsidP="00D11B9D">
                  <w:pPr>
                    <w:pStyle w:val="TableColumnHeading"/>
                    <w:ind w:right="28"/>
                    <w:jc w:val="center"/>
                  </w:pPr>
                  <w:r>
                    <w:t>2007</w:t>
                  </w:r>
                </w:p>
              </w:tc>
              <w:tc>
                <w:tcPr>
                  <w:tcW w:w="1380" w:type="pct"/>
                  <w:gridSpan w:val="3"/>
                  <w:tcBorders>
                    <w:top w:val="single" w:sz="6" w:space="0" w:color="BFBFBF"/>
                    <w:bottom w:val="single" w:sz="6" w:space="0" w:color="BFBFBF"/>
                  </w:tcBorders>
                </w:tcPr>
                <w:p w14:paraId="1C47CD62" w14:textId="77777777" w:rsidR="00FC14FC" w:rsidRDefault="00FC14FC" w:rsidP="00D11B9D">
                  <w:pPr>
                    <w:pStyle w:val="TableColumnHeading"/>
                    <w:ind w:right="28"/>
                    <w:jc w:val="center"/>
                  </w:pPr>
                  <w:r>
                    <w:t>2012</w:t>
                  </w:r>
                </w:p>
              </w:tc>
              <w:tc>
                <w:tcPr>
                  <w:tcW w:w="1380" w:type="pct"/>
                  <w:gridSpan w:val="3"/>
                  <w:tcBorders>
                    <w:top w:val="single" w:sz="6" w:space="0" w:color="BFBFBF"/>
                    <w:bottom w:val="single" w:sz="6" w:space="0" w:color="BFBFBF"/>
                  </w:tcBorders>
                </w:tcPr>
                <w:p w14:paraId="099EF2B6" w14:textId="77777777" w:rsidR="00FC14FC" w:rsidRDefault="00FC14FC" w:rsidP="00D11B9D">
                  <w:pPr>
                    <w:pStyle w:val="TableColumnHeading"/>
                    <w:ind w:right="28"/>
                    <w:jc w:val="center"/>
                  </w:pPr>
                  <w:r>
                    <w:t>2017</w:t>
                  </w:r>
                </w:p>
              </w:tc>
            </w:tr>
            <w:tr w:rsidR="00FC14FC" w14:paraId="44E029C3" w14:textId="77777777" w:rsidTr="00D11B9D">
              <w:trPr>
                <w:tblHeader/>
              </w:trPr>
              <w:tc>
                <w:tcPr>
                  <w:tcW w:w="862" w:type="pct"/>
                  <w:tcBorders>
                    <w:bottom w:val="single" w:sz="6" w:space="0" w:color="BFBFBF"/>
                  </w:tcBorders>
                  <w:shd w:val="clear" w:color="auto" w:fill="auto"/>
                  <w:tcMar>
                    <w:top w:w="28" w:type="dxa"/>
                  </w:tcMar>
                </w:tcPr>
                <w:p w14:paraId="5A07078E" w14:textId="77777777" w:rsidR="00FC14FC" w:rsidRDefault="00FC14FC" w:rsidP="00D11B9D">
                  <w:pPr>
                    <w:pStyle w:val="TableColumnHeading"/>
                    <w:jc w:val="left"/>
                  </w:pPr>
                </w:p>
              </w:tc>
              <w:tc>
                <w:tcPr>
                  <w:tcW w:w="460" w:type="pct"/>
                  <w:tcBorders>
                    <w:top w:val="single" w:sz="6" w:space="0" w:color="BFBFBF"/>
                    <w:bottom w:val="single" w:sz="6" w:space="0" w:color="BFBFBF"/>
                  </w:tcBorders>
                  <w:vAlign w:val="bottom"/>
                </w:tcPr>
                <w:p w14:paraId="5AB9C53A" w14:textId="77777777" w:rsidR="00FC14FC" w:rsidRDefault="00FC14FC" w:rsidP="00D11B9D">
                  <w:pPr>
                    <w:pStyle w:val="TableColumnHeading"/>
                  </w:pPr>
                  <w:r w:rsidRPr="008B6ABC">
                    <w:t xml:space="preserve">Secure </w:t>
                  </w:r>
                </w:p>
                <w:p w14:paraId="23D01877" w14:textId="77777777" w:rsidR="00FC14FC" w:rsidRDefault="00FC14FC" w:rsidP="00D11B9D">
                  <w:pPr>
                    <w:pStyle w:val="TableColumnHeading"/>
                  </w:pPr>
                  <w:r>
                    <w:t>(0–19</w:t>
                  </w:r>
                  <w:r w:rsidRPr="008B6ABC">
                    <w:t>)</w:t>
                  </w:r>
                </w:p>
              </w:tc>
              <w:tc>
                <w:tcPr>
                  <w:tcW w:w="460" w:type="pct"/>
                  <w:tcBorders>
                    <w:top w:val="single" w:sz="6" w:space="0" w:color="BFBFBF"/>
                    <w:bottom w:val="single" w:sz="6" w:space="0" w:color="BFBFBF"/>
                  </w:tcBorders>
                  <w:vAlign w:val="bottom"/>
                </w:tcPr>
                <w:p w14:paraId="01475145" w14:textId="77777777" w:rsidR="00FC14FC" w:rsidRDefault="00FC14FC" w:rsidP="00D11B9D">
                  <w:pPr>
                    <w:pStyle w:val="TableColumnHeading"/>
                  </w:pPr>
                  <w:r w:rsidRPr="008B6ABC">
                    <w:t xml:space="preserve">Capital stable </w:t>
                  </w:r>
                </w:p>
                <w:p w14:paraId="280574D9" w14:textId="77777777" w:rsidR="00FC14FC" w:rsidRDefault="00FC14FC" w:rsidP="00D11B9D">
                  <w:pPr>
                    <w:pStyle w:val="TableColumnHeading"/>
                  </w:pPr>
                  <w:r w:rsidRPr="008B6ABC">
                    <w:t>(20</w:t>
                  </w:r>
                  <w:r>
                    <w:t>–</w:t>
                  </w:r>
                  <w:r w:rsidRPr="008B6ABC">
                    <w:t>40)</w:t>
                  </w:r>
                </w:p>
              </w:tc>
              <w:tc>
                <w:tcPr>
                  <w:tcW w:w="460" w:type="pct"/>
                  <w:tcBorders>
                    <w:top w:val="single" w:sz="6" w:space="0" w:color="BFBFBF"/>
                    <w:bottom w:val="single" w:sz="6" w:space="0" w:color="BFBFBF"/>
                  </w:tcBorders>
                  <w:vAlign w:val="bottom"/>
                </w:tcPr>
                <w:p w14:paraId="746065D2" w14:textId="77777777" w:rsidR="00FC14FC" w:rsidRDefault="00FC14FC" w:rsidP="00D11B9D">
                  <w:pPr>
                    <w:pStyle w:val="TableColumnHeading"/>
                  </w:pPr>
                  <w:r w:rsidRPr="008B6ABC">
                    <w:t xml:space="preserve">Conservative balanced </w:t>
                  </w:r>
                </w:p>
                <w:p w14:paraId="312F2F73" w14:textId="77777777" w:rsidR="00FC14FC" w:rsidRDefault="00FC14FC" w:rsidP="00D11B9D">
                  <w:pPr>
                    <w:pStyle w:val="TableColumnHeading"/>
                  </w:pPr>
                  <w:r w:rsidRPr="008B6ABC">
                    <w:t>(</w:t>
                  </w:r>
                  <w:r>
                    <w:t>41–59</w:t>
                  </w:r>
                  <w:r w:rsidRPr="008B6ABC">
                    <w:t>)</w:t>
                  </w:r>
                </w:p>
              </w:tc>
              <w:tc>
                <w:tcPr>
                  <w:tcW w:w="460" w:type="pct"/>
                  <w:tcBorders>
                    <w:top w:val="single" w:sz="6" w:space="0" w:color="BFBFBF"/>
                    <w:bottom w:val="single" w:sz="6" w:space="0" w:color="BFBFBF"/>
                  </w:tcBorders>
                  <w:vAlign w:val="bottom"/>
                </w:tcPr>
                <w:p w14:paraId="7A3C1E46" w14:textId="77777777" w:rsidR="00FC14FC" w:rsidRDefault="00FC14FC" w:rsidP="00D11B9D">
                  <w:pPr>
                    <w:pStyle w:val="TableColumnHeading"/>
                  </w:pPr>
                  <w:r w:rsidRPr="008B6ABC">
                    <w:t xml:space="preserve">Secure </w:t>
                  </w:r>
                </w:p>
                <w:p w14:paraId="6F6258EA" w14:textId="77777777" w:rsidR="00FC14FC" w:rsidRDefault="00FC14FC" w:rsidP="00D11B9D">
                  <w:pPr>
                    <w:pStyle w:val="TableColumnHeading"/>
                  </w:pPr>
                  <w:r>
                    <w:t>(0–19</w:t>
                  </w:r>
                  <w:r w:rsidRPr="008B6ABC">
                    <w:t>)</w:t>
                  </w:r>
                </w:p>
              </w:tc>
              <w:tc>
                <w:tcPr>
                  <w:tcW w:w="460" w:type="pct"/>
                  <w:tcBorders>
                    <w:top w:val="single" w:sz="6" w:space="0" w:color="BFBFBF"/>
                    <w:bottom w:val="single" w:sz="6" w:space="0" w:color="BFBFBF"/>
                  </w:tcBorders>
                  <w:vAlign w:val="bottom"/>
                </w:tcPr>
                <w:p w14:paraId="2AFA0205" w14:textId="77777777" w:rsidR="00FC14FC" w:rsidRDefault="00FC14FC" w:rsidP="00D11B9D">
                  <w:pPr>
                    <w:pStyle w:val="TableColumnHeading"/>
                  </w:pPr>
                  <w:r w:rsidRPr="008B6ABC">
                    <w:t xml:space="preserve">Capital stable </w:t>
                  </w:r>
                </w:p>
                <w:p w14:paraId="542C3AC7" w14:textId="77777777" w:rsidR="00FC14FC" w:rsidRDefault="00FC14FC" w:rsidP="00D11B9D">
                  <w:pPr>
                    <w:pStyle w:val="TableColumnHeading"/>
                  </w:pPr>
                  <w:r w:rsidRPr="008B6ABC">
                    <w:t>(20</w:t>
                  </w:r>
                  <w:r>
                    <w:t>–</w:t>
                  </w:r>
                  <w:r w:rsidRPr="008B6ABC">
                    <w:t>40)</w:t>
                  </w:r>
                </w:p>
              </w:tc>
              <w:tc>
                <w:tcPr>
                  <w:tcW w:w="460" w:type="pct"/>
                  <w:tcBorders>
                    <w:top w:val="single" w:sz="6" w:space="0" w:color="BFBFBF"/>
                    <w:bottom w:val="single" w:sz="6" w:space="0" w:color="BFBFBF"/>
                  </w:tcBorders>
                  <w:vAlign w:val="bottom"/>
                </w:tcPr>
                <w:p w14:paraId="3FD7D0A4" w14:textId="77777777" w:rsidR="00FC14FC" w:rsidRDefault="00FC14FC" w:rsidP="00D11B9D">
                  <w:pPr>
                    <w:pStyle w:val="TableColumnHeading"/>
                  </w:pPr>
                  <w:r w:rsidRPr="008B6ABC">
                    <w:t xml:space="preserve">Conservative balanced </w:t>
                  </w:r>
                </w:p>
                <w:p w14:paraId="556BF014" w14:textId="77777777" w:rsidR="00FC14FC" w:rsidRDefault="00FC14FC" w:rsidP="00D11B9D">
                  <w:pPr>
                    <w:pStyle w:val="TableColumnHeading"/>
                  </w:pPr>
                  <w:r w:rsidRPr="008B6ABC">
                    <w:t>(</w:t>
                  </w:r>
                  <w:r>
                    <w:t>41–59</w:t>
                  </w:r>
                  <w:r w:rsidRPr="008B6ABC">
                    <w:t>)</w:t>
                  </w:r>
                </w:p>
              </w:tc>
              <w:tc>
                <w:tcPr>
                  <w:tcW w:w="460" w:type="pct"/>
                  <w:tcBorders>
                    <w:top w:val="single" w:sz="6" w:space="0" w:color="BFBFBF"/>
                    <w:bottom w:val="single" w:sz="6" w:space="0" w:color="BFBFBF"/>
                  </w:tcBorders>
                  <w:vAlign w:val="bottom"/>
                </w:tcPr>
                <w:p w14:paraId="28E61A91" w14:textId="77777777" w:rsidR="00FC14FC" w:rsidRDefault="00FC14FC" w:rsidP="00D11B9D">
                  <w:pPr>
                    <w:pStyle w:val="TableColumnHeading"/>
                  </w:pPr>
                  <w:r w:rsidRPr="008B6ABC">
                    <w:t xml:space="preserve">Secure </w:t>
                  </w:r>
                </w:p>
                <w:p w14:paraId="1E95E45A" w14:textId="77777777" w:rsidR="00FC14FC" w:rsidRDefault="00FC14FC" w:rsidP="00D11B9D">
                  <w:pPr>
                    <w:pStyle w:val="TableColumnHeading"/>
                  </w:pPr>
                  <w:r>
                    <w:t>(0–19</w:t>
                  </w:r>
                  <w:r w:rsidRPr="008B6ABC">
                    <w:t>)</w:t>
                  </w:r>
                </w:p>
              </w:tc>
              <w:tc>
                <w:tcPr>
                  <w:tcW w:w="460" w:type="pct"/>
                  <w:tcBorders>
                    <w:top w:val="single" w:sz="6" w:space="0" w:color="BFBFBF"/>
                    <w:bottom w:val="single" w:sz="6" w:space="0" w:color="BFBFBF"/>
                  </w:tcBorders>
                  <w:vAlign w:val="bottom"/>
                </w:tcPr>
                <w:p w14:paraId="77660298" w14:textId="77777777" w:rsidR="00FC14FC" w:rsidRDefault="00FC14FC" w:rsidP="00D11B9D">
                  <w:pPr>
                    <w:pStyle w:val="TableColumnHeading"/>
                  </w:pPr>
                  <w:r w:rsidRPr="008B6ABC">
                    <w:t xml:space="preserve">Capital stable </w:t>
                  </w:r>
                </w:p>
                <w:p w14:paraId="1F7E8060" w14:textId="77777777" w:rsidR="00FC14FC" w:rsidRDefault="00FC14FC" w:rsidP="00D11B9D">
                  <w:pPr>
                    <w:pStyle w:val="TableColumnHeading"/>
                  </w:pPr>
                  <w:r w:rsidRPr="008B6ABC">
                    <w:t>(20</w:t>
                  </w:r>
                  <w:r>
                    <w:t>–</w:t>
                  </w:r>
                  <w:r w:rsidRPr="008B6ABC">
                    <w:t>40)</w:t>
                  </w:r>
                </w:p>
              </w:tc>
              <w:tc>
                <w:tcPr>
                  <w:tcW w:w="460" w:type="pct"/>
                  <w:tcBorders>
                    <w:top w:val="single" w:sz="6" w:space="0" w:color="BFBFBF"/>
                    <w:bottom w:val="single" w:sz="6" w:space="0" w:color="BFBFBF"/>
                  </w:tcBorders>
                  <w:vAlign w:val="bottom"/>
                </w:tcPr>
                <w:p w14:paraId="530F9FCA" w14:textId="77777777" w:rsidR="00FC14FC" w:rsidRDefault="00FC14FC" w:rsidP="00D11B9D">
                  <w:pPr>
                    <w:pStyle w:val="TableColumnHeading"/>
                    <w:ind w:right="28"/>
                  </w:pPr>
                  <w:r w:rsidRPr="008B6ABC">
                    <w:t xml:space="preserve">Conservative balanced </w:t>
                  </w:r>
                </w:p>
                <w:p w14:paraId="1971FC13" w14:textId="77777777" w:rsidR="00FC14FC" w:rsidRDefault="00FC14FC" w:rsidP="00D11B9D">
                  <w:pPr>
                    <w:pStyle w:val="TableColumnHeading"/>
                    <w:ind w:right="28"/>
                  </w:pPr>
                  <w:r w:rsidRPr="008B6ABC">
                    <w:t>(</w:t>
                  </w:r>
                  <w:r>
                    <w:t>41–59</w:t>
                  </w:r>
                  <w:r w:rsidRPr="008B6ABC">
                    <w:t>)</w:t>
                  </w:r>
                </w:p>
              </w:tc>
            </w:tr>
            <w:tr w:rsidR="00FC14FC" w14:paraId="4E35AC6E" w14:textId="77777777" w:rsidTr="00D11B9D">
              <w:tc>
                <w:tcPr>
                  <w:tcW w:w="862" w:type="pct"/>
                  <w:tcBorders>
                    <w:top w:val="single" w:sz="6" w:space="0" w:color="BFBFBF"/>
                  </w:tcBorders>
                </w:tcPr>
                <w:p w14:paraId="66AEF4E8" w14:textId="77777777" w:rsidR="00FC14FC" w:rsidRDefault="00FC14FC" w:rsidP="00D11B9D">
                  <w:pPr>
                    <w:pStyle w:val="TableUnitsRow"/>
                    <w:jc w:val="left"/>
                  </w:pPr>
                  <w:r w:rsidRPr="00AC6008">
                    <w:t>Cash</w:t>
                  </w:r>
                </w:p>
              </w:tc>
              <w:tc>
                <w:tcPr>
                  <w:tcW w:w="460" w:type="pct"/>
                  <w:tcBorders>
                    <w:top w:val="single" w:sz="6" w:space="0" w:color="BFBFBF"/>
                  </w:tcBorders>
                </w:tcPr>
                <w:p w14:paraId="60F644AB" w14:textId="77777777" w:rsidR="00FC14FC" w:rsidRDefault="00FC14FC" w:rsidP="00D11B9D">
                  <w:pPr>
                    <w:pStyle w:val="TableUnitsRow"/>
                  </w:pPr>
                  <w:r w:rsidRPr="00200CC3">
                    <w:t>72.4</w:t>
                  </w:r>
                </w:p>
              </w:tc>
              <w:tc>
                <w:tcPr>
                  <w:tcW w:w="460" w:type="pct"/>
                  <w:tcBorders>
                    <w:top w:val="single" w:sz="6" w:space="0" w:color="BFBFBF"/>
                  </w:tcBorders>
                </w:tcPr>
                <w:p w14:paraId="62B52C89" w14:textId="77777777" w:rsidR="00FC14FC" w:rsidRPr="00AC6008" w:rsidRDefault="00FC14FC" w:rsidP="00D11B9D">
                  <w:pPr>
                    <w:pStyle w:val="TableUnitsRow"/>
                  </w:pPr>
                  <w:r w:rsidRPr="00200CC3">
                    <w:t>14.5</w:t>
                  </w:r>
                </w:p>
              </w:tc>
              <w:tc>
                <w:tcPr>
                  <w:tcW w:w="460" w:type="pct"/>
                  <w:tcBorders>
                    <w:top w:val="single" w:sz="6" w:space="0" w:color="BFBFBF"/>
                  </w:tcBorders>
                </w:tcPr>
                <w:p w14:paraId="5B7A6A7F" w14:textId="77777777" w:rsidR="00FC14FC" w:rsidRPr="00AC6008" w:rsidRDefault="00FC14FC" w:rsidP="00D11B9D">
                  <w:pPr>
                    <w:pStyle w:val="TableUnitsRow"/>
                  </w:pPr>
                  <w:r w:rsidRPr="00200CC3">
                    <w:t>18.4</w:t>
                  </w:r>
                </w:p>
              </w:tc>
              <w:tc>
                <w:tcPr>
                  <w:tcW w:w="460" w:type="pct"/>
                  <w:tcBorders>
                    <w:top w:val="single" w:sz="6" w:space="0" w:color="BFBFBF"/>
                  </w:tcBorders>
                </w:tcPr>
                <w:p w14:paraId="0254651B" w14:textId="77777777" w:rsidR="00FC14FC" w:rsidRPr="00AC6008" w:rsidRDefault="00FC14FC" w:rsidP="00D11B9D">
                  <w:pPr>
                    <w:pStyle w:val="TableUnitsRow"/>
                  </w:pPr>
                  <w:r w:rsidRPr="00200CC3">
                    <w:t>68.8</w:t>
                  </w:r>
                </w:p>
              </w:tc>
              <w:tc>
                <w:tcPr>
                  <w:tcW w:w="460" w:type="pct"/>
                  <w:tcBorders>
                    <w:top w:val="single" w:sz="6" w:space="0" w:color="BFBFBF"/>
                  </w:tcBorders>
                </w:tcPr>
                <w:p w14:paraId="7AB75D8D" w14:textId="77777777" w:rsidR="00FC14FC" w:rsidRPr="00AC6008" w:rsidRDefault="00FC14FC" w:rsidP="00D11B9D">
                  <w:pPr>
                    <w:pStyle w:val="TableUnitsRow"/>
                  </w:pPr>
                  <w:r w:rsidRPr="00200CC3">
                    <w:t>39.2</w:t>
                  </w:r>
                </w:p>
              </w:tc>
              <w:tc>
                <w:tcPr>
                  <w:tcW w:w="460" w:type="pct"/>
                  <w:tcBorders>
                    <w:top w:val="single" w:sz="6" w:space="0" w:color="BFBFBF"/>
                  </w:tcBorders>
                </w:tcPr>
                <w:p w14:paraId="678CD286" w14:textId="77777777" w:rsidR="00FC14FC" w:rsidRPr="00AC6008" w:rsidRDefault="00FC14FC" w:rsidP="00D11B9D">
                  <w:pPr>
                    <w:pStyle w:val="TableUnitsRow"/>
                  </w:pPr>
                  <w:r w:rsidRPr="00200CC3">
                    <w:t>19.5</w:t>
                  </w:r>
                </w:p>
              </w:tc>
              <w:tc>
                <w:tcPr>
                  <w:tcW w:w="460" w:type="pct"/>
                  <w:tcBorders>
                    <w:top w:val="single" w:sz="6" w:space="0" w:color="BFBFBF"/>
                  </w:tcBorders>
                </w:tcPr>
                <w:p w14:paraId="2075499B" w14:textId="77777777" w:rsidR="00FC14FC" w:rsidRPr="00AC6008" w:rsidRDefault="00FC14FC" w:rsidP="00D11B9D">
                  <w:pPr>
                    <w:pStyle w:val="TableUnitsRow"/>
                  </w:pPr>
                  <w:r w:rsidRPr="00200CC3">
                    <w:t>84.2</w:t>
                  </w:r>
                </w:p>
              </w:tc>
              <w:tc>
                <w:tcPr>
                  <w:tcW w:w="460" w:type="pct"/>
                  <w:tcBorders>
                    <w:top w:val="single" w:sz="6" w:space="0" w:color="BFBFBF"/>
                  </w:tcBorders>
                </w:tcPr>
                <w:p w14:paraId="4E957A80" w14:textId="77777777" w:rsidR="00FC14FC" w:rsidRPr="00AC6008" w:rsidRDefault="00FC14FC" w:rsidP="00D11B9D">
                  <w:pPr>
                    <w:pStyle w:val="TableUnitsRow"/>
                  </w:pPr>
                  <w:r w:rsidRPr="00200CC3">
                    <w:t>15.3</w:t>
                  </w:r>
                </w:p>
              </w:tc>
              <w:tc>
                <w:tcPr>
                  <w:tcW w:w="460" w:type="pct"/>
                  <w:tcBorders>
                    <w:top w:val="single" w:sz="6" w:space="0" w:color="BFBFBF"/>
                  </w:tcBorders>
                </w:tcPr>
                <w:p w14:paraId="57896D5F" w14:textId="77777777" w:rsidR="00FC14FC" w:rsidRPr="00AC6008" w:rsidRDefault="00FC14FC" w:rsidP="00D11B9D">
                  <w:pPr>
                    <w:pStyle w:val="TableUnitsRow"/>
                    <w:ind w:right="28"/>
                  </w:pPr>
                  <w:r w:rsidRPr="00200CC3">
                    <w:t>14.7</w:t>
                  </w:r>
                </w:p>
              </w:tc>
            </w:tr>
            <w:tr w:rsidR="00FC14FC" w14:paraId="41D7E195" w14:textId="77777777" w:rsidTr="00D11B9D">
              <w:tc>
                <w:tcPr>
                  <w:tcW w:w="862" w:type="pct"/>
                  <w:shd w:val="pct5" w:color="auto" w:fill="auto"/>
                </w:tcPr>
                <w:p w14:paraId="7C24C668" w14:textId="77777777" w:rsidR="00FC14FC" w:rsidRDefault="00FC14FC" w:rsidP="00D11B9D">
                  <w:pPr>
                    <w:pStyle w:val="TableBodyText"/>
                    <w:jc w:val="left"/>
                  </w:pPr>
                  <w:r w:rsidRPr="00AC6008">
                    <w:t>Australian fixed in</w:t>
                  </w:r>
                  <w:r>
                    <w:t>come</w:t>
                  </w:r>
                </w:p>
              </w:tc>
              <w:tc>
                <w:tcPr>
                  <w:tcW w:w="460" w:type="pct"/>
                  <w:shd w:val="pct5" w:color="auto" w:fill="auto"/>
                </w:tcPr>
                <w:p w14:paraId="29DC8ACE" w14:textId="77777777" w:rsidR="00FC14FC" w:rsidRDefault="00FC14FC" w:rsidP="00D11B9D">
                  <w:pPr>
                    <w:pStyle w:val="TableBodyText"/>
                  </w:pPr>
                  <w:r w:rsidRPr="00200CC3">
                    <w:t>25.3</w:t>
                  </w:r>
                </w:p>
              </w:tc>
              <w:tc>
                <w:tcPr>
                  <w:tcW w:w="460" w:type="pct"/>
                  <w:shd w:val="pct5" w:color="auto" w:fill="auto"/>
                </w:tcPr>
                <w:p w14:paraId="0CC5C09A" w14:textId="77777777" w:rsidR="00FC14FC" w:rsidRPr="00AC6008" w:rsidRDefault="00FC14FC" w:rsidP="00D11B9D">
                  <w:pPr>
                    <w:pStyle w:val="TableBodyText"/>
                  </w:pPr>
                  <w:r w:rsidRPr="00200CC3">
                    <w:t>45.2</w:t>
                  </w:r>
                </w:p>
              </w:tc>
              <w:tc>
                <w:tcPr>
                  <w:tcW w:w="460" w:type="pct"/>
                  <w:shd w:val="pct5" w:color="auto" w:fill="auto"/>
                </w:tcPr>
                <w:p w14:paraId="197A9D87" w14:textId="77777777" w:rsidR="00FC14FC" w:rsidRPr="00AC6008" w:rsidRDefault="00FC14FC" w:rsidP="00D11B9D">
                  <w:pPr>
                    <w:pStyle w:val="TableBodyText"/>
                  </w:pPr>
                  <w:r w:rsidRPr="00200CC3">
                    <w:t>23.0</w:t>
                  </w:r>
                </w:p>
              </w:tc>
              <w:tc>
                <w:tcPr>
                  <w:tcW w:w="460" w:type="pct"/>
                  <w:shd w:val="pct5" w:color="auto" w:fill="auto"/>
                </w:tcPr>
                <w:p w14:paraId="0FFA05C2" w14:textId="77777777" w:rsidR="00FC14FC" w:rsidRPr="00AC6008" w:rsidRDefault="00FC14FC" w:rsidP="00D11B9D">
                  <w:pPr>
                    <w:pStyle w:val="TableBodyText"/>
                  </w:pPr>
                  <w:r w:rsidRPr="00200CC3">
                    <w:t>31.2</w:t>
                  </w:r>
                </w:p>
              </w:tc>
              <w:tc>
                <w:tcPr>
                  <w:tcW w:w="460" w:type="pct"/>
                  <w:shd w:val="pct5" w:color="auto" w:fill="auto"/>
                </w:tcPr>
                <w:p w14:paraId="05BBA26C" w14:textId="77777777" w:rsidR="00FC14FC" w:rsidRPr="00AC6008" w:rsidRDefault="00FC14FC" w:rsidP="00D11B9D">
                  <w:pPr>
                    <w:pStyle w:val="TableBodyText"/>
                  </w:pPr>
                  <w:r w:rsidRPr="00200CC3">
                    <w:t>20.3</w:t>
                  </w:r>
                </w:p>
              </w:tc>
              <w:tc>
                <w:tcPr>
                  <w:tcW w:w="460" w:type="pct"/>
                  <w:shd w:val="pct5" w:color="auto" w:fill="auto"/>
                </w:tcPr>
                <w:p w14:paraId="0A52AC87" w14:textId="77777777" w:rsidR="00FC14FC" w:rsidRPr="00AC6008" w:rsidRDefault="00FC14FC" w:rsidP="00D11B9D">
                  <w:pPr>
                    <w:pStyle w:val="TableBodyText"/>
                  </w:pPr>
                  <w:r w:rsidRPr="00200CC3">
                    <w:t>14.2</w:t>
                  </w:r>
                </w:p>
              </w:tc>
              <w:tc>
                <w:tcPr>
                  <w:tcW w:w="460" w:type="pct"/>
                  <w:shd w:val="pct5" w:color="auto" w:fill="auto"/>
                </w:tcPr>
                <w:p w14:paraId="20B17FBA" w14:textId="77777777" w:rsidR="00FC14FC" w:rsidRPr="00AC6008" w:rsidRDefault="00FC14FC" w:rsidP="00D11B9D">
                  <w:pPr>
                    <w:pStyle w:val="TableBodyText"/>
                  </w:pPr>
                  <w:r w:rsidRPr="00200CC3">
                    <w:t>11.0</w:t>
                  </w:r>
                </w:p>
              </w:tc>
              <w:tc>
                <w:tcPr>
                  <w:tcW w:w="460" w:type="pct"/>
                  <w:shd w:val="pct5" w:color="auto" w:fill="auto"/>
                </w:tcPr>
                <w:p w14:paraId="547DBD63" w14:textId="77777777" w:rsidR="00FC14FC" w:rsidRPr="00AC6008" w:rsidRDefault="00FC14FC" w:rsidP="00D11B9D">
                  <w:pPr>
                    <w:pStyle w:val="TableBodyText"/>
                  </w:pPr>
                  <w:r w:rsidRPr="00200CC3">
                    <w:t>39.8</w:t>
                  </w:r>
                </w:p>
              </w:tc>
              <w:tc>
                <w:tcPr>
                  <w:tcW w:w="460" w:type="pct"/>
                  <w:shd w:val="pct5" w:color="auto" w:fill="auto"/>
                </w:tcPr>
                <w:p w14:paraId="76D76F5B" w14:textId="77777777" w:rsidR="00FC14FC" w:rsidRPr="00AC6008" w:rsidRDefault="00FC14FC" w:rsidP="00D11B9D">
                  <w:pPr>
                    <w:pStyle w:val="TableBodyText"/>
                    <w:ind w:right="28"/>
                  </w:pPr>
                  <w:r w:rsidRPr="00200CC3">
                    <w:t>23.0</w:t>
                  </w:r>
                </w:p>
              </w:tc>
            </w:tr>
            <w:tr w:rsidR="00FC14FC" w14:paraId="03C931AE" w14:textId="77777777" w:rsidTr="00D11B9D">
              <w:tc>
                <w:tcPr>
                  <w:tcW w:w="862" w:type="pct"/>
                  <w:shd w:val="clear" w:color="auto" w:fill="auto"/>
                </w:tcPr>
                <w:p w14:paraId="11F5DDC9" w14:textId="77777777" w:rsidR="00FC14FC" w:rsidRDefault="00FC14FC" w:rsidP="00D11B9D">
                  <w:pPr>
                    <w:pStyle w:val="TableBodyText"/>
                    <w:jc w:val="left"/>
                  </w:pPr>
                  <w:r w:rsidRPr="00AC6008">
                    <w:t>International fixed in</w:t>
                  </w:r>
                  <w:r>
                    <w:t>come</w:t>
                  </w:r>
                </w:p>
              </w:tc>
              <w:tc>
                <w:tcPr>
                  <w:tcW w:w="460" w:type="pct"/>
                </w:tcPr>
                <w:p w14:paraId="204A1487" w14:textId="77777777" w:rsidR="00FC14FC" w:rsidRDefault="00FC14FC" w:rsidP="00D11B9D">
                  <w:pPr>
                    <w:pStyle w:val="TableBodyText"/>
                  </w:pPr>
                  <w:r w:rsidRPr="00200CC3">
                    <w:t>0.2</w:t>
                  </w:r>
                </w:p>
              </w:tc>
              <w:tc>
                <w:tcPr>
                  <w:tcW w:w="460" w:type="pct"/>
                </w:tcPr>
                <w:p w14:paraId="550254D6" w14:textId="77777777" w:rsidR="00FC14FC" w:rsidRPr="00AC6008" w:rsidRDefault="00FC14FC" w:rsidP="00D11B9D">
                  <w:pPr>
                    <w:pStyle w:val="TableBodyText"/>
                  </w:pPr>
                  <w:r w:rsidRPr="00200CC3">
                    <w:t>7.6</w:t>
                  </w:r>
                </w:p>
              </w:tc>
              <w:tc>
                <w:tcPr>
                  <w:tcW w:w="460" w:type="pct"/>
                </w:tcPr>
                <w:p w14:paraId="557D6EC2" w14:textId="77777777" w:rsidR="00FC14FC" w:rsidRPr="00AC6008" w:rsidRDefault="00FC14FC" w:rsidP="00D11B9D">
                  <w:pPr>
                    <w:pStyle w:val="TableBodyText"/>
                  </w:pPr>
                  <w:r w:rsidRPr="00200CC3">
                    <w:t>5.1</w:t>
                  </w:r>
                </w:p>
              </w:tc>
              <w:tc>
                <w:tcPr>
                  <w:tcW w:w="460" w:type="pct"/>
                </w:tcPr>
                <w:p w14:paraId="480EDA39" w14:textId="77777777" w:rsidR="00FC14FC" w:rsidRPr="00AC6008" w:rsidRDefault="00FC14FC" w:rsidP="00D11B9D">
                  <w:pPr>
                    <w:pStyle w:val="TableBodyText"/>
                  </w:pPr>
                  <w:r w:rsidRPr="00200CC3">
                    <w:t>0.0</w:t>
                  </w:r>
                </w:p>
              </w:tc>
              <w:tc>
                <w:tcPr>
                  <w:tcW w:w="460" w:type="pct"/>
                </w:tcPr>
                <w:p w14:paraId="7CD69D10" w14:textId="77777777" w:rsidR="00FC14FC" w:rsidRPr="00AC6008" w:rsidRDefault="00FC14FC" w:rsidP="00D11B9D">
                  <w:pPr>
                    <w:pStyle w:val="TableBodyText"/>
                  </w:pPr>
                  <w:r w:rsidRPr="00200CC3">
                    <w:t>4.6</w:t>
                  </w:r>
                </w:p>
              </w:tc>
              <w:tc>
                <w:tcPr>
                  <w:tcW w:w="460" w:type="pct"/>
                </w:tcPr>
                <w:p w14:paraId="50545F47" w14:textId="77777777" w:rsidR="00FC14FC" w:rsidRPr="00AC6008" w:rsidRDefault="00FC14FC" w:rsidP="00D11B9D">
                  <w:pPr>
                    <w:pStyle w:val="TableBodyText"/>
                  </w:pPr>
                  <w:r w:rsidRPr="00200CC3">
                    <w:t>10.8</w:t>
                  </w:r>
                </w:p>
              </w:tc>
              <w:tc>
                <w:tcPr>
                  <w:tcW w:w="460" w:type="pct"/>
                </w:tcPr>
                <w:p w14:paraId="4FD8195C" w14:textId="77777777" w:rsidR="00FC14FC" w:rsidRPr="00AC6008" w:rsidRDefault="00FC14FC" w:rsidP="00D11B9D">
                  <w:pPr>
                    <w:pStyle w:val="TableBodyText"/>
                  </w:pPr>
                  <w:r w:rsidRPr="00200CC3">
                    <w:t>0.8</w:t>
                  </w:r>
                </w:p>
              </w:tc>
              <w:tc>
                <w:tcPr>
                  <w:tcW w:w="460" w:type="pct"/>
                </w:tcPr>
                <w:p w14:paraId="3051ADD9" w14:textId="77777777" w:rsidR="00FC14FC" w:rsidRPr="00AC6008" w:rsidRDefault="00FC14FC" w:rsidP="00D11B9D">
                  <w:pPr>
                    <w:pStyle w:val="TableBodyText"/>
                  </w:pPr>
                  <w:r w:rsidRPr="00200CC3">
                    <w:t>6.9</w:t>
                  </w:r>
                </w:p>
              </w:tc>
              <w:tc>
                <w:tcPr>
                  <w:tcW w:w="460" w:type="pct"/>
                </w:tcPr>
                <w:p w14:paraId="488725FD" w14:textId="77777777" w:rsidR="00FC14FC" w:rsidRPr="00AC6008" w:rsidRDefault="00FC14FC" w:rsidP="00D11B9D">
                  <w:pPr>
                    <w:pStyle w:val="TableBodyText"/>
                    <w:ind w:right="28"/>
                  </w:pPr>
                  <w:r w:rsidRPr="00200CC3">
                    <w:t>7.5</w:t>
                  </w:r>
                </w:p>
              </w:tc>
            </w:tr>
            <w:tr w:rsidR="00FC14FC" w14:paraId="35316D18" w14:textId="77777777" w:rsidTr="00D11B9D">
              <w:tc>
                <w:tcPr>
                  <w:tcW w:w="862" w:type="pct"/>
                  <w:shd w:val="pct5" w:color="auto" w:fill="auto"/>
                </w:tcPr>
                <w:p w14:paraId="5883A0B9" w14:textId="77777777" w:rsidR="00FC14FC" w:rsidRDefault="00FC14FC" w:rsidP="00D11B9D">
                  <w:pPr>
                    <w:pStyle w:val="TableBodyText"/>
                    <w:jc w:val="left"/>
                  </w:pPr>
                  <w:r w:rsidRPr="00AC6008">
                    <w:t>Australian listed equity</w:t>
                  </w:r>
                </w:p>
              </w:tc>
              <w:tc>
                <w:tcPr>
                  <w:tcW w:w="460" w:type="pct"/>
                  <w:shd w:val="pct5" w:color="auto" w:fill="auto"/>
                </w:tcPr>
                <w:p w14:paraId="4CB9C21B" w14:textId="77777777" w:rsidR="00FC14FC" w:rsidRDefault="00FC14FC" w:rsidP="00D11B9D">
                  <w:pPr>
                    <w:pStyle w:val="TableBodyText"/>
                  </w:pPr>
                  <w:r w:rsidRPr="00200CC3">
                    <w:t>0.8</w:t>
                  </w:r>
                </w:p>
              </w:tc>
              <w:tc>
                <w:tcPr>
                  <w:tcW w:w="460" w:type="pct"/>
                  <w:shd w:val="pct5" w:color="auto" w:fill="auto"/>
                </w:tcPr>
                <w:p w14:paraId="0D586B0A" w14:textId="77777777" w:rsidR="00FC14FC" w:rsidRPr="00AC6008" w:rsidRDefault="00FC14FC" w:rsidP="00D11B9D">
                  <w:pPr>
                    <w:pStyle w:val="TableBodyText"/>
                  </w:pPr>
                  <w:r w:rsidRPr="00200CC3">
                    <w:t>15.5</w:t>
                  </w:r>
                </w:p>
              </w:tc>
              <w:tc>
                <w:tcPr>
                  <w:tcW w:w="460" w:type="pct"/>
                  <w:shd w:val="pct5" w:color="auto" w:fill="auto"/>
                </w:tcPr>
                <w:p w14:paraId="140F2152" w14:textId="77777777" w:rsidR="00FC14FC" w:rsidRPr="00AC6008" w:rsidRDefault="00FC14FC" w:rsidP="00D11B9D">
                  <w:pPr>
                    <w:pStyle w:val="TableBodyText"/>
                  </w:pPr>
                  <w:r w:rsidRPr="00200CC3">
                    <w:t>35.0</w:t>
                  </w:r>
                </w:p>
              </w:tc>
              <w:tc>
                <w:tcPr>
                  <w:tcW w:w="460" w:type="pct"/>
                  <w:shd w:val="pct5" w:color="auto" w:fill="auto"/>
                </w:tcPr>
                <w:p w14:paraId="237E1398" w14:textId="77777777" w:rsidR="00FC14FC" w:rsidRPr="00AC6008" w:rsidRDefault="00FC14FC" w:rsidP="00D11B9D">
                  <w:pPr>
                    <w:pStyle w:val="TableBodyText"/>
                  </w:pPr>
                  <w:r w:rsidRPr="00200CC3">
                    <w:t>0.0</w:t>
                  </w:r>
                </w:p>
              </w:tc>
              <w:tc>
                <w:tcPr>
                  <w:tcW w:w="460" w:type="pct"/>
                  <w:shd w:val="pct5" w:color="auto" w:fill="auto"/>
                </w:tcPr>
                <w:p w14:paraId="36C268AA" w14:textId="77777777" w:rsidR="00FC14FC" w:rsidRPr="00AC6008" w:rsidRDefault="00FC14FC" w:rsidP="00D11B9D">
                  <w:pPr>
                    <w:pStyle w:val="TableBodyText"/>
                  </w:pPr>
                  <w:r w:rsidRPr="00200CC3">
                    <w:t>22.7</w:t>
                  </w:r>
                </w:p>
              </w:tc>
              <w:tc>
                <w:tcPr>
                  <w:tcW w:w="460" w:type="pct"/>
                  <w:shd w:val="pct5" w:color="auto" w:fill="auto"/>
                </w:tcPr>
                <w:p w14:paraId="5B360F4F" w14:textId="77777777" w:rsidR="00FC14FC" w:rsidRPr="00AC6008" w:rsidRDefault="00FC14FC" w:rsidP="00D11B9D">
                  <w:pPr>
                    <w:pStyle w:val="TableBodyText"/>
                  </w:pPr>
                  <w:r w:rsidRPr="00200CC3">
                    <w:t>24.4</w:t>
                  </w:r>
                </w:p>
              </w:tc>
              <w:tc>
                <w:tcPr>
                  <w:tcW w:w="460" w:type="pct"/>
                  <w:shd w:val="pct5" w:color="auto" w:fill="auto"/>
                </w:tcPr>
                <w:p w14:paraId="43F62377" w14:textId="77777777" w:rsidR="00FC14FC" w:rsidRPr="00AC6008" w:rsidRDefault="00FC14FC" w:rsidP="00D11B9D">
                  <w:pPr>
                    <w:pStyle w:val="TableBodyText"/>
                  </w:pPr>
                  <w:r w:rsidRPr="00200CC3">
                    <w:t>1.4</w:t>
                  </w:r>
                </w:p>
              </w:tc>
              <w:tc>
                <w:tcPr>
                  <w:tcW w:w="460" w:type="pct"/>
                  <w:shd w:val="pct5" w:color="auto" w:fill="auto"/>
                </w:tcPr>
                <w:p w14:paraId="54BB56EF" w14:textId="77777777" w:rsidR="00FC14FC" w:rsidRPr="00AC6008" w:rsidRDefault="00FC14FC" w:rsidP="00D11B9D">
                  <w:pPr>
                    <w:pStyle w:val="TableBodyText"/>
                  </w:pPr>
                  <w:r w:rsidRPr="00200CC3">
                    <w:t>16.8</w:t>
                  </w:r>
                </w:p>
              </w:tc>
              <w:tc>
                <w:tcPr>
                  <w:tcW w:w="460" w:type="pct"/>
                  <w:shd w:val="pct5" w:color="auto" w:fill="auto"/>
                </w:tcPr>
                <w:p w14:paraId="3202EC56" w14:textId="77777777" w:rsidR="00FC14FC" w:rsidRPr="00AC6008" w:rsidRDefault="00FC14FC" w:rsidP="00D11B9D">
                  <w:pPr>
                    <w:pStyle w:val="TableBodyText"/>
                    <w:ind w:right="28"/>
                  </w:pPr>
                  <w:r w:rsidRPr="00200CC3">
                    <w:t>16.2</w:t>
                  </w:r>
                </w:p>
              </w:tc>
            </w:tr>
            <w:tr w:rsidR="00FC14FC" w14:paraId="473EAF54" w14:textId="77777777" w:rsidTr="00D11B9D">
              <w:tc>
                <w:tcPr>
                  <w:tcW w:w="862" w:type="pct"/>
                  <w:shd w:val="clear" w:color="auto" w:fill="auto"/>
                </w:tcPr>
                <w:p w14:paraId="443300FE" w14:textId="77777777" w:rsidR="00FC14FC" w:rsidRDefault="00FC14FC" w:rsidP="00D11B9D">
                  <w:pPr>
                    <w:pStyle w:val="TableBodyText"/>
                    <w:jc w:val="left"/>
                  </w:pPr>
                  <w:r w:rsidRPr="00AC6008">
                    <w:t>International listed equity</w:t>
                  </w:r>
                </w:p>
              </w:tc>
              <w:tc>
                <w:tcPr>
                  <w:tcW w:w="460" w:type="pct"/>
                </w:tcPr>
                <w:p w14:paraId="73B9F0DA" w14:textId="77777777" w:rsidR="00FC14FC" w:rsidRDefault="00FC14FC" w:rsidP="00D11B9D">
                  <w:pPr>
                    <w:pStyle w:val="TableBodyText"/>
                  </w:pPr>
                  <w:r w:rsidRPr="00200CC3">
                    <w:t>0.6</w:t>
                  </w:r>
                </w:p>
              </w:tc>
              <w:tc>
                <w:tcPr>
                  <w:tcW w:w="460" w:type="pct"/>
                </w:tcPr>
                <w:p w14:paraId="3F59E091" w14:textId="77777777" w:rsidR="00FC14FC" w:rsidRPr="00AC6008" w:rsidRDefault="00FC14FC" w:rsidP="00D11B9D">
                  <w:pPr>
                    <w:pStyle w:val="TableBodyText"/>
                  </w:pPr>
                  <w:r w:rsidRPr="00200CC3">
                    <w:t>6.6</w:t>
                  </w:r>
                </w:p>
              </w:tc>
              <w:tc>
                <w:tcPr>
                  <w:tcW w:w="460" w:type="pct"/>
                </w:tcPr>
                <w:p w14:paraId="760900CD" w14:textId="77777777" w:rsidR="00FC14FC" w:rsidRPr="00AC6008" w:rsidRDefault="00FC14FC" w:rsidP="00D11B9D">
                  <w:pPr>
                    <w:pStyle w:val="TableBodyText"/>
                  </w:pPr>
                  <w:r w:rsidRPr="00200CC3">
                    <w:t>13.3</w:t>
                  </w:r>
                </w:p>
              </w:tc>
              <w:tc>
                <w:tcPr>
                  <w:tcW w:w="460" w:type="pct"/>
                </w:tcPr>
                <w:p w14:paraId="5270A86A" w14:textId="77777777" w:rsidR="00FC14FC" w:rsidRPr="00AC6008" w:rsidRDefault="00FC14FC" w:rsidP="00D11B9D">
                  <w:pPr>
                    <w:pStyle w:val="TableBodyText"/>
                  </w:pPr>
                  <w:r w:rsidRPr="00200CC3">
                    <w:t>0.0</w:t>
                  </w:r>
                </w:p>
              </w:tc>
              <w:tc>
                <w:tcPr>
                  <w:tcW w:w="460" w:type="pct"/>
                </w:tcPr>
                <w:p w14:paraId="46F9D2BC" w14:textId="77777777" w:rsidR="00FC14FC" w:rsidRPr="00AC6008" w:rsidRDefault="00FC14FC" w:rsidP="00D11B9D">
                  <w:pPr>
                    <w:pStyle w:val="TableBodyText"/>
                  </w:pPr>
                  <w:r w:rsidRPr="00200CC3">
                    <w:t>10.1</w:t>
                  </w:r>
                </w:p>
              </w:tc>
              <w:tc>
                <w:tcPr>
                  <w:tcW w:w="460" w:type="pct"/>
                </w:tcPr>
                <w:p w14:paraId="7916432C" w14:textId="77777777" w:rsidR="00FC14FC" w:rsidRPr="00AC6008" w:rsidRDefault="00FC14FC" w:rsidP="00D11B9D">
                  <w:pPr>
                    <w:pStyle w:val="TableBodyText"/>
                  </w:pPr>
                  <w:r w:rsidRPr="00200CC3">
                    <w:t>22.0</w:t>
                  </w:r>
                </w:p>
              </w:tc>
              <w:tc>
                <w:tcPr>
                  <w:tcW w:w="460" w:type="pct"/>
                </w:tcPr>
                <w:p w14:paraId="661BD6C2" w14:textId="77777777" w:rsidR="00FC14FC" w:rsidRPr="00AC6008" w:rsidRDefault="00FC14FC" w:rsidP="00D11B9D">
                  <w:pPr>
                    <w:pStyle w:val="TableBodyText"/>
                  </w:pPr>
                  <w:r w:rsidRPr="00200CC3">
                    <w:t>1.5</w:t>
                  </w:r>
                </w:p>
              </w:tc>
              <w:tc>
                <w:tcPr>
                  <w:tcW w:w="460" w:type="pct"/>
                </w:tcPr>
                <w:p w14:paraId="550AC058" w14:textId="77777777" w:rsidR="00FC14FC" w:rsidRPr="00AC6008" w:rsidRDefault="00FC14FC" w:rsidP="00D11B9D">
                  <w:pPr>
                    <w:pStyle w:val="TableBodyText"/>
                  </w:pPr>
                  <w:r w:rsidRPr="00200CC3">
                    <w:t>15.7</w:t>
                  </w:r>
                </w:p>
              </w:tc>
              <w:tc>
                <w:tcPr>
                  <w:tcW w:w="460" w:type="pct"/>
                </w:tcPr>
                <w:p w14:paraId="1881D114" w14:textId="77777777" w:rsidR="00FC14FC" w:rsidRPr="00AC6008" w:rsidRDefault="00FC14FC" w:rsidP="00D11B9D">
                  <w:pPr>
                    <w:pStyle w:val="TableBodyText"/>
                    <w:ind w:right="28"/>
                  </w:pPr>
                  <w:r w:rsidRPr="00200CC3">
                    <w:t>18.4</w:t>
                  </w:r>
                </w:p>
              </w:tc>
            </w:tr>
            <w:tr w:rsidR="00FC14FC" w14:paraId="482A0D2C" w14:textId="77777777" w:rsidTr="00D11B9D">
              <w:tc>
                <w:tcPr>
                  <w:tcW w:w="862" w:type="pct"/>
                  <w:shd w:val="pct5" w:color="auto" w:fill="auto"/>
                </w:tcPr>
                <w:p w14:paraId="4AD8F2CC" w14:textId="77777777" w:rsidR="00FC14FC" w:rsidRDefault="00FC14FC" w:rsidP="00D11B9D">
                  <w:pPr>
                    <w:pStyle w:val="TableBodyText"/>
                    <w:jc w:val="left"/>
                  </w:pPr>
                  <w:r w:rsidRPr="00AC6008">
                    <w:t>Private equity</w:t>
                  </w:r>
                </w:p>
              </w:tc>
              <w:tc>
                <w:tcPr>
                  <w:tcW w:w="460" w:type="pct"/>
                  <w:shd w:val="pct5" w:color="auto" w:fill="auto"/>
                </w:tcPr>
                <w:p w14:paraId="7FE7484F" w14:textId="77777777" w:rsidR="00FC14FC" w:rsidRDefault="00FC14FC" w:rsidP="00D11B9D">
                  <w:pPr>
                    <w:pStyle w:val="TableBodyText"/>
                  </w:pPr>
                  <w:r w:rsidRPr="00200CC3">
                    <w:t>0.0</w:t>
                  </w:r>
                </w:p>
              </w:tc>
              <w:tc>
                <w:tcPr>
                  <w:tcW w:w="460" w:type="pct"/>
                  <w:shd w:val="pct5" w:color="auto" w:fill="auto"/>
                </w:tcPr>
                <w:p w14:paraId="66CDF47C" w14:textId="77777777" w:rsidR="00FC14FC" w:rsidRPr="00AC6008" w:rsidRDefault="00FC14FC" w:rsidP="00D11B9D">
                  <w:pPr>
                    <w:pStyle w:val="TableBodyText"/>
                  </w:pPr>
                  <w:r w:rsidRPr="00200CC3">
                    <w:t>0.0</w:t>
                  </w:r>
                </w:p>
              </w:tc>
              <w:tc>
                <w:tcPr>
                  <w:tcW w:w="460" w:type="pct"/>
                  <w:shd w:val="pct5" w:color="auto" w:fill="auto"/>
                </w:tcPr>
                <w:p w14:paraId="06292792" w14:textId="77777777" w:rsidR="00FC14FC" w:rsidRPr="00AC6008" w:rsidRDefault="00FC14FC" w:rsidP="00D11B9D">
                  <w:pPr>
                    <w:pStyle w:val="TableBodyText"/>
                  </w:pPr>
                  <w:r w:rsidRPr="00200CC3">
                    <w:t>0.0</w:t>
                  </w:r>
                </w:p>
              </w:tc>
              <w:tc>
                <w:tcPr>
                  <w:tcW w:w="460" w:type="pct"/>
                  <w:shd w:val="pct5" w:color="auto" w:fill="auto"/>
                </w:tcPr>
                <w:p w14:paraId="73DFBC71" w14:textId="77777777" w:rsidR="00FC14FC" w:rsidRPr="00AC6008" w:rsidRDefault="00FC14FC" w:rsidP="00D11B9D">
                  <w:pPr>
                    <w:pStyle w:val="TableBodyText"/>
                  </w:pPr>
                  <w:r w:rsidRPr="00200CC3">
                    <w:t>0.0</w:t>
                  </w:r>
                </w:p>
              </w:tc>
              <w:tc>
                <w:tcPr>
                  <w:tcW w:w="460" w:type="pct"/>
                  <w:shd w:val="pct5" w:color="auto" w:fill="auto"/>
                </w:tcPr>
                <w:p w14:paraId="694D21ED" w14:textId="77777777" w:rsidR="00FC14FC" w:rsidRPr="00AC6008" w:rsidRDefault="00FC14FC" w:rsidP="00D11B9D">
                  <w:pPr>
                    <w:pStyle w:val="TableBodyText"/>
                  </w:pPr>
                  <w:r w:rsidRPr="00200CC3">
                    <w:t>0.0</w:t>
                  </w:r>
                </w:p>
              </w:tc>
              <w:tc>
                <w:tcPr>
                  <w:tcW w:w="460" w:type="pct"/>
                  <w:shd w:val="pct5" w:color="auto" w:fill="auto"/>
                </w:tcPr>
                <w:p w14:paraId="4F1B6A12" w14:textId="77777777" w:rsidR="00FC14FC" w:rsidRPr="00AC6008" w:rsidRDefault="00FC14FC" w:rsidP="00D11B9D">
                  <w:pPr>
                    <w:pStyle w:val="TableBodyText"/>
                  </w:pPr>
                  <w:r w:rsidRPr="00200CC3">
                    <w:t>0.0</w:t>
                  </w:r>
                </w:p>
              </w:tc>
              <w:tc>
                <w:tcPr>
                  <w:tcW w:w="460" w:type="pct"/>
                  <w:shd w:val="pct5" w:color="auto" w:fill="auto"/>
                </w:tcPr>
                <w:p w14:paraId="69C120BC" w14:textId="77777777" w:rsidR="00FC14FC" w:rsidRPr="00AC6008" w:rsidRDefault="00FC14FC" w:rsidP="00D11B9D">
                  <w:pPr>
                    <w:pStyle w:val="TableBodyText"/>
                  </w:pPr>
                  <w:r w:rsidRPr="00200CC3">
                    <w:t>0.1</w:t>
                  </w:r>
                </w:p>
              </w:tc>
              <w:tc>
                <w:tcPr>
                  <w:tcW w:w="460" w:type="pct"/>
                  <w:shd w:val="pct5" w:color="auto" w:fill="auto"/>
                </w:tcPr>
                <w:p w14:paraId="3111B13A" w14:textId="77777777" w:rsidR="00FC14FC" w:rsidRPr="00AC6008" w:rsidRDefault="00FC14FC" w:rsidP="00D11B9D">
                  <w:pPr>
                    <w:pStyle w:val="TableBodyText"/>
                  </w:pPr>
                  <w:r w:rsidRPr="00200CC3">
                    <w:t>0.0</w:t>
                  </w:r>
                </w:p>
              </w:tc>
              <w:tc>
                <w:tcPr>
                  <w:tcW w:w="460" w:type="pct"/>
                  <w:shd w:val="pct5" w:color="auto" w:fill="auto"/>
                </w:tcPr>
                <w:p w14:paraId="0EC8CB40" w14:textId="77777777" w:rsidR="00FC14FC" w:rsidRPr="00AC6008" w:rsidRDefault="00FC14FC" w:rsidP="00D11B9D">
                  <w:pPr>
                    <w:pStyle w:val="TableBodyText"/>
                    <w:ind w:right="28"/>
                  </w:pPr>
                  <w:r w:rsidRPr="00200CC3">
                    <w:t>5.4</w:t>
                  </w:r>
                </w:p>
              </w:tc>
            </w:tr>
            <w:tr w:rsidR="00FC14FC" w14:paraId="7ACF85E6" w14:textId="77777777" w:rsidTr="00D11B9D">
              <w:tc>
                <w:tcPr>
                  <w:tcW w:w="862" w:type="pct"/>
                  <w:shd w:val="clear" w:color="auto" w:fill="auto"/>
                </w:tcPr>
                <w:p w14:paraId="1048304C" w14:textId="77777777" w:rsidR="00FC14FC" w:rsidRDefault="00FC14FC" w:rsidP="00D11B9D">
                  <w:pPr>
                    <w:pStyle w:val="TableBodyText"/>
                    <w:jc w:val="left"/>
                  </w:pPr>
                  <w:r w:rsidRPr="00AC6008">
                    <w:t>Property</w:t>
                  </w:r>
                </w:p>
              </w:tc>
              <w:tc>
                <w:tcPr>
                  <w:tcW w:w="460" w:type="pct"/>
                </w:tcPr>
                <w:p w14:paraId="3C7188E2" w14:textId="77777777" w:rsidR="00FC14FC" w:rsidRDefault="00FC14FC" w:rsidP="00D11B9D">
                  <w:pPr>
                    <w:pStyle w:val="TableBodyText"/>
                  </w:pPr>
                  <w:r w:rsidRPr="00200CC3">
                    <w:t>0.7</w:t>
                  </w:r>
                </w:p>
              </w:tc>
              <w:tc>
                <w:tcPr>
                  <w:tcW w:w="460" w:type="pct"/>
                </w:tcPr>
                <w:p w14:paraId="6A9D258F" w14:textId="77777777" w:rsidR="00FC14FC" w:rsidRPr="00AC6008" w:rsidRDefault="00FC14FC" w:rsidP="00D11B9D">
                  <w:pPr>
                    <w:pStyle w:val="TableBodyText"/>
                  </w:pPr>
                  <w:r w:rsidRPr="00200CC3">
                    <w:t>10.5</w:t>
                  </w:r>
                </w:p>
              </w:tc>
              <w:tc>
                <w:tcPr>
                  <w:tcW w:w="460" w:type="pct"/>
                </w:tcPr>
                <w:p w14:paraId="29B6C886" w14:textId="77777777" w:rsidR="00FC14FC" w:rsidRPr="00AC6008" w:rsidRDefault="00FC14FC" w:rsidP="00D11B9D">
                  <w:pPr>
                    <w:pStyle w:val="TableBodyText"/>
                  </w:pPr>
                  <w:r w:rsidRPr="00200CC3">
                    <w:t>5.2</w:t>
                  </w:r>
                </w:p>
              </w:tc>
              <w:tc>
                <w:tcPr>
                  <w:tcW w:w="460" w:type="pct"/>
                </w:tcPr>
                <w:p w14:paraId="643793E5" w14:textId="77777777" w:rsidR="00FC14FC" w:rsidRPr="00AC6008" w:rsidRDefault="00FC14FC" w:rsidP="00D11B9D">
                  <w:pPr>
                    <w:pStyle w:val="TableBodyText"/>
                  </w:pPr>
                  <w:r w:rsidRPr="00200CC3">
                    <w:t>0.0</w:t>
                  </w:r>
                </w:p>
              </w:tc>
              <w:tc>
                <w:tcPr>
                  <w:tcW w:w="460" w:type="pct"/>
                </w:tcPr>
                <w:p w14:paraId="4331A284" w14:textId="77777777" w:rsidR="00FC14FC" w:rsidRPr="00AC6008" w:rsidRDefault="00FC14FC" w:rsidP="00D11B9D">
                  <w:pPr>
                    <w:pStyle w:val="TableBodyText"/>
                  </w:pPr>
                  <w:r w:rsidRPr="00200CC3">
                    <w:t>3.1</w:t>
                  </w:r>
                </w:p>
              </w:tc>
              <w:tc>
                <w:tcPr>
                  <w:tcW w:w="460" w:type="pct"/>
                </w:tcPr>
                <w:p w14:paraId="62347220" w14:textId="77777777" w:rsidR="00FC14FC" w:rsidRPr="00AC6008" w:rsidRDefault="00FC14FC" w:rsidP="00D11B9D">
                  <w:pPr>
                    <w:pStyle w:val="TableBodyText"/>
                  </w:pPr>
                  <w:r w:rsidRPr="00200CC3">
                    <w:t>9.0</w:t>
                  </w:r>
                </w:p>
              </w:tc>
              <w:tc>
                <w:tcPr>
                  <w:tcW w:w="460" w:type="pct"/>
                </w:tcPr>
                <w:p w14:paraId="110B1D1B" w14:textId="77777777" w:rsidR="00FC14FC" w:rsidRPr="00AC6008" w:rsidRDefault="00FC14FC" w:rsidP="00D11B9D">
                  <w:pPr>
                    <w:pStyle w:val="TableBodyText"/>
                  </w:pPr>
                  <w:r w:rsidRPr="00200CC3">
                    <w:t>0.5</w:t>
                  </w:r>
                </w:p>
              </w:tc>
              <w:tc>
                <w:tcPr>
                  <w:tcW w:w="460" w:type="pct"/>
                </w:tcPr>
                <w:p w14:paraId="7268425D" w14:textId="77777777" w:rsidR="00FC14FC" w:rsidRPr="00AC6008" w:rsidRDefault="00FC14FC" w:rsidP="00D11B9D">
                  <w:pPr>
                    <w:pStyle w:val="TableBodyText"/>
                  </w:pPr>
                  <w:r w:rsidRPr="00200CC3">
                    <w:t>3.9</w:t>
                  </w:r>
                </w:p>
              </w:tc>
              <w:tc>
                <w:tcPr>
                  <w:tcW w:w="460" w:type="pct"/>
                </w:tcPr>
                <w:p w14:paraId="24C6D469" w14:textId="77777777" w:rsidR="00FC14FC" w:rsidRPr="00AC6008" w:rsidRDefault="00FC14FC" w:rsidP="00D11B9D">
                  <w:pPr>
                    <w:pStyle w:val="TableBodyText"/>
                    <w:ind w:right="28"/>
                  </w:pPr>
                  <w:r w:rsidRPr="00200CC3">
                    <w:t>7.0</w:t>
                  </w:r>
                </w:p>
              </w:tc>
            </w:tr>
            <w:tr w:rsidR="00FC14FC" w14:paraId="374580B2" w14:textId="77777777" w:rsidTr="00D11B9D">
              <w:tc>
                <w:tcPr>
                  <w:tcW w:w="862" w:type="pct"/>
                  <w:shd w:val="pct5" w:color="auto" w:fill="auto"/>
                </w:tcPr>
                <w:p w14:paraId="0650CCE2" w14:textId="77777777" w:rsidR="00FC14FC" w:rsidRDefault="00FC14FC" w:rsidP="00D11B9D">
                  <w:pPr>
                    <w:pStyle w:val="TableBodyText"/>
                    <w:jc w:val="left"/>
                  </w:pPr>
                  <w:r w:rsidRPr="00AC6008">
                    <w:t>Infrastructure</w:t>
                  </w:r>
                </w:p>
              </w:tc>
              <w:tc>
                <w:tcPr>
                  <w:tcW w:w="460" w:type="pct"/>
                  <w:shd w:val="pct5" w:color="auto" w:fill="auto"/>
                </w:tcPr>
                <w:p w14:paraId="64D0A52F" w14:textId="77777777" w:rsidR="00FC14FC" w:rsidRDefault="00FC14FC" w:rsidP="00D11B9D">
                  <w:pPr>
                    <w:pStyle w:val="TableBodyText"/>
                  </w:pPr>
                  <w:r w:rsidRPr="00200CC3">
                    <w:t>0.0</w:t>
                  </w:r>
                </w:p>
              </w:tc>
              <w:tc>
                <w:tcPr>
                  <w:tcW w:w="460" w:type="pct"/>
                  <w:shd w:val="pct5" w:color="auto" w:fill="auto"/>
                </w:tcPr>
                <w:p w14:paraId="335DE6EC" w14:textId="77777777" w:rsidR="00FC14FC" w:rsidRPr="00AC6008" w:rsidRDefault="00FC14FC" w:rsidP="00D11B9D">
                  <w:pPr>
                    <w:pStyle w:val="TableBodyText"/>
                  </w:pPr>
                  <w:r w:rsidRPr="00200CC3">
                    <w:t>0.0</w:t>
                  </w:r>
                </w:p>
              </w:tc>
              <w:tc>
                <w:tcPr>
                  <w:tcW w:w="460" w:type="pct"/>
                  <w:shd w:val="pct5" w:color="auto" w:fill="auto"/>
                </w:tcPr>
                <w:p w14:paraId="3470C653" w14:textId="77777777" w:rsidR="00FC14FC" w:rsidRPr="00AC6008" w:rsidRDefault="00FC14FC" w:rsidP="00D11B9D">
                  <w:pPr>
                    <w:pStyle w:val="TableBodyText"/>
                  </w:pPr>
                  <w:r w:rsidRPr="00200CC3">
                    <w:t>0.0</w:t>
                  </w:r>
                </w:p>
              </w:tc>
              <w:tc>
                <w:tcPr>
                  <w:tcW w:w="460" w:type="pct"/>
                  <w:shd w:val="pct5" w:color="auto" w:fill="auto"/>
                </w:tcPr>
                <w:p w14:paraId="657528C7" w14:textId="77777777" w:rsidR="00FC14FC" w:rsidRPr="00AC6008" w:rsidRDefault="00FC14FC" w:rsidP="00D11B9D">
                  <w:pPr>
                    <w:pStyle w:val="TableBodyText"/>
                  </w:pPr>
                  <w:r w:rsidRPr="00200CC3">
                    <w:t>0.0</w:t>
                  </w:r>
                </w:p>
              </w:tc>
              <w:tc>
                <w:tcPr>
                  <w:tcW w:w="460" w:type="pct"/>
                  <w:shd w:val="pct5" w:color="auto" w:fill="auto"/>
                </w:tcPr>
                <w:p w14:paraId="5AAA5732" w14:textId="77777777" w:rsidR="00FC14FC" w:rsidRPr="00AC6008" w:rsidRDefault="00FC14FC" w:rsidP="00D11B9D">
                  <w:pPr>
                    <w:pStyle w:val="TableBodyText"/>
                  </w:pPr>
                  <w:r w:rsidRPr="00200CC3">
                    <w:t>0.0</w:t>
                  </w:r>
                </w:p>
              </w:tc>
              <w:tc>
                <w:tcPr>
                  <w:tcW w:w="460" w:type="pct"/>
                  <w:shd w:val="pct5" w:color="auto" w:fill="auto"/>
                </w:tcPr>
                <w:p w14:paraId="53E0117F" w14:textId="77777777" w:rsidR="00FC14FC" w:rsidRPr="00AC6008" w:rsidRDefault="00FC14FC" w:rsidP="00D11B9D">
                  <w:pPr>
                    <w:pStyle w:val="TableBodyText"/>
                  </w:pPr>
                  <w:r w:rsidRPr="00200CC3">
                    <w:t>0.0</w:t>
                  </w:r>
                </w:p>
              </w:tc>
              <w:tc>
                <w:tcPr>
                  <w:tcW w:w="460" w:type="pct"/>
                  <w:shd w:val="pct5" w:color="auto" w:fill="auto"/>
                </w:tcPr>
                <w:p w14:paraId="560C2A66" w14:textId="77777777" w:rsidR="00FC14FC" w:rsidRPr="00AC6008" w:rsidRDefault="00FC14FC" w:rsidP="00D11B9D">
                  <w:pPr>
                    <w:pStyle w:val="TableBodyText"/>
                  </w:pPr>
                  <w:r w:rsidRPr="00200CC3">
                    <w:t>0.3</w:t>
                  </w:r>
                </w:p>
              </w:tc>
              <w:tc>
                <w:tcPr>
                  <w:tcW w:w="460" w:type="pct"/>
                  <w:shd w:val="pct5" w:color="auto" w:fill="auto"/>
                </w:tcPr>
                <w:p w14:paraId="2BC36F29" w14:textId="77777777" w:rsidR="00FC14FC" w:rsidRPr="00AC6008" w:rsidRDefault="00FC14FC" w:rsidP="00D11B9D">
                  <w:pPr>
                    <w:pStyle w:val="TableBodyText"/>
                  </w:pPr>
                  <w:r w:rsidRPr="00200CC3">
                    <w:t>1.2</w:t>
                  </w:r>
                </w:p>
              </w:tc>
              <w:tc>
                <w:tcPr>
                  <w:tcW w:w="460" w:type="pct"/>
                  <w:shd w:val="pct5" w:color="auto" w:fill="auto"/>
                </w:tcPr>
                <w:p w14:paraId="038C4526" w14:textId="77777777" w:rsidR="00FC14FC" w:rsidRPr="00AC6008" w:rsidRDefault="00FC14FC" w:rsidP="00D11B9D">
                  <w:pPr>
                    <w:pStyle w:val="TableBodyText"/>
                    <w:ind w:right="28"/>
                  </w:pPr>
                  <w:r w:rsidRPr="00200CC3">
                    <w:t>5.1</w:t>
                  </w:r>
                </w:p>
              </w:tc>
            </w:tr>
            <w:tr w:rsidR="00FC14FC" w14:paraId="53E9A111" w14:textId="77777777" w:rsidTr="00D11B9D">
              <w:tc>
                <w:tcPr>
                  <w:tcW w:w="862" w:type="pct"/>
                  <w:tcBorders>
                    <w:bottom w:val="single" w:sz="6" w:space="0" w:color="BFBFBF"/>
                  </w:tcBorders>
                  <w:shd w:val="clear" w:color="auto" w:fill="auto"/>
                </w:tcPr>
                <w:p w14:paraId="006707DB" w14:textId="77777777" w:rsidR="00FC14FC" w:rsidRDefault="00FC14FC" w:rsidP="00D11B9D">
                  <w:pPr>
                    <w:pStyle w:val="TableBodyText"/>
                    <w:jc w:val="left"/>
                  </w:pPr>
                  <w:r w:rsidRPr="00AC6008">
                    <w:t>Other</w:t>
                  </w:r>
                </w:p>
              </w:tc>
              <w:tc>
                <w:tcPr>
                  <w:tcW w:w="460" w:type="pct"/>
                  <w:tcBorders>
                    <w:bottom w:val="single" w:sz="6" w:space="0" w:color="BFBFBF"/>
                  </w:tcBorders>
                </w:tcPr>
                <w:p w14:paraId="0BA51236" w14:textId="77777777" w:rsidR="00FC14FC" w:rsidRDefault="00FC14FC" w:rsidP="00D11B9D">
                  <w:pPr>
                    <w:pStyle w:val="TableBodyText"/>
                  </w:pPr>
                  <w:r w:rsidRPr="00200CC3">
                    <w:t>0.0</w:t>
                  </w:r>
                </w:p>
              </w:tc>
              <w:tc>
                <w:tcPr>
                  <w:tcW w:w="460" w:type="pct"/>
                  <w:tcBorders>
                    <w:bottom w:val="single" w:sz="6" w:space="0" w:color="BFBFBF"/>
                  </w:tcBorders>
                </w:tcPr>
                <w:p w14:paraId="56B85731" w14:textId="77777777" w:rsidR="00FC14FC" w:rsidRPr="00AC6008" w:rsidRDefault="00FC14FC" w:rsidP="00D11B9D">
                  <w:pPr>
                    <w:pStyle w:val="TableBodyText"/>
                  </w:pPr>
                  <w:r w:rsidRPr="00200CC3">
                    <w:t>0.0</w:t>
                  </w:r>
                </w:p>
              </w:tc>
              <w:tc>
                <w:tcPr>
                  <w:tcW w:w="460" w:type="pct"/>
                  <w:tcBorders>
                    <w:bottom w:val="single" w:sz="6" w:space="0" w:color="BFBFBF"/>
                  </w:tcBorders>
                </w:tcPr>
                <w:p w14:paraId="78F5D625" w14:textId="77777777" w:rsidR="00FC14FC" w:rsidRPr="00AC6008" w:rsidRDefault="00FC14FC" w:rsidP="00D11B9D">
                  <w:pPr>
                    <w:pStyle w:val="TableBodyText"/>
                  </w:pPr>
                  <w:r w:rsidRPr="00200CC3">
                    <w:t>0.0</w:t>
                  </w:r>
                </w:p>
              </w:tc>
              <w:tc>
                <w:tcPr>
                  <w:tcW w:w="460" w:type="pct"/>
                  <w:tcBorders>
                    <w:bottom w:val="single" w:sz="6" w:space="0" w:color="BFBFBF"/>
                  </w:tcBorders>
                </w:tcPr>
                <w:p w14:paraId="0A2534D1" w14:textId="77777777" w:rsidR="00FC14FC" w:rsidRPr="00AC6008" w:rsidRDefault="00FC14FC" w:rsidP="00D11B9D">
                  <w:pPr>
                    <w:pStyle w:val="TableBodyText"/>
                  </w:pPr>
                  <w:r w:rsidRPr="00200CC3">
                    <w:t>0.0</w:t>
                  </w:r>
                </w:p>
              </w:tc>
              <w:tc>
                <w:tcPr>
                  <w:tcW w:w="460" w:type="pct"/>
                  <w:tcBorders>
                    <w:bottom w:val="single" w:sz="6" w:space="0" w:color="BFBFBF"/>
                  </w:tcBorders>
                </w:tcPr>
                <w:p w14:paraId="5067F4A4" w14:textId="77777777" w:rsidR="00FC14FC" w:rsidRPr="00AC6008" w:rsidRDefault="00FC14FC" w:rsidP="00D11B9D">
                  <w:pPr>
                    <w:pStyle w:val="TableBodyText"/>
                  </w:pPr>
                  <w:r w:rsidRPr="00200CC3">
                    <w:t>0.0</w:t>
                  </w:r>
                </w:p>
              </w:tc>
              <w:tc>
                <w:tcPr>
                  <w:tcW w:w="460" w:type="pct"/>
                  <w:tcBorders>
                    <w:bottom w:val="single" w:sz="6" w:space="0" w:color="BFBFBF"/>
                  </w:tcBorders>
                </w:tcPr>
                <w:p w14:paraId="3F2112B1" w14:textId="77777777" w:rsidR="00FC14FC" w:rsidRPr="00AC6008" w:rsidRDefault="00FC14FC" w:rsidP="00D11B9D">
                  <w:pPr>
                    <w:pStyle w:val="TableBodyText"/>
                  </w:pPr>
                  <w:r w:rsidRPr="00200CC3">
                    <w:t>0.0</w:t>
                  </w:r>
                </w:p>
              </w:tc>
              <w:tc>
                <w:tcPr>
                  <w:tcW w:w="460" w:type="pct"/>
                  <w:tcBorders>
                    <w:bottom w:val="single" w:sz="6" w:space="0" w:color="BFBFBF"/>
                  </w:tcBorders>
                </w:tcPr>
                <w:p w14:paraId="72D6E557" w14:textId="77777777" w:rsidR="00FC14FC" w:rsidRPr="00AC6008" w:rsidRDefault="00FC14FC" w:rsidP="00D11B9D">
                  <w:pPr>
                    <w:pStyle w:val="TableBodyText"/>
                  </w:pPr>
                  <w:r w:rsidRPr="00200CC3">
                    <w:t>0.3</w:t>
                  </w:r>
                </w:p>
              </w:tc>
              <w:tc>
                <w:tcPr>
                  <w:tcW w:w="460" w:type="pct"/>
                  <w:tcBorders>
                    <w:bottom w:val="single" w:sz="6" w:space="0" w:color="BFBFBF"/>
                  </w:tcBorders>
                </w:tcPr>
                <w:p w14:paraId="39294107" w14:textId="77777777" w:rsidR="00FC14FC" w:rsidRPr="00AC6008" w:rsidRDefault="00FC14FC" w:rsidP="00D11B9D">
                  <w:pPr>
                    <w:pStyle w:val="TableBodyText"/>
                  </w:pPr>
                  <w:r w:rsidRPr="00200CC3">
                    <w:t>0.5</w:t>
                  </w:r>
                </w:p>
              </w:tc>
              <w:tc>
                <w:tcPr>
                  <w:tcW w:w="460" w:type="pct"/>
                  <w:tcBorders>
                    <w:bottom w:val="single" w:sz="6" w:space="0" w:color="BFBFBF"/>
                  </w:tcBorders>
                </w:tcPr>
                <w:p w14:paraId="7EB07E49" w14:textId="77777777" w:rsidR="00FC14FC" w:rsidRPr="00AC6008" w:rsidRDefault="00FC14FC" w:rsidP="00D11B9D">
                  <w:pPr>
                    <w:pStyle w:val="TableBodyText"/>
                    <w:tabs>
                      <w:tab w:val="center" w:pos="589"/>
                      <w:tab w:val="right" w:pos="1172"/>
                    </w:tabs>
                    <w:ind w:right="28"/>
                    <w:jc w:val="left"/>
                  </w:pPr>
                  <w:r>
                    <w:tab/>
                  </w:r>
                  <w:r>
                    <w:tab/>
                  </w:r>
                  <w:r w:rsidRPr="00200CC3">
                    <w:t>2.7</w:t>
                  </w:r>
                </w:p>
              </w:tc>
            </w:tr>
          </w:tbl>
          <w:p w14:paraId="44D4EE67" w14:textId="77777777" w:rsidR="00FC14FC" w:rsidRDefault="00FC14FC" w:rsidP="00D11B9D">
            <w:pPr>
              <w:pStyle w:val="Box"/>
            </w:pPr>
          </w:p>
        </w:tc>
      </w:tr>
      <w:tr w:rsidR="00FC14FC" w14:paraId="414C6980" w14:textId="77777777" w:rsidTr="00D11B9D">
        <w:tc>
          <w:tcPr>
            <w:tcW w:w="5000" w:type="pct"/>
            <w:tcBorders>
              <w:top w:val="nil"/>
              <w:left w:val="nil"/>
              <w:bottom w:val="nil"/>
              <w:right w:val="nil"/>
            </w:tcBorders>
            <w:shd w:val="clear" w:color="auto" w:fill="auto"/>
          </w:tcPr>
          <w:p w14:paraId="7A5F9E64" w14:textId="77777777" w:rsidR="00FC14FC" w:rsidRDefault="00FC14FC" w:rsidP="00D11B9D">
            <w:pPr>
              <w:pStyle w:val="Source"/>
            </w:pPr>
            <w:r>
              <w:rPr>
                <w:i/>
              </w:rPr>
              <w:t>Source</w:t>
            </w:r>
            <w:r w:rsidRPr="00167F06">
              <w:t xml:space="preserve">: </w:t>
            </w:r>
            <w:r w:rsidRPr="002D557A">
              <w:rPr>
                <w:rFonts w:asciiTheme="minorHAnsi" w:cstheme="minorBidi"/>
                <w:color w:val="000000" w:themeColor="text1"/>
                <w:kern w:val="24"/>
                <w:szCs w:val="18"/>
              </w:rPr>
              <w:t>PC analysis of unpublished APRA dat</w:t>
            </w:r>
            <w:r>
              <w:rPr>
                <w:rFonts w:asciiTheme="minorHAnsi" w:cstheme="minorBidi"/>
                <w:color w:val="000000" w:themeColor="text1"/>
                <w:kern w:val="24"/>
                <w:szCs w:val="18"/>
              </w:rPr>
              <w:t>a.</w:t>
            </w:r>
          </w:p>
        </w:tc>
      </w:tr>
      <w:tr w:rsidR="00FC14FC" w14:paraId="3A98C97D" w14:textId="77777777" w:rsidTr="00D11B9D">
        <w:tc>
          <w:tcPr>
            <w:tcW w:w="5000" w:type="pct"/>
            <w:tcBorders>
              <w:top w:val="nil"/>
              <w:left w:val="nil"/>
              <w:bottom w:val="single" w:sz="6" w:space="0" w:color="78A22F"/>
              <w:right w:val="nil"/>
            </w:tcBorders>
            <w:shd w:val="clear" w:color="auto" w:fill="auto"/>
          </w:tcPr>
          <w:p w14:paraId="2B78210D" w14:textId="77777777" w:rsidR="00FC14FC" w:rsidRDefault="00FC14FC" w:rsidP="00D11B9D">
            <w:pPr>
              <w:pStyle w:val="Box"/>
              <w:spacing w:before="0" w:line="120" w:lineRule="exact"/>
            </w:pPr>
          </w:p>
        </w:tc>
      </w:tr>
      <w:tr w:rsidR="00FC14FC" w:rsidRPr="000863A5" w14:paraId="68C3B50B" w14:textId="77777777" w:rsidTr="00D11B9D">
        <w:tc>
          <w:tcPr>
            <w:tcW w:w="5000" w:type="pct"/>
            <w:tcBorders>
              <w:top w:val="single" w:sz="6" w:space="0" w:color="78A22F"/>
              <w:left w:val="nil"/>
              <w:bottom w:val="nil"/>
              <w:right w:val="nil"/>
            </w:tcBorders>
          </w:tcPr>
          <w:p w14:paraId="12768B1E" w14:textId="77777777" w:rsidR="00FC14FC" w:rsidRPr="00626D32" w:rsidRDefault="00FC14FC" w:rsidP="00D11B9D">
            <w:pPr>
              <w:pStyle w:val="BoxSpaceBelow"/>
            </w:pPr>
          </w:p>
        </w:tc>
      </w:tr>
    </w:tbl>
    <w:p w14:paraId="37055B36" w14:textId="77777777" w:rsidR="00FC14FC" w:rsidRDefault="00FC14FC" w:rsidP="00FC14FC">
      <w:pPr>
        <w:rPr>
          <w:szCs w:val="20"/>
        </w:rPr>
      </w:pPr>
    </w:p>
    <w:p w14:paraId="6388F5E4"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437"/>
      </w:tblGrid>
      <w:tr w:rsidR="00FC14FC" w14:paraId="5B9C794B" w14:textId="77777777" w:rsidTr="00D11B9D">
        <w:trPr>
          <w:tblHeader/>
        </w:trPr>
        <w:tc>
          <w:tcPr>
            <w:tcW w:w="5000" w:type="pct"/>
            <w:tcBorders>
              <w:top w:val="single" w:sz="6" w:space="0" w:color="78A22F"/>
              <w:left w:val="nil"/>
              <w:bottom w:val="nil"/>
              <w:right w:val="nil"/>
            </w:tcBorders>
            <w:shd w:val="clear" w:color="auto" w:fill="auto"/>
          </w:tcPr>
          <w:p w14:paraId="184E0C6A" w14:textId="77777777" w:rsidR="00FC14FC" w:rsidRDefault="00FC14FC" w:rsidP="00D11B9D">
            <w:pPr>
              <w:pStyle w:val="TableTitle"/>
            </w:pPr>
            <w:r>
              <w:rPr>
                <w:b w:val="0"/>
              </w:rPr>
              <w:t>Table 4.22</w:t>
            </w:r>
            <w:r>
              <w:tab/>
              <w:t>Asset allocation – option types</w:t>
            </w:r>
          </w:p>
          <w:p w14:paraId="053EF728" w14:textId="77777777" w:rsidR="00FC14FC" w:rsidRPr="00F95476" w:rsidRDefault="00FC14FC" w:rsidP="00D11B9D">
            <w:pPr>
              <w:pStyle w:val="Subtitle"/>
            </w:pPr>
            <w:r w:rsidRPr="00F95476">
              <w:t>Per cent</w:t>
            </w:r>
          </w:p>
        </w:tc>
      </w:tr>
      <w:tr w:rsidR="00FC14FC" w14:paraId="2FAE3E5A"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1210"/>
              <w:gridCol w:w="1210"/>
              <w:gridCol w:w="1210"/>
              <w:gridCol w:w="1210"/>
              <w:gridCol w:w="1210"/>
              <w:gridCol w:w="1210"/>
              <w:gridCol w:w="1210"/>
              <w:gridCol w:w="1210"/>
              <w:gridCol w:w="1205"/>
            </w:tblGrid>
            <w:tr w:rsidR="00FC14FC" w14:paraId="08193484" w14:textId="77777777" w:rsidTr="00D11B9D">
              <w:trPr>
                <w:tblHeader/>
              </w:trPr>
              <w:tc>
                <w:tcPr>
                  <w:tcW w:w="862" w:type="pct"/>
                  <w:tcBorders>
                    <w:top w:val="single" w:sz="6" w:space="0" w:color="BFBFBF"/>
                  </w:tcBorders>
                  <w:shd w:val="clear" w:color="auto" w:fill="auto"/>
                  <w:tcMar>
                    <w:top w:w="28" w:type="dxa"/>
                  </w:tcMar>
                </w:tcPr>
                <w:p w14:paraId="1CE62231" w14:textId="77777777" w:rsidR="00FC14FC" w:rsidRDefault="00FC14FC" w:rsidP="00D11B9D">
                  <w:pPr>
                    <w:pStyle w:val="TableColumnHeading"/>
                    <w:jc w:val="left"/>
                  </w:pPr>
                </w:p>
              </w:tc>
              <w:tc>
                <w:tcPr>
                  <w:tcW w:w="1379" w:type="pct"/>
                  <w:gridSpan w:val="3"/>
                  <w:tcBorders>
                    <w:top w:val="single" w:sz="6" w:space="0" w:color="BFBFBF"/>
                    <w:bottom w:val="single" w:sz="6" w:space="0" w:color="BFBFBF"/>
                  </w:tcBorders>
                </w:tcPr>
                <w:p w14:paraId="43BA7383" w14:textId="77777777" w:rsidR="00FC14FC" w:rsidRDefault="00FC14FC" w:rsidP="00D11B9D">
                  <w:pPr>
                    <w:pStyle w:val="TableColumnHeading"/>
                    <w:ind w:right="28"/>
                    <w:jc w:val="center"/>
                  </w:pPr>
                  <w:r>
                    <w:t xml:space="preserve">2007 </w:t>
                  </w:r>
                </w:p>
              </w:tc>
              <w:tc>
                <w:tcPr>
                  <w:tcW w:w="1380" w:type="pct"/>
                  <w:gridSpan w:val="3"/>
                  <w:tcBorders>
                    <w:top w:val="single" w:sz="6" w:space="0" w:color="BFBFBF"/>
                    <w:bottom w:val="single" w:sz="6" w:space="0" w:color="BFBFBF"/>
                  </w:tcBorders>
                </w:tcPr>
                <w:p w14:paraId="62EE4DE4" w14:textId="77777777" w:rsidR="00FC14FC" w:rsidRDefault="00FC14FC" w:rsidP="00D11B9D">
                  <w:pPr>
                    <w:pStyle w:val="TableColumnHeading"/>
                    <w:ind w:right="28"/>
                    <w:jc w:val="center"/>
                  </w:pPr>
                  <w:r>
                    <w:t>2012</w:t>
                  </w:r>
                </w:p>
              </w:tc>
              <w:tc>
                <w:tcPr>
                  <w:tcW w:w="1380" w:type="pct"/>
                  <w:gridSpan w:val="3"/>
                  <w:tcBorders>
                    <w:top w:val="single" w:sz="6" w:space="0" w:color="BFBFBF"/>
                    <w:bottom w:val="single" w:sz="6" w:space="0" w:color="BFBFBF"/>
                  </w:tcBorders>
                </w:tcPr>
                <w:p w14:paraId="6B2F13D8" w14:textId="77777777" w:rsidR="00FC14FC" w:rsidRDefault="00FC14FC" w:rsidP="00D11B9D">
                  <w:pPr>
                    <w:pStyle w:val="TableColumnHeading"/>
                    <w:ind w:right="28"/>
                    <w:jc w:val="center"/>
                  </w:pPr>
                  <w:r>
                    <w:t xml:space="preserve">2017 </w:t>
                  </w:r>
                </w:p>
              </w:tc>
            </w:tr>
            <w:tr w:rsidR="00FC14FC" w14:paraId="2F093FA3" w14:textId="77777777" w:rsidTr="00D11B9D">
              <w:trPr>
                <w:tblHeader/>
              </w:trPr>
              <w:tc>
                <w:tcPr>
                  <w:tcW w:w="862" w:type="pct"/>
                  <w:tcBorders>
                    <w:bottom w:val="single" w:sz="6" w:space="0" w:color="BFBFBF"/>
                  </w:tcBorders>
                  <w:shd w:val="clear" w:color="auto" w:fill="auto"/>
                  <w:tcMar>
                    <w:top w:w="28" w:type="dxa"/>
                  </w:tcMar>
                </w:tcPr>
                <w:p w14:paraId="4A0066EC" w14:textId="77777777" w:rsidR="00FC14FC" w:rsidRDefault="00FC14FC" w:rsidP="00D11B9D">
                  <w:pPr>
                    <w:pStyle w:val="TableColumnHeading"/>
                    <w:jc w:val="left"/>
                  </w:pPr>
                </w:p>
              </w:tc>
              <w:tc>
                <w:tcPr>
                  <w:tcW w:w="460" w:type="pct"/>
                  <w:tcBorders>
                    <w:top w:val="single" w:sz="6" w:space="0" w:color="BFBFBF"/>
                    <w:bottom w:val="single" w:sz="6" w:space="0" w:color="BFBFBF"/>
                  </w:tcBorders>
                  <w:vAlign w:val="bottom"/>
                </w:tcPr>
                <w:p w14:paraId="0C7943B4" w14:textId="77777777" w:rsidR="00FC14FC" w:rsidRDefault="00FC14FC" w:rsidP="00D11B9D">
                  <w:pPr>
                    <w:pStyle w:val="TableColumnHeading"/>
                  </w:pPr>
                  <w:r w:rsidRPr="00796A2C">
                    <w:t>Balanced</w:t>
                  </w:r>
                </w:p>
                <w:p w14:paraId="23270D4F" w14:textId="77777777" w:rsidR="00FC14FC" w:rsidRDefault="00FC14FC" w:rsidP="00D11B9D">
                  <w:pPr>
                    <w:pStyle w:val="TableColumnHeading"/>
                  </w:pPr>
                  <w:r w:rsidRPr="00796A2C">
                    <w:t xml:space="preserve"> (60</w:t>
                  </w:r>
                  <w:r>
                    <w:t>–</w:t>
                  </w:r>
                  <w:r w:rsidRPr="00796A2C">
                    <w:t>7</w:t>
                  </w:r>
                  <w:r>
                    <w:t>6</w:t>
                  </w:r>
                  <w:r w:rsidRPr="00796A2C">
                    <w:t>)</w:t>
                  </w:r>
                </w:p>
              </w:tc>
              <w:tc>
                <w:tcPr>
                  <w:tcW w:w="460" w:type="pct"/>
                  <w:tcBorders>
                    <w:top w:val="single" w:sz="6" w:space="0" w:color="BFBFBF"/>
                    <w:bottom w:val="single" w:sz="6" w:space="0" w:color="BFBFBF"/>
                  </w:tcBorders>
                  <w:vAlign w:val="bottom"/>
                </w:tcPr>
                <w:p w14:paraId="2C365D07" w14:textId="77777777" w:rsidR="00FC14FC" w:rsidRDefault="00FC14FC" w:rsidP="00D11B9D">
                  <w:pPr>
                    <w:pStyle w:val="TableColumnHeading"/>
                  </w:pPr>
                  <w:r w:rsidRPr="00796A2C">
                    <w:t xml:space="preserve">Growth </w:t>
                  </w:r>
                </w:p>
                <w:p w14:paraId="3C9B9A67" w14:textId="77777777" w:rsidR="00FC14FC" w:rsidRDefault="00FC14FC" w:rsidP="00D11B9D">
                  <w:pPr>
                    <w:pStyle w:val="TableColumnHeading"/>
                  </w:pPr>
                  <w:r w:rsidRPr="00796A2C">
                    <w:t>(77</w:t>
                  </w:r>
                  <w:r>
                    <w:t>–</w:t>
                  </w:r>
                  <w:r w:rsidRPr="00796A2C">
                    <w:t>90)</w:t>
                  </w:r>
                </w:p>
              </w:tc>
              <w:tc>
                <w:tcPr>
                  <w:tcW w:w="460" w:type="pct"/>
                  <w:tcBorders>
                    <w:top w:val="single" w:sz="6" w:space="0" w:color="BFBFBF"/>
                    <w:bottom w:val="single" w:sz="6" w:space="0" w:color="BFBFBF"/>
                  </w:tcBorders>
                  <w:vAlign w:val="bottom"/>
                </w:tcPr>
                <w:p w14:paraId="387F387C" w14:textId="77777777" w:rsidR="00FC14FC" w:rsidRDefault="00FC14FC" w:rsidP="00D11B9D">
                  <w:pPr>
                    <w:pStyle w:val="TableColumnHeading"/>
                  </w:pPr>
                  <w:r w:rsidRPr="00796A2C">
                    <w:t xml:space="preserve">High growth </w:t>
                  </w:r>
                </w:p>
                <w:p w14:paraId="03A6C970" w14:textId="77777777" w:rsidR="00FC14FC" w:rsidRDefault="00FC14FC" w:rsidP="00D11B9D">
                  <w:pPr>
                    <w:pStyle w:val="TableColumnHeading"/>
                  </w:pPr>
                  <w:r w:rsidRPr="00796A2C">
                    <w:t>(</w:t>
                  </w:r>
                  <w:r>
                    <w:t>91–</w:t>
                  </w:r>
                  <w:r w:rsidRPr="00796A2C">
                    <w:t>100)</w:t>
                  </w:r>
                </w:p>
              </w:tc>
              <w:tc>
                <w:tcPr>
                  <w:tcW w:w="460" w:type="pct"/>
                  <w:tcBorders>
                    <w:top w:val="single" w:sz="6" w:space="0" w:color="BFBFBF"/>
                    <w:bottom w:val="single" w:sz="6" w:space="0" w:color="BFBFBF"/>
                  </w:tcBorders>
                  <w:vAlign w:val="bottom"/>
                </w:tcPr>
                <w:p w14:paraId="308A7FBE" w14:textId="77777777" w:rsidR="00FC14FC" w:rsidRDefault="00FC14FC" w:rsidP="00D11B9D">
                  <w:pPr>
                    <w:pStyle w:val="TableColumnHeading"/>
                  </w:pPr>
                  <w:r w:rsidRPr="00796A2C">
                    <w:t xml:space="preserve">Balanced </w:t>
                  </w:r>
                </w:p>
                <w:p w14:paraId="4C535C63" w14:textId="77777777" w:rsidR="00FC14FC" w:rsidRDefault="00FC14FC" w:rsidP="00D11B9D">
                  <w:pPr>
                    <w:pStyle w:val="TableColumnHeading"/>
                  </w:pPr>
                  <w:r w:rsidRPr="00796A2C">
                    <w:t>(60</w:t>
                  </w:r>
                  <w:r>
                    <w:t>–</w:t>
                  </w:r>
                  <w:r w:rsidRPr="00796A2C">
                    <w:t>7</w:t>
                  </w:r>
                  <w:r>
                    <w:t>6</w:t>
                  </w:r>
                  <w:r w:rsidRPr="00796A2C">
                    <w:t>)</w:t>
                  </w:r>
                </w:p>
              </w:tc>
              <w:tc>
                <w:tcPr>
                  <w:tcW w:w="460" w:type="pct"/>
                  <w:tcBorders>
                    <w:top w:val="single" w:sz="6" w:space="0" w:color="BFBFBF"/>
                    <w:bottom w:val="single" w:sz="6" w:space="0" w:color="BFBFBF"/>
                  </w:tcBorders>
                  <w:vAlign w:val="bottom"/>
                </w:tcPr>
                <w:p w14:paraId="350C1CEE" w14:textId="77777777" w:rsidR="00FC14FC" w:rsidRDefault="00FC14FC" w:rsidP="00D11B9D">
                  <w:pPr>
                    <w:pStyle w:val="TableColumnHeading"/>
                  </w:pPr>
                  <w:r w:rsidRPr="00796A2C">
                    <w:t xml:space="preserve">Growth </w:t>
                  </w:r>
                </w:p>
                <w:p w14:paraId="2CBE9D92" w14:textId="77777777" w:rsidR="00FC14FC" w:rsidRDefault="00FC14FC" w:rsidP="00D11B9D">
                  <w:pPr>
                    <w:pStyle w:val="TableColumnHeading"/>
                  </w:pPr>
                  <w:r w:rsidRPr="00796A2C">
                    <w:t>(77</w:t>
                  </w:r>
                  <w:r>
                    <w:t>–</w:t>
                  </w:r>
                  <w:r w:rsidRPr="00796A2C">
                    <w:t>90)</w:t>
                  </w:r>
                </w:p>
              </w:tc>
              <w:tc>
                <w:tcPr>
                  <w:tcW w:w="460" w:type="pct"/>
                  <w:tcBorders>
                    <w:top w:val="single" w:sz="6" w:space="0" w:color="BFBFBF"/>
                    <w:bottom w:val="single" w:sz="6" w:space="0" w:color="BFBFBF"/>
                  </w:tcBorders>
                  <w:vAlign w:val="bottom"/>
                </w:tcPr>
                <w:p w14:paraId="27AFABFA" w14:textId="77777777" w:rsidR="00FC14FC" w:rsidRDefault="00FC14FC" w:rsidP="00D11B9D">
                  <w:pPr>
                    <w:pStyle w:val="TableColumnHeading"/>
                  </w:pPr>
                  <w:r w:rsidRPr="00796A2C">
                    <w:t xml:space="preserve">High growth </w:t>
                  </w:r>
                </w:p>
                <w:p w14:paraId="196569AB" w14:textId="77777777" w:rsidR="00FC14FC" w:rsidRDefault="00FC14FC" w:rsidP="00D11B9D">
                  <w:pPr>
                    <w:pStyle w:val="TableColumnHeading"/>
                  </w:pPr>
                  <w:r w:rsidRPr="00796A2C">
                    <w:t>(9</w:t>
                  </w:r>
                  <w:r>
                    <w:t>1–</w:t>
                  </w:r>
                  <w:r w:rsidRPr="00796A2C">
                    <w:t>100)</w:t>
                  </w:r>
                </w:p>
              </w:tc>
              <w:tc>
                <w:tcPr>
                  <w:tcW w:w="460" w:type="pct"/>
                  <w:tcBorders>
                    <w:top w:val="single" w:sz="6" w:space="0" w:color="BFBFBF"/>
                    <w:bottom w:val="single" w:sz="6" w:space="0" w:color="BFBFBF"/>
                  </w:tcBorders>
                  <w:vAlign w:val="bottom"/>
                </w:tcPr>
                <w:p w14:paraId="62938269" w14:textId="77777777" w:rsidR="00FC14FC" w:rsidRDefault="00FC14FC" w:rsidP="00D11B9D">
                  <w:pPr>
                    <w:pStyle w:val="TableColumnHeading"/>
                  </w:pPr>
                  <w:r w:rsidRPr="00796A2C">
                    <w:t xml:space="preserve">Balanced </w:t>
                  </w:r>
                </w:p>
                <w:p w14:paraId="4FFEE650" w14:textId="77777777" w:rsidR="00FC14FC" w:rsidRDefault="00FC14FC" w:rsidP="00D11B9D">
                  <w:pPr>
                    <w:pStyle w:val="TableColumnHeading"/>
                  </w:pPr>
                  <w:r w:rsidRPr="00796A2C">
                    <w:t>(60</w:t>
                  </w:r>
                  <w:r>
                    <w:t>–</w:t>
                  </w:r>
                  <w:r w:rsidRPr="00796A2C">
                    <w:t>7</w:t>
                  </w:r>
                  <w:r>
                    <w:t>6</w:t>
                  </w:r>
                  <w:r w:rsidRPr="00796A2C">
                    <w:t>)</w:t>
                  </w:r>
                </w:p>
              </w:tc>
              <w:tc>
                <w:tcPr>
                  <w:tcW w:w="460" w:type="pct"/>
                  <w:tcBorders>
                    <w:top w:val="single" w:sz="6" w:space="0" w:color="BFBFBF"/>
                    <w:bottom w:val="single" w:sz="6" w:space="0" w:color="BFBFBF"/>
                  </w:tcBorders>
                  <w:vAlign w:val="bottom"/>
                </w:tcPr>
                <w:p w14:paraId="00D661AF" w14:textId="77777777" w:rsidR="00FC14FC" w:rsidRDefault="00FC14FC" w:rsidP="00D11B9D">
                  <w:pPr>
                    <w:pStyle w:val="TableColumnHeading"/>
                  </w:pPr>
                  <w:r w:rsidRPr="00796A2C">
                    <w:t xml:space="preserve">Growth </w:t>
                  </w:r>
                </w:p>
                <w:p w14:paraId="3B6E2927" w14:textId="77777777" w:rsidR="00FC14FC" w:rsidRDefault="00FC14FC" w:rsidP="00D11B9D">
                  <w:pPr>
                    <w:pStyle w:val="TableColumnHeading"/>
                  </w:pPr>
                  <w:r w:rsidRPr="00796A2C">
                    <w:t>(77</w:t>
                  </w:r>
                  <w:r>
                    <w:t>–</w:t>
                  </w:r>
                  <w:r w:rsidRPr="00796A2C">
                    <w:t>90)</w:t>
                  </w:r>
                </w:p>
              </w:tc>
              <w:tc>
                <w:tcPr>
                  <w:tcW w:w="460" w:type="pct"/>
                  <w:tcBorders>
                    <w:top w:val="single" w:sz="6" w:space="0" w:color="BFBFBF"/>
                    <w:bottom w:val="single" w:sz="6" w:space="0" w:color="BFBFBF"/>
                  </w:tcBorders>
                  <w:vAlign w:val="bottom"/>
                </w:tcPr>
                <w:p w14:paraId="0C2D87F3" w14:textId="77777777" w:rsidR="00FC14FC" w:rsidRDefault="00FC14FC" w:rsidP="00D11B9D">
                  <w:pPr>
                    <w:pStyle w:val="TableColumnHeading"/>
                    <w:ind w:right="28"/>
                  </w:pPr>
                  <w:r w:rsidRPr="00796A2C">
                    <w:t xml:space="preserve">High growth </w:t>
                  </w:r>
                </w:p>
                <w:p w14:paraId="49C53EDB" w14:textId="77777777" w:rsidR="00FC14FC" w:rsidRDefault="00FC14FC" w:rsidP="00D11B9D">
                  <w:pPr>
                    <w:pStyle w:val="TableColumnHeading"/>
                    <w:ind w:right="28"/>
                  </w:pPr>
                  <w:r w:rsidRPr="00796A2C">
                    <w:t>(9</w:t>
                  </w:r>
                  <w:r>
                    <w:t>1–</w:t>
                  </w:r>
                  <w:r w:rsidRPr="00796A2C">
                    <w:t>100)</w:t>
                  </w:r>
                </w:p>
              </w:tc>
            </w:tr>
            <w:tr w:rsidR="00FC14FC" w14:paraId="50C10360" w14:textId="77777777" w:rsidTr="00D11B9D">
              <w:tc>
                <w:tcPr>
                  <w:tcW w:w="862" w:type="pct"/>
                  <w:tcBorders>
                    <w:top w:val="single" w:sz="6" w:space="0" w:color="BFBFBF"/>
                  </w:tcBorders>
                </w:tcPr>
                <w:p w14:paraId="10DB0F28" w14:textId="77777777" w:rsidR="00FC14FC" w:rsidRDefault="00FC14FC" w:rsidP="00D11B9D">
                  <w:pPr>
                    <w:pStyle w:val="TableUnitsRow"/>
                    <w:jc w:val="left"/>
                  </w:pPr>
                  <w:r w:rsidRPr="00AC6008">
                    <w:t>Cash</w:t>
                  </w:r>
                </w:p>
              </w:tc>
              <w:tc>
                <w:tcPr>
                  <w:tcW w:w="460" w:type="pct"/>
                  <w:tcBorders>
                    <w:top w:val="single" w:sz="6" w:space="0" w:color="BFBFBF"/>
                  </w:tcBorders>
                </w:tcPr>
                <w:p w14:paraId="3EE13B30" w14:textId="77777777" w:rsidR="00FC14FC" w:rsidRDefault="00FC14FC" w:rsidP="00D11B9D">
                  <w:pPr>
                    <w:pStyle w:val="TableUnitsRow"/>
                  </w:pPr>
                  <w:r w:rsidRPr="00933ECC">
                    <w:t>7.8</w:t>
                  </w:r>
                </w:p>
              </w:tc>
              <w:tc>
                <w:tcPr>
                  <w:tcW w:w="460" w:type="pct"/>
                  <w:tcBorders>
                    <w:top w:val="single" w:sz="6" w:space="0" w:color="BFBFBF"/>
                  </w:tcBorders>
                </w:tcPr>
                <w:p w14:paraId="61A8691E" w14:textId="77777777" w:rsidR="00FC14FC" w:rsidRPr="00AC6008" w:rsidRDefault="00FC14FC" w:rsidP="00D11B9D">
                  <w:pPr>
                    <w:pStyle w:val="TableUnitsRow"/>
                  </w:pPr>
                  <w:r w:rsidRPr="00933ECC">
                    <w:t>4.4</w:t>
                  </w:r>
                </w:p>
              </w:tc>
              <w:tc>
                <w:tcPr>
                  <w:tcW w:w="460" w:type="pct"/>
                  <w:tcBorders>
                    <w:top w:val="single" w:sz="6" w:space="0" w:color="BFBFBF"/>
                  </w:tcBorders>
                </w:tcPr>
                <w:p w14:paraId="14D58515" w14:textId="77777777" w:rsidR="00FC14FC" w:rsidRPr="00AC6008" w:rsidRDefault="00FC14FC" w:rsidP="00D11B9D">
                  <w:pPr>
                    <w:pStyle w:val="TableUnitsRow"/>
                  </w:pPr>
                  <w:r w:rsidRPr="00933ECC">
                    <w:t>3.1</w:t>
                  </w:r>
                </w:p>
              </w:tc>
              <w:tc>
                <w:tcPr>
                  <w:tcW w:w="460" w:type="pct"/>
                  <w:tcBorders>
                    <w:top w:val="single" w:sz="6" w:space="0" w:color="BFBFBF"/>
                  </w:tcBorders>
                </w:tcPr>
                <w:p w14:paraId="5E5F40A8" w14:textId="77777777" w:rsidR="00FC14FC" w:rsidRPr="00AC6008" w:rsidRDefault="00FC14FC" w:rsidP="00D11B9D">
                  <w:pPr>
                    <w:pStyle w:val="TableUnitsRow"/>
                  </w:pPr>
                  <w:r w:rsidRPr="00933ECC">
                    <w:t>10.0</w:t>
                  </w:r>
                </w:p>
              </w:tc>
              <w:tc>
                <w:tcPr>
                  <w:tcW w:w="460" w:type="pct"/>
                  <w:tcBorders>
                    <w:top w:val="single" w:sz="6" w:space="0" w:color="BFBFBF"/>
                  </w:tcBorders>
                </w:tcPr>
                <w:p w14:paraId="0740588F" w14:textId="77777777" w:rsidR="00FC14FC" w:rsidRPr="00AC6008" w:rsidRDefault="00FC14FC" w:rsidP="00D11B9D">
                  <w:pPr>
                    <w:pStyle w:val="TableUnitsRow"/>
                  </w:pPr>
                  <w:r w:rsidRPr="00933ECC">
                    <w:t>5.9</w:t>
                  </w:r>
                </w:p>
              </w:tc>
              <w:tc>
                <w:tcPr>
                  <w:tcW w:w="460" w:type="pct"/>
                  <w:tcBorders>
                    <w:top w:val="single" w:sz="6" w:space="0" w:color="BFBFBF"/>
                  </w:tcBorders>
                </w:tcPr>
                <w:p w14:paraId="4A920C2A" w14:textId="77777777" w:rsidR="00FC14FC" w:rsidRPr="00AC6008" w:rsidRDefault="00FC14FC" w:rsidP="00D11B9D">
                  <w:pPr>
                    <w:pStyle w:val="TableUnitsRow"/>
                  </w:pPr>
                  <w:r w:rsidRPr="00933ECC">
                    <w:t>3.3</w:t>
                  </w:r>
                </w:p>
              </w:tc>
              <w:tc>
                <w:tcPr>
                  <w:tcW w:w="460" w:type="pct"/>
                  <w:tcBorders>
                    <w:top w:val="single" w:sz="6" w:space="0" w:color="BFBFBF"/>
                  </w:tcBorders>
                </w:tcPr>
                <w:p w14:paraId="5FE97329" w14:textId="77777777" w:rsidR="00FC14FC" w:rsidRPr="00AC6008" w:rsidRDefault="00FC14FC" w:rsidP="00D11B9D">
                  <w:pPr>
                    <w:pStyle w:val="TableUnitsRow"/>
                  </w:pPr>
                  <w:r w:rsidRPr="00933ECC">
                    <w:t>12.4</w:t>
                  </w:r>
                </w:p>
              </w:tc>
              <w:tc>
                <w:tcPr>
                  <w:tcW w:w="460" w:type="pct"/>
                  <w:tcBorders>
                    <w:top w:val="single" w:sz="6" w:space="0" w:color="BFBFBF"/>
                  </w:tcBorders>
                </w:tcPr>
                <w:p w14:paraId="19F3C5D0" w14:textId="77777777" w:rsidR="00FC14FC" w:rsidRPr="00AC6008" w:rsidRDefault="00FC14FC" w:rsidP="00D11B9D">
                  <w:pPr>
                    <w:pStyle w:val="TableUnitsRow"/>
                  </w:pPr>
                  <w:r w:rsidRPr="00933ECC">
                    <w:t>6.5</w:t>
                  </w:r>
                </w:p>
              </w:tc>
              <w:tc>
                <w:tcPr>
                  <w:tcW w:w="460" w:type="pct"/>
                  <w:tcBorders>
                    <w:top w:val="single" w:sz="6" w:space="0" w:color="BFBFBF"/>
                  </w:tcBorders>
                </w:tcPr>
                <w:p w14:paraId="37F86ED7" w14:textId="77777777" w:rsidR="00FC14FC" w:rsidRPr="00AC6008" w:rsidRDefault="00FC14FC" w:rsidP="00D11B9D">
                  <w:pPr>
                    <w:pStyle w:val="TableUnitsRow"/>
                    <w:ind w:right="28"/>
                  </w:pPr>
                  <w:r w:rsidRPr="00933ECC">
                    <w:t>6.6</w:t>
                  </w:r>
                </w:p>
              </w:tc>
            </w:tr>
            <w:tr w:rsidR="00FC14FC" w14:paraId="3FF12EF9" w14:textId="77777777" w:rsidTr="00D11B9D">
              <w:tc>
                <w:tcPr>
                  <w:tcW w:w="862" w:type="pct"/>
                  <w:shd w:val="clear" w:color="auto" w:fill="F2F2F2" w:themeFill="background1" w:themeFillShade="F2"/>
                </w:tcPr>
                <w:p w14:paraId="17AB487A" w14:textId="77777777" w:rsidR="00FC14FC" w:rsidRDefault="00FC14FC" w:rsidP="00D11B9D">
                  <w:pPr>
                    <w:pStyle w:val="TableBodyText"/>
                    <w:jc w:val="left"/>
                  </w:pPr>
                  <w:r w:rsidRPr="00AC6008">
                    <w:t>Australian fixed in</w:t>
                  </w:r>
                  <w:r>
                    <w:t>come</w:t>
                  </w:r>
                </w:p>
              </w:tc>
              <w:tc>
                <w:tcPr>
                  <w:tcW w:w="460" w:type="pct"/>
                  <w:shd w:val="clear" w:color="auto" w:fill="F2F2F2" w:themeFill="background1" w:themeFillShade="F2"/>
                </w:tcPr>
                <w:p w14:paraId="2108388E" w14:textId="77777777" w:rsidR="00FC14FC" w:rsidRDefault="00FC14FC" w:rsidP="00D11B9D">
                  <w:pPr>
                    <w:pStyle w:val="TableBodyText"/>
                  </w:pPr>
                  <w:r w:rsidRPr="00933ECC">
                    <w:t>12.7</w:t>
                  </w:r>
                </w:p>
              </w:tc>
              <w:tc>
                <w:tcPr>
                  <w:tcW w:w="460" w:type="pct"/>
                  <w:shd w:val="clear" w:color="auto" w:fill="F2F2F2" w:themeFill="background1" w:themeFillShade="F2"/>
                </w:tcPr>
                <w:p w14:paraId="536E56F5" w14:textId="77777777" w:rsidR="00FC14FC" w:rsidRPr="00AC6008" w:rsidRDefault="00FC14FC" w:rsidP="00D11B9D">
                  <w:pPr>
                    <w:pStyle w:val="TableBodyText"/>
                  </w:pPr>
                  <w:r w:rsidRPr="00933ECC">
                    <w:t>5.9</w:t>
                  </w:r>
                </w:p>
              </w:tc>
              <w:tc>
                <w:tcPr>
                  <w:tcW w:w="460" w:type="pct"/>
                  <w:shd w:val="clear" w:color="auto" w:fill="F2F2F2" w:themeFill="background1" w:themeFillShade="F2"/>
                </w:tcPr>
                <w:p w14:paraId="4B0AD7C2" w14:textId="77777777" w:rsidR="00FC14FC" w:rsidRPr="00AC6008" w:rsidRDefault="00FC14FC" w:rsidP="00D11B9D">
                  <w:pPr>
                    <w:pStyle w:val="TableBodyText"/>
                  </w:pPr>
                  <w:r w:rsidRPr="00933ECC">
                    <w:t>1.4</w:t>
                  </w:r>
                </w:p>
              </w:tc>
              <w:tc>
                <w:tcPr>
                  <w:tcW w:w="460" w:type="pct"/>
                  <w:shd w:val="clear" w:color="auto" w:fill="F2F2F2" w:themeFill="background1" w:themeFillShade="F2"/>
                </w:tcPr>
                <w:p w14:paraId="7A0416BF" w14:textId="77777777" w:rsidR="00FC14FC" w:rsidRPr="00AC6008" w:rsidRDefault="00FC14FC" w:rsidP="00D11B9D">
                  <w:pPr>
                    <w:pStyle w:val="TableBodyText"/>
                  </w:pPr>
                  <w:r w:rsidRPr="00933ECC">
                    <w:t>11.5</w:t>
                  </w:r>
                </w:p>
              </w:tc>
              <w:tc>
                <w:tcPr>
                  <w:tcW w:w="460" w:type="pct"/>
                  <w:shd w:val="clear" w:color="auto" w:fill="F2F2F2" w:themeFill="background1" w:themeFillShade="F2"/>
                </w:tcPr>
                <w:p w14:paraId="09E9A576" w14:textId="77777777" w:rsidR="00FC14FC" w:rsidRPr="00AC6008" w:rsidRDefault="00FC14FC" w:rsidP="00D11B9D">
                  <w:pPr>
                    <w:pStyle w:val="TableBodyText"/>
                  </w:pPr>
                  <w:r w:rsidRPr="00933ECC">
                    <w:t>6.6</w:t>
                  </w:r>
                </w:p>
              </w:tc>
              <w:tc>
                <w:tcPr>
                  <w:tcW w:w="460" w:type="pct"/>
                  <w:shd w:val="clear" w:color="auto" w:fill="F2F2F2" w:themeFill="background1" w:themeFillShade="F2"/>
                </w:tcPr>
                <w:p w14:paraId="637D4DF2" w14:textId="77777777" w:rsidR="00FC14FC" w:rsidRPr="00AC6008" w:rsidRDefault="00FC14FC" w:rsidP="00D11B9D">
                  <w:pPr>
                    <w:pStyle w:val="TableBodyText"/>
                  </w:pPr>
                  <w:r w:rsidRPr="00933ECC">
                    <w:t>0.3</w:t>
                  </w:r>
                </w:p>
              </w:tc>
              <w:tc>
                <w:tcPr>
                  <w:tcW w:w="460" w:type="pct"/>
                  <w:shd w:val="clear" w:color="auto" w:fill="F2F2F2" w:themeFill="background1" w:themeFillShade="F2"/>
                </w:tcPr>
                <w:p w14:paraId="592431F3" w14:textId="77777777" w:rsidR="00FC14FC" w:rsidRPr="00AC6008" w:rsidRDefault="00FC14FC" w:rsidP="00D11B9D">
                  <w:pPr>
                    <w:pStyle w:val="TableBodyText"/>
                  </w:pPr>
                  <w:r w:rsidRPr="00933ECC">
                    <w:t>11.8</w:t>
                  </w:r>
                </w:p>
              </w:tc>
              <w:tc>
                <w:tcPr>
                  <w:tcW w:w="460" w:type="pct"/>
                  <w:shd w:val="clear" w:color="auto" w:fill="F2F2F2" w:themeFill="background1" w:themeFillShade="F2"/>
                </w:tcPr>
                <w:p w14:paraId="5C9D2CD7" w14:textId="77777777" w:rsidR="00FC14FC" w:rsidRPr="00AC6008" w:rsidRDefault="00FC14FC" w:rsidP="00D11B9D">
                  <w:pPr>
                    <w:pStyle w:val="TableBodyText"/>
                  </w:pPr>
                  <w:r w:rsidRPr="00933ECC">
                    <w:t>8.6</w:t>
                  </w:r>
                </w:p>
              </w:tc>
              <w:tc>
                <w:tcPr>
                  <w:tcW w:w="460" w:type="pct"/>
                  <w:shd w:val="clear" w:color="auto" w:fill="F2F2F2" w:themeFill="background1" w:themeFillShade="F2"/>
                </w:tcPr>
                <w:p w14:paraId="14CE0DB9" w14:textId="77777777" w:rsidR="00FC14FC" w:rsidRPr="00AC6008" w:rsidRDefault="00FC14FC" w:rsidP="00D11B9D">
                  <w:pPr>
                    <w:pStyle w:val="TableBodyText"/>
                    <w:ind w:right="28"/>
                  </w:pPr>
                  <w:r w:rsidRPr="00933ECC">
                    <w:t>0.0</w:t>
                  </w:r>
                </w:p>
              </w:tc>
            </w:tr>
            <w:tr w:rsidR="00FC14FC" w14:paraId="79C6B5FB" w14:textId="77777777" w:rsidTr="00D11B9D">
              <w:tc>
                <w:tcPr>
                  <w:tcW w:w="862" w:type="pct"/>
                  <w:shd w:val="clear" w:color="auto" w:fill="auto"/>
                </w:tcPr>
                <w:p w14:paraId="22A3EC36" w14:textId="77777777" w:rsidR="00FC14FC" w:rsidRDefault="00FC14FC" w:rsidP="00D11B9D">
                  <w:pPr>
                    <w:pStyle w:val="TableBodyText"/>
                    <w:jc w:val="left"/>
                  </w:pPr>
                  <w:r w:rsidRPr="00AC6008">
                    <w:t>International fixed in</w:t>
                  </w:r>
                  <w:r>
                    <w:t>come</w:t>
                  </w:r>
                </w:p>
              </w:tc>
              <w:tc>
                <w:tcPr>
                  <w:tcW w:w="460" w:type="pct"/>
                </w:tcPr>
                <w:p w14:paraId="05A9A0B9" w14:textId="77777777" w:rsidR="00FC14FC" w:rsidRDefault="00FC14FC" w:rsidP="00D11B9D">
                  <w:pPr>
                    <w:pStyle w:val="TableBodyText"/>
                  </w:pPr>
                  <w:r w:rsidRPr="00933ECC">
                    <w:t>9.3</w:t>
                  </w:r>
                </w:p>
              </w:tc>
              <w:tc>
                <w:tcPr>
                  <w:tcW w:w="460" w:type="pct"/>
                </w:tcPr>
                <w:p w14:paraId="57878929" w14:textId="77777777" w:rsidR="00FC14FC" w:rsidRPr="00AC6008" w:rsidRDefault="00FC14FC" w:rsidP="00D11B9D">
                  <w:pPr>
                    <w:pStyle w:val="TableBodyText"/>
                  </w:pPr>
                  <w:r w:rsidRPr="00933ECC">
                    <w:t>6.8</w:t>
                  </w:r>
                </w:p>
              </w:tc>
              <w:tc>
                <w:tcPr>
                  <w:tcW w:w="460" w:type="pct"/>
                </w:tcPr>
                <w:p w14:paraId="05A5CD54" w14:textId="77777777" w:rsidR="00FC14FC" w:rsidRPr="00AC6008" w:rsidRDefault="00FC14FC" w:rsidP="00D11B9D">
                  <w:pPr>
                    <w:pStyle w:val="TableBodyText"/>
                  </w:pPr>
                  <w:r w:rsidRPr="00933ECC">
                    <w:t>1.8</w:t>
                  </w:r>
                </w:p>
              </w:tc>
              <w:tc>
                <w:tcPr>
                  <w:tcW w:w="460" w:type="pct"/>
                </w:tcPr>
                <w:p w14:paraId="44C2C46A" w14:textId="77777777" w:rsidR="00FC14FC" w:rsidRPr="00AC6008" w:rsidRDefault="00FC14FC" w:rsidP="00D11B9D">
                  <w:pPr>
                    <w:pStyle w:val="TableBodyText"/>
                  </w:pPr>
                  <w:r w:rsidRPr="00933ECC">
                    <w:t>6.8</w:t>
                  </w:r>
                </w:p>
              </w:tc>
              <w:tc>
                <w:tcPr>
                  <w:tcW w:w="460" w:type="pct"/>
                </w:tcPr>
                <w:p w14:paraId="7EF5F97C" w14:textId="77777777" w:rsidR="00FC14FC" w:rsidRPr="00AC6008" w:rsidRDefault="00FC14FC" w:rsidP="00D11B9D">
                  <w:pPr>
                    <w:pStyle w:val="TableBodyText"/>
                  </w:pPr>
                  <w:r w:rsidRPr="00933ECC">
                    <w:t>6.4</w:t>
                  </w:r>
                </w:p>
              </w:tc>
              <w:tc>
                <w:tcPr>
                  <w:tcW w:w="460" w:type="pct"/>
                </w:tcPr>
                <w:p w14:paraId="3D71083A" w14:textId="77777777" w:rsidR="00FC14FC" w:rsidRPr="00AC6008" w:rsidRDefault="00FC14FC" w:rsidP="00D11B9D">
                  <w:pPr>
                    <w:pStyle w:val="TableBodyText"/>
                  </w:pPr>
                  <w:r w:rsidRPr="00933ECC">
                    <w:t>0.5</w:t>
                  </w:r>
                </w:p>
              </w:tc>
              <w:tc>
                <w:tcPr>
                  <w:tcW w:w="460" w:type="pct"/>
                </w:tcPr>
                <w:p w14:paraId="34556E6A" w14:textId="77777777" w:rsidR="00FC14FC" w:rsidRPr="00AC6008" w:rsidRDefault="00FC14FC" w:rsidP="00D11B9D">
                  <w:pPr>
                    <w:pStyle w:val="TableBodyText"/>
                  </w:pPr>
                  <w:r w:rsidRPr="00933ECC">
                    <w:t>7.7</w:t>
                  </w:r>
                </w:p>
              </w:tc>
              <w:tc>
                <w:tcPr>
                  <w:tcW w:w="460" w:type="pct"/>
                </w:tcPr>
                <w:p w14:paraId="4C79AE13" w14:textId="77777777" w:rsidR="00FC14FC" w:rsidRPr="00AC6008" w:rsidRDefault="00FC14FC" w:rsidP="00D11B9D">
                  <w:pPr>
                    <w:pStyle w:val="TableBodyText"/>
                  </w:pPr>
                  <w:r w:rsidRPr="00933ECC">
                    <w:t>4.8</w:t>
                  </w:r>
                </w:p>
              </w:tc>
              <w:tc>
                <w:tcPr>
                  <w:tcW w:w="460" w:type="pct"/>
                </w:tcPr>
                <w:p w14:paraId="7317F95F" w14:textId="77777777" w:rsidR="00FC14FC" w:rsidRPr="00AC6008" w:rsidRDefault="00FC14FC" w:rsidP="00D11B9D">
                  <w:pPr>
                    <w:pStyle w:val="TableBodyText"/>
                    <w:ind w:right="28"/>
                  </w:pPr>
                  <w:r w:rsidRPr="00933ECC">
                    <w:t>0.6</w:t>
                  </w:r>
                </w:p>
              </w:tc>
            </w:tr>
            <w:tr w:rsidR="00FC14FC" w14:paraId="39B6CF5C" w14:textId="77777777" w:rsidTr="00D11B9D">
              <w:tc>
                <w:tcPr>
                  <w:tcW w:w="862" w:type="pct"/>
                  <w:shd w:val="clear" w:color="auto" w:fill="F2F2F2" w:themeFill="background1" w:themeFillShade="F2"/>
                </w:tcPr>
                <w:p w14:paraId="574063C8" w14:textId="77777777" w:rsidR="00FC14FC" w:rsidRDefault="00FC14FC" w:rsidP="00D11B9D">
                  <w:pPr>
                    <w:pStyle w:val="TableBodyText"/>
                    <w:jc w:val="left"/>
                  </w:pPr>
                  <w:r w:rsidRPr="00AC6008">
                    <w:t>Australian listed equity</w:t>
                  </w:r>
                </w:p>
              </w:tc>
              <w:tc>
                <w:tcPr>
                  <w:tcW w:w="460" w:type="pct"/>
                  <w:shd w:val="clear" w:color="auto" w:fill="F2F2F2" w:themeFill="background1" w:themeFillShade="F2"/>
                </w:tcPr>
                <w:p w14:paraId="5C40C466" w14:textId="77777777" w:rsidR="00FC14FC" w:rsidRDefault="00FC14FC" w:rsidP="00D11B9D">
                  <w:pPr>
                    <w:pStyle w:val="TableBodyText"/>
                  </w:pPr>
                  <w:r w:rsidRPr="00933ECC">
                    <w:t>33.3</w:t>
                  </w:r>
                </w:p>
              </w:tc>
              <w:tc>
                <w:tcPr>
                  <w:tcW w:w="460" w:type="pct"/>
                  <w:shd w:val="clear" w:color="auto" w:fill="F2F2F2" w:themeFill="background1" w:themeFillShade="F2"/>
                </w:tcPr>
                <w:p w14:paraId="3BBB679A" w14:textId="77777777" w:rsidR="00FC14FC" w:rsidRPr="00AC6008" w:rsidRDefault="00FC14FC" w:rsidP="00D11B9D">
                  <w:pPr>
                    <w:pStyle w:val="TableBodyText"/>
                  </w:pPr>
                  <w:r w:rsidRPr="00933ECC">
                    <w:t>41.0</w:t>
                  </w:r>
                </w:p>
              </w:tc>
              <w:tc>
                <w:tcPr>
                  <w:tcW w:w="460" w:type="pct"/>
                  <w:shd w:val="clear" w:color="auto" w:fill="F2F2F2" w:themeFill="background1" w:themeFillShade="F2"/>
                </w:tcPr>
                <w:p w14:paraId="1F826407" w14:textId="77777777" w:rsidR="00FC14FC" w:rsidRPr="00AC6008" w:rsidRDefault="00FC14FC" w:rsidP="00D11B9D">
                  <w:pPr>
                    <w:pStyle w:val="TableBodyText"/>
                  </w:pPr>
                  <w:r w:rsidRPr="00933ECC">
                    <w:t>43.8</w:t>
                  </w:r>
                </w:p>
              </w:tc>
              <w:tc>
                <w:tcPr>
                  <w:tcW w:w="460" w:type="pct"/>
                  <w:shd w:val="clear" w:color="auto" w:fill="F2F2F2" w:themeFill="background1" w:themeFillShade="F2"/>
                </w:tcPr>
                <w:p w14:paraId="6844154A" w14:textId="77777777" w:rsidR="00FC14FC" w:rsidRPr="00AC6008" w:rsidRDefault="00FC14FC" w:rsidP="00D11B9D">
                  <w:pPr>
                    <w:pStyle w:val="TableBodyText"/>
                  </w:pPr>
                  <w:r w:rsidRPr="00933ECC">
                    <w:t>32.4</w:t>
                  </w:r>
                </w:p>
              </w:tc>
              <w:tc>
                <w:tcPr>
                  <w:tcW w:w="460" w:type="pct"/>
                  <w:shd w:val="clear" w:color="auto" w:fill="F2F2F2" w:themeFill="background1" w:themeFillShade="F2"/>
                </w:tcPr>
                <w:p w14:paraId="16F1B34B" w14:textId="77777777" w:rsidR="00FC14FC" w:rsidRPr="00AC6008" w:rsidRDefault="00FC14FC" w:rsidP="00D11B9D">
                  <w:pPr>
                    <w:pStyle w:val="TableBodyText"/>
                  </w:pPr>
                  <w:r w:rsidRPr="00933ECC">
                    <w:t>37.4</w:t>
                  </w:r>
                </w:p>
              </w:tc>
              <w:tc>
                <w:tcPr>
                  <w:tcW w:w="460" w:type="pct"/>
                  <w:shd w:val="clear" w:color="auto" w:fill="F2F2F2" w:themeFill="background1" w:themeFillShade="F2"/>
                </w:tcPr>
                <w:p w14:paraId="5177FDF1" w14:textId="77777777" w:rsidR="00FC14FC" w:rsidRPr="00AC6008" w:rsidRDefault="00FC14FC" w:rsidP="00D11B9D">
                  <w:pPr>
                    <w:pStyle w:val="TableBodyText"/>
                  </w:pPr>
                  <w:r w:rsidRPr="00933ECC">
                    <w:t>33.7</w:t>
                  </w:r>
                </w:p>
              </w:tc>
              <w:tc>
                <w:tcPr>
                  <w:tcW w:w="460" w:type="pct"/>
                  <w:shd w:val="clear" w:color="auto" w:fill="F2F2F2" w:themeFill="background1" w:themeFillShade="F2"/>
                </w:tcPr>
                <w:p w14:paraId="0355DB26" w14:textId="77777777" w:rsidR="00FC14FC" w:rsidRPr="00AC6008" w:rsidRDefault="00FC14FC" w:rsidP="00D11B9D">
                  <w:pPr>
                    <w:pStyle w:val="TableBodyText"/>
                  </w:pPr>
                  <w:r w:rsidRPr="00933ECC">
                    <w:t>23.8</w:t>
                  </w:r>
                </w:p>
              </w:tc>
              <w:tc>
                <w:tcPr>
                  <w:tcW w:w="460" w:type="pct"/>
                  <w:shd w:val="clear" w:color="auto" w:fill="F2F2F2" w:themeFill="background1" w:themeFillShade="F2"/>
                </w:tcPr>
                <w:p w14:paraId="0FC4F70E" w14:textId="77777777" w:rsidR="00FC14FC" w:rsidRPr="00AC6008" w:rsidRDefault="00FC14FC" w:rsidP="00D11B9D">
                  <w:pPr>
                    <w:pStyle w:val="TableBodyText"/>
                  </w:pPr>
                  <w:r w:rsidRPr="00933ECC">
                    <w:t>21.2</w:t>
                  </w:r>
                </w:p>
              </w:tc>
              <w:tc>
                <w:tcPr>
                  <w:tcW w:w="460" w:type="pct"/>
                  <w:shd w:val="clear" w:color="auto" w:fill="F2F2F2" w:themeFill="background1" w:themeFillShade="F2"/>
                </w:tcPr>
                <w:p w14:paraId="12469B0C" w14:textId="77777777" w:rsidR="00FC14FC" w:rsidRPr="00AC6008" w:rsidRDefault="00FC14FC" w:rsidP="00D11B9D">
                  <w:pPr>
                    <w:pStyle w:val="TableBodyText"/>
                    <w:ind w:right="28"/>
                  </w:pPr>
                  <w:r w:rsidRPr="00933ECC">
                    <w:t>23.8</w:t>
                  </w:r>
                </w:p>
              </w:tc>
            </w:tr>
            <w:tr w:rsidR="00FC14FC" w14:paraId="1A311360" w14:textId="77777777" w:rsidTr="00D11B9D">
              <w:tc>
                <w:tcPr>
                  <w:tcW w:w="862" w:type="pct"/>
                  <w:shd w:val="clear" w:color="auto" w:fill="auto"/>
                </w:tcPr>
                <w:p w14:paraId="353DD882" w14:textId="77777777" w:rsidR="00FC14FC" w:rsidRDefault="00FC14FC" w:rsidP="00D11B9D">
                  <w:pPr>
                    <w:pStyle w:val="TableBodyText"/>
                    <w:jc w:val="left"/>
                  </w:pPr>
                  <w:r w:rsidRPr="00AC6008">
                    <w:t>International listed equity</w:t>
                  </w:r>
                </w:p>
              </w:tc>
              <w:tc>
                <w:tcPr>
                  <w:tcW w:w="460" w:type="pct"/>
                </w:tcPr>
                <w:p w14:paraId="20A7D622" w14:textId="77777777" w:rsidR="00FC14FC" w:rsidRDefault="00FC14FC" w:rsidP="00D11B9D">
                  <w:pPr>
                    <w:pStyle w:val="TableBodyText"/>
                  </w:pPr>
                  <w:r w:rsidRPr="00933ECC">
                    <w:t>26.3</w:t>
                  </w:r>
                </w:p>
              </w:tc>
              <w:tc>
                <w:tcPr>
                  <w:tcW w:w="460" w:type="pct"/>
                </w:tcPr>
                <w:p w14:paraId="61CEA733" w14:textId="77777777" w:rsidR="00FC14FC" w:rsidRPr="00AC6008" w:rsidRDefault="00FC14FC" w:rsidP="00D11B9D">
                  <w:pPr>
                    <w:pStyle w:val="TableBodyText"/>
                  </w:pPr>
                  <w:r w:rsidRPr="00933ECC">
                    <w:t>29.4</w:t>
                  </w:r>
                </w:p>
              </w:tc>
              <w:tc>
                <w:tcPr>
                  <w:tcW w:w="460" w:type="pct"/>
                </w:tcPr>
                <w:p w14:paraId="4FF128FE" w14:textId="77777777" w:rsidR="00FC14FC" w:rsidRPr="00AC6008" w:rsidRDefault="00FC14FC" w:rsidP="00D11B9D">
                  <w:pPr>
                    <w:pStyle w:val="TableBodyText"/>
                  </w:pPr>
                  <w:r w:rsidRPr="00933ECC">
                    <w:t>39.5</w:t>
                  </w:r>
                </w:p>
              </w:tc>
              <w:tc>
                <w:tcPr>
                  <w:tcW w:w="460" w:type="pct"/>
                </w:tcPr>
                <w:p w14:paraId="71BE6D77" w14:textId="77777777" w:rsidR="00FC14FC" w:rsidRPr="00AC6008" w:rsidRDefault="00FC14FC" w:rsidP="00D11B9D">
                  <w:pPr>
                    <w:pStyle w:val="TableBodyText"/>
                  </w:pPr>
                  <w:r w:rsidRPr="00933ECC">
                    <w:t>28.8</w:t>
                  </w:r>
                </w:p>
              </w:tc>
              <w:tc>
                <w:tcPr>
                  <w:tcW w:w="460" w:type="pct"/>
                </w:tcPr>
                <w:p w14:paraId="317A5C3A" w14:textId="77777777" w:rsidR="00FC14FC" w:rsidRPr="00AC6008" w:rsidRDefault="00FC14FC" w:rsidP="00D11B9D">
                  <w:pPr>
                    <w:pStyle w:val="TableBodyText"/>
                  </w:pPr>
                  <w:r w:rsidRPr="00933ECC">
                    <w:t>29.2</w:t>
                  </w:r>
                </w:p>
              </w:tc>
              <w:tc>
                <w:tcPr>
                  <w:tcW w:w="460" w:type="pct"/>
                </w:tcPr>
                <w:p w14:paraId="3E30E96C" w14:textId="77777777" w:rsidR="00FC14FC" w:rsidRPr="00AC6008" w:rsidRDefault="00FC14FC" w:rsidP="00D11B9D">
                  <w:pPr>
                    <w:pStyle w:val="TableBodyText"/>
                  </w:pPr>
                  <w:r w:rsidRPr="00933ECC">
                    <w:t>40.5</w:t>
                  </w:r>
                </w:p>
              </w:tc>
              <w:tc>
                <w:tcPr>
                  <w:tcW w:w="460" w:type="pct"/>
                </w:tcPr>
                <w:p w14:paraId="7577B198" w14:textId="77777777" w:rsidR="00FC14FC" w:rsidRPr="00AC6008" w:rsidRDefault="00FC14FC" w:rsidP="00D11B9D">
                  <w:pPr>
                    <w:pStyle w:val="TableBodyText"/>
                  </w:pPr>
                  <w:r w:rsidRPr="00933ECC">
                    <w:t>23.7</w:t>
                  </w:r>
                </w:p>
              </w:tc>
              <w:tc>
                <w:tcPr>
                  <w:tcW w:w="460" w:type="pct"/>
                </w:tcPr>
                <w:p w14:paraId="0BE4FA80" w14:textId="77777777" w:rsidR="00FC14FC" w:rsidRPr="00AC6008" w:rsidRDefault="00FC14FC" w:rsidP="00D11B9D">
                  <w:pPr>
                    <w:pStyle w:val="TableBodyText"/>
                  </w:pPr>
                  <w:r w:rsidRPr="00933ECC">
                    <w:t>26.1</w:t>
                  </w:r>
                </w:p>
              </w:tc>
              <w:tc>
                <w:tcPr>
                  <w:tcW w:w="460" w:type="pct"/>
                </w:tcPr>
                <w:p w14:paraId="6A6AB1BA" w14:textId="77777777" w:rsidR="00FC14FC" w:rsidRPr="00AC6008" w:rsidRDefault="00FC14FC" w:rsidP="00D11B9D">
                  <w:pPr>
                    <w:pStyle w:val="TableBodyText"/>
                    <w:ind w:right="28"/>
                  </w:pPr>
                  <w:r w:rsidRPr="00933ECC">
                    <w:t>6.4</w:t>
                  </w:r>
                </w:p>
              </w:tc>
            </w:tr>
            <w:tr w:rsidR="00FC14FC" w14:paraId="3370DC57" w14:textId="77777777" w:rsidTr="00D11B9D">
              <w:tc>
                <w:tcPr>
                  <w:tcW w:w="862" w:type="pct"/>
                  <w:shd w:val="clear" w:color="auto" w:fill="F2F2F2" w:themeFill="background1" w:themeFillShade="F2"/>
                </w:tcPr>
                <w:p w14:paraId="67C10571" w14:textId="77777777" w:rsidR="00FC14FC" w:rsidRDefault="00FC14FC" w:rsidP="00D11B9D">
                  <w:pPr>
                    <w:pStyle w:val="TableBodyText"/>
                    <w:jc w:val="left"/>
                  </w:pPr>
                  <w:r w:rsidRPr="00AC6008">
                    <w:t>Private equity</w:t>
                  </w:r>
                </w:p>
              </w:tc>
              <w:tc>
                <w:tcPr>
                  <w:tcW w:w="460" w:type="pct"/>
                  <w:shd w:val="clear" w:color="auto" w:fill="F2F2F2" w:themeFill="background1" w:themeFillShade="F2"/>
                </w:tcPr>
                <w:p w14:paraId="72FAA966" w14:textId="77777777" w:rsidR="00FC14FC" w:rsidRDefault="00FC14FC" w:rsidP="00D11B9D">
                  <w:pPr>
                    <w:pStyle w:val="TableBodyText"/>
                  </w:pPr>
                  <w:r w:rsidRPr="00933ECC">
                    <w:t>0.0</w:t>
                  </w:r>
                </w:p>
              </w:tc>
              <w:tc>
                <w:tcPr>
                  <w:tcW w:w="460" w:type="pct"/>
                  <w:shd w:val="clear" w:color="auto" w:fill="F2F2F2" w:themeFill="background1" w:themeFillShade="F2"/>
                </w:tcPr>
                <w:p w14:paraId="154196BC" w14:textId="77777777" w:rsidR="00FC14FC" w:rsidRPr="00AC6008" w:rsidRDefault="00FC14FC" w:rsidP="00D11B9D">
                  <w:pPr>
                    <w:pStyle w:val="TableBodyText"/>
                  </w:pPr>
                  <w:r w:rsidRPr="00933ECC">
                    <w:t>0.0</w:t>
                  </w:r>
                </w:p>
              </w:tc>
              <w:tc>
                <w:tcPr>
                  <w:tcW w:w="460" w:type="pct"/>
                  <w:shd w:val="clear" w:color="auto" w:fill="F2F2F2" w:themeFill="background1" w:themeFillShade="F2"/>
                </w:tcPr>
                <w:p w14:paraId="10405456" w14:textId="77777777" w:rsidR="00FC14FC" w:rsidRPr="00AC6008" w:rsidRDefault="00FC14FC" w:rsidP="00D11B9D">
                  <w:pPr>
                    <w:pStyle w:val="TableBodyText"/>
                  </w:pPr>
                  <w:r w:rsidRPr="00933ECC">
                    <w:t>0.0</w:t>
                  </w:r>
                </w:p>
              </w:tc>
              <w:tc>
                <w:tcPr>
                  <w:tcW w:w="460" w:type="pct"/>
                  <w:shd w:val="clear" w:color="auto" w:fill="F2F2F2" w:themeFill="background1" w:themeFillShade="F2"/>
                </w:tcPr>
                <w:p w14:paraId="0EF016E6" w14:textId="77777777" w:rsidR="00FC14FC" w:rsidRPr="00AC6008" w:rsidRDefault="00FC14FC" w:rsidP="00D11B9D">
                  <w:pPr>
                    <w:pStyle w:val="TableBodyText"/>
                  </w:pPr>
                  <w:r w:rsidRPr="00933ECC">
                    <w:t>0.0</w:t>
                  </w:r>
                </w:p>
              </w:tc>
              <w:tc>
                <w:tcPr>
                  <w:tcW w:w="460" w:type="pct"/>
                  <w:shd w:val="clear" w:color="auto" w:fill="F2F2F2" w:themeFill="background1" w:themeFillShade="F2"/>
                </w:tcPr>
                <w:p w14:paraId="2BAB3D1D" w14:textId="77777777" w:rsidR="00FC14FC" w:rsidRPr="00AC6008" w:rsidRDefault="00FC14FC" w:rsidP="00D11B9D">
                  <w:pPr>
                    <w:pStyle w:val="TableBodyText"/>
                  </w:pPr>
                  <w:r w:rsidRPr="00933ECC">
                    <w:t>0.0</w:t>
                  </w:r>
                </w:p>
              </w:tc>
              <w:tc>
                <w:tcPr>
                  <w:tcW w:w="460" w:type="pct"/>
                  <w:shd w:val="clear" w:color="auto" w:fill="F2F2F2" w:themeFill="background1" w:themeFillShade="F2"/>
                </w:tcPr>
                <w:p w14:paraId="635446EB" w14:textId="77777777" w:rsidR="00FC14FC" w:rsidRPr="00AC6008" w:rsidRDefault="00FC14FC" w:rsidP="00D11B9D">
                  <w:pPr>
                    <w:pStyle w:val="TableBodyText"/>
                  </w:pPr>
                  <w:r w:rsidRPr="00933ECC">
                    <w:t>0.0</w:t>
                  </w:r>
                </w:p>
              </w:tc>
              <w:tc>
                <w:tcPr>
                  <w:tcW w:w="460" w:type="pct"/>
                  <w:shd w:val="clear" w:color="auto" w:fill="F2F2F2" w:themeFill="background1" w:themeFillShade="F2"/>
                </w:tcPr>
                <w:p w14:paraId="333186DB" w14:textId="77777777" w:rsidR="00FC14FC" w:rsidRPr="00AC6008" w:rsidRDefault="00FC14FC" w:rsidP="00D11B9D">
                  <w:pPr>
                    <w:pStyle w:val="TableBodyText"/>
                  </w:pPr>
                  <w:r w:rsidRPr="00933ECC">
                    <w:t>3.8</w:t>
                  </w:r>
                </w:p>
              </w:tc>
              <w:tc>
                <w:tcPr>
                  <w:tcW w:w="460" w:type="pct"/>
                  <w:shd w:val="clear" w:color="auto" w:fill="F2F2F2" w:themeFill="background1" w:themeFillShade="F2"/>
                </w:tcPr>
                <w:p w14:paraId="0E0F3F1A" w14:textId="77777777" w:rsidR="00FC14FC" w:rsidRPr="00AC6008" w:rsidRDefault="00FC14FC" w:rsidP="00D11B9D">
                  <w:pPr>
                    <w:pStyle w:val="TableBodyText"/>
                  </w:pPr>
                  <w:r w:rsidRPr="00933ECC">
                    <w:t>10.4</w:t>
                  </w:r>
                </w:p>
              </w:tc>
              <w:tc>
                <w:tcPr>
                  <w:tcW w:w="460" w:type="pct"/>
                  <w:shd w:val="clear" w:color="auto" w:fill="F2F2F2" w:themeFill="background1" w:themeFillShade="F2"/>
                </w:tcPr>
                <w:p w14:paraId="79F47D1E" w14:textId="77777777" w:rsidR="00FC14FC" w:rsidRPr="00AC6008" w:rsidRDefault="00FC14FC" w:rsidP="00D11B9D">
                  <w:pPr>
                    <w:pStyle w:val="TableBodyText"/>
                    <w:ind w:right="28"/>
                  </w:pPr>
                  <w:r w:rsidRPr="00933ECC">
                    <w:t>23.4</w:t>
                  </w:r>
                </w:p>
              </w:tc>
            </w:tr>
            <w:tr w:rsidR="00FC14FC" w14:paraId="4CFF8697" w14:textId="77777777" w:rsidTr="00D11B9D">
              <w:tc>
                <w:tcPr>
                  <w:tcW w:w="862" w:type="pct"/>
                  <w:shd w:val="clear" w:color="auto" w:fill="auto"/>
                </w:tcPr>
                <w:p w14:paraId="0BC1B393" w14:textId="77777777" w:rsidR="00FC14FC" w:rsidRDefault="00FC14FC" w:rsidP="00D11B9D">
                  <w:pPr>
                    <w:pStyle w:val="TableBodyText"/>
                    <w:jc w:val="left"/>
                  </w:pPr>
                  <w:r w:rsidRPr="00AC6008">
                    <w:t>Property</w:t>
                  </w:r>
                </w:p>
              </w:tc>
              <w:tc>
                <w:tcPr>
                  <w:tcW w:w="460" w:type="pct"/>
                </w:tcPr>
                <w:p w14:paraId="2112CA33" w14:textId="77777777" w:rsidR="00FC14FC" w:rsidRDefault="00FC14FC" w:rsidP="00D11B9D">
                  <w:pPr>
                    <w:pStyle w:val="TableBodyText"/>
                  </w:pPr>
                  <w:r w:rsidRPr="00933ECC">
                    <w:t>10.7</w:t>
                  </w:r>
                </w:p>
              </w:tc>
              <w:tc>
                <w:tcPr>
                  <w:tcW w:w="460" w:type="pct"/>
                </w:tcPr>
                <w:p w14:paraId="68E3B80E" w14:textId="77777777" w:rsidR="00FC14FC" w:rsidRPr="00AC6008" w:rsidRDefault="00FC14FC" w:rsidP="00D11B9D">
                  <w:pPr>
                    <w:pStyle w:val="TableBodyText"/>
                  </w:pPr>
                  <w:r w:rsidRPr="00933ECC">
                    <w:t>12.6</w:t>
                  </w:r>
                </w:p>
              </w:tc>
              <w:tc>
                <w:tcPr>
                  <w:tcW w:w="460" w:type="pct"/>
                </w:tcPr>
                <w:p w14:paraId="0318CD67" w14:textId="77777777" w:rsidR="00FC14FC" w:rsidRPr="00AC6008" w:rsidRDefault="00FC14FC" w:rsidP="00D11B9D">
                  <w:pPr>
                    <w:pStyle w:val="TableBodyText"/>
                  </w:pPr>
                  <w:r w:rsidRPr="00933ECC">
                    <w:t>10.5</w:t>
                  </w:r>
                </w:p>
              </w:tc>
              <w:tc>
                <w:tcPr>
                  <w:tcW w:w="460" w:type="pct"/>
                </w:tcPr>
                <w:p w14:paraId="698C9380" w14:textId="77777777" w:rsidR="00FC14FC" w:rsidRPr="00AC6008" w:rsidRDefault="00FC14FC" w:rsidP="00D11B9D">
                  <w:pPr>
                    <w:pStyle w:val="TableBodyText"/>
                  </w:pPr>
                  <w:r w:rsidRPr="00933ECC">
                    <w:t>10.5</w:t>
                  </w:r>
                </w:p>
              </w:tc>
              <w:tc>
                <w:tcPr>
                  <w:tcW w:w="460" w:type="pct"/>
                </w:tcPr>
                <w:p w14:paraId="51038059" w14:textId="77777777" w:rsidR="00FC14FC" w:rsidRPr="00AC6008" w:rsidRDefault="00FC14FC" w:rsidP="00D11B9D">
                  <w:pPr>
                    <w:pStyle w:val="TableBodyText"/>
                  </w:pPr>
                  <w:r w:rsidRPr="00933ECC">
                    <w:t>14.5</w:t>
                  </w:r>
                </w:p>
              </w:tc>
              <w:tc>
                <w:tcPr>
                  <w:tcW w:w="460" w:type="pct"/>
                </w:tcPr>
                <w:p w14:paraId="0E5FC7ED" w14:textId="77777777" w:rsidR="00FC14FC" w:rsidRPr="00AC6008" w:rsidRDefault="00FC14FC" w:rsidP="00D11B9D">
                  <w:pPr>
                    <w:pStyle w:val="TableBodyText"/>
                  </w:pPr>
                  <w:r w:rsidRPr="00933ECC">
                    <w:t>21.6</w:t>
                  </w:r>
                </w:p>
              </w:tc>
              <w:tc>
                <w:tcPr>
                  <w:tcW w:w="460" w:type="pct"/>
                </w:tcPr>
                <w:p w14:paraId="0B8590AA" w14:textId="77777777" w:rsidR="00FC14FC" w:rsidRPr="00AC6008" w:rsidRDefault="00FC14FC" w:rsidP="00D11B9D">
                  <w:pPr>
                    <w:pStyle w:val="TableBodyText"/>
                  </w:pPr>
                  <w:r w:rsidRPr="00933ECC">
                    <w:t>8.3</w:t>
                  </w:r>
                </w:p>
              </w:tc>
              <w:tc>
                <w:tcPr>
                  <w:tcW w:w="460" w:type="pct"/>
                </w:tcPr>
                <w:p w14:paraId="1E0B7AC3" w14:textId="77777777" w:rsidR="00FC14FC" w:rsidRPr="00AC6008" w:rsidRDefault="00FC14FC" w:rsidP="00D11B9D">
                  <w:pPr>
                    <w:pStyle w:val="TableBodyText"/>
                  </w:pPr>
                  <w:r w:rsidRPr="00933ECC">
                    <w:t>11.2</w:t>
                  </w:r>
                </w:p>
              </w:tc>
              <w:tc>
                <w:tcPr>
                  <w:tcW w:w="460" w:type="pct"/>
                </w:tcPr>
                <w:p w14:paraId="39715CBD" w14:textId="77777777" w:rsidR="00FC14FC" w:rsidRPr="00AC6008" w:rsidRDefault="00FC14FC" w:rsidP="00D11B9D">
                  <w:pPr>
                    <w:pStyle w:val="TableBodyText"/>
                    <w:ind w:right="28"/>
                  </w:pPr>
                  <w:r w:rsidRPr="00933ECC">
                    <w:t>28.4</w:t>
                  </w:r>
                </w:p>
              </w:tc>
            </w:tr>
            <w:tr w:rsidR="00FC14FC" w14:paraId="13E0BFCE" w14:textId="77777777" w:rsidTr="00D11B9D">
              <w:tc>
                <w:tcPr>
                  <w:tcW w:w="862" w:type="pct"/>
                  <w:shd w:val="pct5" w:color="auto" w:fill="auto"/>
                </w:tcPr>
                <w:p w14:paraId="01DB3716" w14:textId="77777777" w:rsidR="00FC14FC" w:rsidRDefault="00FC14FC" w:rsidP="00D11B9D">
                  <w:pPr>
                    <w:pStyle w:val="TableBodyText"/>
                    <w:jc w:val="left"/>
                  </w:pPr>
                  <w:r w:rsidRPr="00AC6008">
                    <w:t>Infrastructure</w:t>
                  </w:r>
                </w:p>
              </w:tc>
              <w:tc>
                <w:tcPr>
                  <w:tcW w:w="460" w:type="pct"/>
                  <w:shd w:val="pct5" w:color="auto" w:fill="auto"/>
                </w:tcPr>
                <w:p w14:paraId="51DCED81" w14:textId="77777777" w:rsidR="00FC14FC" w:rsidRDefault="00FC14FC" w:rsidP="00D11B9D">
                  <w:pPr>
                    <w:pStyle w:val="TableBodyText"/>
                  </w:pPr>
                  <w:r w:rsidRPr="00933ECC">
                    <w:t>0.0</w:t>
                  </w:r>
                </w:p>
              </w:tc>
              <w:tc>
                <w:tcPr>
                  <w:tcW w:w="460" w:type="pct"/>
                  <w:shd w:val="pct5" w:color="auto" w:fill="auto"/>
                </w:tcPr>
                <w:p w14:paraId="239055A5" w14:textId="77777777" w:rsidR="00FC14FC" w:rsidRPr="00AC6008" w:rsidRDefault="00FC14FC" w:rsidP="00D11B9D">
                  <w:pPr>
                    <w:pStyle w:val="TableBodyText"/>
                  </w:pPr>
                  <w:r w:rsidRPr="00933ECC">
                    <w:t>0.0</w:t>
                  </w:r>
                </w:p>
              </w:tc>
              <w:tc>
                <w:tcPr>
                  <w:tcW w:w="460" w:type="pct"/>
                  <w:shd w:val="pct5" w:color="auto" w:fill="auto"/>
                </w:tcPr>
                <w:p w14:paraId="73325502" w14:textId="77777777" w:rsidR="00FC14FC" w:rsidRPr="00AC6008" w:rsidRDefault="00FC14FC" w:rsidP="00D11B9D">
                  <w:pPr>
                    <w:pStyle w:val="TableBodyText"/>
                  </w:pPr>
                  <w:r w:rsidRPr="00933ECC">
                    <w:t>0.0</w:t>
                  </w:r>
                </w:p>
              </w:tc>
              <w:tc>
                <w:tcPr>
                  <w:tcW w:w="460" w:type="pct"/>
                  <w:shd w:val="pct5" w:color="auto" w:fill="auto"/>
                </w:tcPr>
                <w:p w14:paraId="6CF42529" w14:textId="77777777" w:rsidR="00FC14FC" w:rsidRPr="00AC6008" w:rsidRDefault="00FC14FC" w:rsidP="00D11B9D">
                  <w:pPr>
                    <w:pStyle w:val="TableBodyText"/>
                  </w:pPr>
                  <w:r w:rsidRPr="00933ECC">
                    <w:t>0.0</w:t>
                  </w:r>
                </w:p>
              </w:tc>
              <w:tc>
                <w:tcPr>
                  <w:tcW w:w="460" w:type="pct"/>
                  <w:shd w:val="pct5" w:color="auto" w:fill="auto"/>
                </w:tcPr>
                <w:p w14:paraId="6D428469" w14:textId="77777777" w:rsidR="00FC14FC" w:rsidRPr="00AC6008" w:rsidRDefault="00FC14FC" w:rsidP="00D11B9D">
                  <w:pPr>
                    <w:pStyle w:val="TableBodyText"/>
                  </w:pPr>
                  <w:r w:rsidRPr="00933ECC">
                    <w:t>0.0</w:t>
                  </w:r>
                </w:p>
              </w:tc>
              <w:tc>
                <w:tcPr>
                  <w:tcW w:w="460" w:type="pct"/>
                  <w:shd w:val="pct5" w:color="auto" w:fill="auto"/>
                </w:tcPr>
                <w:p w14:paraId="2BDEAD5A" w14:textId="77777777" w:rsidR="00FC14FC" w:rsidRPr="00AC6008" w:rsidRDefault="00FC14FC" w:rsidP="00D11B9D">
                  <w:pPr>
                    <w:pStyle w:val="TableBodyText"/>
                  </w:pPr>
                  <w:r w:rsidRPr="00933ECC">
                    <w:t>0.0</w:t>
                  </w:r>
                </w:p>
              </w:tc>
              <w:tc>
                <w:tcPr>
                  <w:tcW w:w="460" w:type="pct"/>
                  <w:shd w:val="pct5" w:color="auto" w:fill="auto"/>
                </w:tcPr>
                <w:p w14:paraId="18AD1D41" w14:textId="77777777" w:rsidR="00FC14FC" w:rsidRPr="00AC6008" w:rsidRDefault="00FC14FC" w:rsidP="00D11B9D">
                  <w:pPr>
                    <w:pStyle w:val="TableBodyText"/>
                  </w:pPr>
                  <w:r w:rsidRPr="00933ECC">
                    <w:t>5.1</w:t>
                  </w:r>
                </w:p>
              </w:tc>
              <w:tc>
                <w:tcPr>
                  <w:tcW w:w="460" w:type="pct"/>
                  <w:shd w:val="pct5" w:color="auto" w:fill="auto"/>
                </w:tcPr>
                <w:p w14:paraId="44480BFF" w14:textId="77777777" w:rsidR="00FC14FC" w:rsidRPr="00AC6008" w:rsidRDefault="00FC14FC" w:rsidP="00D11B9D">
                  <w:pPr>
                    <w:pStyle w:val="TableBodyText"/>
                  </w:pPr>
                  <w:r w:rsidRPr="00933ECC">
                    <w:t>7.6</w:t>
                  </w:r>
                </w:p>
              </w:tc>
              <w:tc>
                <w:tcPr>
                  <w:tcW w:w="460" w:type="pct"/>
                  <w:shd w:val="pct5" w:color="auto" w:fill="auto"/>
                </w:tcPr>
                <w:p w14:paraId="1B01171F" w14:textId="77777777" w:rsidR="00FC14FC" w:rsidRPr="00AC6008" w:rsidRDefault="00FC14FC" w:rsidP="00D11B9D">
                  <w:pPr>
                    <w:pStyle w:val="TableBodyText"/>
                    <w:ind w:right="28"/>
                  </w:pPr>
                  <w:r w:rsidRPr="00933ECC">
                    <w:t>0.0</w:t>
                  </w:r>
                </w:p>
              </w:tc>
            </w:tr>
            <w:tr w:rsidR="00FC14FC" w14:paraId="3FF3E979" w14:textId="77777777" w:rsidTr="00D11B9D">
              <w:tc>
                <w:tcPr>
                  <w:tcW w:w="862" w:type="pct"/>
                  <w:tcBorders>
                    <w:bottom w:val="single" w:sz="6" w:space="0" w:color="BFBFBF"/>
                  </w:tcBorders>
                  <w:shd w:val="clear" w:color="auto" w:fill="auto"/>
                </w:tcPr>
                <w:p w14:paraId="302AF683" w14:textId="77777777" w:rsidR="00FC14FC" w:rsidRDefault="00FC14FC" w:rsidP="00D11B9D">
                  <w:pPr>
                    <w:pStyle w:val="TableBodyText"/>
                    <w:jc w:val="left"/>
                  </w:pPr>
                  <w:r w:rsidRPr="00AC6008">
                    <w:t>Other</w:t>
                  </w:r>
                </w:p>
              </w:tc>
              <w:tc>
                <w:tcPr>
                  <w:tcW w:w="460" w:type="pct"/>
                  <w:tcBorders>
                    <w:bottom w:val="single" w:sz="6" w:space="0" w:color="BFBFBF"/>
                  </w:tcBorders>
                </w:tcPr>
                <w:p w14:paraId="7B3FCDA9" w14:textId="77777777" w:rsidR="00FC14FC" w:rsidRDefault="00FC14FC" w:rsidP="00D11B9D">
                  <w:pPr>
                    <w:pStyle w:val="TableBodyText"/>
                  </w:pPr>
                  <w:r w:rsidRPr="00933ECC">
                    <w:t>0.0</w:t>
                  </w:r>
                </w:p>
              </w:tc>
              <w:tc>
                <w:tcPr>
                  <w:tcW w:w="460" w:type="pct"/>
                  <w:tcBorders>
                    <w:bottom w:val="single" w:sz="6" w:space="0" w:color="BFBFBF"/>
                  </w:tcBorders>
                </w:tcPr>
                <w:p w14:paraId="59C1D6F0" w14:textId="77777777" w:rsidR="00FC14FC" w:rsidRPr="00AC6008" w:rsidRDefault="00FC14FC" w:rsidP="00D11B9D">
                  <w:pPr>
                    <w:pStyle w:val="TableBodyText"/>
                  </w:pPr>
                  <w:r w:rsidRPr="00933ECC">
                    <w:t>0.0</w:t>
                  </w:r>
                </w:p>
              </w:tc>
              <w:tc>
                <w:tcPr>
                  <w:tcW w:w="460" w:type="pct"/>
                  <w:tcBorders>
                    <w:bottom w:val="single" w:sz="6" w:space="0" w:color="BFBFBF"/>
                  </w:tcBorders>
                </w:tcPr>
                <w:p w14:paraId="7C5F897A" w14:textId="77777777" w:rsidR="00FC14FC" w:rsidRPr="00AC6008" w:rsidRDefault="00FC14FC" w:rsidP="00D11B9D">
                  <w:pPr>
                    <w:pStyle w:val="TableBodyText"/>
                  </w:pPr>
                  <w:r w:rsidRPr="00933ECC">
                    <w:t>0.0</w:t>
                  </w:r>
                </w:p>
              </w:tc>
              <w:tc>
                <w:tcPr>
                  <w:tcW w:w="460" w:type="pct"/>
                  <w:tcBorders>
                    <w:bottom w:val="single" w:sz="6" w:space="0" w:color="BFBFBF"/>
                  </w:tcBorders>
                </w:tcPr>
                <w:p w14:paraId="782A1AC8" w14:textId="77777777" w:rsidR="00FC14FC" w:rsidRPr="00AC6008" w:rsidRDefault="00FC14FC" w:rsidP="00D11B9D">
                  <w:pPr>
                    <w:pStyle w:val="TableBodyText"/>
                  </w:pPr>
                  <w:r w:rsidRPr="00933ECC">
                    <w:t>0.0</w:t>
                  </w:r>
                </w:p>
              </w:tc>
              <w:tc>
                <w:tcPr>
                  <w:tcW w:w="460" w:type="pct"/>
                  <w:tcBorders>
                    <w:bottom w:val="single" w:sz="6" w:space="0" w:color="BFBFBF"/>
                  </w:tcBorders>
                </w:tcPr>
                <w:p w14:paraId="02526877" w14:textId="77777777" w:rsidR="00FC14FC" w:rsidRPr="00AC6008" w:rsidRDefault="00FC14FC" w:rsidP="00D11B9D">
                  <w:pPr>
                    <w:pStyle w:val="TableBodyText"/>
                  </w:pPr>
                  <w:r w:rsidRPr="00933ECC">
                    <w:t>0.0</w:t>
                  </w:r>
                </w:p>
              </w:tc>
              <w:tc>
                <w:tcPr>
                  <w:tcW w:w="460" w:type="pct"/>
                  <w:tcBorders>
                    <w:bottom w:val="single" w:sz="6" w:space="0" w:color="BFBFBF"/>
                  </w:tcBorders>
                </w:tcPr>
                <w:p w14:paraId="2E7E4FCF" w14:textId="77777777" w:rsidR="00FC14FC" w:rsidRPr="00AC6008" w:rsidRDefault="00FC14FC" w:rsidP="00D11B9D">
                  <w:pPr>
                    <w:pStyle w:val="TableBodyText"/>
                  </w:pPr>
                  <w:r w:rsidRPr="00933ECC">
                    <w:t>0.0</w:t>
                  </w:r>
                </w:p>
              </w:tc>
              <w:tc>
                <w:tcPr>
                  <w:tcW w:w="460" w:type="pct"/>
                  <w:tcBorders>
                    <w:bottom w:val="single" w:sz="6" w:space="0" w:color="BFBFBF"/>
                  </w:tcBorders>
                </w:tcPr>
                <w:p w14:paraId="3EC882FB" w14:textId="77777777" w:rsidR="00FC14FC" w:rsidRPr="00AC6008" w:rsidRDefault="00FC14FC" w:rsidP="00D11B9D">
                  <w:pPr>
                    <w:pStyle w:val="TableBodyText"/>
                  </w:pPr>
                  <w:r w:rsidRPr="00933ECC">
                    <w:t>3.5</w:t>
                  </w:r>
                </w:p>
              </w:tc>
              <w:tc>
                <w:tcPr>
                  <w:tcW w:w="460" w:type="pct"/>
                  <w:tcBorders>
                    <w:bottom w:val="single" w:sz="6" w:space="0" w:color="BFBFBF"/>
                  </w:tcBorders>
                </w:tcPr>
                <w:p w14:paraId="2D55AC4E" w14:textId="77777777" w:rsidR="00FC14FC" w:rsidRPr="00AC6008" w:rsidRDefault="00FC14FC" w:rsidP="00D11B9D">
                  <w:pPr>
                    <w:pStyle w:val="TableBodyText"/>
                  </w:pPr>
                  <w:r w:rsidRPr="00933ECC">
                    <w:t>3.5</w:t>
                  </w:r>
                </w:p>
              </w:tc>
              <w:tc>
                <w:tcPr>
                  <w:tcW w:w="460" w:type="pct"/>
                  <w:tcBorders>
                    <w:bottom w:val="single" w:sz="6" w:space="0" w:color="BFBFBF"/>
                  </w:tcBorders>
                </w:tcPr>
                <w:p w14:paraId="4ABFED00" w14:textId="77777777" w:rsidR="00FC14FC" w:rsidRPr="00AC6008" w:rsidRDefault="00FC14FC" w:rsidP="00D11B9D">
                  <w:pPr>
                    <w:pStyle w:val="TableBodyText"/>
                    <w:ind w:right="28"/>
                  </w:pPr>
                  <w:r w:rsidRPr="00933ECC">
                    <w:t>10.8</w:t>
                  </w:r>
                </w:p>
              </w:tc>
            </w:tr>
          </w:tbl>
          <w:p w14:paraId="0B50A3F2" w14:textId="77777777" w:rsidR="00FC14FC" w:rsidRDefault="00FC14FC" w:rsidP="00D11B9D">
            <w:pPr>
              <w:pStyle w:val="Box"/>
            </w:pPr>
          </w:p>
        </w:tc>
      </w:tr>
      <w:tr w:rsidR="00FC14FC" w14:paraId="2F08E81A" w14:textId="77777777" w:rsidTr="00D11B9D">
        <w:tc>
          <w:tcPr>
            <w:tcW w:w="5000" w:type="pct"/>
            <w:tcBorders>
              <w:top w:val="nil"/>
              <w:left w:val="nil"/>
              <w:bottom w:val="nil"/>
              <w:right w:val="nil"/>
            </w:tcBorders>
            <w:shd w:val="clear" w:color="auto" w:fill="auto"/>
          </w:tcPr>
          <w:p w14:paraId="4A9AC874" w14:textId="77777777" w:rsidR="00FC14FC" w:rsidRDefault="00FC14FC" w:rsidP="00D11B9D">
            <w:pPr>
              <w:pStyle w:val="Source"/>
            </w:pPr>
            <w:r>
              <w:rPr>
                <w:i/>
              </w:rPr>
              <w:t>Source</w:t>
            </w:r>
            <w:r w:rsidRPr="00167F06">
              <w:t xml:space="preserve">: </w:t>
            </w:r>
            <w:r w:rsidRPr="002D557A">
              <w:rPr>
                <w:rFonts w:asciiTheme="minorHAnsi" w:cstheme="minorBidi"/>
                <w:color w:val="000000" w:themeColor="text1"/>
                <w:kern w:val="24"/>
                <w:szCs w:val="18"/>
              </w:rPr>
              <w:t>PC analysis of unpublished APRA dat</w:t>
            </w:r>
            <w:r>
              <w:rPr>
                <w:rFonts w:asciiTheme="minorHAnsi" w:cstheme="minorBidi"/>
                <w:color w:val="000000" w:themeColor="text1"/>
                <w:kern w:val="24"/>
                <w:szCs w:val="18"/>
              </w:rPr>
              <w:t>a.</w:t>
            </w:r>
          </w:p>
        </w:tc>
      </w:tr>
      <w:tr w:rsidR="00FC14FC" w14:paraId="04859BF0" w14:textId="77777777" w:rsidTr="00D11B9D">
        <w:tc>
          <w:tcPr>
            <w:tcW w:w="5000" w:type="pct"/>
            <w:tcBorders>
              <w:top w:val="nil"/>
              <w:left w:val="nil"/>
              <w:bottom w:val="single" w:sz="6" w:space="0" w:color="78A22F"/>
              <w:right w:val="nil"/>
            </w:tcBorders>
            <w:shd w:val="clear" w:color="auto" w:fill="auto"/>
          </w:tcPr>
          <w:p w14:paraId="03BCFEBF" w14:textId="77777777" w:rsidR="00FC14FC" w:rsidRDefault="00FC14FC" w:rsidP="00D11B9D">
            <w:pPr>
              <w:pStyle w:val="Box"/>
              <w:spacing w:before="0" w:line="120" w:lineRule="exact"/>
            </w:pPr>
          </w:p>
        </w:tc>
      </w:tr>
      <w:tr w:rsidR="00FC14FC" w:rsidRPr="000863A5" w14:paraId="0BBEB0EA" w14:textId="77777777" w:rsidTr="00D11B9D">
        <w:tc>
          <w:tcPr>
            <w:tcW w:w="5000" w:type="pct"/>
            <w:tcBorders>
              <w:top w:val="single" w:sz="6" w:space="0" w:color="78A22F"/>
              <w:left w:val="nil"/>
              <w:bottom w:val="nil"/>
              <w:right w:val="nil"/>
            </w:tcBorders>
          </w:tcPr>
          <w:p w14:paraId="14BC02A8" w14:textId="77777777" w:rsidR="00FC14FC" w:rsidRPr="00626D32" w:rsidRDefault="00FC14FC" w:rsidP="00D11B9D">
            <w:pPr>
              <w:pStyle w:val="BoxSpaceBelow"/>
            </w:pPr>
          </w:p>
        </w:tc>
      </w:tr>
    </w:tbl>
    <w:p w14:paraId="2D95B83B" w14:textId="77777777" w:rsidR="00FC14FC" w:rsidRDefault="00FC14FC" w:rsidP="00FC14FC">
      <w:pPr>
        <w:pStyle w:val="BodyText"/>
      </w:pPr>
    </w:p>
    <w:p w14:paraId="63C98440" w14:textId="77777777" w:rsidR="00FC14FC" w:rsidRDefault="00FC14FC" w:rsidP="00FC14FC">
      <w:pPr>
        <w:pStyle w:val="BodyText"/>
        <w:sectPr w:rsidR="00FC14FC" w:rsidSect="00A85997">
          <w:headerReference w:type="even" r:id="rId29"/>
          <w:headerReference w:type="default" r:id="rId30"/>
          <w:footerReference w:type="even" r:id="rId31"/>
          <w:footerReference w:type="default" r:id="rId32"/>
          <w:pgSz w:w="16840" w:h="11907" w:orient="landscape" w:code="9"/>
          <w:pgMar w:top="1814" w:right="1985" w:bottom="1304" w:left="1418" w:header="1701" w:footer="567" w:gutter="0"/>
          <w:pgNumType w:chapSep="period"/>
          <w:cols w:space="720"/>
          <w:docGrid w:linePitch="326"/>
        </w:sectPr>
      </w:pPr>
    </w:p>
    <w:p w14:paraId="44E37CC4" w14:textId="77777777" w:rsidR="00FC14FC" w:rsidRDefault="00FC14FC" w:rsidP="00FC14FC">
      <w:pPr>
        <w:pStyle w:val="Heading5"/>
        <w:spacing w:before="0"/>
      </w:pPr>
      <w:r>
        <w:lastRenderedPageBreak/>
        <w:t>SMSF asset allocation</w:t>
      </w:r>
    </w:p>
    <w:p w14:paraId="66364C29" w14:textId="77777777" w:rsidR="00FC14FC" w:rsidRDefault="00FC14FC" w:rsidP="00FC14FC">
      <w:pPr>
        <w:pStyle w:val="BodyText"/>
      </w:pPr>
      <w:r>
        <w:t>In the draft report, the Commission noted that the asset holdings of SMSFs are difficult to observe in ATO datasets due to the way asset classes are defined. This also makes it difficult to compare the asset allocation of SMSFs with the APRA</w:t>
      </w:r>
      <w:r>
        <w:noBreakHyphen/>
        <w:t>regulated segment.</w:t>
      </w:r>
    </w:p>
    <w:p w14:paraId="4C149C62" w14:textId="77777777" w:rsidR="00FC14FC" w:rsidRDefault="00FC14FC" w:rsidP="00FC14FC">
      <w:pPr>
        <w:pStyle w:val="BodyText"/>
      </w:pPr>
      <w:r>
        <w:t>The Commission has been provided with data from Class Limited on the asset allocation of SMSFs on more of a ‘look</w:t>
      </w:r>
      <w:r>
        <w:noBreakHyphen/>
        <w:t>through’ basis than ATO data — that is, assigning the assets within various trusts and managed funds to specific asset classes (table 4.23). These data suggest broadly similar conclusions to the less</w:t>
      </w:r>
      <w:r>
        <w:noBreakHyphen/>
        <w:t>granular ATO data, but also reveal that SMSF holdings of fixed income assets and equities are likely to be materially higher than suggested by the ATO data. The share of ‘other’ assets that cannot be assigned to the main asset categories (and is likely to mostly comprise unlisted trusts) is substantially lower in the Class Limited data (11 per cent compared with 28 per cent). Importantly, these figures represent the average across SMSFs — the asset allocations of individual SMSFs could differ materially.</w:t>
      </w:r>
    </w:p>
    <w:p w14:paraId="4DC02D1F" w14:textId="77777777" w:rsidR="00FC14FC" w:rsidRDefault="00FC14FC" w:rsidP="00FC14FC">
      <w:pPr>
        <w:pStyle w:val="BodyText"/>
      </w:pPr>
      <w:r>
        <w:t>Because only one year of data is available for this more granular asset allocation, the Commission has not revisited the illustrative investment performance benchmarking for SMSFs in the draft report (beyond updating to an additional year of data).</w:t>
      </w:r>
    </w:p>
    <w:p w14:paraId="608FF013"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0EA304FF" w14:textId="77777777" w:rsidTr="00D11B9D">
        <w:trPr>
          <w:tblHeader/>
        </w:trPr>
        <w:tc>
          <w:tcPr>
            <w:tcW w:w="5000" w:type="pct"/>
            <w:tcBorders>
              <w:top w:val="single" w:sz="6" w:space="0" w:color="78A22F"/>
              <w:left w:val="nil"/>
              <w:bottom w:val="nil"/>
              <w:right w:val="nil"/>
            </w:tcBorders>
            <w:shd w:val="clear" w:color="auto" w:fill="auto"/>
          </w:tcPr>
          <w:p w14:paraId="0CFA05BC" w14:textId="77777777" w:rsidR="00FC14FC" w:rsidRDefault="00FC14FC" w:rsidP="00D11B9D">
            <w:pPr>
              <w:pStyle w:val="TableTitle"/>
            </w:pPr>
            <w:r>
              <w:rPr>
                <w:b w:val="0"/>
              </w:rPr>
              <w:t xml:space="preserve">Table </w:t>
            </w:r>
            <w:r>
              <w:rPr>
                <w:b w:val="0"/>
                <w:noProof/>
              </w:rPr>
              <w:t>4.23</w:t>
            </w:r>
            <w:r>
              <w:tab/>
              <w:t>Asset allocation of SMSFs versus APRA</w:t>
            </w:r>
            <w:r>
              <w:noBreakHyphen/>
              <w:t>regulated funds</w:t>
            </w:r>
          </w:p>
          <w:p w14:paraId="6EBAC84C" w14:textId="77777777" w:rsidR="00FC14FC" w:rsidRPr="00784A05" w:rsidRDefault="00FC14FC" w:rsidP="00D11B9D">
            <w:pPr>
              <w:pStyle w:val="TableBodyText"/>
              <w:spacing w:after="80" w:line="200" w:lineRule="exact"/>
              <w:ind w:left="1474" w:right="0"/>
              <w:jc w:val="left"/>
            </w:pPr>
            <w:r>
              <w:t>Share of total assets, June 2016</w:t>
            </w:r>
          </w:p>
        </w:tc>
      </w:tr>
      <w:tr w:rsidR="00FC14FC" w14:paraId="4D0B7ACE"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09"/>
              <w:gridCol w:w="2028"/>
              <w:gridCol w:w="1876"/>
              <w:gridCol w:w="2092"/>
            </w:tblGrid>
            <w:tr w:rsidR="00FC14FC" w14:paraId="6762DD77" w14:textId="77777777" w:rsidTr="00D11B9D">
              <w:trPr>
                <w:tblHeader/>
              </w:trPr>
              <w:tc>
                <w:tcPr>
                  <w:tcW w:w="1475" w:type="pct"/>
                  <w:tcBorders>
                    <w:top w:val="single" w:sz="6" w:space="0" w:color="BFBFBF"/>
                    <w:bottom w:val="single" w:sz="6" w:space="0" w:color="BFBFBF"/>
                  </w:tcBorders>
                  <w:shd w:val="clear" w:color="auto" w:fill="auto"/>
                  <w:tcMar>
                    <w:top w:w="28" w:type="dxa"/>
                  </w:tcMar>
                  <w:vAlign w:val="bottom"/>
                </w:tcPr>
                <w:p w14:paraId="1F036801" w14:textId="77777777" w:rsidR="00FC14FC" w:rsidRDefault="00FC14FC" w:rsidP="00D11B9D">
                  <w:pPr>
                    <w:pStyle w:val="TableColumnHeading"/>
                    <w:jc w:val="left"/>
                  </w:pPr>
                  <w:r>
                    <w:t>Asset category</w:t>
                  </w:r>
                </w:p>
              </w:tc>
              <w:tc>
                <w:tcPr>
                  <w:tcW w:w="1192" w:type="pct"/>
                  <w:tcBorders>
                    <w:top w:val="single" w:sz="6" w:space="0" w:color="BFBFBF"/>
                    <w:bottom w:val="single" w:sz="6" w:space="0" w:color="BFBFBF"/>
                  </w:tcBorders>
                  <w:vAlign w:val="bottom"/>
                </w:tcPr>
                <w:p w14:paraId="60B9BF22" w14:textId="77777777" w:rsidR="00FC14FC" w:rsidRDefault="00FC14FC" w:rsidP="00D11B9D">
                  <w:pPr>
                    <w:pStyle w:val="TableColumnHeading"/>
                  </w:pPr>
                  <w:r>
                    <w:t>SMSFs</w:t>
                  </w:r>
                </w:p>
                <w:p w14:paraId="50E67436" w14:textId="77777777" w:rsidR="00FC14FC" w:rsidRDefault="00FC14FC" w:rsidP="00D11B9D">
                  <w:pPr>
                    <w:pStyle w:val="TableColumnHeading"/>
                  </w:pPr>
                  <w:r>
                    <w:t>(Class Limited data</w:t>
                  </w:r>
                  <w:r w:rsidRPr="007C08E3">
                    <w:rPr>
                      <w:rStyle w:val="NoteLabel"/>
                    </w:rPr>
                    <w:t>a</w:t>
                  </w:r>
                  <w:r>
                    <w:t>)</w:t>
                  </w:r>
                </w:p>
              </w:tc>
              <w:tc>
                <w:tcPr>
                  <w:tcW w:w="1103" w:type="pct"/>
                  <w:tcBorders>
                    <w:top w:val="single" w:sz="6" w:space="0" w:color="BFBFBF"/>
                    <w:bottom w:val="single" w:sz="6" w:space="0" w:color="BFBFBF"/>
                  </w:tcBorders>
                  <w:vAlign w:val="bottom"/>
                </w:tcPr>
                <w:p w14:paraId="340514EF" w14:textId="77777777" w:rsidR="00FC14FC" w:rsidRDefault="00FC14FC" w:rsidP="00D11B9D">
                  <w:pPr>
                    <w:pStyle w:val="TableColumnHeading"/>
                  </w:pPr>
                  <w:r>
                    <w:t>SMSFs</w:t>
                  </w:r>
                </w:p>
                <w:p w14:paraId="4200DC15" w14:textId="77777777" w:rsidR="00FC14FC" w:rsidRDefault="00FC14FC" w:rsidP="00D11B9D">
                  <w:pPr>
                    <w:pStyle w:val="TableColumnHeading"/>
                  </w:pPr>
                  <w:r>
                    <w:t>(ATO data)</w:t>
                  </w:r>
                </w:p>
              </w:tc>
              <w:tc>
                <w:tcPr>
                  <w:tcW w:w="1230" w:type="pct"/>
                  <w:tcBorders>
                    <w:top w:val="single" w:sz="6" w:space="0" w:color="BFBFBF"/>
                    <w:bottom w:val="single" w:sz="6" w:space="0" w:color="BFBFBF"/>
                  </w:tcBorders>
                  <w:vAlign w:val="bottom"/>
                </w:tcPr>
                <w:p w14:paraId="3607E181" w14:textId="77777777" w:rsidR="00FC14FC" w:rsidRDefault="00FC14FC" w:rsidP="00D11B9D">
                  <w:pPr>
                    <w:pStyle w:val="TableColumnHeading"/>
                    <w:ind w:right="28"/>
                  </w:pPr>
                  <w:r>
                    <w:t xml:space="preserve"> APRA</w:t>
                  </w:r>
                  <w:r>
                    <w:noBreakHyphen/>
                    <w:t>regulated funds</w:t>
                  </w:r>
                </w:p>
              </w:tc>
            </w:tr>
            <w:tr w:rsidR="00FC14FC" w14:paraId="657AB26B" w14:textId="77777777" w:rsidTr="00D11B9D">
              <w:tc>
                <w:tcPr>
                  <w:tcW w:w="1475" w:type="pct"/>
                  <w:tcBorders>
                    <w:top w:val="single" w:sz="6" w:space="0" w:color="BFBFBF"/>
                  </w:tcBorders>
                </w:tcPr>
                <w:p w14:paraId="56D702A2" w14:textId="77777777" w:rsidR="00FC14FC" w:rsidRDefault="00FC14FC" w:rsidP="00D11B9D">
                  <w:pPr>
                    <w:pStyle w:val="TableUnitsRow"/>
                    <w:jc w:val="left"/>
                  </w:pPr>
                </w:p>
              </w:tc>
              <w:tc>
                <w:tcPr>
                  <w:tcW w:w="1192" w:type="pct"/>
                  <w:tcBorders>
                    <w:top w:val="single" w:sz="6" w:space="0" w:color="BFBFBF"/>
                  </w:tcBorders>
                </w:tcPr>
                <w:p w14:paraId="118CE9FB" w14:textId="77777777" w:rsidR="00FC14FC" w:rsidRDefault="00FC14FC" w:rsidP="00D11B9D">
                  <w:pPr>
                    <w:pStyle w:val="TableUnitsRow"/>
                  </w:pPr>
                  <w:r>
                    <w:t>%</w:t>
                  </w:r>
                </w:p>
              </w:tc>
              <w:tc>
                <w:tcPr>
                  <w:tcW w:w="1103" w:type="pct"/>
                  <w:tcBorders>
                    <w:top w:val="single" w:sz="6" w:space="0" w:color="BFBFBF"/>
                  </w:tcBorders>
                </w:tcPr>
                <w:p w14:paraId="65F8EF97" w14:textId="77777777" w:rsidR="00FC14FC" w:rsidRDefault="00FC14FC" w:rsidP="00D11B9D">
                  <w:pPr>
                    <w:pStyle w:val="TableUnitsRow"/>
                  </w:pPr>
                  <w:r>
                    <w:t>%</w:t>
                  </w:r>
                </w:p>
              </w:tc>
              <w:tc>
                <w:tcPr>
                  <w:tcW w:w="1230" w:type="pct"/>
                  <w:tcBorders>
                    <w:top w:val="single" w:sz="6" w:space="0" w:color="BFBFBF"/>
                  </w:tcBorders>
                </w:tcPr>
                <w:p w14:paraId="1A0C508B" w14:textId="77777777" w:rsidR="00FC14FC" w:rsidRDefault="00FC14FC" w:rsidP="00D11B9D">
                  <w:pPr>
                    <w:pStyle w:val="TableUnitsRow"/>
                    <w:ind w:right="28"/>
                  </w:pPr>
                  <w:r>
                    <w:t>%</w:t>
                  </w:r>
                </w:p>
              </w:tc>
            </w:tr>
            <w:tr w:rsidR="00FC14FC" w14:paraId="30B5C480" w14:textId="77777777" w:rsidTr="00D11B9D">
              <w:tc>
                <w:tcPr>
                  <w:tcW w:w="1475" w:type="pct"/>
                  <w:vAlign w:val="bottom"/>
                </w:tcPr>
                <w:p w14:paraId="2F1BAF7A" w14:textId="77777777" w:rsidR="00FC14FC" w:rsidRDefault="00FC14FC" w:rsidP="00D11B9D">
                  <w:pPr>
                    <w:pStyle w:val="TableBodyText"/>
                    <w:jc w:val="left"/>
                  </w:pPr>
                  <w:r>
                    <w:t>Cash</w:t>
                  </w:r>
                </w:p>
              </w:tc>
              <w:tc>
                <w:tcPr>
                  <w:tcW w:w="1192" w:type="pct"/>
                  <w:vAlign w:val="bottom"/>
                </w:tcPr>
                <w:p w14:paraId="5427B7C8" w14:textId="77777777" w:rsidR="00FC14FC" w:rsidRDefault="00FC14FC" w:rsidP="00D11B9D">
                  <w:pPr>
                    <w:pStyle w:val="TableBodyText"/>
                  </w:pPr>
                  <w:r>
                    <w:t>23.8</w:t>
                  </w:r>
                </w:p>
              </w:tc>
              <w:tc>
                <w:tcPr>
                  <w:tcW w:w="1103" w:type="pct"/>
                  <w:vAlign w:val="bottom"/>
                </w:tcPr>
                <w:p w14:paraId="12C2530B" w14:textId="77777777" w:rsidR="00FC14FC" w:rsidRDefault="00FC14FC" w:rsidP="00D11B9D">
                  <w:pPr>
                    <w:pStyle w:val="TableBodyText"/>
                  </w:pPr>
                  <w:r w:rsidRPr="00D55C9C">
                    <w:t>24.8</w:t>
                  </w:r>
                </w:p>
              </w:tc>
              <w:tc>
                <w:tcPr>
                  <w:tcW w:w="1230" w:type="pct"/>
                  <w:vAlign w:val="bottom"/>
                </w:tcPr>
                <w:p w14:paraId="43F8893D" w14:textId="77777777" w:rsidR="00FC14FC" w:rsidRPr="00D55C9C" w:rsidRDefault="00FC14FC" w:rsidP="00D11B9D">
                  <w:pPr>
                    <w:pStyle w:val="TableBodyText"/>
                    <w:ind w:right="28"/>
                  </w:pPr>
                  <w:r w:rsidRPr="00D55C9C">
                    <w:t>12.9</w:t>
                  </w:r>
                </w:p>
              </w:tc>
            </w:tr>
            <w:tr w:rsidR="00FC14FC" w14:paraId="22D2B623" w14:textId="77777777" w:rsidTr="00D11B9D">
              <w:tc>
                <w:tcPr>
                  <w:tcW w:w="1475" w:type="pct"/>
                  <w:shd w:val="pct5" w:color="auto" w:fill="auto"/>
                  <w:vAlign w:val="bottom"/>
                </w:tcPr>
                <w:p w14:paraId="48402616" w14:textId="77777777" w:rsidR="00FC14FC" w:rsidRDefault="00FC14FC" w:rsidP="00D11B9D">
                  <w:pPr>
                    <w:pStyle w:val="TableBodyText"/>
                    <w:jc w:val="left"/>
                  </w:pPr>
                  <w:r>
                    <w:t>Domestic fixed income</w:t>
                  </w:r>
                </w:p>
              </w:tc>
              <w:tc>
                <w:tcPr>
                  <w:tcW w:w="1192" w:type="pct"/>
                  <w:shd w:val="pct5" w:color="auto" w:fill="auto"/>
                  <w:vAlign w:val="bottom"/>
                </w:tcPr>
                <w:p w14:paraId="6001EDAF" w14:textId="77777777" w:rsidR="00FC14FC" w:rsidRDefault="00FC14FC" w:rsidP="00D11B9D">
                  <w:pPr>
                    <w:pStyle w:val="TableBodyText"/>
                  </w:pPr>
                  <w:r>
                    <w:t>3.4</w:t>
                  </w:r>
                </w:p>
              </w:tc>
              <w:tc>
                <w:tcPr>
                  <w:tcW w:w="1103" w:type="pct"/>
                  <w:shd w:val="pct5" w:color="auto" w:fill="auto"/>
                  <w:vAlign w:val="bottom"/>
                </w:tcPr>
                <w:p w14:paraId="45084EA8" w14:textId="77777777" w:rsidR="00FC14FC" w:rsidRDefault="00FC14FC" w:rsidP="00D11B9D">
                  <w:pPr>
                    <w:pStyle w:val="TableBodyText"/>
                    <w:ind w:right="28"/>
                  </w:pPr>
                  <w:r w:rsidRPr="00D55C9C">
                    <w:t>1.5</w:t>
                  </w:r>
                  <w:r w:rsidRPr="007C08E3">
                    <w:rPr>
                      <w:rStyle w:val="NoteLabel"/>
                    </w:rPr>
                    <w:t>b</w:t>
                  </w:r>
                </w:p>
              </w:tc>
              <w:tc>
                <w:tcPr>
                  <w:tcW w:w="1230" w:type="pct"/>
                  <w:shd w:val="pct5" w:color="auto" w:fill="auto"/>
                  <w:vAlign w:val="bottom"/>
                </w:tcPr>
                <w:p w14:paraId="6ABE5513" w14:textId="77777777" w:rsidR="00FC14FC" w:rsidRPr="00D55C9C" w:rsidRDefault="00FC14FC" w:rsidP="00D11B9D">
                  <w:pPr>
                    <w:pStyle w:val="TableBodyText"/>
                    <w:ind w:right="28"/>
                  </w:pPr>
                  <w:r w:rsidRPr="00D55C9C">
                    <w:t>13.3</w:t>
                  </w:r>
                </w:p>
              </w:tc>
            </w:tr>
            <w:tr w:rsidR="00FC14FC" w14:paraId="374C39F6" w14:textId="77777777" w:rsidTr="00D11B9D">
              <w:tc>
                <w:tcPr>
                  <w:tcW w:w="1475" w:type="pct"/>
                  <w:vAlign w:val="bottom"/>
                </w:tcPr>
                <w:p w14:paraId="08A21657" w14:textId="77777777" w:rsidR="00FC14FC" w:rsidRDefault="00FC14FC" w:rsidP="00D11B9D">
                  <w:pPr>
                    <w:pStyle w:val="TableBodyText"/>
                    <w:jc w:val="left"/>
                  </w:pPr>
                  <w:r>
                    <w:t>International fixed income</w:t>
                  </w:r>
                </w:p>
              </w:tc>
              <w:tc>
                <w:tcPr>
                  <w:tcW w:w="1192" w:type="pct"/>
                  <w:vAlign w:val="bottom"/>
                </w:tcPr>
                <w:p w14:paraId="4D3FAEDE" w14:textId="77777777" w:rsidR="00FC14FC" w:rsidRDefault="00FC14FC" w:rsidP="00D11B9D">
                  <w:pPr>
                    <w:pStyle w:val="TableBodyText"/>
                  </w:pPr>
                  <w:r>
                    <w:t>2.6</w:t>
                  </w:r>
                </w:p>
              </w:tc>
              <w:tc>
                <w:tcPr>
                  <w:tcW w:w="1103" w:type="pct"/>
                  <w:vAlign w:val="bottom"/>
                </w:tcPr>
                <w:p w14:paraId="1F245B62" w14:textId="77777777" w:rsidR="00FC14FC" w:rsidRDefault="00FC14FC" w:rsidP="00D11B9D">
                  <w:pPr>
                    <w:pStyle w:val="TableBodyText"/>
                  </w:pPr>
                  <w:r w:rsidRPr="00D55C9C">
                    <w:t>na</w:t>
                  </w:r>
                </w:p>
              </w:tc>
              <w:tc>
                <w:tcPr>
                  <w:tcW w:w="1230" w:type="pct"/>
                  <w:vAlign w:val="bottom"/>
                </w:tcPr>
                <w:p w14:paraId="50D2852F" w14:textId="77777777" w:rsidR="00FC14FC" w:rsidRPr="00D55C9C" w:rsidRDefault="00FC14FC" w:rsidP="00D11B9D">
                  <w:pPr>
                    <w:pStyle w:val="TableBodyText"/>
                    <w:ind w:right="28"/>
                  </w:pPr>
                  <w:r w:rsidRPr="00D55C9C">
                    <w:t>7.5</w:t>
                  </w:r>
                </w:p>
              </w:tc>
            </w:tr>
            <w:tr w:rsidR="00FC14FC" w14:paraId="5E924BE1" w14:textId="77777777" w:rsidTr="00D11B9D">
              <w:tc>
                <w:tcPr>
                  <w:tcW w:w="1475" w:type="pct"/>
                  <w:shd w:val="pct5" w:color="auto" w:fill="auto"/>
                  <w:vAlign w:val="bottom"/>
                </w:tcPr>
                <w:p w14:paraId="02585CB3" w14:textId="77777777" w:rsidR="00FC14FC" w:rsidRDefault="00FC14FC" w:rsidP="00D11B9D">
                  <w:pPr>
                    <w:pStyle w:val="TableBodyText"/>
                    <w:jc w:val="left"/>
                  </w:pPr>
                  <w:r>
                    <w:t>Domestic listed equities</w:t>
                  </w:r>
                </w:p>
              </w:tc>
              <w:tc>
                <w:tcPr>
                  <w:tcW w:w="1192" w:type="pct"/>
                  <w:shd w:val="pct5" w:color="auto" w:fill="auto"/>
                  <w:vAlign w:val="bottom"/>
                </w:tcPr>
                <w:p w14:paraId="12E8F9B3" w14:textId="77777777" w:rsidR="00FC14FC" w:rsidRDefault="00FC14FC" w:rsidP="00D11B9D">
                  <w:pPr>
                    <w:pStyle w:val="TableBodyText"/>
                  </w:pPr>
                  <w:r>
                    <w:t>30.6</w:t>
                  </w:r>
                </w:p>
              </w:tc>
              <w:tc>
                <w:tcPr>
                  <w:tcW w:w="1103" w:type="pct"/>
                  <w:shd w:val="pct5" w:color="auto" w:fill="auto"/>
                  <w:vAlign w:val="bottom"/>
                </w:tcPr>
                <w:p w14:paraId="0EC00420" w14:textId="77777777" w:rsidR="00FC14FC" w:rsidRDefault="00FC14FC" w:rsidP="00D11B9D">
                  <w:pPr>
                    <w:pStyle w:val="TableBodyText"/>
                  </w:pPr>
                  <w:r w:rsidRPr="00D55C9C">
                    <w:t>29.5</w:t>
                  </w:r>
                </w:p>
              </w:tc>
              <w:tc>
                <w:tcPr>
                  <w:tcW w:w="1230" w:type="pct"/>
                  <w:shd w:val="pct5" w:color="auto" w:fill="auto"/>
                  <w:vAlign w:val="bottom"/>
                </w:tcPr>
                <w:p w14:paraId="776AFDAA" w14:textId="77777777" w:rsidR="00FC14FC" w:rsidRPr="00D55C9C" w:rsidRDefault="00FC14FC" w:rsidP="00D11B9D">
                  <w:pPr>
                    <w:pStyle w:val="TableBodyText"/>
                    <w:ind w:right="28"/>
                  </w:pPr>
                  <w:r w:rsidRPr="00D55C9C">
                    <w:t>22.5</w:t>
                  </w:r>
                </w:p>
              </w:tc>
            </w:tr>
            <w:tr w:rsidR="00FC14FC" w14:paraId="105A92EF" w14:textId="77777777" w:rsidTr="00D11B9D">
              <w:tc>
                <w:tcPr>
                  <w:tcW w:w="1475" w:type="pct"/>
                  <w:vAlign w:val="bottom"/>
                </w:tcPr>
                <w:p w14:paraId="2D75F0F3" w14:textId="77777777" w:rsidR="00FC14FC" w:rsidRDefault="00FC14FC" w:rsidP="00D11B9D">
                  <w:pPr>
                    <w:pStyle w:val="TableBodyText"/>
                    <w:jc w:val="left"/>
                  </w:pPr>
                  <w:r>
                    <w:t>International listed equities</w:t>
                  </w:r>
                </w:p>
              </w:tc>
              <w:tc>
                <w:tcPr>
                  <w:tcW w:w="1192" w:type="pct"/>
                  <w:vAlign w:val="bottom"/>
                </w:tcPr>
                <w:p w14:paraId="20A95792" w14:textId="77777777" w:rsidR="00FC14FC" w:rsidRDefault="00FC14FC" w:rsidP="00D11B9D">
                  <w:pPr>
                    <w:pStyle w:val="TableBodyText"/>
                  </w:pPr>
                  <w:r>
                    <w:t>5.4</w:t>
                  </w:r>
                </w:p>
              </w:tc>
              <w:tc>
                <w:tcPr>
                  <w:tcW w:w="1103" w:type="pct"/>
                  <w:vAlign w:val="bottom"/>
                </w:tcPr>
                <w:p w14:paraId="1B9145D9" w14:textId="77777777" w:rsidR="00FC14FC" w:rsidRDefault="00FC14FC" w:rsidP="00D11B9D">
                  <w:pPr>
                    <w:pStyle w:val="TableBodyText"/>
                  </w:pPr>
                  <w:r w:rsidRPr="00D55C9C">
                    <w:t>0.6</w:t>
                  </w:r>
                </w:p>
              </w:tc>
              <w:tc>
                <w:tcPr>
                  <w:tcW w:w="1230" w:type="pct"/>
                  <w:vAlign w:val="bottom"/>
                </w:tcPr>
                <w:p w14:paraId="2F314616" w14:textId="77777777" w:rsidR="00FC14FC" w:rsidRPr="00D55C9C" w:rsidRDefault="00FC14FC" w:rsidP="00D11B9D">
                  <w:pPr>
                    <w:pStyle w:val="TableBodyText"/>
                    <w:ind w:right="28"/>
                  </w:pPr>
                  <w:r w:rsidRPr="00D55C9C">
                    <w:t>21.5</w:t>
                  </w:r>
                </w:p>
              </w:tc>
            </w:tr>
            <w:tr w:rsidR="00FC14FC" w14:paraId="1F088436" w14:textId="77777777" w:rsidTr="00D11B9D">
              <w:tc>
                <w:tcPr>
                  <w:tcW w:w="1475" w:type="pct"/>
                  <w:shd w:val="pct5" w:color="auto" w:fill="auto"/>
                  <w:vAlign w:val="bottom"/>
                </w:tcPr>
                <w:p w14:paraId="7DC3A599" w14:textId="77777777" w:rsidR="00FC14FC" w:rsidRDefault="00FC14FC" w:rsidP="00D11B9D">
                  <w:pPr>
                    <w:pStyle w:val="TableBodyText"/>
                    <w:jc w:val="left"/>
                  </w:pPr>
                  <w:r w:rsidRPr="0074456E">
                    <w:t>Private equity</w:t>
                  </w:r>
                </w:p>
              </w:tc>
              <w:tc>
                <w:tcPr>
                  <w:tcW w:w="1192" w:type="pct"/>
                  <w:shd w:val="pct5" w:color="auto" w:fill="auto"/>
                  <w:vAlign w:val="bottom"/>
                </w:tcPr>
                <w:p w14:paraId="55B4E96C" w14:textId="77777777" w:rsidR="00FC14FC" w:rsidRDefault="00FC14FC" w:rsidP="00D11B9D">
                  <w:pPr>
                    <w:pStyle w:val="TableBodyText"/>
                  </w:pPr>
                  <w:r>
                    <w:t>1.3</w:t>
                  </w:r>
                </w:p>
              </w:tc>
              <w:tc>
                <w:tcPr>
                  <w:tcW w:w="1103" w:type="pct"/>
                  <w:shd w:val="pct5" w:color="auto" w:fill="auto"/>
                  <w:vAlign w:val="bottom"/>
                </w:tcPr>
                <w:p w14:paraId="186BC468" w14:textId="77777777" w:rsidR="00FC14FC" w:rsidRDefault="00FC14FC" w:rsidP="00D11B9D">
                  <w:pPr>
                    <w:pStyle w:val="TableBodyText"/>
                  </w:pPr>
                  <w:r w:rsidRPr="00D55C9C">
                    <w:t>1.0</w:t>
                  </w:r>
                </w:p>
              </w:tc>
              <w:tc>
                <w:tcPr>
                  <w:tcW w:w="1230" w:type="pct"/>
                  <w:shd w:val="pct5" w:color="auto" w:fill="auto"/>
                  <w:vAlign w:val="bottom"/>
                </w:tcPr>
                <w:p w14:paraId="795A7A08" w14:textId="77777777" w:rsidR="00FC14FC" w:rsidRPr="00D55C9C" w:rsidRDefault="00FC14FC" w:rsidP="00D11B9D">
                  <w:pPr>
                    <w:pStyle w:val="TableBodyText"/>
                    <w:ind w:right="28"/>
                  </w:pPr>
                  <w:r w:rsidRPr="00D55C9C">
                    <w:t>4.4</w:t>
                  </w:r>
                </w:p>
              </w:tc>
            </w:tr>
            <w:tr w:rsidR="00FC14FC" w14:paraId="10DD746C" w14:textId="77777777" w:rsidTr="00D11B9D">
              <w:tc>
                <w:tcPr>
                  <w:tcW w:w="1475" w:type="pct"/>
                  <w:vAlign w:val="bottom"/>
                </w:tcPr>
                <w:p w14:paraId="24C4D679" w14:textId="77777777" w:rsidR="00FC14FC" w:rsidRDefault="00FC14FC" w:rsidP="00D11B9D">
                  <w:pPr>
                    <w:pStyle w:val="TableBodyText"/>
                    <w:jc w:val="left"/>
                  </w:pPr>
                  <w:r w:rsidRPr="0074456E">
                    <w:t>Listed property</w:t>
                  </w:r>
                </w:p>
              </w:tc>
              <w:tc>
                <w:tcPr>
                  <w:tcW w:w="1192" w:type="pct"/>
                  <w:vAlign w:val="bottom"/>
                </w:tcPr>
                <w:p w14:paraId="2E64A50B" w14:textId="77777777" w:rsidR="00FC14FC" w:rsidRDefault="00FC14FC" w:rsidP="00D11B9D">
                  <w:pPr>
                    <w:pStyle w:val="TableBodyText"/>
                  </w:pPr>
                  <w:r>
                    <w:t>1.5</w:t>
                  </w:r>
                </w:p>
              </w:tc>
              <w:tc>
                <w:tcPr>
                  <w:tcW w:w="1103" w:type="pct"/>
                  <w:vAlign w:val="bottom"/>
                </w:tcPr>
                <w:p w14:paraId="661C5C9A" w14:textId="77777777" w:rsidR="00FC14FC" w:rsidRDefault="00FC14FC" w:rsidP="00D11B9D">
                  <w:pPr>
                    <w:pStyle w:val="TableBodyText"/>
                  </w:pPr>
                  <w:r w:rsidRPr="00D55C9C">
                    <w:t>na</w:t>
                  </w:r>
                </w:p>
              </w:tc>
              <w:tc>
                <w:tcPr>
                  <w:tcW w:w="1230" w:type="pct"/>
                  <w:vAlign w:val="bottom"/>
                </w:tcPr>
                <w:p w14:paraId="69197654" w14:textId="77777777" w:rsidR="00FC14FC" w:rsidRPr="00D55C9C" w:rsidRDefault="00FC14FC" w:rsidP="00D11B9D">
                  <w:pPr>
                    <w:pStyle w:val="TableBodyText"/>
                    <w:ind w:right="28"/>
                  </w:pPr>
                  <w:r w:rsidRPr="00D55C9C">
                    <w:t>3.8</w:t>
                  </w:r>
                </w:p>
              </w:tc>
            </w:tr>
            <w:tr w:rsidR="00FC14FC" w14:paraId="078F17CD" w14:textId="77777777" w:rsidTr="00D11B9D">
              <w:tc>
                <w:tcPr>
                  <w:tcW w:w="1475" w:type="pct"/>
                  <w:shd w:val="pct5" w:color="auto" w:fill="auto"/>
                  <w:vAlign w:val="bottom"/>
                </w:tcPr>
                <w:p w14:paraId="1AC80909" w14:textId="77777777" w:rsidR="00FC14FC" w:rsidRDefault="00FC14FC" w:rsidP="00D11B9D">
                  <w:pPr>
                    <w:pStyle w:val="TableBodyText"/>
                    <w:jc w:val="left"/>
                  </w:pPr>
                  <w:r w:rsidRPr="0074456E">
                    <w:t>Unlisted property</w:t>
                  </w:r>
                </w:p>
              </w:tc>
              <w:tc>
                <w:tcPr>
                  <w:tcW w:w="1192" w:type="pct"/>
                  <w:shd w:val="pct5" w:color="auto" w:fill="auto"/>
                  <w:vAlign w:val="bottom"/>
                </w:tcPr>
                <w:p w14:paraId="070F61C9" w14:textId="77777777" w:rsidR="00FC14FC" w:rsidRDefault="00FC14FC" w:rsidP="00D11B9D">
                  <w:pPr>
                    <w:pStyle w:val="TableBodyText"/>
                  </w:pPr>
                  <w:r>
                    <w:t>19.2</w:t>
                  </w:r>
                </w:p>
              </w:tc>
              <w:tc>
                <w:tcPr>
                  <w:tcW w:w="1103" w:type="pct"/>
                  <w:shd w:val="pct5" w:color="auto" w:fill="auto"/>
                  <w:vAlign w:val="bottom"/>
                </w:tcPr>
                <w:p w14:paraId="74270261" w14:textId="77777777" w:rsidR="00FC14FC" w:rsidRDefault="00FC14FC" w:rsidP="00D11B9D">
                  <w:pPr>
                    <w:pStyle w:val="TableBodyText"/>
                  </w:pPr>
                  <w:r w:rsidRPr="00D55C9C">
                    <w:t>14.9</w:t>
                  </w:r>
                </w:p>
              </w:tc>
              <w:tc>
                <w:tcPr>
                  <w:tcW w:w="1230" w:type="pct"/>
                  <w:shd w:val="pct5" w:color="auto" w:fill="auto"/>
                  <w:vAlign w:val="bottom"/>
                </w:tcPr>
                <w:p w14:paraId="17934372" w14:textId="77777777" w:rsidR="00FC14FC" w:rsidRPr="00D55C9C" w:rsidRDefault="00FC14FC" w:rsidP="00D11B9D">
                  <w:pPr>
                    <w:pStyle w:val="TableBodyText"/>
                    <w:ind w:right="28"/>
                  </w:pPr>
                  <w:r w:rsidRPr="00D55C9C">
                    <w:t>5.2</w:t>
                  </w:r>
                </w:p>
              </w:tc>
            </w:tr>
            <w:tr w:rsidR="00FC14FC" w14:paraId="7E1BB12F" w14:textId="77777777" w:rsidTr="00D11B9D">
              <w:tc>
                <w:tcPr>
                  <w:tcW w:w="1475" w:type="pct"/>
                  <w:vAlign w:val="bottom"/>
                </w:tcPr>
                <w:p w14:paraId="1790CD78" w14:textId="77777777" w:rsidR="00FC14FC" w:rsidRDefault="00FC14FC" w:rsidP="00D11B9D">
                  <w:pPr>
                    <w:pStyle w:val="TableBodyText"/>
                    <w:jc w:val="left"/>
                  </w:pPr>
                  <w:r w:rsidRPr="0074456E">
                    <w:t>Listed infrastructure</w:t>
                  </w:r>
                </w:p>
              </w:tc>
              <w:tc>
                <w:tcPr>
                  <w:tcW w:w="1192" w:type="pct"/>
                  <w:vAlign w:val="bottom"/>
                </w:tcPr>
                <w:p w14:paraId="29273EB3" w14:textId="77777777" w:rsidR="00FC14FC" w:rsidRDefault="00FC14FC" w:rsidP="00D11B9D">
                  <w:pPr>
                    <w:pStyle w:val="TableBodyText"/>
                  </w:pPr>
                  <w:r>
                    <w:t>1.2</w:t>
                  </w:r>
                </w:p>
              </w:tc>
              <w:tc>
                <w:tcPr>
                  <w:tcW w:w="1103" w:type="pct"/>
                  <w:vAlign w:val="bottom"/>
                </w:tcPr>
                <w:p w14:paraId="619D2527" w14:textId="77777777" w:rsidR="00FC14FC" w:rsidRDefault="00FC14FC" w:rsidP="00D11B9D">
                  <w:pPr>
                    <w:pStyle w:val="TableBodyText"/>
                  </w:pPr>
                  <w:r w:rsidRPr="00D55C9C">
                    <w:t>na</w:t>
                  </w:r>
                </w:p>
              </w:tc>
              <w:tc>
                <w:tcPr>
                  <w:tcW w:w="1230" w:type="pct"/>
                  <w:vAlign w:val="bottom"/>
                </w:tcPr>
                <w:p w14:paraId="64A737FC" w14:textId="77777777" w:rsidR="00FC14FC" w:rsidRPr="00D55C9C" w:rsidRDefault="00FC14FC" w:rsidP="00D11B9D">
                  <w:pPr>
                    <w:pStyle w:val="TableBodyText"/>
                    <w:ind w:right="28"/>
                  </w:pPr>
                  <w:r w:rsidRPr="00D55C9C">
                    <w:t>1.5</w:t>
                  </w:r>
                </w:p>
              </w:tc>
            </w:tr>
            <w:tr w:rsidR="00FC14FC" w14:paraId="369F8EE4" w14:textId="77777777" w:rsidTr="00D11B9D">
              <w:tc>
                <w:tcPr>
                  <w:tcW w:w="1475" w:type="pct"/>
                  <w:shd w:val="pct5" w:color="auto" w:fill="auto"/>
                  <w:vAlign w:val="bottom"/>
                </w:tcPr>
                <w:p w14:paraId="076954D5" w14:textId="77777777" w:rsidR="00FC14FC" w:rsidRDefault="00FC14FC" w:rsidP="00D11B9D">
                  <w:pPr>
                    <w:pStyle w:val="TableBodyText"/>
                    <w:jc w:val="left"/>
                  </w:pPr>
                  <w:r w:rsidRPr="0074456E">
                    <w:t>Unlisted infrastructure</w:t>
                  </w:r>
                </w:p>
              </w:tc>
              <w:tc>
                <w:tcPr>
                  <w:tcW w:w="1192" w:type="pct"/>
                  <w:shd w:val="pct5" w:color="auto" w:fill="auto"/>
                  <w:vAlign w:val="bottom"/>
                </w:tcPr>
                <w:p w14:paraId="6EE8337C" w14:textId="77777777" w:rsidR="00FC14FC" w:rsidRDefault="00FC14FC" w:rsidP="00D11B9D">
                  <w:pPr>
                    <w:pStyle w:val="TableBodyText"/>
                  </w:pPr>
                  <w:r>
                    <w:t>0.0</w:t>
                  </w:r>
                </w:p>
              </w:tc>
              <w:tc>
                <w:tcPr>
                  <w:tcW w:w="1103" w:type="pct"/>
                  <w:shd w:val="pct5" w:color="auto" w:fill="auto"/>
                  <w:vAlign w:val="bottom"/>
                </w:tcPr>
                <w:p w14:paraId="5D0C2085" w14:textId="77777777" w:rsidR="00FC14FC" w:rsidRDefault="00FC14FC" w:rsidP="00D11B9D">
                  <w:pPr>
                    <w:pStyle w:val="TableBodyText"/>
                  </w:pPr>
                  <w:r w:rsidRPr="00D55C9C">
                    <w:t>na</w:t>
                  </w:r>
                </w:p>
              </w:tc>
              <w:tc>
                <w:tcPr>
                  <w:tcW w:w="1230" w:type="pct"/>
                  <w:shd w:val="pct5" w:color="auto" w:fill="auto"/>
                  <w:vAlign w:val="bottom"/>
                </w:tcPr>
                <w:p w14:paraId="35486D8D" w14:textId="77777777" w:rsidR="00FC14FC" w:rsidRPr="00D55C9C" w:rsidRDefault="00FC14FC" w:rsidP="00D11B9D">
                  <w:pPr>
                    <w:pStyle w:val="TableBodyText"/>
                    <w:ind w:right="28"/>
                  </w:pPr>
                  <w:r w:rsidRPr="00D55C9C">
                    <w:t>3.5</w:t>
                  </w:r>
                </w:p>
              </w:tc>
            </w:tr>
            <w:tr w:rsidR="00FC14FC" w14:paraId="4F23BF6C" w14:textId="77777777" w:rsidTr="00D11B9D">
              <w:tc>
                <w:tcPr>
                  <w:tcW w:w="1475" w:type="pct"/>
                  <w:tcBorders>
                    <w:bottom w:val="single" w:sz="6" w:space="0" w:color="BFBFBF"/>
                  </w:tcBorders>
                  <w:shd w:val="clear" w:color="auto" w:fill="auto"/>
                  <w:vAlign w:val="bottom"/>
                </w:tcPr>
                <w:p w14:paraId="2239A469" w14:textId="77777777" w:rsidR="00FC14FC" w:rsidRDefault="00FC14FC" w:rsidP="00D11B9D">
                  <w:pPr>
                    <w:pStyle w:val="TableBodyText"/>
                    <w:jc w:val="left"/>
                  </w:pPr>
                  <w:r>
                    <w:t>Other</w:t>
                  </w:r>
                </w:p>
              </w:tc>
              <w:tc>
                <w:tcPr>
                  <w:tcW w:w="1192" w:type="pct"/>
                  <w:tcBorders>
                    <w:bottom w:val="single" w:sz="6" w:space="0" w:color="BFBFBF"/>
                  </w:tcBorders>
                  <w:vAlign w:val="bottom"/>
                </w:tcPr>
                <w:p w14:paraId="186512FC" w14:textId="77777777" w:rsidR="00FC14FC" w:rsidRDefault="00FC14FC" w:rsidP="00D11B9D">
                  <w:pPr>
                    <w:pStyle w:val="TableBodyText"/>
                  </w:pPr>
                  <w:r>
                    <w:t>10.8</w:t>
                  </w:r>
                </w:p>
              </w:tc>
              <w:tc>
                <w:tcPr>
                  <w:tcW w:w="1103" w:type="pct"/>
                  <w:tcBorders>
                    <w:bottom w:val="single" w:sz="6" w:space="0" w:color="BFBFBF"/>
                  </w:tcBorders>
                  <w:vAlign w:val="bottom"/>
                </w:tcPr>
                <w:p w14:paraId="789601EB" w14:textId="77777777" w:rsidR="00FC14FC" w:rsidRDefault="00FC14FC" w:rsidP="00D11B9D">
                  <w:pPr>
                    <w:pStyle w:val="TableBodyText"/>
                  </w:pPr>
                  <w:r w:rsidRPr="00D55C9C">
                    <w:t>27.6</w:t>
                  </w:r>
                </w:p>
              </w:tc>
              <w:tc>
                <w:tcPr>
                  <w:tcW w:w="1230" w:type="pct"/>
                  <w:tcBorders>
                    <w:bottom w:val="single" w:sz="6" w:space="0" w:color="BFBFBF"/>
                  </w:tcBorders>
                  <w:vAlign w:val="bottom"/>
                </w:tcPr>
                <w:p w14:paraId="2DD4934D" w14:textId="77777777" w:rsidR="00FC14FC" w:rsidRDefault="00FC14FC" w:rsidP="00D11B9D">
                  <w:pPr>
                    <w:pStyle w:val="TableBodyText"/>
                    <w:ind w:right="28"/>
                  </w:pPr>
                  <w:r w:rsidRPr="00D55C9C">
                    <w:t>3.8</w:t>
                  </w:r>
                </w:p>
              </w:tc>
            </w:tr>
          </w:tbl>
          <w:p w14:paraId="297372E5" w14:textId="77777777" w:rsidR="00FC14FC" w:rsidRDefault="00FC14FC" w:rsidP="00D11B9D">
            <w:pPr>
              <w:pStyle w:val="Box"/>
            </w:pPr>
          </w:p>
        </w:tc>
      </w:tr>
      <w:tr w:rsidR="00FC14FC" w14:paraId="75A6B26C" w14:textId="77777777" w:rsidTr="00D11B9D">
        <w:tc>
          <w:tcPr>
            <w:tcW w:w="5000" w:type="pct"/>
            <w:tcBorders>
              <w:top w:val="nil"/>
              <w:left w:val="nil"/>
              <w:bottom w:val="nil"/>
              <w:right w:val="nil"/>
            </w:tcBorders>
            <w:shd w:val="clear" w:color="auto" w:fill="auto"/>
          </w:tcPr>
          <w:p w14:paraId="4C7312D7" w14:textId="77777777" w:rsidR="00FC14FC" w:rsidRDefault="00FC14FC" w:rsidP="00D11B9D">
            <w:pPr>
              <w:pStyle w:val="Note"/>
              <w:rPr>
                <w:i/>
              </w:rPr>
            </w:pPr>
            <w:r w:rsidRPr="008E77FE">
              <w:rPr>
                <w:rStyle w:val="NoteLabel"/>
              </w:rPr>
              <w:t>a</w:t>
            </w:r>
            <w:r>
              <w:t xml:space="preserve"> Data adjusted from share of net assets to share of total assets. </w:t>
            </w:r>
            <w:r w:rsidRPr="00C0337C">
              <w:t xml:space="preserve">Where SMSF assets could not be split into domestic/international, they have been apportioned in line with the </w:t>
            </w:r>
            <w:r>
              <w:t xml:space="preserve">observed </w:t>
            </w:r>
            <w:r w:rsidRPr="00C0337C">
              <w:t xml:space="preserve">split for </w:t>
            </w:r>
            <w:r>
              <w:t>the remaining assets in the relevant category</w:t>
            </w:r>
            <w:r w:rsidRPr="00C0337C">
              <w:t>.</w:t>
            </w:r>
            <w:r>
              <w:t xml:space="preserve"> </w:t>
            </w:r>
            <w:r>
              <w:rPr>
                <w:rStyle w:val="NoteLabel"/>
              </w:rPr>
              <w:t>b</w:t>
            </w:r>
            <w:r>
              <w:t xml:space="preserve"> Value is for debt securities (total). </w:t>
            </w:r>
            <w:r w:rsidRPr="00F95476">
              <w:t xml:space="preserve">na </w:t>
            </w:r>
            <w:r>
              <w:t>Not available.</w:t>
            </w:r>
          </w:p>
        </w:tc>
      </w:tr>
      <w:tr w:rsidR="00FC14FC" w14:paraId="04D8BF3C" w14:textId="77777777" w:rsidTr="00D11B9D">
        <w:tc>
          <w:tcPr>
            <w:tcW w:w="5000" w:type="pct"/>
            <w:tcBorders>
              <w:top w:val="nil"/>
              <w:left w:val="nil"/>
              <w:bottom w:val="nil"/>
              <w:right w:val="nil"/>
            </w:tcBorders>
            <w:shd w:val="clear" w:color="auto" w:fill="auto"/>
          </w:tcPr>
          <w:p w14:paraId="1717BDCA" w14:textId="77777777" w:rsidR="00FC14FC" w:rsidRDefault="00FC14FC" w:rsidP="00D11B9D">
            <w:pPr>
              <w:pStyle w:val="TableBodyText"/>
              <w:keepNext w:val="0"/>
              <w:spacing w:before="80" w:after="0" w:line="220" w:lineRule="exact"/>
              <w:ind w:left="0" w:right="0"/>
              <w:jc w:val="both"/>
            </w:pPr>
            <w:r>
              <w:rPr>
                <w:i/>
              </w:rPr>
              <w:t>Sources</w:t>
            </w:r>
            <w:r w:rsidRPr="00167F06">
              <w:t>:</w:t>
            </w:r>
            <w:r>
              <w:t xml:space="preserve"> ATO </w:t>
            </w:r>
            <w:r w:rsidRPr="002856AA">
              <w:rPr>
                <w:rFonts w:cs="Arial"/>
              </w:rPr>
              <w:t>(2018b)</w:t>
            </w:r>
            <w:r>
              <w:t xml:space="preserve">; APRA </w:t>
            </w:r>
            <w:r w:rsidRPr="002856AA">
              <w:rPr>
                <w:rFonts w:cs="Arial"/>
              </w:rPr>
              <w:t>(2018c)</w:t>
            </w:r>
            <w:r>
              <w:t>; Class Limited (pers. comm., 5 October 2018).</w:t>
            </w:r>
          </w:p>
        </w:tc>
      </w:tr>
      <w:tr w:rsidR="00FC14FC" w14:paraId="7E6133BF" w14:textId="77777777" w:rsidTr="00D11B9D">
        <w:tc>
          <w:tcPr>
            <w:tcW w:w="5000" w:type="pct"/>
            <w:tcBorders>
              <w:top w:val="nil"/>
              <w:left w:val="nil"/>
              <w:bottom w:val="single" w:sz="6" w:space="0" w:color="78A22F"/>
              <w:right w:val="nil"/>
            </w:tcBorders>
            <w:shd w:val="clear" w:color="auto" w:fill="auto"/>
          </w:tcPr>
          <w:p w14:paraId="0A2D13E7" w14:textId="77777777" w:rsidR="00FC14FC" w:rsidRDefault="00FC14FC" w:rsidP="00D11B9D">
            <w:pPr>
              <w:pStyle w:val="Box"/>
              <w:spacing w:before="0" w:line="120" w:lineRule="exact"/>
            </w:pPr>
          </w:p>
        </w:tc>
      </w:tr>
      <w:tr w:rsidR="00FC14FC" w:rsidRPr="000863A5" w14:paraId="2E19BFF4" w14:textId="77777777" w:rsidTr="00D11B9D">
        <w:tc>
          <w:tcPr>
            <w:tcW w:w="5000" w:type="pct"/>
            <w:tcBorders>
              <w:top w:val="single" w:sz="6" w:space="0" w:color="78A22F"/>
              <w:left w:val="nil"/>
              <w:bottom w:val="nil"/>
              <w:right w:val="nil"/>
            </w:tcBorders>
          </w:tcPr>
          <w:p w14:paraId="720B1461" w14:textId="77777777" w:rsidR="00FC14FC" w:rsidRPr="00626D32" w:rsidRDefault="00FC14FC" w:rsidP="00D11B9D">
            <w:pPr>
              <w:pStyle w:val="BoxSpaceBelow"/>
            </w:pPr>
          </w:p>
        </w:tc>
      </w:tr>
    </w:tbl>
    <w:p w14:paraId="2CE5D114" w14:textId="77777777" w:rsidR="00FC14FC" w:rsidRDefault="00FC14FC" w:rsidP="00FC14FC">
      <w:pPr>
        <w:pStyle w:val="Heading4"/>
      </w:pPr>
      <w:r>
        <w:lastRenderedPageBreak/>
        <w:t>Tax</w:t>
      </w:r>
    </w:p>
    <w:p w14:paraId="0792B327" w14:textId="77777777" w:rsidR="00FC14FC" w:rsidRDefault="00FC14FC" w:rsidP="00FC14FC">
      <w:pPr>
        <w:pStyle w:val="BodyText"/>
      </w:pPr>
      <w:r>
        <w:t xml:space="preserve">Ideally, the BPs would reflect the tax rate a fund would have paid, had it earned those returns. While superannuation funds are taxed at 15 per cent on investment income and </w:t>
      </w:r>
      <w:r w:rsidRPr="00856161">
        <w:t xml:space="preserve">capital gains, there are numerous factors that </w:t>
      </w:r>
      <w:r>
        <w:t>lead to a lower effective rate. These</w:t>
      </w:r>
      <w:r w:rsidDel="002B3559">
        <w:t xml:space="preserve"> </w:t>
      </w:r>
      <w:r>
        <w:t>include the one</w:t>
      </w:r>
      <w:r>
        <w:noBreakHyphen/>
        <w:t>third capital gains discount for assets held by superannuation funds for more than one year, the effect of imputation</w:t>
      </w:r>
      <w:r w:rsidRPr="00856161">
        <w:t xml:space="preserve"> credits</w:t>
      </w:r>
      <w:r>
        <w:t>, and the tax</w:t>
      </w:r>
      <w:r>
        <w:noBreakHyphen/>
        <w:t>free status of assets in the retirement phase.</w:t>
      </w:r>
      <w:r w:rsidDel="00B54827">
        <w:t xml:space="preserve"> </w:t>
      </w:r>
      <w:r>
        <w:t xml:space="preserve">In addition, assets may accrue a capital gains tax liability that is not realised in the time period of the analysis (unless the assets are sold). Inquiry participants noted such difficulties associated with adjusting BPs for tax (ASFA, sub. 47; AustralianSuper, sub. 43; PwC, sub. 62). </w:t>
      </w:r>
    </w:p>
    <w:p w14:paraId="21EF8C34" w14:textId="77777777" w:rsidR="00FC14FC" w:rsidRDefault="00FC14FC" w:rsidP="00FC14FC">
      <w:pPr>
        <w:pStyle w:val="BodyText"/>
      </w:pPr>
      <w:r>
        <w:t>In the draft report, the Commission subtracted the median tax paid by superannuation funds (as reported to APRA) from the BPs for each year, combined with sensitivity testing at flat rates of 5 and 7.5 per cent.</w:t>
      </w:r>
      <w:r w:rsidRPr="00CF15EF">
        <w:rPr>
          <w:rStyle w:val="FootnoteReference"/>
        </w:rPr>
        <w:footnoteReference w:id="9"/>
      </w:r>
      <w:r>
        <w:t xml:space="preserve"> (For the fund</w:t>
      </w:r>
      <w:r>
        <w:noBreakHyphen/>
        <w:t>level analysis, each fund’s individual tax rate was applied). At the time, the Commission understood that the APRA data reflected actual tax paid. Several participants criticised this approach, given it does not reflect accrued or deferred tax liabilities, arguing instead that long</w:t>
      </w:r>
      <w:r>
        <w:noBreakHyphen/>
        <w:t>term average tax rates should be used (AustralianSuper, sub. DR150) or, alternatively, a flat rate of 6 to 7.5 per cent (Chant West, sub. DR191).</w:t>
      </w:r>
    </w:p>
    <w:p w14:paraId="7DE260BB" w14:textId="77777777" w:rsidR="00FC14FC" w:rsidRPr="000136CC" w:rsidRDefault="00FC14FC" w:rsidP="00FC14FC">
      <w:pPr>
        <w:pStyle w:val="BodyText"/>
        <w:rPr>
          <w:spacing w:val="2"/>
        </w:rPr>
      </w:pPr>
      <w:r w:rsidRPr="000136CC">
        <w:rPr>
          <w:spacing w:val="2"/>
        </w:rPr>
        <w:t>On further investigation, the Commission has ascertained that the APRA data do, in fact, include an allowance for deferred tax liabilities. Combined with the fact that net returns in APRA datasets are calculated using the same tax data, the APRA tax rates have been retained for benchmarking at the system level. However, rather than using the median rate across the system, an average tax rate has been used (weighted by each fund’s investment earnings), by year</w:t>
      </w:r>
      <w:r w:rsidRPr="000136CC" w:rsidDel="00F95089">
        <w:rPr>
          <w:spacing w:val="2"/>
        </w:rPr>
        <w:t>.</w:t>
      </w:r>
    </w:p>
    <w:p w14:paraId="70A5EED3" w14:textId="77777777" w:rsidR="00FC14FC" w:rsidRDefault="00FC14FC" w:rsidP="00FC14FC">
      <w:pPr>
        <w:pStyle w:val="BodyText"/>
      </w:pPr>
      <w:r>
        <w:t>The Commission opted against using segment</w:t>
      </w:r>
      <w:r>
        <w:noBreakHyphen/>
        <w:t>tailored tax rates for segment</w:t>
      </w:r>
      <w:r>
        <w:noBreakHyphen/>
        <w:t>level analyses. Retail fund tax data produce relatively stable, negative rates over time, whereas much more volatility is evident in the broader tax data. It is not clear what is driving this. To avoid this unduly impacting results, the system average tax rate was used for segment</w:t>
      </w:r>
      <w:r>
        <w:noBreakHyphen/>
        <w:t>level analysis (rather than segment</w:t>
      </w:r>
      <w:r>
        <w:noBreakHyphen/>
        <w:t>tailored ones). And further, to avoid complexities, where some funds experience investment earnings close to zero in some years (and thus have very high or low tax rates), the Commission undertook all fund</w:t>
      </w:r>
      <w:r>
        <w:noBreakHyphen/>
        <w:t>level benchmarking on a gross</w:t>
      </w:r>
      <w:r>
        <w:noBreakHyphen/>
        <w:t>of</w:t>
      </w:r>
      <w:r>
        <w:noBreakHyphen/>
        <w:t>tax basis.</w:t>
      </w:r>
    </w:p>
    <w:p w14:paraId="28C80F76" w14:textId="77777777" w:rsidR="00FC14FC" w:rsidRDefault="00FC14FC" w:rsidP="00FC14FC">
      <w:pPr>
        <w:pStyle w:val="BodyText"/>
      </w:pPr>
      <w:r>
        <w:t>Some participants questioned the use of fund</w:t>
      </w:r>
      <w:r>
        <w:noBreakHyphen/>
        <w:t>level tax rates for benchmarking MySuper products with SuperRatings product</w:t>
      </w:r>
      <w:r>
        <w:noBreakHyphen/>
        <w:t>level data, as the fund</w:t>
      </w:r>
      <w:r>
        <w:noBreakHyphen/>
        <w:t>level data would include (untaxed) earnings in the retirement phase (ASFA, sub. DR148). In response, the Commission has</w:t>
      </w:r>
      <w:r w:rsidDel="00FF272A">
        <w:t xml:space="preserve"> </w:t>
      </w:r>
      <w:r>
        <w:t>used APRA MySuper data from 2014–2018 to impute tax rates. For years prior to 2014, this imputation was done by taking the average fund</w:t>
      </w:r>
      <w:r>
        <w:noBreakHyphen/>
        <w:t>level tax rate and adding the average difference (across 2014–2018) between the average MySuper tax rate and the average fund</w:t>
      </w:r>
      <w:r>
        <w:noBreakHyphen/>
        <w:t xml:space="preserve">level tax rate. </w:t>
      </w:r>
    </w:p>
    <w:p w14:paraId="1E05F09F" w14:textId="77777777" w:rsidR="00FC14FC" w:rsidRDefault="00FC14FC" w:rsidP="00FC14FC">
      <w:pPr>
        <w:pStyle w:val="BodyText"/>
      </w:pPr>
      <w:r>
        <w:lastRenderedPageBreak/>
        <w:t>Because crediting</w:t>
      </w:r>
      <w:r>
        <w:noBreakHyphen/>
        <w:t xml:space="preserve">rate data (from SuperRatings) were used for some </w:t>
      </w:r>
      <w:r w:rsidRPr="0067580E">
        <w:t>analys</w:t>
      </w:r>
      <w:r>
        <w:t>e</w:t>
      </w:r>
      <w:r w:rsidRPr="0067580E">
        <w:t xml:space="preserve">s, </w:t>
      </w:r>
      <w:r w:rsidRPr="00B41E06">
        <w:t>an upward adjustment has also been made to offset insurance</w:t>
      </w:r>
      <w:r w:rsidRPr="00B41E06">
        <w:noBreakHyphen/>
        <w:t>related deductions.</w:t>
      </w:r>
      <w:r w:rsidRPr="003925F3">
        <w:t xml:space="preserve"> </w:t>
      </w:r>
      <w:r>
        <w:t>F</w:t>
      </w:r>
      <w:r w:rsidRPr="0067580E">
        <w:t xml:space="preserve">unds can deduct the cost of insurance premiums from their </w:t>
      </w:r>
      <w:r w:rsidRPr="00B41E06">
        <w:t>overall tax liability, the benefits of which in practice are expected to flow back to members in the form of lower insura</w:t>
      </w:r>
      <w:r w:rsidRPr="00342A28">
        <w:t xml:space="preserve">nce costs. </w:t>
      </w:r>
      <w:r>
        <w:t xml:space="preserve">Funds typically include these deductions in the income tax item when reporting to APRA (rather than in the contributions tax item). </w:t>
      </w:r>
      <w:r w:rsidRPr="00342A28">
        <w:t xml:space="preserve">Because net returns calculated using crediting rates </w:t>
      </w:r>
      <w:r>
        <w:t>are gross of any insurance premiums, the amount of any insurance</w:t>
      </w:r>
      <w:r>
        <w:noBreakHyphen/>
        <w:t>related deductions needs to be offset from the MySuper tax data such that the tax calculation only pertains to investment earnings.</w:t>
      </w:r>
    </w:p>
    <w:p w14:paraId="64ECB390" w14:textId="77777777" w:rsidR="00FC14FC" w:rsidRPr="000136CC" w:rsidRDefault="00FC14FC" w:rsidP="00FC14FC">
      <w:pPr>
        <w:pStyle w:val="BodyText"/>
        <w:rPr>
          <w:spacing w:val="-2"/>
        </w:rPr>
      </w:pPr>
      <w:r w:rsidRPr="000136CC">
        <w:rPr>
          <w:spacing w:val="-2"/>
        </w:rPr>
        <w:t>This tax rate (the ‘accumulation rate’) has also been applied for all other analyses using SuperRatings returns data. However, for the option</w:t>
      </w:r>
      <w:r w:rsidRPr="000136CC">
        <w:rPr>
          <w:spacing w:val="-2"/>
        </w:rPr>
        <w:noBreakHyphen/>
        <w:t>type analysis, where the variation in tax rates across different option types</w:t>
      </w:r>
      <w:r w:rsidRPr="000136CC" w:rsidDel="00D017C3">
        <w:rPr>
          <w:spacing w:val="-2"/>
        </w:rPr>
        <w:t xml:space="preserve"> </w:t>
      </w:r>
      <w:r w:rsidRPr="000136CC">
        <w:rPr>
          <w:spacing w:val="-2"/>
        </w:rPr>
        <w:t xml:space="preserve">is important, different rates were calculated for the different option types by grouping fund tax data together based on the funds underlying asset allocation. </w:t>
      </w:r>
    </w:p>
    <w:p w14:paraId="67B1972B" w14:textId="77777777" w:rsidR="00FC14FC" w:rsidRDefault="00FC14FC" w:rsidP="00FC14FC">
      <w:pPr>
        <w:pStyle w:val="BodyText"/>
      </w:pPr>
      <w:r>
        <w:t xml:space="preserve">Further, the Commission used ATO </w:t>
      </w:r>
      <w:r w:rsidRPr="002856AA">
        <w:t>(2018a)</w:t>
      </w:r>
      <w:r>
        <w:t xml:space="preserve"> and SuperRatings data to estimate the impact of franking credits on an otherwise non</w:t>
      </w:r>
      <w:r>
        <w:noBreakHyphen/>
        <w:t xml:space="preserve">taxed retirement segment (the ‘retirement rate’). Table 4.24 provides information on the different tax rates applied across analyses, the average rate across the time period under analysis, and any sensitivity test rates applied. </w:t>
      </w:r>
    </w:p>
    <w:p w14:paraId="23013021" w14:textId="77777777" w:rsidR="00FC14FC" w:rsidRPr="000136C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3CA6396B" w14:textId="77777777" w:rsidTr="00D11B9D">
        <w:trPr>
          <w:tblHeader/>
        </w:trPr>
        <w:tc>
          <w:tcPr>
            <w:tcW w:w="5000" w:type="pct"/>
            <w:tcBorders>
              <w:top w:val="single" w:sz="6" w:space="0" w:color="78A22F"/>
              <w:left w:val="nil"/>
              <w:bottom w:val="nil"/>
              <w:right w:val="nil"/>
            </w:tcBorders>
            <w:shd w:val="clear" w:color="auto" w:fill="auto"/>
          </w:tcPr>
          <w:p w14:paraId="7FA01DDA" w14:textId="77777777" w:rsidR="00FC14FC" w:rsidRPr="00784A05" w:rsidRDefault="00FC14FC" w:rsidP="00D11B9D">
            <w:pPr>
              <w:pStyle w:val="TableTitle"/>
            </w:pPr>
            <w:r>
              <w:rPr>
                <w:b w:val="0"/>
              </w:rPr>
              <w:t xml:space="preserve">Table </w:t>
            </w:r>
            <w:r w:rsidDel="002956CE">
              <w:rPr>
                <w:b w:val="0"/>
              </w:rPr>
              <w:t>4.</w:t>
            </w:r>
            <w:r>
              <w:rPr>
                <w:b w:val="0"/>
              </w:rPr>
              <w:t>24</w:t>
            </w:r>
            <w:r>
              <w:tab/>
              <w:t>Tax rates applied to BPs</w:t>
            </w:r>
          </w:p>
        </w:tc>
      </w:tr>
      <w:tr w:rsidR="00FC14FC" w14:paraId="358643F4"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43"/>
              <w:gridCol w:w="1844"/>
              <w:gridCol w:w="1584"/>
              <w:gridCol w:w="1534"/>
            </w:tblGrid>
            <w:tr w:rsidR="00FC14FC" w14:paraId="150E90E8" w14:textId="77777777" w:rsidTr="00D11B9D">
              <w:trPr>
                <w:tblHeader/>
              </w:trPr>
              <w:tc>
                <w:tcPr>
                  <w:tcW w:w="2083" w:type="pct"/>
                  <w:tcBorders>
                    <w:top w:val="single" w:sz="6" w:space="0" w:color="BFBFBF"/>
                    <w:bottom w:val="single" w:sz="6" w:space="0" w:color="BFBFBF"/>
                  </w:tcBorders>
                  <w:shd w:val="clear" w:color="auto" w:fill="auto"/>
                  <w:tcMar>
                    <w:top w:w="28" w:type="dxa"/>
                  </w:tcMar>
                  <w:vAlign w:val="bottom"/>
                </w:tcPr>
                <w:p w14:paraId="4FF59636" w14:textId="77777777" w:rsidR="00FC14FC" w:rsidRDefault="00FC14FC" w:rsidP="00D11B9D">
                  <w:pPr>
                    <w:pStyle w:val="TableColumnHeading"/>
                    <w:jc w:val="left"/>
                  </w:pPr>
                  <w:r>
                    <w:t>Analysis</w:t>
                  </w:r>
                </w:p>
              </w:tc>
              <w:tc>
                <w:tcPr>
                  <w:tcW w:w="1084" w:type="pct"/>
                  <w:tcBorders>
                    <w:top w:val="single" w:sz="6" w:space="0" w:color="BFBFBF"/>
                    <w:bottom w:val="single" w:sz="6" w:space="0" w:color="BFBFBF"/>
                  </w:tcBorders>
                  <w:vAlign w:val="bottom"/>
                </w:tcPr>
                <w:p w14:paraId="1B907561" w14:textId="77777777" w:rsidR="00FC14FC" w:rsidRDefault="00FC14FC" w:rsidP="00D11B9D">
                  <w:pPr>
                    <w:pStyle w:val="TableColumnHeading"/>
                    <w:ind w:right="28"/>
                    <w:jc w:val="left"/>
                  </w:pPr>
                  <w:r>
                    <w:t>Tax rate applied</w:t>
                  </w:r>
                </w:p>
              </w:tc>
              <w:tc>
                <w:tcPr>
                  <w:tcW w:w="931" w:type="pct"/>
                  <w:tcBorders>
                    <w:top w:val="single" w:sz="6" w:space="0" w:color="BFBFBF"/>
                    <w:bottom w:val="single" w:sz="6" w:space="0" w:color="BFBFBF"/>
                  </w:tcBorders>
                  <w:shd w:val="clear" w:color="auto" w:fill="auto"/>
                  <w:tcMar>
                    <w:top w:w="28" w:type="dxa"/>
                  </w:tcMar>
                  <w:vAlign w:val="bottom"/>
                </w:tcPr>
                <w:p w14:paraId="0FF3C2F6" w14:textId="77777777" w:rsidR="00FC14FC" w:rsidRDefault="00FC14FC" w:rsidP="00D11B9D">
                  <w:pPr>
                    <w:pStyle w:val="TableColumnHeading"/>
                    <w:ind w:right="28"/>
                  </w:pPr>
                  <w:r>
                    <w:t>Average over period  (%)</w:t>
                  </w:r>
                </w:p>
              </w:tc>
              <w:tc>
                <w:tcPr>
                  <w:tcW w:w="902" w:type="pct"/>
                  <w:tcBorders>
                    <w:top w:val="single" w:sz="6" w:space="0" w:color="BFBFBF"/>
                    <w:bottom w:val="single" w:sz="6" w:space="0" w:color="BFBFBF"/>
                  </w:tcBorders>
                  <w:vAlign w:val="bottom"/>
                </w:tcPr>
                <w:p w14:paraId="158B1E1A" w14:textId="77777777" w:rsidR="00FC14FC" w:rsidRDefault="00FC14FC" w:rsidP="00D11B9D">
                  <w:pPr>
                    <w:pStyle w:val="TableColumnHeading"/>
                    <w:ind w:right="28"/>
                  </w:pPr>
                  <w:r>
                    <w:t>Sensitivity test rate applied  (%)</w:t>
                  </w:r>
                </w:p>
              </w:tc>
            </w:tr>
            <w:tr w:rsidR="00FC14FC" w14:paraId="7F89E8EC" w14:textId="77777777" w:rsidTr="00D11B9D">
              <w:tc>
                <w:tcPr>
                  <w:tcW w:w="2083" w:type="pct"/>
                  <w:shd w:val="clear" w:color="auto" w:fill="auto"/>
                  <w:vAlign w:val="bottom"/>
                </w:tcPr>
                <w:p w14:paraId="6AD9D65E" w14:textId="77777777" w:rsidR="00FC14FC" w:rsidRDefault="00FC14FC" w:rsidP="00D11B9D">
                  <w:pPr>
                    <w:pStyle w:val="TableBodyText"/>
                    <w:spacing w:before="40"/>
                    <w:jc w:val="left"/>
                  </w:pPr>
                  <w:r>
                    <w:t>APRA</w:t>
                  </w:r>
                  <w:r>
                    <w:noBreakHyphen/>
                    <w:t>regulated funds (2005–2017)</w:t>
                  </w:r>
                </w:p>
              </w:tc>
              <w:tc>
                <w:tcPr>
                  <w:tcW w:w="1084" w:type="pct"/>
                  <w:shd w:val="clear" w:color="auto" w:fill="auto"/>
                  <w:vAlign w:val="bottom"/>
                </w:tcPr>
                <w:p w14:paraId="4201B5EE" w14:textId="77777777" w:rsidR="00FC14FC" w:rsidRDefault="00FC14FC" w:rsidP="00D11B9D">
                  <w:pPr>
                    <w:pStyle w:val="TableBodyText"/>
                    <w:spacing w:before="40"/>
                    <w:jc w:val="left"/>
                  </w:pPr>
                  <w:r>
                    <w:t>APRA</w:t>
                  </w:r>
                  <w:r>
                    <w:noBreakHyphen/>
                    <w:t>regulated fund average</w:t>
                  </w:r>
                </w:p>
              </w:tc>
              <w:tc>
                <w:tcPr>
                  <w:tcW w:w="931" w:type="pct"/>
                  <w:shd w:val="clear" w:color="auto" w:fill="auto"/>
                  <w:vAlign w:val="bottom"/>
                </w:tcPr>
                <w:p w14:paraId="56AD46F3" w14:textId="77777777" w:rsidR="00FC14FC" w:rsidRPr="00244B6F" w:rsidRDefault="00FC14FC" w:rsidP="00D11B9D">
                  <w:pPr>
                    <w:pStyle w:val="TableBodyText"/>
                    <w:spacing w:before="40"/>
                    <w:ind w:right="28"/>
                  </w:pPr>
                  <w:r>
                    <w:t>0.3</w:t>
                  </w:r>
                  <w:r>
                    <w:rPr>
                      <w:rStyle w:val="NoteLabel"/>
                    </w:rPr>
                    <w:t>a</w:t>
                  </w:r>
                </w:p>
              </w:tc>
              <w:tc>
                <w:tcPr>
                  <w:tcW w:w="902" w:type="pct"/>
                  <w:shd w:val="clear" w:color="auto" w:fill="auto"/>
                  <w:vAlign w:val="bottom"/>
                </w:tcPr>
                <w:p w14:paraId="5087A9CC" w14:textId="77777777" w:rsidR="00FC14FC" w:rsidRPr="00244B6F" w:rsidRDefault="00FC14FC" w:rsidP="00D11B9D">
                  <w:pPr>
                    <w:pStyle w:val="TableBodyText"/>
                    <w:spacing w:before="40"/>
                    <w:ind w:right="28"/>
                  </w:pPr>
                  <w:r>
                    <w:t>5.0</w:t>
                  </w:r>
                </w:p>
              </w:tc>
            </w:tr>
            <w:tr w:rsidR="00FC14FC" w14:paraId="63FB1C6F" w14:textId="77777777" w:rsidTr="00D11B9D">
              <w:tc>
                <w:tcPr>
                  <w:tcW w:w="2083" w:type="pct"/>
                  <w:shd w:val="pct5" w:color="auto" w:fill="auto"/>
                  <w:vAlign w:val="bottom"/>
                </w:tcPr>
                <w:p w14:paraId="68B9A290" w14:textId="77777777" w:rsidR="00FC14FC" w:rsidRDefault="00FC14FC" w:rsidP="00D11B9D">
                  <w:pPr>
                    <w:pStyle w:val="TableBodyText"/>
                    <w:jc w:val="left"/>
                  </w:pPr>
                  <w:r>
                    <w:t>Option types (2005–2017)</w:t>
                  </w:r>
                </w:p>
              </w:tc>
              <w:tc>
                <w:tcPr>
                  <w:tcW w:w="1084" w:type="pct"/>
                  <w:shd w:val="pct5" w:color="auto" w:fill="auto"/>
                  <w:vAlign w:val="bottom"/>
                </w:tcPr>
                <w:p w14:paraId="349E5FD4" w14:textId="77777777" w:rsidR="00FC14FC" w:rsidRDefault="00FC14FC" w:rsidP="00D11B9D">
                  <w:pPr>
                    <w:pStyle w:val="TableBodyText"/>
                    <w:jc w:val="left"/>
                  </w:pPr>
                  <w:r>
                    <w:t>Accumulation rate (option</w:t>
                  </w:r>
                  <w:r>
                    <w:noBreakHyphen/>
                    <w:t>type tailored)</w:t>
                  </w:r>
                </w:p>
              </w:tc>
              <w:tc>
                <w:tcPr>
                  <w:tcW w:w="931" w:type="pct"/>
                  <w:shd w:val="pct5" w:color="auto" w:fill="auto"/>
                  <w:vAlign w:val="bottom"/>
                </w:tcPr>
                <w:p w14:paraId="3ACF28F9" w14:textId="77777777" w:rsidR="00FC14FC" w:rsidRPr="00244B6F" w:rsidRDefault="00FC14FC" w:rsidP="00D11B9D">
                  <w:pPr>
                    <w:pStyle w:val="TableBodyText"/>
                  </w:pPr>
                  <w:r>
                    <w:t>..</w:t>
                  </w:r>
                </w:p>
              </w:tc>
              <w:tc>
                <w:tcPr>
                  <w:tcW w:w="902" w:type="pct"/>
                  <w:shd w:val="pct5" w:color="auto" w:fill="auto"/>
                  <w:vAlign w:val="bottom"/>
                </w:tcPr>
                <w:p w14:paraId="3863B3F2" w14:textId="77777777" w:rsidR="00FC14FC" w:rsidRPr="00244B6F" w:rsidRDefault="00FC14FC" w:rsidP="00D11B9D">
                  <w:pPr>
                    <w:pStyle w:val="TableBodyText"/>
                    <w:ind w:right="28"/>
                  </w:pPr>
                  <w:r>
                    <w:t>5.0</w:t>
                  </w:r>
                </w:p>
              </w:tc>
            </w:tr>
            <w:tr w:rsidR="00FC14FC" w14:paraId="73B1B510" w14:textId="77777777" w:rsidTr="00D11B9D">
              <w:trPr>
                <w:trHeight w:val="301"/>
              </w:trPr>
              <w:tc>
                <w:tcPr>
                  <w:tcW w:w="2083" w:type="pct"/>
                  <w:shd w:val="clear" w:color="auto" w:fill="auto"/>
                  <w:vAlign w:val="bottom"/>
                </w:tcPr>
                <w:p w14:paraId="337EC024" w14:textId="77777777" w:rsidR="00FC14FC" w:rsidRPr="0058334B" w:rsidRDefault="00FC14FC" w:rsidP="00D11B9D">
                  <w:pPr>
                    <w:pStyle w:val="TableBodyText"/>
                    <w:jc w:val="left"/>
                  </w:pPr>
                  <w:r>
                    <w:t>Default segment (2005–2017)</w:t>
                  </w:r>
                </w:p>
              </w:tc>
              <w:tc>
                <w:tcPr>
                  <w:tcW w:w="1084" w:type="pct"/>
                  <w:shd w:val="clear" w:color="auto" w:fill="auto"/>
                  <w:vAlign w:val="bottom"/>
                </w:tcPr>
                <w:p w14:paraId="209DFB8C" w14:textId="77777777" w:rsidR="00FC14FC" w:rsidRDefault="00FC14FC" w:rsidP="00D11B9D">
                  <w:pPr>
                    <w:pStyle w:val="TableBodyText"/>
                    <w:jc w:val="left"/>
                  </w:pPr>
                  <w:r>
                    <w:t>Accumulation rate</w:t>
                  </w:r>
                </w:p>
              </w:tc>
              <w:tc>
                <w:tcPr>
                  <w:tcW w:w="931" w:type="pct"/>
                  <w:shd w:val="clear" w:color="auto" w:fill="auto"/>
                  <w:vAlign w:val="bottom"/>
                </w:tcPr>
                <w:p w14:paraId="67C7F4DC" w14:textId="77777777" w:rsidR="00FC14FC" w:rsidRPr="002771CA" w:rsidRDefault="00FC14FC" w:rsidP="00D11B9D">
                  <w:pPr>
                    <w:pStyle w:val="TableBodyText"/>
                  </w:pPr>
                  <w:r>
                    <w:t>5.5</w:t>
                  </w:r>
                </w:p>
              </w:tc>
              <w:tc>
                <w:tcPr>
                  <w:tcW w:w="902" w:type="pct"/>
                  <w:shd w:val="clear" w:color="auto" w:fill="auto"/>
                  <w:vAlign w:val="bottom"/>
                </w:tcPr>
                <w:p w14:paraId="7D09954D" w14:textId="77777777" w:rsidR="00FC14FC" w:rsidRPr="002771CA" w:rsidRDefault="00FC14FC" w:rsidP="00D11B9D">
                  <w:pPr>
                    <w:pStyle w:val="TableBodyText"/>
                    <w:ind w:right="28"/>
                  </w:pPr>
                  <w:r>
                    <w:t>7.5</w:t>
                  </w:r>
                </w:p>
              </w:tc>
            </w:tr>
            <w:tr w:rsidR="00FC14FC" w14:paraId="16CA20E4" w14:textId="77777777" w:rsidTr="00D11B9D">
              <w:trPr>
                <w:trHeight w:val="301"/>
              </w:trPr>
              <w:tc>
                <w:tcPr>
                  <w:tcW w:w="2083" w:type="pct"/>
                  <w:shd w:val="pct5" w:color="auto" w:fill="auto"/>
                  <w:vAlign w:val="bottom"/>
                </w:tcPr>
                <w:p w14:paraId="037C1E07" w14:textId="77777777" w:rsidR="00FC14FC" w:rsidRPr="0058334B" w:rsidRDefault="00FC14FC" w:rsidP="00D11B9D">
                  <w:pPr>
                    <w:pStyle w:val="TableBodyText"/>
                    <w:jc w:val="left"/>
                  </w:pPr>
                  <w:r>
                    <w:t>Choice segment (2005–2017)</w:t>
                  </w:r>
                </w:p>
              </w:tc>
              <w:tc>
                <w:tcPr>
                  <w:tcW w:w="1084" w:type="pct"/>
                  <w:shd w:val="pct5" w:color="auto" w:fill="auto"/>
                  <w:vAlign w:val="bottom"/>
                </w:tcPr>
                <w:p w14:paraId="4B98A5B8" w14:textId="77777777" w:rsidR="00FC14FC" w:rsidRDefault="00FC14FC" w:rsidP="00D11B9D">
                  <w:pPr>
                    <w:pStyle w:val="TableBodyText"/>
                    <w:jc w:val="left"/>
                  </w:pPr>
                  <w:r>
                    <w:t>Accumulation rate</w:t>
                  </w:r>
                </w:p>
              </w:tc>
              <w:tc>
                <w:tcPr>
                  <w:tcW w:w="931" w:type="pct"/>
                  <w:shd w:val="pct5" w:color="auto" w:fill="auto"/>
                  <w:vAlign w:val="bottom"/>
                </w:tcPr>
                <w:p w14:paraId="3A1A6002" w14:textId="77777777" w:rsidR="00FC14FC" w:rsidRPr="002771CA" w:rsidRDefault="00FC14FC" w:rsidP="00D11B9D">
                  <w:pPr>
                    <w:pStyle w:val="TableBodyText"/>
                  </w:pPr>
                  <w:r>
                    <w:t>5.5</w:t>
                  </w:r>
                </w:p>
              </w:tc>
              <w:tc>
                <w:tcPr>
                  <w:tcW w:w="902" w:type="pct"/>
                  <w:shd w:val="pct5" w:color="auto" w:fill="auto"/>
                  <w:vAlign w:val="bottom"/>
                </w:tcPr>
                <w:p w14:paraId="20E1F03D" w14:textId="77777777" w:rsidR="00FC14FC" w:rsidRPr="002771CA" w:rsidRDefault="00FC14FC" w:rsidP="00D11B9D">
                  <w:pPr>
                    <w:pStyle w:val="TableBodyText"/>
                    <w:ind w:right="28"/>
                  </w:pPr>
                  <w:r>
                    <w:t>7.5</w:t>
                  </w:r>
                </w:p>
              </w:tc>
            </w:tr>
            <w:tr w:rsidR="00FC14FC" w14:paraId="366BAE40" w14:textId="77777777" w:rsidTr="00D11B9D">
              <w:trPr>
                <w:trHeight w:val="301"/>
              </w:trPr>
              <w:tc>
                <w:tcPr>
                  <w:tcW w:w="2083" w:type="pct"/>
                  <w:shd w:val="clear" w:color="auto" w:fill="auto"/>
                  <w:vAlign w:val="bottom"/>
                </w:tcPr>
                <w:p w14:paraId="635C7E4D" w14:textId="77777777" w:rsidR="00FC14FC" w:rsidRPr="0058334B" w:rsidRDefault="00FC14FC" w:rsidP="00D11B9D">
                  <w:pPr>
                    <w:pStyle w:val="TableBodyText"/>
                    <w:jc w:val="left"/>
                  </w:pPr>
                  <w:r>
                    <w:t>Retail segment (2005–2007)</w:t>
                  </w:r>
                </w:p>
              </w:tc>
              <w:tc>
                <w:tcPr>
                  <w:tcW w:w="1084" w:type="pct"/>
                  <w:shd w:val="clear" w:color="auto" w:fill="auto"/>
                  <w:vAlign w:val="bottom"/>
                </w:tcPr>
                <w:p w14:paraId="6E664801" w14:textId="77777777" w:rsidR="00FC14FC" w:rsidRPr="002771CA" w:rsidRDefault="00FC14FC" w:rsidP="00D11B9D">
                  <w:pPr>
                    <w:pStyle w:val="TableBodyText"/>
                    <w:jc w:val="left"/>
                  </w:pPr>
                  <w:r>
                    <w:t>APRA</w:t>
                  </w:r>
                  <w:r>
                    <w:noBreakHyphen/>
                    <w:t>regulated fund average</w:t>
                  </w:r>
                </w:p>
              </w:tc>
              <w:tc>
                <w:tcPr>
                  <w:tcW w:w="931" w:type="pct"/>
                  <w:shd w:val="clear" w:color="auto" w:fill="auto"/>
                  <w:vAlign w:val="bottom"/>
                </w:tcPr>
                <w:p w14:paraId="64E54E1D" w14:textId="77777777" w:rsidR="00FC14FC" w:rsidRPr="002771CA" w:rsidRDefault="00FC14FC" w:rsidP="00D11B9D">
                  <w:pPr>
                    <w:pStyle w:val="TableBodyText"/>
                    <w:ind w:right="28"/>
                    <w:rPr>
                      <w:rStyle w:val="NoteLabel"/>
                    </w:rPr>
                  </w:pPr>
                  <w:r>
                    <w:t>0.3</w:t>
                  </w:r>
                  <w:r>
                    <w:rPr>
                      <w:rStyle w:val="NoteLabel"/>
                    </w:rPr>
                    <w:t>a</w:t>
                  </w:r>
                </w:p>
              </w:tc>
              <w:tc>
                <w:tcPr>
                  <w:tcW w:w="902" w:type="pct"/>
                  <w:shd w:val="clear" w:color="auto" w:fill="auto"/>
                  <w:vAlign w:val="bottom"/>
                </w:tcPr>
                <w:p w14:paraId="4BF2A333" w14:textId="77777777" w:rsidR="00FC14FC" w:rsidRPr="002771CA" w:rsidRDefault="00FC14FC" w:rsidP="00D11B9D">
                  <w:pPr>
                    <w:pStyle w:val="TableBodyText"/>
                    <w:ind w:right="28"/>
                  </w:pPr>
                  <w:r>
                    <w:t>5.0</w:t>
                  </w:r>
                </w:p>
              </w:tc>
            </w:tr>
            <w:tr w:rsidR="00FC14FC" w14:paraId="1E3510EB" w14:textId="77777777" w:rsidTr="00D11B9D">
              <w:trPr>
                <w:trHeight w:val="301"/>
              </w:trPr>
              <w:tc>
                <w:tcPr>
                  <w:tcW w:w="2083" w:type="pct"/>
                  <w:shd w:val="pct5" w:color="auto" w:fill="auto"/>
                  <w:vAlign w:val="bottom"/>
                </w:tcPr>
                <w:p w14:paraId="5C08951B" w14:textId="77777777" w:rsidR="00FC14FC" w:rsidRPr="0058334B" w:rsidRDefault="00FC14FC" w:rsidP="00D11B9D">
                  <w:pPr>
                    <w:pStyle w:val="TableBodyText"/>
                    <w:jc w:val="left"/>
                  </w:pPr>
                  <w:r>
                    <w:t>Not</w:t>
                  </w:r>
                  <w:r>
                    <w:noBreakHyphen/>
                    <w:t>for</w:t>
                  </w:r>
                  <w:r>
                    <w:noBreakHyphen/>
                    <w:t>profit segment (2005–2017)</w:t>
                  </w:r>
                </w:p>
              </w:tc>
              <w:tc>
                <w:tcPr>
                  <w:tcW w:w="1084" w:type="pct"/>
                  <w:shd w:val="pct5" w:color="auto" w:fill="auto"/>
                  <w:vAlign w:val="bottom"/>
                </w:tcPr>
                <w:p w14:paraId="504D0E11" w14:textId="77777777" w:rsidR="00FC14FC" w:rsidRDefault="00FC14FC" w:rsidP="00D11B9D">
                  <w:pPr>
                    <w:pStyle w:val="TableBodyText"/>
                    <w:jc w:val="left"/>
                  </w:pPr>
                  <w:r>
                    <w:t>APRA</w:t>
                  </w:r>
                  <w:r>
                    <w:noBreakHyphen/>
                    <w:t>regulated fund average</w:t>
                  </w:r>
                </w:p>
              </w:tc>
              <w:tc>
                <w:tcPr>
                  <w:tcW w:w="931" w:type="pct"/>
                  <w:shd w:val="pct5" w:color="auto" w:fill="auto"/>
                  <w:vAlign w:val="bottom"/>
                </w:tcPr>
                <w:p w14:paraId="3721732D" w14:textId="77777777" w:rsidR="00FC14FC" w:rsidRPr="002771CA" w:rsidRDefault="00FC14FC" w:rsidP="00D11B9D">
                  <w:pPr>
                    <w:pStyle w:val="TableBodyText"/>
                    <w:ind w:right="28"/>
                  </w:pPr>
                  <w:r>
                    <w:t>0.3</w:t>
                  </w:r>
                  <w:r>
                    <w:rPr>
                      <w:rStyle w:val="NoteLabel"/>
                    </w:rPr>
                    <w:t>a</w:t>
                  </w:r>
                </w:p>
              </w:tc>
              <w:tc>
                <w:tcPr>
                  <w:tcW w:w="902" w:type="pct"/>
                  <w:shd w:val="pct5" w:color="auto" w:fill="auto"/>
                  <w:vAlign w:val="bottom"/>
                </w:tcPr>
                <w:p w14:paraId="194C4663" w14:textId="77777777" w:rsidR="00FC14FC" w:rsidRPr="002771CA" w:rsidRDefault="00FC14FC" w:rsidP="00D11B9D">
                  <w:pPr>
                    <w:pStyle w:val="TableBodyText"/>
                    <w:ind w:right="28"/>
                  </w:pPr>
                  <w:r>
                    <w:t>5.0</w:t>
                  </w:r>
                </w:p>
              </w:tc>
            </w:tr>
            <w:tr w:rsidR="00FC14FC" w14:paraId="30042AA5" w14:textId="77777777" w:rsidTr="00D11B9D">
              <w:trPr>
                <w:trHeight w:val="301"/>
              </w:trPr>
              <w:tc>
                <w:tcPr>
                  <w:tcW w:w="2083" w:type="pct"/>
                  <w:shd w:val="clear" w:color="auto" w:fill="auto"/>
                  <w:vAlign w:val="bottom"/>
                </w:tcPr>
                <w:p w14:paraId="74D6CFC0" w14:textId="77777777" w:rsidR="00FC14FC" w:rsidRPr="0058334B" w:rsidRDefault="00FC14FC" w:rsidP="00D11B9D">
                  <w:pPr>
                    <w:pStyle w:val="TableBodyText"/>
                    <w:jc w:val="left"/>
                  </w:pPr>
                  <w:r>
                    <w:t>Accumulation segment (2005–2017)</w:t>
                  </w:r>
                </w:p>
              </w:tc>
              <w:tc>
                <w:tcPr>
                  <w:tcW w:w="1084" w:type="pct"/>
                  <w:shd w:val="clear" w:color="auto" w:fill="auto"/>
                  <w:vAlign w:val="bottom"/>
                </w:tcPr>
                <w:p w14:paraId="6FECE46B" w14:textId="77777777" w:rsidR="00FC14FC" w:rsidRDefault="00FC14FC" w:rsidP="00D11B9D">
                  <w:pPr>
                    <w:pStyle w:val="TableBodyText"/>
                    <w:jc w:val="left"/>
                  </w:pPr>
                  <w:r>
                    <w:t>Accumulation rate</w:t>
                  </w:r>
                </w:p>
              </w:tc>
              <w:tc>
                <w:tcPr>
                  <w:tcW w:w="931" w:type="pct"/>
                  <w:shd w:val="clear" w:color="auto" w:fill="auto"/>
                  <w:vAlign w:val="bottom"/>
                </w:tcPr>
                <w:p w14:paraId="6E03DDD2" w14:textId="77777777" w:rsidR="00FC14FC" w:rsidRPr="002771CA" w:rsidRDefault="00FC14FC" w:rsidP="00D11B9D">
                  <w:pPr>
                    <w:pStyle w:val="TableBodyText"/>
                  </w:pPr>
                  <w:r>
                    <w:t>5.5</w:t>
                  </w:r>
                </w:p>
              </w:tc>
              <w:tc>
                <w:tcPr>
                  <w:tcW w:w="902" w:type="pct"/>
                  <w:shd w:val="clear" w:color="auto" w:fill="auto"/>
                  <w:vAlign w:val="bottom"/>
                </w:tcPr>
                <w:p w14:paraId="2561B25C" w14:textId="77777777" w:rsidR="00FC14FC" w:rsidRPr="002771CA" w:rsidRDefault="00FC14FC" w:rsidP="00D11B9D">
                  <w:pPr>
                    <w:pStyle w:val="TableBodyText"/>
                    <w:ind w:right="28"/>
                  </w:pPr>
                  <w:r>
                    <w:t>7.5</w:t>
                  </w:r>
                </w:p>
              </w:tc>
            </w:tr>
            <w:tr w:rsidR="00FC14FC" w14:paraId="5811F142" w14:textId="77777777" w:rsidTr="00D11B9D">
              <w:trPr>
                <w:trHeight w:val="301"/>
              </w:trPr>
              <w:tc>
                <w:tcPr>
                  <w:tcW w:w="2083" w:type="pct"/>
                  <w:shd w:val="pct5" w:color="auto" w:fill="auto"/>
                  <w:vAlign w:val="bottom"/>
                </w:tcPr>
                <w:p w14:paraId="2AE4D0C3" w14:textId="77777777" w:rsidR="00FC14FC" w:rsidRPr="0058334B" w:rsidRDefault="00FC14FC" w:rsidP="00D11B9D">
                  <w:pPr>
                    <w:pStyle w:val="TableBodyText"/>
                    <w:jc w:val="left"/>
                  </w:pPr>
                  <w:r>
                    <w:t>Retirement segment (2005–2017)</w:t>
                  </w:r>
                </w:p>
              </w:tc>
              <w:tc>
                <w:tcPr>
                  <w:tcW w:w="1084" w:type="pct"/>
                  <w:shd w:val="pct5" w:color="auto" w:fill="auto"/>
                  <w:vAlign w:val="bottom"/>
                </w:tcPr>
                <w:p w14:paraId="272993FF" w14:textId="77777777" w:rsidR="00FC14FC" w:rsidRDefault="00FC14FC" w:rsidP="00D11B9D">
                  <w:pPr>
                    <w:pStyle w:val="TableBodyText"/>
                    <w:jc w:val="left"/>
                  </w:pPr>
                  <w:r>
                    <w:t>Retirement rate</w:t>
                  </w:r>
                </w:p>
              </w:tc>
              <w:tc>
                <w:tcPr>
                  <w:tcW w:w="931" w:type="pct"/>
                  <w:shd w:val="pct5" w:color="auto" w:fill="auto"/>
                  <w:vAlign w:val="bottom"/>
                </w:tcPr>
                <w:p w14:paraId="011F583C" w14:textId="77777777" w:rsidR="00FC14FC" w:rsidRPr="002771CA" w:rsidRDefault="00FC14FC" w:rsidP="00D11B9D">
                  <w:pPr>
                    <w:pStyle w:val="TableBodyText"/>
                  </w:pPr>
                  <w:r>
                    <w:noBreakHyphen/>
                    <w:t>0.3</w:t>
                  </w:r>
                </w:p>
              </w:tc>
              <w:tc>
                <w:tcPr>
                  <w:tcW w:w="902" w:type="pct"/>
                  <w:shd w:val="pct5" w:color="auto" w:fill="auto"/>
                  <w:vAlign w:val="bottom"/>
                </w:tcPr>
                <w:p w14:paraId="2A88AAEC" w14:textId="77777777" w:rsidR="00FC14FC" w:rsidRPr="002771CA" w:rsidRDefault="00FC14FC" w:rsidP="00D11B9D">
                  <w:pPr>
                    <w:pStyle w:val="TableBodyText"/>
                    <w:ind w:right="28"/>
                  </w:pPr>
                  <w:r>
                    <w:t>5.0</w:t>
                  </w:r>
                </w:p>
              </w:tc>
            </w:tr>
            <w:tr w:rsidR="00FC14FC" w14:paraId="64F23EB8" w14:textId="77777777" w:rsidTr="00D11B9D">
              <w:trPr>
                <w:trHeight w:val="301"/>
              </w:trPr>
              <w:tc>
                <w:tcPr>
                  <w:tcW w:w="2083" w:type="pct"/>
                  <w:shd w:val="clear" w:color="auto" w:fill="auto"/>
                  <w:vAlign w:val="bottom"/>
                </w:tcPr>
                <w:p w14:paraId="436147EE" w14:textId="77777777" w:rsidR="00FC14FC" w:rsidRPr="0058334B" w:rsidRDefault="00FC14FC" w:rsidP="00D11B9D">
                  <w:pPr>
                    <w:pStyle w:val="TableBodyText"/>
                    <w:jc w:val="left"/>
                  </w:pPr>
                  <w:r>
                    <w:t>Individual funds (2005–2017)</w:t>
                  </w:r>
                </w:p>
              </w:tc>
              <w:tc>
                <w:tcPr>
                  <w:tcW w:w="1084" w:type="pct"/>
                  <w:shd w:val="clear" w:color="auto" w:fill="auto"/>
                  <w:vAlign w:val="bottom"/>
                </w:tcPr>
                <w:p w14:paraId="06115A9E" w14:textId="77777777" w:rsidR="00FC14FC" w:rsidRPr="002771CA" w:rsidRDefault="00FC14FC" w:rsidP="00D11B9D">
                  <w:pPr>
                    <w:pStyle w:val="TableBodyText"/>
                    <w:jc w:val="left"/>
                  </w:pPr>
                  <w:r>
                    <w:t>Gross of tax</w:t>
                  </w:r>
                </w:p>
              </w:tc>
              <w:tc>
                <w:tcPr>
                  <w:tcW w:w="931" w:type="pct"/>
                  <w:shd w:val="clear" w:color="auto" w:fill="auto"/>
                  <w:vAlign w:val="bottom"/>
                </w:tcPr>
                <w:p w14:paraId="62CE1B1D" w14:textId="77777777" w:rsidR="00FC14FC" w:rsidRPr="002771CA" w:rsidRDefault="00FC14FC" w:rsidP="00D11B9D">
                  <w:pPr>
                    <w:pStyle w:val="TableBodyText"/>
                  </w:pPr>
                  <w:r>
                    <w:t>..</w:t>
                  </w:r>
                </w:p>
              </w:tc>
              <w:tc>
                <w:tcPr>
                  <w:tcW w:w="902" w:type="pct"/>
                  <w:shd w:val="clear" w:color="auto" w:fill="auto"/>
                  <w:vAlign w:val="bottom"/>
                </w:tcPr>
                <w:p w14:paraId="17F31ED3" w14:textId="77777777" w:rsidR="00FC14FC" w:rsidRPr="002771CA" w:rsidRDefault="00FC14FC" w:rsidP="00D11B9D">
                  <w:pPr>
                    <w:pStyle w:val="TableBodyText"/>
                    <w:ind w:right="28"/>
                  </w:pPr>
                  <w:r>
                    <w:t>..</w:t>
                  </w:r>
                </w:p>
              </w:tc>
            </w:tr>
            <w:tr w:rsidR="00FC14FC" w14:paraId="1D672766" w14:textId="77777777" w:rsidTr="00D11B9D">
              <w:trPr>
                <w:trHeight w:val="301"/>
              </w:trPr>
              <w:tc>
                <w:tcPr>
                  <w:tcW w:w="2083" w:type="pct"/>
                  <w:shd w:val="pct5" w:color="auto" w:fill="auto"/>
                  <w:vAlign w:val="bottom"/>
                </w:tcPr>
                <w:p w14:paraId="3C5D1048" w14:textId="77777777" w:rsidR="00FC14FC" w:rsidRPr="0058334B" w:rsidRDefault="00FC14FC" w:rsidP="00D11B9D">
                  <w:pPr>
                    <w:pStyle w:val="TableBodyText"/>
                    <w:jc w:val="left"/>
                  </w:pPr>
                  <w:r>
                    <w:t>Individual MySuper products (2015–2018)</w:t>
                  </w:r>
                </w:p>
              </w:tc>
              <w:tc>
                <w:tcPr>
                  <w:tcW w:w="1084" w:type="pct"/>
                  <w:shd w:val="pct5" w:color="auto" w:fill="auto"/>
                  <w:vAlign w:val="bottom"/>
                </w:tcPr>
                <w:p w14:paraId="59466229" w14:textId="77777777" w:rsidR="00FC14FC" w:rsidRDefault="00FC14FC" w:rsidP="00D11B9D">
                  <w:pPr>
                    <w:pStyle w:val="TableBodyText"/>
                    <w:jc w:val="left"/>
                  </w:pPr>
                  <w:r>
                    <w:t>Accumulation rate</w:t>
                  </w:r>
                </w:p>
              </w:tc>
              <w:tc>
                <w:tcPr>
                  <w:tcW w:w="931" w:type="pct"/>
                  <w:shd w:val="pct5" w:color="auto" w:fill="auto"/>
                  <w:vAlign w:val="bottom"/>
                </w:tcPr>
                <w:p w14:paraId="7C30AE16" w14:textId="77777777" w:rsidR="00FC14FC" w:rsidRPr="002771CA" w:rsidRDefault="00FC14FC" w:rsidP="00D11B9D">
                  <w:pPr>
                    <w:pStyle w:val="TableBodyText"/>
                  </w:pPr>
                  <w:r>
                    <w:t>6.0</w:t>
                  </w:r>
                </w:p>
              </w:tc>
              <w:tc>
                <w:tcPr>
                  <w:tcW w:w="902" w:type="pct"/>
                  <w:shd w:val="pct5" w:color="auto" w:fill="auto"/>
                  <w:vAlign w:val="bottom"/>
                </w:tcPr>
                <w:p w14:paraId="7293711C" w14:textId="77777777" w:rsidR="00FC14FC" w:rsidRPr="002771CA" w:rsidRDefault="00FC14FC" w:rsidP="00D11B9D">
                  <w:pPr>
                    <w:pStyle w:val="TableBodyText"/>
                    <w:ind w:right="28"/>
                  </w:pPr>
                  <w:r>
                    <w:t>7.5</w:t>
                  </w:r>
                </w:p>
              </w:tc>
            </w:tr>
            <w:tr w:rsidR="00FC14FC" w14:paraId="628C360E" w14:textId="77777777" w:rsidTr="00D11B9D">
              <w:trPr>
                <w:trHeight w:val="301"/>
              </w:trPr>
              <w:tc>
                <w:tcPr>
                  <w:tcW w:w="2083" w:type="pct"/>
                  <w:shd w:val="clear" w:color="auto" w:fill="auto"/>
                  <w:vAlign w:val="bottom"/>
                </w:tcPr>
                <w:p w14:paraId="195F4102" w14:textId="77777777" w:rsidR="00FC14FC" w:rsidRPr="0058334B" w:rsidRDefault="00FC14FC" w:rsidP="00D11B9D">
                  <w:pPr>
                    <w:pStyle w:val="TableBodyText"/>
                    <w:jc w:val="left"/>
                  </w:pPr>
                  <w:r>
                    <w:t>Individual MySuper products (2008–2018)</w:t>
                  </w:r>
                </w:p>
              </w:tc>
              <w:tc>
                <w:tcPr>
                  <w:tcW w:w="1084" w:type="pct"/>
                  <w:shd w:val="clear" w:color="auto" w:fill="auto"/>
                  <w:vAlign w:val="bottom"/>
                </w:tcPr>
                <w:p w14:paraId="764DB21B" w14:textId="77777777" w:rsidR="00FC14FC" w:rsidRPr="002771CA" w:rsidRDefault="00FC14FC" w:rsidP="00D11B9D">
                  <w:pPr>
                    <w:pStyle w:val="TableBodyText"/>
                    <w:jc w:val="left"/>
                  </w:pPr>
                  <w:r>
                    <w:t>Accumulation rate</w:t>
                  </w:r>
                </w:p>
              </w:tc>
              <w:tc>
                <w:tcPr>
                  <w:tcW w:w="931" w:type="pct"/>
                  <w:shd w:val="clear" w:color="auto" w:fill="auto"/>
                  <w:vAlign w:val="bottom"/>
                </w:tcPr>
                <w:p w14:paraId="1DB6A17C" w14:textId="77777777" w:rsidR="00FC14FC" w:rsidRPr="002771CA" w:rsidRDefault="00FC14FC" w:rsidP="00D11B9D">
                  <w:pPr>
                    <w:pStyle w:val="TableBodyText"/>
                  </w:pPr>
                  <w:r w:rsidRPr="002771CA">
                    <w:t>4.6</w:t>
                  </w:r>
                </w:p>
              </w:tc>
              <w:tc>
                <w:tcPr>
                  <w:tcW w:w="902" w:type="pct"/>
                  <w:shd w:val="clear" w:color="auto" w:fill="auto"/>
                  <w:vAlign w:val="bottom"/>
                </w:tcPr>
                <w:p w14:paraId="025DC647" w14:textId="77777777" w:rsidR="00FC14FC" w:rsidRPr="002771CA" w:rsidRDefault="00FC14FC" w:rsidP="00D11B9D">
                  <w:pPr>
                    <w:pStyle w:val="TableBodyText"/>
                    <w:ind w:right="28"/>
                  </w:pPr>
                  <w:r>
                    <w:t>7.5</w:t>
                  </w:r>
                </w:p>
              </w:tc>
            </w:tr>
            <w:tr w:rsidR="00FC14FC" w14:paraId="4169E220" w14:textId="77777777" w:rsidTr="00D11B9D">
              <w:trPr>
                <w:trHeight w:val="301"/>
              </w:trPr>
              <w:tc>
                <w:tcPr>
                  <w:tcW w:w="2083" w:type="pct"/>
                  <w:tcBorders>
                    <w:bottom w:val="single" w:sz="6" w:space="0" w:color="BFBFBF"/>
                  </w:tcBorders>
                  <w:shd w:val="pct5" w:color="auto" w:fill="auto"/>
                  <w:vAlign w:val="bottom"/>
                </w:tcPr>
                <w:p w14:paraId="3802B3FF" w14:textId="77777777" w:rsidR="00FC14FC" w:rsidRDefault="00FC14FC" w:rsidP="00D11B9D">
                  <w:pPr>
                    <w:pStyle w:val="TableBodyText"/>
                    <w:jc w:val="left"/>
                  </w:pPr>
                  <w:r>
                    <w:t>Individual choice products (2005–2017)</w:t>
                  </w:r>
                </w:p>
              </w:tc>
              <w:tc>
                <w:tcPr>
                  <w:tcW w:w="1084" w:type="pct"/>
                  <w:tcBorders>
                    <w:bottom w:val="single" w:sz="6" w:space="0" w:color="BFBFBF"/>
                  </w:tcBorders>
                  <w:shd w:val="pct5" w:color="auto" w:fill="auto"/>
                  <w:vAlign w:val="bottom"/>
                </w:tcPr>
                <w:p w14:paraId="5AC0003F" w14:textId="77777777" w:rsidR="00FC14FC" w:rsidRDefault="00FC14FC" w:rsidP="00D11B9D">
                  <w:pPr>
                    <w:pStyle w:val="TableBodyText"/>
                    <w:jc w:val="left"/>
                  </w:pPr>
                  <w:r>
                    <w:t>Accumulation rate</w:t>
                  </w:r>
                </w:p>
              </w:tc>
              <w:tc>
                <w:tcPr>
                  <w:tcW w:w="931" w:type="pct"/>
                  <w:tcBorders>
                    <w:bottom w:val="single" w:sz="6" w:space="0" w:color="BFBFBF"/>
                  </w:tcBorders>
                  <w:shd w:val="pct5" w:color="auto" w:fill="auto"/>
                  <w:vAlign w:val="bottom"/>
                </w:tcPr>
                <w:p w14:paraId="12D65D16" w14:textId="77777777" w:rsidR="00FC14FC" w:rsidRPr="002771CA" w:rsidRDefault="00FC14FC" w:rsidP="00D11B9D">
                  <w:pPr>
                    <w:pStyle w:val="TableBodyText"/>
                  </w:pPr>
                  <w:r>
                    <w:t>5.5</w:t>
                  </w:r>
                </w:p>
              </w:tc>
              <w:tc>
                <w:tcPr>
                  <w:tcW w:w="902" w:type="pct"/>
                  <w:tcBorders>
                    <w:bottom w:val="single" w:sz="6" w:space="0" w:color="BFBFBF"/>
                  </w:tcBorders>
                  <w:shd w:val="pct5" w:color="auto" w:fill="auto"/>
                  <w:vAlign w:val="bottom"/>
                </w:tcPr>
                <w:p w14:paraId="44BDD38F" w14:textId="77777777" w:rsidR="00FC14FC" w:rsidRPr="002771CA" w:rsidRDefault="00FC14FC" w:rsidP="00D11B9D">
                  <w:pPr>
                    <w:pStyle w:val="TableBodyText"/>
                    <w:ind w:right="28"/>
                  </w:pPr>
                  <w:r>
                    <w:t>7.5</w:t>
                  </w:r>
                </w:p>
              </w:tc>
            </w:tr>
          </w:tbl>
          <w:p w14:paraId="1614C2EA" w14:textId="77777777" w:rsidR="00FC14FC" w:rsidRDefault="00FC14FC" w:rsidP="00D11B9D">
            <w:pPr>
              <w:pStyle w:val="Box"/>
            </w:pPr>
          </w:p>
        </w:tc>
      </w:tr>
      <w:tr w:rsidR="00FC14FC" w14:paraId="74F55A40" w14:textId="77777777" w:rsidTr="00D11B9D">
        <w:tc>
          <w:tcPr>
            <w:tcW w:w="5000" w:type="pct"/>
            <w:tcBorders>
              <w:top w:val="nil"/>
              <w:left w:val="nil"/>
              <w:bottom w:val="nil"/>
              <w:right w:val="nil"/>
            </w:tcBorders>
            <w:shd w:val="clear" w:color="auto" w:fill="auto"/>
          </w:tcPr>
          <w:p w14:paraId="7AE9C346" w14:textId="77777777" w:rsidR="00FC14FC" w:rsidRPr="00AE204C" w:rsidRDefault="00FC14FC" w:rsidP="00D11B9D">
            <w:pPr>
              <w:pStyle w:val="Note"/>
              <w:rPr>
                <w:rStyle w:val="NoteLabel"/>
                <w:b w:val="0"/>
              </w:rPr>
            </w:pPr>
            <w:r>
              <w:rPr>
                <w:rStyle w:val="NoteLabel"/>
              </w:rPr>
              <w:t>a</w:t>
            </w:r>
            <w:r>
              <w:t xml:space="preserve"> This average tax rate excludes 2012, for which there was a very large negative tax rate. </w:t>
            </w:r>
            <w:r w:rsidRPr="00F95476">
              <w:t xml:space="preserve">.. </w:t>
            </w:r>
            <w:r>
              <w:t>Not applicable.</w:t>
            </w:r>
          </w:p>
        </w:tc>
      </w:tr>
      <w:tr w:rsidR="00FC14FC" w14:paraId="67745FAF" w14:textId="77777777" w:rsidTr="00D11B9D">
        <w:tc>
          <w:tcPr>
            <w:tcW w:w="5000" w:type="pct"/>
            <w:tcBorders>
              <w:top w:val="nil"/>
              <w:left w:val="nil"/>
              <w:bottom w:val="nil"/>
              <w:right w:val="nil"/>
            </w:tcBorders>
            <w:shd w:val="clear" w:color="auto" w:fill="auto"/>
          </w:tcPr>
          <w:p w14:paraId="039432FA" w14:textId="77777777" w:rsidR="00FC14FC" w:rsidRDefault="00FC14FC" w:rsidP="00D11B9D">
            <w:pPr>
              <w:pStyle w:val="Source"/>
            </w:pPr>
            <w:r>
              <w:rPr>
                <w:i/>
              </w:rPr>
              <w:t>Sources</w:t>
            </w:r>
            <w:r w:rsidRPr="00167F06">
              <w:t xml:space="preserve">: </w:t>
            </w:r>
            <w:r>
              <w:t xml:space="preserve">PC analysis of APRA </w:t>
            </w:r>
            <w:r w:rsidRPr="002856AA">
              <w:rPr>
                <w:rFonts w:cs="Arial"/>
              </w:rPr>
              <w:t>(2018b)</w:t>
            </w:r>
            <w:r>
              <w:t xml:space="preserve"> and unpublished APRA data.</w:t>
            </w:r>
          </w:p>
        </w:tc>
      </w:tr>
      <w:tr w:rsidR="00FC14FC" w14:paraId="4CE9B7ED" w14:textId="77777777" w:rsidTr="00D11B9D">
        <w:tc>
          <w:tcPr>
            <w:tcW w:w="5000" w:type="pct"/>
            <w:tcBorders>
              <w:top w:val="nil"/>
              <w:left w:val="nil"/>
              <w:bottom w:val="single" w:sz="6" w:space="0" w:color="78A22F"/>
              <w:right w:val="nil"/>
            </w:tcBorders>
            <w:shd w:val="clear" w:color="auto" w:fill="auto"/>
          </w:tcPr>
          <w:p w14:paraId="7687A59F" w14:textId="77777777" w:rsidR="00FC14FC" w:rsidRDefault="00FC14FC" w:rsidP="00D11B9D">
            <w:pPr>
              <w:pStyle w:val="Box"/>
              <w:spacing w:before="0" w:line="120" w:lineRule="exact"/>
            </w:pPr>
          </w:p>
        </w:tc>
      </w:tr>
      <w:tr w:rsidR="00FC14FC" w:rsidRPr="000863A5" w14:paraId="233A74B4" w14:textId="77777777" w:rsidTr="00D11B9D">
        <w:tc>
          <w:tcPr>
            <w:tcW w:w="5000" w:type="pct"/>
            <w:tcBorders>
              <w:top w:val="single" w:sz="6" w:space="0" w:color="78A22F"/>
              <w:left w:val="nil"/>
              <w:bottom w:val="nil"/>
              <w:right w:val="nil"/>
            </w:tcBorders>
          </w:tcPr>
          <w:p w14:paraId="3D41DFFB" w14:textId="77777777" w:rsidR="00FC14FC" w:rsidRPr="00626D32" w:rsidRDefault="00FC14FC" w:rsidP="00D11B9D">
            <w:pPr>
              <w:pStyle w:val="BoxSpaceBelow"/>
            </w:pPr>
          </w:p>
        </w:tc>
      </w:tr>
    </w:tbl>
    <w:p w14:paraId="149BF309" w14:textId="77777777" w:rsidR="00FC14FC" w:rsidRDefault="00FC14FC" w:rsidP="00FC14FC">
      <w:pPr>
        <w:pStyle w:val="Heading4"/>
      </w:pPr>
      <w:r>
        <w:lastRenderedPageBreak/>
        <w:t>Investment fees</w:t>
      </w:r>
    </w:p>
    <w:p w14:paraId="3DC76B59" w14:textId="77777777" w:rsidR="00FC14FC" w:rsidRDefault="00FC14FC" w:rsidP="00FC14FC">
      <w:pPr>
        <w:pStyle w:val="BodyText"/>
      </w:pPr>
      <w:r>
        <w:rPr>
          <w:rStyle w:val="BodyTextChar"/>
        </w:rPr>
        <w:t xml:space="preserve">For listed asset classes, investment fees in line with those on passive investment products have been subtracted from the benchmarks. </w:t>
      </w:r>
      <w:r w:rsidRPr="00B54286">
        <w:rPr>
          <w:rStyle w:val="BodyTextChar"/>
        </w:rPr>
        <w:t>Fees charged for passive</w:t>
      </w:r>
      <w:r>
        <w:rPr>
          <w:rStyle w:val="BodyTextChar"/>
        </w:rPr>
        <w:t xml:space="preserve"> management</w:t>
      </w:r>
      <w:r w:rsidRPr="00B54286">
        <w:rPr>
          <w:rStyle w:val="BodyTextChar"/>
        </w:rPr>
        <w:t xml:space="preserve"> should be lower on average than those charged by superannuation funds</w:t>
      </w:r>
      <w:r>
        <w:rPr>
          <w:rStyle w:val="BodyTextChar"/>
        </w:rPr>
        <w:t xml:space="preserve"> (which typically engage in active management)</w:t>
      </w:r>
      <w:r w:rsidRPr="00B54286">
        <w:rPr>
          <w:rStyle w:val="BodyTextChar"/>
        </w:rPr>
        <w:t xml:space="preserve">. Accordingly, the fees that are deducted from the </w:t>
      </w:r>
      <w:r>
        <w:rPr>
          <w:rStyle w:val="BodyTextChar"/>
        </w:rPr>
        <w:t>BPs</w:t>
      </w:r>
      <w:r w:rsidRPr="00B54286">
        <w:rPr>
          <w:rStyle w:val="BodyTextChar"/>
        </w:rPr>
        <w:t xml:space="preserve"> </w:t>
      </w:r>
      <w:r>
        <w:rPr>
          <w:rStyle w:val="BodyTextChar"/>
        </w:rPr>
        <w:t>are</w:t>
      </w:r>
      <w:r w:rsidRPr="00B54286">
        <w:rPr>
          <w:rStyle w:val="BodyTextChar"/>
        </w:rPr>
        <w:t xml:space="preserve"> </w:t>
      </w:r>
      <w:r>
        <w:rPr>
          <w:rStyle w:val="BodyTextChar"/>
        </w:rPr>
        <w:t>generally</w:t>
      </w:r>
      <w:r w:rsidRPr="00B54286">
        <w:rPr>
          <w:rStyle w:val="BodyTextChar"/>
        </w:rPr>
        <w:t xml:space="preserve"> lower than those charged by superannuation funds</w:t>
      </w:r>
      <w:r>
        <w:t>.</w:t>
      </w:r>
    </w:p>
    <w:p w14:paraId="266E0F53" w14:textId="77777777" w:rsidR="00FC14FC" w:rsidRDefault="00FC14FC" w:rsidP="00FC14FC">
      <w:pPr>
        <w:pStyle w:val="BodyText"/>
      </w:pPr>
      <w:r>
        <w:t>Fees charged on exchange</w:t>
      </w:r>
      <w:r>
        <w:noBreakHyphen/>
        <w:t xml:space="preserve">traded funds (ETF) currently offered on the Australian Stock Exchange (ASX) were used for the fee level for each listed asset class in the benchmarks </w:t>
      </w:r>
      <w:r w:rsidRPr="005B2858">
        <w:t>for the latest year in the period</w:t>
      </w:r>
      <w:r w:rsidRPr="006D1A8C">
        <w:t>.</w:t>
      </w:r>
      <w:r>
        <w:t xml:space="preserve"> The Commission opted for the largest ETF for each asset class (by funds under management). An investment fee did not need to be calculated for the unlisted property and infrastructure indexes because these are reported net of fees. A fee of 1.6 per cent was used for private equity, based on participant input (AVCAL, sub. 33). </w:t>
      </w:r>
    </w:p>
    <w:p w14:paraId="674E9C65" w14:textId="77777777" w:rsidR="00FC14FC" w:rsidRDefault="00FC14FC" w:rsidP="00FC14FC">
      <w:pPr>
        <w:pStyle w:val="BodyText"/>
      </w:pPr>
      <w:r>
        <w:t xml:space="preserve">The Commission is aware that the passive fees large superannuation funds would pay are likely to be lower than those in the BP. While comparisons of the chosen ETF fees with advertised wholesale fees for (some) similar asset classes did not uncover material differences, this does not account for the fact that most superannuation funds will be able to negotiate discounts on advertised wholesale fees. Therefore, the Commission’s use of ETF fees in the BPs is conservative. The Commission is also aware that not all funds are likely to channel passive investment through ETFs. However, it is the </w:t>
      </w:r>
      <w:r w:rsidRPr="008C0DCD">
        <w:rPr>
          <w:i/>
        </w:rPr>
        <w:t>level</w:t>
      </w:r>
      <w:r>
        <w:t xml:space="preserve"> of fees in the benchmarks that matters, not the source. </w:t>
      </w:r>
    </w:p>
    <w:p w14:paraId="4DD2C634" w14:textId="77777777" w:rsidR="00FC14FC" w:rsidRDefault="00FC14FC" w:rsidP="00FC14FC">
      <w:pPr>
        <w:pStyle w:val="BodyText"/>
      </w:pPr>
      <w:r>
        <w:t>Because time series data on retail ETFs are not available for the full period, the investment fees in the benchmark were adjusted upwards by 5 per cent year</w:t>
      </w:r>
      <w:r>
        <w:noBreakHyphen/>
        <w:t>on</w:t>
      </w:r>
      <w:r>
        <w:noBreakHyphen/>
        <w:t>year going backwards (table 4.25). This</w:t>
      </w:r>
      <w:r w:rsidDel="00B06B1A">
        <w:t xml:space="preserve"> </w:t>
      </w:r>
      <w:r>
        <w:t>accounts for the fact that passive investment fees have been falling over time. The magnitude of the adjustment was based on data from the United States (given the lack of information specific to Australia) (box 4.3). While fees may be higher on average in Australia, it is not obvious that the relative historical trend should be materially different from that observed in the United States.</w:t>
      </w:r>
    </w:p>
    <w:p w14:paraId="2A0A87DE"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5118D68D" w14:textId="77777777" w:rsidTr="00D11B9D">
        <w:trPr>
          <w:tblHeader/>
        </w:trPr>
        <w:tc>
          <w:tcPr>
            <w:tcW w:w="5000" w:type="pct"/>
            <w:tcBorders>
              <w:top w:val="single" w:sz="6" w:space="0" w:color="78A22F"/>
              <w:left w:val="nil"/>
              <w:bottom w:val="nil"/>
              <w:right w:val="nil"/>
            </w:tcBorders>
            <w:shd w:val="clear" w:color="auto" w:fill="F2F2F2"/>
          </w:tcPr>
          <w:p w14:paraId="710B145B" w14:textId="77777777" w:rsidR="00FC14FC" w:rsidRDefault="00FC14FC" w:rsidP="00D11B9D">
            <w:pPr>
              <w:pStyle w:val="BoxTitle"/>
            </w:pPr>
            <w:r>
              <w:rPr>
                <w:b w:val="0"/>
              </w:rPr>
              <w:t>Box 4.3</w:t>
            </w:r>
            <w:r>
              <w:tab/>
              <w:t>Adjusting passive fees historically</w:t>
            </w:r>
          </w:p>
        </w:tc>
      </w:tr>
      <w:tr w:rsidR="00FC14FC" w14:paraId="6679761C" w14:textId="77777777" w:rsidTr="00D11B9D">
        <w:tc>
          <w:tcPr>
            <w:tcW w:w="5000" w:type="pct"/>
            <w:tcBorders>
              <w:top w:val="nil"/>
              <w:left w:val="nil"/>
              <w:bottom w:val="nil"/>
              <w:right w:val="nil"/>
            </w:tcBorders>
            <w:shd w:val="clear" w:color="auto" w:fill="F2F2F2"/>
          </w:tcPr>
          <w:p w14:paraId="40EBC3DA" w14:textId="77777777" w:rsidR="00FC14FC" w:rsidRDefault="00FC14FC" w:rsidP="00D11B9D">
            <w:pPr>
              <w:pStyle w:val="Box"/>
            </w:pPr>
            <w:r>
              <w:t xml:space="preserve">The Commission had difficulty locating accurate, historical data on passive investment fees. Most publicly available analyses originate in the United States. </w:t>
            </w:r>
          </w:p>
          <w:p w14:paraId="2FC559DD" w14:textId="77777777" w:rsidR="00FC14FC" w:rsidRDefault="00FC14FC" w:rsidP="00D11B9D">
            <w:pPr>
              <w:pStyle w:val="BoxListBullet"/>
            </w:pPr>
            <w:r>
              <w:t xml:space="preserve">The Investment Company Institute estimated that expense ratios for US equity ETFs dropped nearly a third between 2009 and 2016. A fall of a third over eight years roughly implies average annual falls of 5 per cent. </w:t>
            </w:r>
          </w:p>
          <w:p w14:paraId="41153AB1" w14:textId="77777777" w:rsidR="00FC14FC" w:rsidRDefault="00FC14FC" w:rsidP="00D11B9D">
            <w:pPr>
              <w:pStyle w:val="BoxListBullet"/>
            </w:pPr>
            <w:r>
              <w:t>Morningstar found that asset</w:t>
            </w:r>
            <w:r>
              <w:noBreakHyphen/>
              <w:t>weighted expense ratios for passive funds declined from about 0.30 to 0.20 per cent over the period 2008–2014. Again, this fall is roughly consistent with 5 per cent year</w:t>
            </w:r>
            <w:r>
              <w:noBreakHyphen/>
              <w:t>on</w:t>
            </w:r>
            <w:r>
              <w:noBreakHyphen/>
              <w:t xml:space="preserve">year falls. </w:t>
            </w:r>
          </w:p>
        </w:tc>
      </w:tr>
      <w:tr w:rsidR="00FC14FC" w14:paraId="25E3AB59" w14:textId="77777777" w:rsidTr="00D11B9D">
        <w:tc>
          <w:tcPr>
            <w:tcW w:w="5000" w:type="pct"/>
            <w:tcBorders>
              <w:top w:val="nil"/>
              <w:left w:val="nil"/>
              <w:bottom w:val="nil"/>
              <w:right w:val="nil"/>
            </w:tcBorders>
            <w:shd w:val="clear" w:color="auto" w:fill="F2F2F2"/>
          </w:tcPr>
          <w:p w14:paraId="5CB4F9E5" w14:textId="77777777" w:rsidR="00FC14FC" w:rsidRDefault="00FC14FC" w:rsidP="00D11B9D">
            <w:pPr>
              <w:pStyle w:val="BoxSource"/>
            </w:pPr>
            <w:r>
              <w:rPr>
                <w:i/>
              </w:rPr>
              <w:t>Sources</w:t>
            </w:r>
            <w:r w:rsidRPr="00167F06">
              <w:t>:</w:t>
            </w:r>
            <w:r>
              <w:t xml:space="preserve"> Rawson and Johnson </w:t>
            </w:r>
            <w:r w:rsidRPr="002856AA">
              <w:rPr>
                <w:rFonts w:cs="Arial"/>
              </w:rPr>
              <w:t>(2015)</w:t>
            </w:r>
            <w:r>
              <w:t>; Vlastelica</w:t>
            </w:r>
            <w:r w:rsidRPr="00167F06">
              <w:t xml:space="preserve"> </w:t>
            </w:r>
            <w:r w:rsidRPr="002856AA">
              <w:rPr>
                <w:rFonts w:cs="Arial"/>
              </w:rPr>
              <w:t>(2017)</w:t>
            </w:r>
            <w:r>
              <w:t>.</w:t>
            </w:r>
          </w:p>
        </w:tc>
      </w:tr>
      <w:tr w:rsidR="00FC14FC" w14:paraId="3C3390A5" w14:textId="77777777" w:rsidTr="00D11B9D">
        <w:tc>
          <w:tcPr>
            <w:tcW w:w="5000" w:type="pct"/>
            <w:tcBorders>
              <w:top w:val="nil"/>
              <w:left w:val="nil"/>
              <w:bottom w:val="single" w:sz="6" w:space="0" w:color="78A22F"/>
              <w:right w:val="nil"/>
            </w:tcBorders>
            <w:shd w:val="clear" w:color="auto" w:fill="F2F2F2"/>
          </w:tcPr>
          <w:p w14:paraId="2A31310D" w14:textId="77777777" w:rsidR="00FC14FC" w:rsidRDefault="00FC14FC" w:rsidP="00D11B9D">
            <w:pPr>
              <w:pStyle w:val="Box"/>
              <w:spacing w:before="0" w:line="120" w:lineRule="exact"/>
            </w:pPr>
          </w:p>
        </w:tc>
      </w:tr>
      <w:tr w:rsidR="00FC14FC" w:rsidRPr="000863A5" w14:paraId="526C35F2" w14:textId="77777777" w:rsidTr="00D11B9D">
        <w:tc>
          <w:tcPr>
            <w:tcW w:w="5000" w:type="pct"/>
            <w:tcBorders>
              <w:top w:val="single" w:sz="6" w:space="0" w:color="78A22F"/>
              <w:left w:val="nil"/>
              <w:bottom w:val="nil"/>
              <w:right w:val="nil"/>
            </w:tcBorders>
          </w:tcPr>
          <w:p w14:paraId="2140EA60" w14:textId="77777777" w:rsidR="00FC14FC" w:rsidRPr="00626D32" w:rsidRDefault="00FC14FC" w:rsidP="00D11B9D">
            <w:pPr>
              <w:pStyle w:val="BoxSpaceBelow"/>
            </w:pPr>
          </w:p>
        </w:tc>
      </w:tr>
    </w:tbl>
    <w:p w14:paraId="1C5E7349" w14:textId="77777777" w:rsidR="00FC14FC" w:rsidRDefault="00FC14FC" w:rsidP="00FC14FC">
      <w:pPr>
        <w:pStyle w:val="BodyText"/>
        <w:sectPr w:rsidR="00FC14FC" w:rsidSect="00A85997">
          <w:headerReference w:type="even" r:id="rId33"/>
          <w:headerReference w:type="default" r:id="rId34"/>
          <w:footerReference w:type="even" r:id="rId35"/>
          <w:footerReference w:type="default" r:id="rId36"/>
          <w:pgSz w:w="11907" w:h="16840" w:code="9"/>
          <w:pgMar w:top="1985" w:right="1304" w:bottom="1418" w:left="1814" w:header="1701" w:footer="567" w:gutter="0"/>
          <w:pgNumType w:chapSep="period"/>
          <w:cols w:space="720"/>
          <w:docGrid w:linePitch="326"/>
        </w:sectPr>
      </w:pPr>
    </w:p>
    <w:tbl>
      <w:tblPr>
        <w:tblpPr w:leftFromText="180" w:rightFromText="180" w:vertAnchor="text" w:horzAnchor="margin" w:tblpY="144"/>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4ACCB501" w14:textId="77777777" w:rsidTr="00D11B9D">
        <w:trPr>
          <w:tblHeader/>
        </w:trPr>
        <w:tc>
          <w:tcPr>
            <w:tcW w:w="5000" w:type="pct"/>
            <w:tcBorders>
              <w:top w:val="single" w:sz="6" w:space="0" w:color="78A22F"/>
              <w:left w:val="nil"/>
              <w:bottom w:val="nil"/>
              <w:right w:val="nil"/>
            </w:tcBorders>
            <w:shd w:val="clear" w:color="auto" w:fill="auto"/>
          </w:tcPr>
          <w:p w14:paraId="6E798059" w14:textId="77777777" w:rsidR="00FC14FC" w:rsidRDefault="00FC14FC" w:rsidP="00D11B9D">
            <w:pPr>
              <w:pStyle w:val="TableTitle"/>
              <w:rPr>
                <w:rStyle w:val="NoteLabel"/>
                <w:b/>
              </w:rPr>
            </w:pPr>
            <w:r>
              <w:rPr>
                <w:b w:val="0"/>
              </w:rPr>
              <w:lastRenderedPageBreak/>
              <w:t>Table 4.25</w:t>
            </w:r>
            <w:r>
              <w:tab/>
              <w:t>Investment fees in the BPs</w:t>
            </w:r>
            <w:r w:rsidRPr="008C6735">
              <w:rPr>
                <w:rStyle w:val="NoteLabel"/>
              </w:rPr>
              <w:t>a</w:t>
            </w:r>
            <w:r>
              <w:rPr>
                <w:rStyle w:val="NoteLabel"/>
              </w:rPr>
              <w:t>,</w:t>
            </w:r>
            <w:r w:rsidRPr="008C6735">
              <w:rPr>
                <w:rStyle w:val="NoteLabel"/>
              </w:rPr>
              <w:t>b</w:t>
            </w:r>
          </w:p>
          <w:p w14:paraId="463DC573" w14:textId="77777777" w:rsidR="00FC14FC" w:rsidRPr="00082A06" w:rsidRDefault="00FC14FC" w:rsidP="00D11B9D">
            <w:pPr>
              <w:pStyle w:val="Subtitle"/>
            </w:pPr>
            <w:r>
              <w:t>Current fee levels (per cent of assets under management) (2017) and backwards projections (2005–2016), by asset class</w:t>
            </w:r>
          </w:p>
        </w:tc>
      </w:tr>
      <w:tr w:rsidR="00FC14FC" w14:paraId="65397D0C" w14:textId="77777777" w:rsidTr="00D11B9D">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2267"/>
              <w:gridCol w:w="568"/>
              <w:gridCol w:w="568"/>
              <w:gridCol w:w="566"/>
              <w:gridCol w:w="568"/>
              <w:gridCol w:w="566"/>
              <w:gridCol w:w="568"/>
              <w:gridCol w:w="566"/>
              <w:gridCol w:w="568"/>
              <w:gridCol w:w="566"/>
              <w:gridCol w:w="568"/>
              <w:gridCol w:w="566"/>
              <w:gridCol w:w="568"/>
              <w:gridCol w:w="708"/>
              <w:gridCol w:w="3372"/>
            </w:tblGrid>
            <w:tr w:rsidR="00FC14FC" w14:paraId="73D36E89" w14:textId="77777777" w:rsidTr="00D11B9D">
              <w:trPr>
                <w:tblHeader/>
              </w:trPr>
              <w:tc>
                <w:tcPr>
                  <w:tcW w:w="862" w:type="pct"/>
                  <w:tcBorders>
                    <w:top w:val="single" w:sz="6" w:space="0" w:color="BFBFBF"/>
                    <w:bottom w:val="single" w:sz="6" w:space="0" w:color="BFBFBF"/>
                  </w:tcBorders>
                  <w:shd w:val="clear" w:color="auto" w:fill="auto"/>
                  <w:tcMar>
                    <w:top w:w="28" w:type="dxa"/>
                  </w:tcMar>
                  <w:vAlign w:val="bottom"/>
                </w:tcPr>
                <w:p w14:paraId="2A48B43E" w14:textId="77777777" w:rsidR="00FC14FC" w:rsidRPr="008C6735" w:rsidRDefault="00FC14FC" w:rsidP="00D11B9D">
                  <w:pPr>
                    <w:pStyle w:val="TableColumnHeading"/>
                    <w:framePr w:hSpace="180" w:wrap="around" w:vAnchor="text" w:hAnchor="margin" w:y="144"/>
                    <w:jc w:val="left"/>
                  </w:pPr>
                </w:p>
              </w:tc>
              <w:tc>
                <w:tcPr>
                  <w:tcW w:w="2587" w:type="pct"/>
                  <w:gridSpan w:val="12"/>
                  <w:tcBorders>
                    <w:top w:val="single" w:sz="6" w:space="0" w:color="BFBFBF"/>
                    <w:bottom w:val="single" w:sz="6" w:space="0" w:color="BFBFBF"/>
                  </w:tcBorders>
                  <w:shd w:val="clear" w:color="auto" w:fill="auto"/>
                  <w:tcMar>
                    <w:top w:w="28" w:type="dxa"/>
                  </w:tcMar>
                  <w:vAlign w:val="bottom"/>
                </w:tcPr>
                <w:p w14:paraId="42376FF0" w14:textId="77777777" w:rsidR="00FC14FC" w:rsidRPr="008C6735" w:rsidRDefault="00FC14FC" w:rsidP="00D11B9D">
                  <w:pPr>
                    <w:pStyle w:val="TableColumnHeading"/>
                    <w:framePr w:hSpace="180" w:wrap="around" w:vAnchor="text" w:hAnchor="margin" w:y="144"/>
                    <w:jc w:val="center"/>
                  </w:pPr>
                  <w:r>
                    <w:t>Projections</w:t>
                  </w:r>
                </w:p>
              </w:tc>
              <w:tc>
                <w:tcPr>
                  <w:tcW w:w="1551" w:type="pct"/>
                  <w:gridSpan w:val="2"/>
                  <w:tcBorders>
                    <w:top w:val="single" w:sz="6" w:space="0" w:color="BFBFBF"/>
                    <w:bottom w:val="single" w:sz="6" w:space="0" w:color="BFBFBF"/>
                  </w:tcBorders>
                  <w:shd w:val="clear" w:color="auto" w:fill="F2F2F2" w:themeFill="background1" w:themeFillShade="F2"/>
                  <w:vAlign w:val="bottom"/>
                </w:tcPr>
                <w:p w14:paraId="63CE139E" w14:textId="77777777" w:rsidR="00FC14FC" w:rsidRPr="008C6735" w:rsidRDefault="00FC14FC" w:rsidP="00D11B9D">
                  <w:pPr>
                    <w:pStyle w:val="TableColumnHeading"/>
                    <w:framePr w:hSpace="180" w:wrap="around" w:vAnchor="text" w:hAnchor="margin" w:y="144"/>
                    <w:jc w:val="center"/>
                  </w:pPr>
                  <w:r>
                    <w:t>Actual</w:t>
                  </w:r>
                </w:p>
              </w:tc>
            </w:tr>
            <w:tr w:rsidR="00FC14FC" w14:paraId="2040D18C" w14:textId="77777777" w:rsidTr="00D11B9D">
              <w:trPr>
                <w:tblHeader/>
              </w:trPr>
              <w:tc>
                <w:tcPr>
                  <w:tcW w:w="862" w:type="pct"/>
                  <w:tcBorders>
                    <w:top w:val="single" w:sz="6" w:space="0" w:color="BFBFBF"/>
                    <w:bottom w:val="single" w:sz="6" w:space="0" w:color="BFBFBF"/>
                  </w:tcBorders>
                  <w:shd w:val="clear" w:color="auto" w:fill="auto"/>
                  <w:tcMar>
                    <w:top w:w="28" w:type="dxa"/>
                  </w:tcMar>
                  <w:vAlign w:val="bottom"/>
                </w:tcPr>
                <w:p w14:paraId="11446B51" w14:textId="77777777" w:rsidR="00FC14FC" w:rsidRPr="008C6735" w:rsidRDefault="00FC14FC" w:rsidP="00D11B9D">
                  <w:pPr>
                    <w:pStyle w:val="TableColumnHeading"/>
                    <w:framePr w:hSpace="180" w:wrap="around" w:vAnchor="text" w:hAnchor="margin" w:y="144"/>
                    <w:jc w:val="left"/>
                  </w:pPr>
                  <w:r w:rsidRPr="008C6735">
                    <w:t>Asset class</w:t>
                  </w:r>
                </w:p>
              </w:tc>
              <w:tc>
                <w:tcPr>
                  <w:tcW w:w="216" w:type="pct"/>
                  <w:tcBorders>
                    <w:top w:val="single" w:sz="6" w:space="0" w:color="BFBFBF"/>
                    <w:bottom w:val="single" w:sz="6" w:space="0" w:color="BFBFBF"/>
                  </w:tcBorders>
                  <w:shd w:val="clear" w:color="auto" w:fill="auto"/>
                  <w:tcMar>
                    <w:top w:w="28" w:type="dxa"/>
                  </w:tcMar>
                  <w:vAlign w:val="bottom"/>
                </w:tcPr>
                <w:p w14:paraId="08D5CB7C" w14:textId="77777777" w:rsidR="00FC14FC" w:rsidRPr="008C6735" w:rsidRDefault="00FC14FC" w:rsidP="00D11B9D">
                  <w:pPr>
                    <w:pStyle w:val="TableColumnHeading"/>
                    <w:framePr w:hSpace="180" w:wrap="around" w:vAnchor="text" w:hAnchor="margin" w:y="144"/>
                  </w:pPr>
                  <w:r>
                    <w:t>2005</w:t>
                  </w:r>
                </w:p>
              </w:tc>
              <w:tc>
                <w:tcPr>
                  <w:tcW w:w="216" w:type="pct"/>
                  <w:tcBorders>
                    <w:top w:val="single" w:sz="6" w:space="0" w:color="BFBFBF"/>
                    <w:bottom w:val="single" w:sz="6" w:space="0" w:color="BFBFBF"/>
                  </w:tcBorders>
                  <w:vAlign w:val="bottom"/>
                </w:tcPr>
                <w:p w14:paraId="0CEC0B59" w14:textId="77777777" w:rsidR="00FC14FC" w:rsidRPr="008C6735" w:rsidRDefault="00FC14FC" w:rsidP="00D11B9D">
                  <w:pPr>
                    <w:pStyle w:val="TableColumnHeading"/>
                    <w:framePr w:hSpace="180" w:wrap="around" w:vAnchor="text" w:hAnchor="margin" w:y="144"/>
                  </w:pPr>
                  <w:r w:rsidRPr="008C6735">
                    <w:t>2</w:t>
                  </w:r>
                  <w:r>
                    <w:t>006</w:t>
                  </w:r>
                </w:p>
              </w:tc>
              <w:tc>
                <w:tcPr>
                  <w:tcW w:w="215" w:type="pct"/>
                  <w:tcBorders>
                    <w:top w:val="single" w:sz="6" w:space="0" w:color="BFBFBF"/>
                    <w:bottom w:val="single" w:sz="6" w:space="0" w:color="BFBFBF"/>
                  </w:tcBorders>
                  <w:vAlign w:val="bottom"/>
                </w:tcPr>
                <w:p w14:paraId="567C0AC1" w14:textId="77777777" w:rsidR="00FC14FC" w:rsidRPr="008C6735" w:rsidRDefault="00FC14FC" w:rsidP="00D11B9D">
                  <w:pPr>
                    <w:pStyle w:val="TableColumnHeading"/>
                    <w:framePr w:hSpace="180" w:wrap="around" w:vAnchor="text" w:hAnchor="margin" w:y="144"/>
                  </w:pPr>
                  <w:r w:rsidRPr="008C6735">
                    <w:t>20</w:t>
                  </w:r>
                  <w:r>
                    <w:t>0</w:t>
                  </w:r>
                  <w:r w:rsidRPr="008C6735">
                    <w:t>7</w:t>
                  </w:r>
                </w:p>
              </w:tc>
              <w:tc>
                <w:tcPr>
                  <w:tcW w:w="216" w:type="pct"/>
                  <w:tcBorders>
                    <w:top w:val="single" w:sz="6" w:space="0" w:color="BFBFBF"/>
                    <w:bottom w:val="single" w:sz="6" w:space="0" w:color="BFBFBF"/>
                  </w:tcBorders>
                  <w:vAlign w:val="bottom"/>
                </w:tcPr>
                <w:p w14:paraId="6FB57B82" w14:textId="77777777" w:rsidR="00FC14FC" w:rsidRPr="008C6735" w:rsidRDefault="00FC14FC" w:rsidP="00D11B9D">
                  <w:pPr>
                    <w:pStyle w:val="TableColumnHeading"/>
                    <w:framePr w:hSpace="180" w:wrap="around" w:vAnchor="text" w:hAnchor="margin" w:y="144"/>
                  </w:pPr>
                  <w:r w:rsidRPr="008C6735">
                    <w:t>20</w:t>
                  </w:r>
                  <w:r>
                    <w:t>0</w:t>
                  </w:r>
                  <w:r w:rsidRPr="008C6735">
                    <w:t>8</w:t>
                  </w:r>
                </w:p>
              </w:tc>
              <w:tc>
                <w:tcPr>
                  <w:tcW w:w="215" w:type="pct"/>
                  <w:tcBorders>
                    <w:top w:val="single" w:sz="6" w:space="0" w:color="BFBFBF"/>
                    <w:bottom w:val="single" w:sz="6" w:space="0" w:color="BFBFBF"/>
                  </w:tcBorders>
                  <w:vAlign w:val="bottom"/>
                </w:tcPr>
                <w:p w14:paraId="20500B90" w14:textId="77777777" w:rsidR="00FC14FC" w:rsidRPr="008C6735" w:rsidRDefault="00FC14FC" w:rsidP="00D11B9D">
                  <w:pPr>
                    <w:pStyle w:val="TableColumnHeading"/>
                    <w:framePr w:hSpace="180" w:wrap="around" w:vAnchor="text" w:hAnchor="margin" w:y="144"/>
                  </w:pPr>
                  <w:r w:rsidRPr="008C6735">
                    <w:t>20</w:t>
                  </w:r>
                  <w:r>
                    <w:t>0</w:t>
                  </w:r>
                  <w:r w:rsidRPr="008C6735">
                    <w:t>9</w:t>
                  </w:r>
                </w:p>
              </w:tc>
              <w:tc>
                <w:tcPr>
                  <w:tcW w:w="216" w:type="pct"/>
                  <w:tcBorders>
                    <w:top w:val="single" w:sz="6" w:space="0" w:color="BFBFBF"/>
                    <w:bottom w:val="single" w:sz="6" w:space="0" w:color="BFBFBF"/>
                  </w:tcBorders>
                  <w:vAlign w:val="bottom"/>
                </w:tcPr>
                <w:p w14:paraId="39D844FE" w14:textId="77777777" w:rsidR="00FC14FC" w:rsidRPr="008C6735" w:rsidRDefault="00FC14FC" w:rsidP="00D11B9D">
                  <w:pPr>
                    <w:pStyle w:val="TableColumnHeading"/>
                    <w:framePr w:hSpace="180" w:wrap="around" w:vAnchor="text" w:hAnchor="margin" w:y="144"/>
                  </w:pPr>
                  <w:r w:rsidRPr="008C6735">
                    <w:t>2010</w:t>
                  </w:r>
                </w:p>
              </w:tc>
              <w:tc>
                <w:tcPr>
                  <w:tcW w:w="215" w:type="pct"/>
                  <w:tcBorders>
                    <w:top w:val="single" w:sz="6" w:space="0" w:color="BFBFBF"/>
                    <w:bottom w:val="single" w:sz="6" w:space="0" w:color="BFBFBF"/>
                  </w:tcBorders>
                  <w:vAlign w:val="bottom"/>
                </w:tcPr>
                <w:p w14:paraId="38DB8829" w14:textId="77777777" w:rsidR="00FC14FC" w:rsidRPr="008C6735" w:rsidRDefault="00FC14FC" w:rsidP="00D11B9D">
                  <w:pPr>
                    <w:pStyle w:val="TableColumnHeading"/>
                    <w:framePr w:hSpace="180" w:wrap="around" w:vAnchor="text" w:hAnchor="margin" w:y="144"/>
                  </w:pPr>
                  <w:r w:rsidRPr="008C6735">
                    <w:t>2011</w:t>
                  </w:r>
                </w:p>
              </w:tc>
              <w:tc>
                <w:tcPr>
                  <w:tcW w:w="216" w:type="pct"/>
                  <w:tcBorders>
                    <w:top w:val="single" w:sz="6" w:space="0" w:color="BFBFBF"/>
                    <w:bottom w:val="single" w:sz="6" w:space="0" w:color="BFBFBF"/>
                  </w:tcBorders>
                  <w:vAlign w:val="bottom"/>
                </w:tcPr>
                <w:p w14:paraId="59035619" w14:textId="77777777" w:rsidR="00FC14FC" w:rsidRPr="008C6735" w:rsidRDefault="00FC14FC" w:rsidP="00D11B9D">
                  <w:pPr>
                    <w:pStyle w:val="TableColumnHeading"/>
                    <w:framePr w:hSpace="180" w:wrap="around" w:vAnchor="text" w:hAnchor="margin" w:y="144"/>
                  </w:pPr>
                  <w:r w:rsidRPr="008C6735">
                    <w:t>2012</w:t>
                  </w:r>
                </w:p>
              </w:tc>
              <w:tc>
                <w:tcPr>
                  <w:tcW w:w="215" w:type="pct"/>
                  <w:tcBorders>
                    <w:top w:val="single" w:sz="6" w:space="0" w:color="BFBFBF"/>
                    <w:bottom w:val="single" w:sz="6" w:space="0" w:color="BFBFBF"/>
                  </w:tcBorders>
                  <w:vAlign w:val="bottom"/>
                </w:tcPr>
                <w:p w14:paraId="700AE8AD" w14:textId="77777777" w:rsidR="00FC14FC" w:rsidRPr="008C6735" w:rsidRDefault="00FC14FC" w:rsidP="00D11B9D">
                  <w:pPr>
                    <w:pStyle w:val="TableColumnHeading"/>
                    <w:framePr w:hSpace="180" w:wrap="around" w:vAnchor="text" w:hAnchor="margin" w:y="144"/>
                  </w:pPr>
                  <w:r w:rsidRPr="008C6735">
                    <w:t>2013</w:t>
                  </w:r>
                </w:p>
              </w:tc>
              <w:tc>
                <w:tcPr>
                  <w:tcW w:w="216" w:type="pct"/>
                  <w:tcBorders>
                    <w:top w:val="single" w:sz="6" w:space="0" w:color="BFBFBF"/>
                    <w:bottom w:val="single" w:sz="6" w:space="0" w:color="BFBFBF"/>
                  </w:tcBorders>
                  <w:vAlign w:val="bottom"/>
                </w:tcPr>
                <w:p w14:paraId="6D8D2EC1" w14:textId="77777777" w:rsidR="00FC14FC" w:rsidRPr="008C6735" w:rsidRDefault="00FC14FC" w:rsidP="00D11B9D">
                  <w:pPr>
                    <w:pStyle w:val="TableColumnHeading"/>
                    <w:framePr w:hSpace="180" w:wrap="around" w:vAnchor="text" w:hAnchor="margin" w:y="144"/>
                  </w:pPr>
                  <w:r w:rsidRPr="008C6735">
                    <w:t>2014</w:t>
                  </w:r>
                </w:p>
              </w:tc>
              <w:tc>
                <w:tcPr>
                  <w:tcW w:w="215" w:type="pct"/>
                  <w:tcBorders>
                    <w:top w:val="single" w:sz="6" w:space="0" w:color="BFBFBF"/>
                    <w:bottom w:val="single" w:sz="6" w:space="0" w:color="BFBFBF"/>
                  </w:tcBorders>
                  <w:vAlign w:val="bottom"/>
                </w:tcPr>
                <w:p w14:paraId="5C479055" w14:textId="77777777" w:rsidR="00FC14FC" w:rsidRPr="008C6735" w:rsidRDefault="00FC14FC" w:rsidP="00D11B9D">
                  <w:pPr>
                    <w:pStyle w:val="TableColumnHeading"/>
                    <w:framePr w:hSpace="180" w:wrap="around" w:vAnchor="text" w:hAnchor="margin" w:y="144"/>
                  </w:pPr>
                  <w:r w:rsidRPr="008C6735">
                    <w:t>2015</w:t>
                  </w:r>
                </w:p>
              </w:tc>
              <w:tc>
                <w:tcPr>
                  <w:tcW w:w="216" w:type="pct"/>
                  <w:tcBorders>
                    <w:top w:val="single" w:sz="6" w:space="0" w:color="BFBFBF"/>
                    <w:bottom w:val="single" w:sz="6" w:space="0" w:color="BFBFBF"/>
                  </w:tcBorders>
                  <w:vAlign w:val="bottom"/>
                </w:tcPr>
                <w:p w14:paraId="4078EE36" w14:textId="77777777" w:rsidR="00FC14FC" w:rsidRPr="008C6735" w:rsidRDefault="00FC14FC" w:rsidP="00D11B9D">
                  <w:pPr>
                    <w:pStyle w:val="TableColumnHeading"/>
                    <w:framePr w:hSpace="180" w:wrap="around" w:vAnchor="text" w:hAnchor="margin" w:y="144"/>
                  </w:pPr>
                  <w:r w:rsidRPr="008C6735">
                    <w:t>2016</w:t>
                  </w:r>
                </w:p>
              </w:tc>
              <w:tc>
                <w:tcPr>
                  <w:tcW w:w="269" w:type="pct"/>
                  <w:tcBorders>
                    <w:top w:val="single" w:sz="6" w:space="0" w:color="BFBFBF"/>
                    <w:bottom w:val="single" w:sz="6" w:space="0" w:color="BFBFBF"/>
                  </w:tcBorders>
                  <w:shd w:val="clear" w:color="auto" w:fill="F2F2F2" w:themeFill="background1" w:themeFillShade="F2"/>
                  <w:vAlign w:val="bottom"/>
                </w:tcPr>
                <w:p w14:paraId="7A576594" w14:textId="77777777" w:rsidR="00FC14FC" w:rsidRPr="00C15A38" w:rsidRDefault="00FC14FC" w:rsidP="00D11B9D">
                  <w:pPr>
                    <w:pStyle w:val="TableColumnHeading"/>
                    <w:framePr w:hSpace="180" w:wrap="around" w:vAnchor="text" w:hAnchor="margin" w:y="144"/>
                    <w:ind w:right="28"/>
                    <w:rPr>
                      <w:rStyle w:val="NoteLabel"/>
                    </w:rPr>
                  </w:pPr>
                  <w:r w:rsidRPr="008C6735">
                    <w:t>2017</w:t>
                  </w:r>
                  <w:r>
                    <w:rPr>
                      <w:rStyle w:val="NoteLabel"/>
                    </w:rPr>
                    <w:t>c</w:t>
                  </w:r>
                </w:p>
              </w:tc>
              <w:tc>
                <w:tcPr>
                  <w:tcW w:w="1282" w:type="pct"/>
                  <w:tcBorders>
                    <w:top w:val="single" w:sz="6" w:space="0" w:color="BFBFBF"/>
                    <w:bottom w:val="single" w:sz="6" w:space="0" w:color="BFBFBF"/>
                  </w:tcBorders>
                  <w:shd w:val="clear" w:color="auto" w:fill="F2F2F2" w:themeFill="background1" w:themeFillShade="F2"/>
                  <w:vAlign w:val="bottom"/>
                </w:tcPr>
                <w:p w14:paraId="05E0E86A" w14:textId="77777777" w:rsidR="00FC14FC" w:rsidRPr="008C6735" w:rsidRDefault="00FC14FC" w:rsidP="00D11B9D">
                  <w:pPr>
                    <w:pStyle w:val="TableColumnHeading"/>
                    <w:framePr w:hSpace="180" w:wrap="around" w:vAnchor="text" w:hAnchor="margin" w:y="144"/>
                  </w:pPr>
                  <w:r w:rsidRPr="008C6735">
                    <w:t>Source</w:t>
                  </w:r>
                </w:p>
              </w:tc>
            </w:tr>
            <w:tr w:rsidR="00FC14FC" w14:paraId="58630167" w14:textId="77777777" w:rsidTr="00D11B9D">
              <w:tc>
                <w:tcPr>
                  <w:tcW w:w="862" w:type="pct"/>
                  <w:tcBorders>
                    <w:top w:val="single" w:sz="6" w:space="0" w:color="BFBFBF"/>
                  </w:tcBorders>
                  <w:shd w:val="clear" w:color="auto" w:fill="auto"/>
                  <w:vAlign w:val="bottom"/>
                </w:tcPr>
                <w:p w14:paraId="71B3B3AF" w14:textId="77777777" w:rsidR="00FC14FC" w:rsidRDefault="00FC14FC" w:rsidP="00D11B9D">
                  <w:pPr>
                    <w:pStyle w:val="TableBodyText"/>
                    <w:framePr w:hSpace="180" w:wrap="around" w:vAnchor="text" w:hAnchor="margin" w:y="144"/>
                    <w:spacing w:before="40"/>
                    <w:jc w:val="left"/>
                  </w:pPr>
                  <w:r>
                    <w:t>Cash</w:t>
                  </w:r>
                </w:p>
              </w:tc>
              <w:tc>
                <w:tcPr>
                  <w:tcW w:w="216" w:type="pct"/>
                  <w:tcBorders>
                    <w:top w:val="single" w:sz="6" w:space="0" w:color="BFBFBF"/>
                  </w:tcBorders>
                  <w:vAlign w:val="bottom"/>
                </w:tcPr>
                <w:p w14:paraId="160139E3" w14:textId="77777777" w:rsidR="00FC14FC" w:rsidRDefault="00FC14FC" w:rsidP="00D11B9D">
                  <w:pPr>
                    <w:pStyle w:val="TableBodyText"/>
                    <w:framePr w:hSpace="180" w:wrap="around" w:vAnchor="text" w:hAnchor="margin" w:y="144"/>
                    <w:spacing w:before="40"/>
                  </w:pPr>
                  <w:r>
                    <w:t>0.</w:t>
                  </w:r>
                  <w:r w:rsidRPr="00713F89">
                    <w:t>13</w:t>
                  </w:r>
                </w:p>
              </w:tc>
              <w:tc>
                <w:tcPr>
                  <w:tcW w:w="216" w:type="pct"/>
                  <w:tcBorders>
                    <w:top w:val="single" w:sz="6" w:space="0" w:color="BFBFBF"/>
                  </w:tcBorders>
                  <w:vAlign w:val="bottom"/>
                </w:tcPr>
                <w:p w14:paraId="48166FF0" w14:textId="77777777" w:rsidR="00FC14FC" w:rsidRDefault="00FC14FC" w:rsidP="00D11B9D">
                  <w:pPr>
                    <w:pStyle w:val="TableBodyText"/>
                    <w:framePr w:hSpace="180" w:wrap="around" w:vAnchor="text" w:hAnchor="margin" w:y="144"/>
                    <w:spacing w:before="40"/>
                  </w:pPr>
                  <w:r>
                    <w:t>0.</w:t>
                  </w:r>
                  <w:r w:rsidRPr="00713F89">
                    <w:t>12</w:t>
                  </w:r>
                </w:p>
              </w:tc>
              <w:tc>
                <w:tcPr>
                  <w:tcW w:w="215" w:type="pct"/>
                  <w:tcBorders>
                    <w:top w:val="single" w:sz="6" w:space="0" w:color="BFBFBF"/>
                  </w:tcBorders>
                  <w:vAlign w:val="bottom"/>
                </w:tcPr>
                <w:p w14:paraId="1FD1260D" w14:textId="77777777" w:rsidR="00FC14FC" w:rsidRDefault="00FC14FC" w:rsidP="00D11B9D">
                  <w:pPr>
                    <w:pStyle w:val="TableBodyText"/>
                    <w:framePr w:hSpace="180" w:wrap="around" w:vAnchor="text" w:hAnchor="margin" w:y="144"/>
                    <w:spacing w:before="40"/>
                  </w:pPr>
                  <w:r>
                    <w:t>0.</w:t>
                  </w:r>
                  <w:r w:rsidRPr="00713F89">
                    <w:t>11</w:t>
                  </w:r>
                </w:p>
              </w:tc>
              <w:tc>
                <w:tcPr>
                  <w:tcW w:w="216" w:type="pct"/>
                  <w:tcBorders>
                    <w:top w:val="single" w:sz="6" w:space="0" w:color="BFBFBF"/>
                  </w:tcBorders>
                  <w:vAlign w:val="bottom"/>
                </w:tcPr>
                <w:p w14:paraId="35AD8EB9" w14:textId="77777777" w:rsidR="00FC14FC" w:rsidRDefault="00FC14FC" w:rsidP="00D11B9D">
                  <w:pPr>
                    <w:pStyle w:val="TableBodyText"/>
                    <w:framePr w:hSpace="180" w:wrap="around" w:vAnchor="text" w:hAnchor="margin" w:y="144"/>
                    <w:spacing w:before="40"/>
                  </w:pPr>
                  <w:r>
                    <w:t>0.</w:t>
                  </w:r>
                  <w:r w:rsidRPr="00713F89">
                    <w:t>11</w:t>
                  </w:r>
                </w:p>
              </w:tc>
              <w:tc>
                <w:tcPr>
                  <w:tcW w:w="215" w:type="pct"/>
                  <w:tcBorders>
                    <w:top w:val="single" w:sz="6" w:space="0" w:color="BFBFBF"/>
                  </w:tcBorders>
                  <w:vAlign w:val="bottom"/>
                </w:tcPr>
                <w:p w14:paraId="5E492C6B" w14:textId="77777777" w:rsidR="00FC14FC" w:rsidRDefault="00FC14FC" w:rsidP="00D11B9D">
                  <w:pPr>
                    <w:pStyle w:val="TableBodyText"/>
                    <w:framePr w:hSpace="180" w:wrap="around" w:vAnchor="text" w:hAnchor="margin" w:y="144"/>
                    <w:spacing w:before="40"/>
                  </w:pPr>
                  <w:r>
                    <w:t>0.</w:t>
                  </w:r>
                  <w:r w:rsidRPr="00713F89">
                    <w:t>10</w:t>
                  </w:r>
                </w:p>
              </w:tc>
              <w:tc>
                <w:tcPr>
                  <w:tcW w:w="216" w:type="pct"/>
                  <w:tcBorders>
                    <w:top w:val="single" w:sz="6" w:space="0" w:color="BFBFBF"/>
                  </w:tcBorders>
                  <w:vAlign w:val="bottom"/>
                </w:tcPr>
                <w:p w14:paraId="3839DD36" w14:textId="77777777" w:rsidR="00FC14FC" w:rsidRDefault="00FC14FC" w:rsidP="00D11B9D">
                  <w:pPr>
                    <w:pStyle w:val="TableBodyText"/>
                    <w:framePr w:hSpace="180" w:wrap="around" w:vAnchor="text" w:hAnchor="margin" w:y="144"/>
                    <w:spacing w:before="40"/>
                  </w:pPr>
                  <w:r>
                    <w:t>0.10</w:t>
                  </w:r>
                </w:p>
              </w:tc>
              <w:tc>
                <w:tcPr>
                  <w:tcW w:w="215" w:type="pct"/>
                  <w:tcBorders>
                    <w:top w:val="single" w:sz="6" w:space="0" w:color="BFBFBF"/>
                  </w:tcBorders>
                  <w:vAlign w:val="bottom"/>
                </w:tcPr>
                <w:p w14:paraId="1EE84061" w14:textId="77777777" w:rsidR="00FC14FC" w:rsidRDefault="00FC14FC" w:rsidP="00D11B9D">
                  <w:pPr>
                    <w:pStyle w:val="TableBodyText"/>
                    <w:framePr w:hSpace="180" w:wrap="around" w:vAnchor="text" w:hAnchor="margin" w:y="144"/>
                    <w:spacing w:before="40"/>
                  </w:pPr>
                  <w:r>
                    <w:t>0.</w:t>
                  </w:r>
                  <w:r w:rsidRPr="00713F89">
                    <w:t>09</w:t>
                  </w:r>
                </w:p>
              </w:tc>
              <w:tc>
                <w:tcPr>
                  <w:tcW w:w="216" w:type="pct"/>
                  <w:tcBorders>
                    <w:top w:val="single" w:sz="6" w:space="0" w:color="BFBFBF"/>
                  </w:tcBorders>
                  <w:vAlign w:val="bottom"/>
                </w:tcPr>
                <w:p w14:paraId="4EFA81F5" w14:textId="77777777" w:rsidR="00FC14FC" w:rsidRDefault="00FC14FC" w:rsidP="00D11B9D">
                  <w:pPr>
                    <w:pStyle w:val="TableBodyText"/>
                    <w:framePr w:hSpace="180" w:wrap="around" w:vAnchor="text" w:hAnchor="margin" w:y="144"/>
                    <w:spacing w:before="40"/>
                  </w:pPr>
                  <w:r>
                    <w:t>0.09</w:t>
                  </w:r>
                </w:p>
              </w:tc>
              <w:tc>
                <w:tcPr>
                  <w:tcW w:w="215" w:type="pct"/>
                  <w:tcBorders>
                    <w:top w:val="single" w:sz="6" w:space="0" w:color="BFBFBF"/>
                  </w:tcBorders>
                  <w:vAlign w:val="bottom"/>
                </w:tcPr>
                <w:p w14:paraId="7B588119" w14:textId="77777777" w:rsidR="00FC14FC" w:rsidRDefault="00FC14FC" w:rsidP="00D11B9D">
                  <w:pPr>
                    <w:pStyle w:val="TableBodyText"/>
                    <w:framePr w:hSpace="180" w:wrap="around" w:vAnchor="text" w:hAnchor="margin" w:y="144"/>
                    <w:spacing w:before="40"/>
                  </w:pPr>
                  <w:r>
                    <w:t>0.09</w:t>
                  </w:r>
                </w:p>
              </w:tc>
              <w:tc>
                <w:tcPr>
                  <w:tcW w:w="216" w:type="pct"/>
                  <w:tcBorders>
                    <w:top w:val="single" w:sz="6" w:space="0" w:color="BFBFBF"/>
                  </w:tcBorders>
                  <w:vAlign w:val="bottom"/>
                </w:tcPr>
                <w:p w14:paraId="0D5D87E8" w14:textId="77777777" w:rsidR="00FC14FC" w:rsidRDefault="00FC14FC" w:rsidP="00D11B9D">
                  <w:pPr>
                    <w:pStyle w:val="TableBodyText"/>
                    <w:framePr w:hSpace="180" w:wrap="around" w:vAnchor="text" w:hAnchor="margin" w:y="144"/>
                    <w:spacing w:before="40"/>
                  </w:pPr>
                  <w:r>
                    <w:t>0.08</w:t>
                  </w:r>
                </w:p>
              </w:tc>
              <w:tc>
                <w:tcPr>
                  <w:tcW w:w="215" w:type="pct"/>
                  <w:tcBorders>
                    <w:top w:val="single" w:sz="6" w:space="0" w:color="BFBFBF"/>
                  </w:tcBorders>
                  <w:vAlign w:val="bottom"/>
                </w:tcPr>
                <w:p w14:paraId="58339171" w14:textId="77777777" w:rsidR="00FC14FC" w:rsidRDefault="00FC14FC" w:rsidP="00D11B9D">
                  <w:pPr>
                    <w:pStyle w:val="TableBodyText"/>
                    <w:framePr w:hSpace="180" w:wrap="around" w:vAnchor="text" w:hAnchor="margin" w:y="144"/>
                    <w:spacing w:before="40"/>
                  </w:pPr>
                  <w:r>
                    <w:t>0.08</w:t>
                  </w:r>
                </w:p>
              </w:tc>
              <w:tc>
                <w:tcPr>
                  <w:tcW w:w="216" w:type="pct"/>
                  <w:tcBorders>
                    <w:top w:val="single" w:sz="6" w:space="0" w:color="BFBFBF"/>
                  </w:tcBorders>
                  <w:vAlign w:val="bottom"/>
                </w:tcPr>
                <w:p w14:paraId="4D5F84CD" w14:textId="77777777" w:rsidR="00FC14FC" w:rsidRDefault="00FC14FC" w:rsidP="00D11B9D">
                  <w:pPr>
                    <w:pStyle w:val="TableBodyText"/>
                    <w:framePr w:hSpace="180" w:wrap="around" w:vAnchor="text" w:hAnchor="margin" w:y="144"/>
                    <w:spacing w:before="40"/>
                  </w:pPr>
                  <w:r>
                    <w:t>0.07</w:t>
                  </w:r>
                </w:p>
              </w:tc>
              <w:tc>
                <w:tcPr>
                  <w:tcW w:w="269" w:type="pct"/>
                  <w:tcBorders>
                    <w:top w:val="single" w:sz="6" w:space="0" w:color="BFBFBF"/>
                  </w:tcBorders>
                  <w:shd w:val="clear" w:color="auto" w:fill="F2F2F2" w:themeFill="background1" w:themeFillShade="F2"/>
                  <w:vAlign w:val="bottom"/>
                </w:tcPr>
                <w:p w14:paraId="647683C3" w14:textId="77777777" w:rsidR="00FC14FC" w:rsidRDefault="00FC14FC" w:rsidP="00D11B9D">
                  <w:pPr>
                    <w:pStyle w:val="TableBodyText"/>
                    <w:framePr w:hSpace="180" w:wrap="around" w:vAnchor="text" w:hAnchor="margin" w:y="144"/>
                    <w:spacing w:before="40"/>
                  </w:pPr>
                  <w:r>
                    <w:t>0.07</w:t>
                  </w:r>
                </w:p>
              </w:tc>
              <w:tc>
                <w:tcPr>
                  <w:tcW w:w="1282" w:type="pct"/>
                  <w:tcBorders>
                    <w:top w:val="single" w:sz="6" w:space="0" w:color="BFBFBF"/>
                  </w:tcBorders>
                  <w:shd w:val="clear" w:color="auto" w:fill="F2F2F2" w:themeFill="background1" w:themeFillShade="F2"/>
                  <w:vAlign w:val="bottom"/>
                </w:tcPr>
                <w:p w14:paraId="31A9C122" w14:textId="77777777" w:rsidR="00FC14FC" w:rsidRDefault="00FC14FC" w:rsidP="00D11B9D">
                  <w:pPr>
                    <w:pStyle w:val="TableBodyText"/>
                    <w:framePr w:hSpace="180" w:wrap="around" w:vAnchor="text" w:hAnchor="margin" w:y="144"/>
                    <w:spacing w:before="40"/>
                  </w:pPr>
                  <w:r>
                    <w:t>BlackRock iShares Core Cash ETF</w:t>
                  </w:r>
                </w:p>
              </w:tc>
            </w:tr>
            <w:tr w:rsidR="00FC14FC" w14:paraId="638D8831" w14:textId="77777777" w:rsidTr="00D11B9D">
              <w:tc>
                <w:tcPr>
                  <w:tcW w:w="862" w:type="pct"/>
                  <w:shd w:val="clear" w:color="auto" w:fill="auto"/>
                  <w:vAlign w:val="bottom"/>
                </w:tcPr>
                <w:p w14:paraId="6939B444" w14:textId="77777777" w:rsidR="00FC14FC" w:rsidRDefault="00FC14FC" w:rsidP="00D11B9D">
                  <w:pPr>
                    <w:pStyle w:val="TableBodyText"/>
                    <w:framePr w:hSpace="180" w:wrap="around" w:vAnchor="text" w:hAnchor="margin" w:y="144"/>
                    <w:jc w:val="left"/>
                  </w:pPr>
                  <w:r>
                    <w:t>Domestic fixed income</w:t>
                  </w:r>
                </w:p>
              </w:tc>
              <w:tc>
                <w:tcPr>
                  <w:tcW w:w="216" w:type="pct"/>
                  <w:vAlign w:val="bottom"/>
                </w:tcPr>
                <w:p w14:paraId="65C58B76" w14:textId="77777777" w:rsidR="00FC14FC" w:rsidRDefault="00FC14FC" w:rsidP="00D11B9D">
                  <w:pPr>
                    <w:pStyle w:val="TableBodyText"/>
                    <w:framePr w:hSpace="180" w:wrap="around" w:vAnchor="text" w:hAnchor="margin" w:y="144"/>
                  </w:pPr>
                  <w:r w:rsidRPr="00713F89">
                    <w:t>0.43</w:t>
                  </w:r>
                </w:p>
              </w:tc>
              <w:tc>
                <w:tcPr>
                  <w:tcW w:w="216" w:type="pct"/>
                  <w:vAlign w:val="bottom"/>
                </w:tcPr>
                <w:p w14:paraId="66842A3F" w14:textId="77777777" w:rsidR="00FC14FC" w:rsidRDefault="00FC14FC" w:rsidP="00D11B9D">
                  <w:pPr>
                    <w:pStyle w:val="TableBodyText"/>
                    <w:framePr w:hSpace="180" w:wrap="around" w:vAnchor="text" w:hAnchor="margin" w:y="144"/>
                  </w:pPr>
                  <w:r w:rsidRPr="00713F89">
                    <w:t>0.41</w:t>
                  </w:r>
                </w:p>
              </w:tc>
              <w:tc>
                <w:tcPr>
                  <w:tcW w:w="215" w:type="pct"/>
                  <w:vAlign w:val="bottom"/>
                </w:tcPr>
                <w:p w14:paraId="7755A0CE" w14:textId="77777777" w:rsidR="00FC14FC" w:rsidRDefault="00FC14FC" w:rsidP="00D11B9D">
                  <w:pPr>
                    <w:pStyle w:val="TableBodyText"/>
                    <w:framePr w:hSpace="180" w:wrap="around" w:vAnchor="text" w:hAnchor="margin" w:y="144"/>
                  </w:pPr>
                  <w:r w:rsidRPr="00713F89">
                    <w:t>0.39</w:t>
                  </w:r>
                </w:p>
              </w:tc>
              <w:tc>
                <w:tcPr>
                  <w:tcW w:w="216" w:type="pct"/>
                  <w:vAlign w:val="bottom"/>
                </w:tcPr>
                <w:p w14:paraId="2B06EA96" w14:textId="77777777" w:rsidR="00FC14FC" w:rsidRDefault="00FC14FC" w:rsidP="00D11B9D">
                  <w:pPr>
                    <w:pStyle w:val="TableBodyText"/>
                    <w:framePr w:hSpace="180" w:wrap="around" w:vAnchor="text" w:hAnchor="margin" w:y="144"/>
                  </w:pPr>
                  <w:r w:rsidRPr="00713F89">
                    <w:t>0.37</w:t>
                  </w:r>
                </w:p>
              </w:tc>
              <w:tc>
                <w:tcPr>
                  <w:tcW w:w="215" w:type="pct"/>
                  <w:vAlign w:val="bottom"/>
                </w:tcPr>
                <w:p w14:paraId="436237C3" w14:textId="77777777" w:rsidR="00FC14FC" w:rsidRDefault="00FC14FC" w:rsidP="00D11B9D">
                  <w:pPr>
                    <w:pStyle w:val="TableBodyText"/>
                    <w:framePr w:hSpace="180" w:wrap="around" w:vAnchor="text" w:hAnchor="margin" w:y="144"/>
                  </w:pPr>
                  <w:r w:rsidRPr="00713F89">
                    <w:t>0.35</w:t>
                  </w:r>
                </w:p>
              </w:tc>
              <w:tc>
                <w:tcPr>
                  <w:tcW w:w="216" w:type="pct"/>
                  <w:vAlign w:val="bottom"/>
                </w:tcPr>
                <w:p w14:paraId="2A020151" w14:textId="77777777" w:rsidR="00FC14FC" w:rsidRDefault="00FC14FC" w:rsidP="00D11B9D">
                  <w:pPr>
                    <w:pStyle w:val="TableBodyText"/>
                    <w:framePr w:hSpace="180" w:wrap="around" w:vAnchor="text" w:hAnchor="margin" w:y="144"/>
                  </w:pPr>
                  <w:r w:rsidRPr="00713F89">
                    <w:t>0.34</w:t>
                  </w:r>
                </w:p>
              </w:tc>
              <w:tc>
                <w:tcPr>
                  <w:tcW w:w="215" w:type="pct"/>
                  <w:vAlign w:val="bottom"/>
                </w:tcPr>
                <w:p w14:paraId="29F95339" w14:textId="77777777" w:rsidR="00FC14FC" w:rsidRDefault="00FC14FC" w:rsidP="00D11B9D">
                  <w:pPr>
                    <w:pStyle w:val="TableBodyText"/>
                    <w:framePr w:hSpace="180" w:wrap="around" w:vAnchor="text" w:hAnchor="margin" w:y="144"/>
                  </w:pPr>
                  <w:r w:rsidRPr="00713F89">
                    <w:t>0.32</w:t>
                  </w:r>
                </w:p>
              </w:tc>
              <w:tc>
                <w:tcPr>
                  <w:tcW w:w="216" w:type="pct"/>
                  <w:vAlign w:val="bottom"/>
                </w:tcPr>
                <w:p w14:paraId="5CFA8088" w14:textId="77777777" w:rsidR="00FC14FC" w:rsidRDefault="00FC14FC" w:rsidP="00D11B9D">
                  <w:pPr>
                    <w:pStyle w:val="TableBodyText"/>
                    <w:framePr w:hSpace="180" w:wrap="around" w:vAnchor="text" w:hAnchor="margin" w:y="144"/>
                  </w:pPr>
                  <w:r w:rsidRPr="00713F89">
                    <w:t>0.31</w:t>
                  </w:r>
                </w:p>
              </w:tc>
              <w:tc>
                <w:tcPr>
                  <w:tcW w:w="215" w:type="pct"/>
                  <w:vAlign w:val="bottom"/>
                </w:tcPr>
                <w:p w14:paraId="1121BE8C" w14:textId="77777777" w:rsidR="00FC14FC" w:rsidRDefault="00FC14FC" w:rsidP="00D11B9D">
                  <w:pPr>
                    <w:pStyle w:val="TableBodyText"/>
                    <w:framePr w:hSpace="180" w:wrap="around" w:vAnchor="text" w:hAnchor="margin" w:y="144"/>
                  </w:pPr>
                  <w:r w:rsidRPr="00713F89">
                    <w:t>0.29</w:t>
                  </w:r>
                </w:p>
              </w:tc>
              <w:tc>
                <w:tcPr>
                  <w:tcW w:w="216" w:type="pct"/>
                  <w:vAlign w:val="bottom"/>
                </w:tcPr>
                <w:p w14:paraId="5697ABDE" w14:textId="77777777" w:rsidR="00FC14FC" w:rsidRDefault="00FC14FC" w:rsidP="00D11B9D">
                  <w:pPr>
                    <w:pStyle w:val="TableBodyText"/>
                    <w:framePr w:hSpace="180" w:wrap="around" w:vAnchor="text" w:hAnchor="margin" w:y="144"/>
                  </w:pPr>
                  <w:r>
                    <w:t>0.28</w:t>
                  </w:r>
                </w:p>
              </w:tc>
              <w:tc>
                <w:tcPr>
                  <w:tcW w:w="215" w:type="pct"/>
                  <w:vAlign w:val="bottom"/>
                </w:tcPr>
                <w:p w14:paraId="13A94788" w14:textId="77777777" w:rsidR="00FC14FC" w:rsidRDefault="00FC14FC" w:rsidP="00D11B9D">
                  <w:pPr>
                    <w:pStyle w:val="TableBodyText"/>
                    <w:framePr w:hSpace="180" w:wrap="around" w:vAnchor="text" w:hAnchor="margin" w:y="144"/>
                  </w:pPr>
                  <w:r w:rsidRPr="00713F89">
                    <w:t>0.26</w:t>
                  </w:r>
                </w:p>
              </w:tc>
              <w:tc>
                <w:tcPr>
                  <w:tcW w:w="216" w:type="pct"/>
                  <w:vAlign w:val="bottom"/>
                </w:tcPr>
                <w:p w14:paraId="6029E4C0" w14:textId="77777777" w:rsidR="00FC14FC" w:rsidRDefault="00FC14FC" w:rsidP="00D11B9D">
                  <w:pPr>
                    <w:pStyle w:val="TableBodyText"/>
                    <w:framePr w:hSpace="180" w:wrap="around" w:vAnchor="text" w:hAnchor="margin" w:y="144"/>
                  </w:pPr>
                  <w:r>
                    <w:t>0.25</w:t>
                  </w:r>
                </w:p>
              </w:tc>
              <w:tc>
                <w:tcPr>
                  <w:tcW w:w="269" w:type="pct"/>
                  <w:shd w:val="clear" w:color="auto" w:fill="F2F2F2" w:themeFill="background1" w:themeFillShade="F2"/>
                  <w:vAlign w:val="bottom"/>
                </w:tcPr>
                <w:p w14:paraId="42398A5E" w14:textId="77777777" w:rsidR="00FC14FC" w:rsidRDefault="00FC14FC" w:rsidP="00D11B9D">
                  <w:pPr>
                    <w:pStyle w:val="TableBodyText"/>
                    <w:framePr w:hSpace="180" w:wrap="around" w:vAnchor="text" w:hAnchor="margin" w:y="144"/>
                  </w:pPr>
                  <w:r>
                    <w:t>0.24</w:t>
                  </w:r>
                </w:p>
              </w:tc>
              <w:tc>
                <w:tcPr>
                  <w:tcW w:w="1282" w:type="pct"/>
                  <w:shd w:val="clear" w:color="auto" w:fill="F2F2F2" w:themeFill="background1" w:themeFillShade="F2"/>
                  <w:vAlign w:val="bottom"/>
                </w:tcPr>
                <w:p w14:paraId="347E1237" w14:textId="77777777" w:rsidR="00FC14FC" w:rsidRDefault="00FC14FC" w:rsidP="00D11B9D">
                  <w:pPr>
                    <w:pStyle w:val="TableBodyText"/>
                    <w:framePr w:hSpace="180" w:wrap="around" w:vAnchor="text" w:hAnchor="margin" w:y="144"/>
                  </w:pPr>
                  <w:r>
                    <w:t>SPDR S&amp;P/ASX Australian Bond Fund</w:t>
                  </w:r>
                </w:p>
              </w:tc>
            </w:tr>
            <w:tr w:rsidR="00FC14FC" w14:paraId="3E83FA62" w14:textId="77777777" w:rsidTr="00D11B9D">
              <w:tc>
                <w:tcPr>
                  <w:tcW w:w="862" w:type="pct"/>
                  <w:shd w:val="clear" w:color="auto" w:fill="auto"/>
                  <w:vAlign w:val="bottom"/>
                </w:tcPr>
                <w:p w14:paraId="47AEB331" w14:textId="77777777" w:rsidR="00FC14FC" w:rsidRDefault="00FC14FC" w:rsidP="00D11B9D">
                  <w:pPr>
                    <w:pStyle w:val="TableBodyText"/>
                    <w:framePr w:hSpace="180" w:wrap="around" w:vAnchor="text" w:hAnchor="margin" w:y="144"/>
                    <w:jc w:val="left"/>
                  </w:pPr>
                  <w:r>
                    <w:t>International fixed income</w:t>
                  </w:r>
                </w:p>
              </w:tc>
              <w:tc>
                <w:tcPr>
                  <w:tcW w:w="216" w:type="pct"/>
                  <w:shd w:val="clear" w:color="auto" w:fill="auto"/>
                  <w:vAlign w:val="bottom"/>
                </w:tcPr>
                <w:p w14:paraId="141D2E27" w14:textId="77777777" w:rsidR="00FC14FC" w:rsidRDefault="00FC14FC" w:rsidP="00D11B9D">
                  <w:pPr>
                    <w:pStyle w:val="TableBodyText"/>
                    <w:framePr w:hSpace="180" w:wrap="around" w:vAnchor="text" w:hAnchor="margin" w:y="144"/>
                  </w:pPr>
                  <w:r w:rsidRPr="00713F89">
                    <w:t>0.47</w:t>
                  </w:r>
                </w:p>
              </w:tc>
              <w:tc>
                <w:tcPr>
                  <w:tcW w:w="216" w:type="pct"/>
                  <w:vAlign w:val="bottom"/>
                </w:tcPr>
                <w:p w14:paraId="3E804F5B" w14:textId="77777777" w:rsidR="00FC14FC" w:rsidRDefault="00FC14FC" w:rsidP="00D11B9D">
                  <w:pPr>
                    <w:pStyle w:val="TableBodyText"/>
                    <w:framePr w:hSpace="180" w:wrap="around" w:vAnchor="text" w:hAnchor="margin" w:y="144"/>
                  </w:pPr>
                  <w:r w:rsidRPr="00713F89">
                    <w:t>0.44</w:t>
                  </w:r>
                </w:p>
              </w:tc>
              <w:tc>
                <w:tcPr>
                  <w:tcW w:w="215" w:type="pct"/>
                  <w:vAlign w:val="bottom"/>
                </w:tcPr>
                <w:p w14:paraId="5B7130F2" w14:textId="77777777" w:rsidR="00FC14FC" w:rsidRDefault="00FC14FC" w:rsidP="00D11B9D">
                  <w:pPr>
                    <w:pStyle w:val="TableBodyText"/>
                    <w:framePr w:hSpace="180" w:wrap="around" w:vAnchor="text" w:hAnchor="margin" w:y="144"/>
                  </w:pPr>
                  <w:r w:rsidRPr="00713F89">
                    <w:t>0.42</w:t>
                  </w:r>
                </w:p>
              </w:tc>
              <w:tc>
                <w:tcPr>
                  <w:tcW w:w="216" w:type="pct"/>
                  <w:vAlign w:val="bottom"/>
                </w:tcPr>
                <w:p w14:paraId="206F9A6B" w14:textId="77777777" w:rsidR="00FC14FC" w:rsidRDefault="00FC14FC" w:rsidP="00D11B9D">
                  <w:pPr>
                    <w:pStyle w:val="TableBodyText"/>
                    <w:framePr w:hSpace="180" w:wrap="around" w:vAnchor="text" w:hAnchor="margin" w:y="144"/>
                  </w:pPr>
                  <w:r w:rsidRPr="00713F89">
                    <w:t>0.40</w:t>
                  </w:r>
                </w:p>
              </w:tc>
              <w:tc>
                <w:tcPr>
                  <w:tcW w:w="215" w:type="pct"/>
                  <w:vAlign w:val="bottom"/>
                </w:tcPr>
                <w:p w14:paraId="7483C0ED" w14:textId="77777777" w:rsidR="00FC14FC" w:rsidRDefault="00FC14FC" w:rsidP="00D11B9D">
                  <w:pPr>
                    <w:pStyle w:val="TableBodyText"/>
                    <w:framePr w:hSpace="180" w:wrap="around" w:vAnchor="text" w:hAnchor="margin" w:y="144"/>
                  </w:pPr>
                  <w:r w:rsidRPr="00713F89">
                    <w:t>0.38</w:t>
                  </w:r>
                </w:p>
              </w:tc>
              <w:tc>
                <w:tcPr>
                  <w:tcW w:w="216" w:type="pct"/>
                  <w:vAlign w:val="bottom"/>
                </w:tcPr>
                <w:p w14:paraId="7D8D3DED" w14:textId="77777777" w:rsidR="00FC14FC" w:rsidRDefault="00FC14FC" w:rsidP="00D11B9D">
                  <w:pPr>
                    <w:pStyle w:val="TableBodyText"/>
                    <w:framePr w:hSpace="180" w:wrap="around" w:vAnchor="text" w:hAnchor="margin" w:y="144"/>
                  </w:pPr>
                  <w:r w:rsidRPr="00713F89">
                    <w:t>0.37</w:t>
                  </w:r>
                </w:p>
              </w:tc>
              <w:tc>
                <w:tcPr>
                  <w:tcW w:w="215" w:type="pct"/>
                  <w:vAlign w:val="bottom"/>
                </w:tcPr>
                <w:p w14:paraId="2E8DBACA" w14:textId="77777777" w:rsidR="00FC14FC" w:rsidRDefault="00FC14FC" w:rsidP="00D11B9D">
                  <w:pPr>
                    <w:pStyle w:val="TableBodyText"/>
                    <w:framePr w:hSpace="180" w:wrap="around" w:vAnchor="text" w:hAnchor="margin" w:y="144"/>
                  </w:pPr>
                  <w:r w:rsidRPr="00713F89">
                    <w:t>0.35</w:t>
                  </w:r>
                </w:p>
              </w:tc>
              <w:tc>
                <w:tcPr>
                  <w:tcW w:w="216" w:type="pct"/>
                  <w:vAlign w:val="bottom"/>
                </w:tcPr>
                <w:p w14:paraId="0E439D72" w14:textId="77777777" w:rsidR="00FC14FC" w:rsidRDefault="00FC14FC" w:rsidP="00D11B9D">
                  <w:pPr>
                    <w:pStyle w:val="TableBodyText"/>
                    <w:framePr w:hSpace="180" w:wrap="around" w:vAnchor="text" w:hAnchor="margin" w:y="144"/>
                  </w:pPr>
                  <w:r w:rsidRPr="00713F89">
                    <w:t>0.33</w:t>
                  </w:r>
                </w:p>
              </w:tc>
              <w:tc>
                <w:tcPr>
                  <w:tcW w:w="215" w:type="pct"/>
                  <w:vAlign w:val="bottom"/>
                </w:tcPr>
                <w:p w14:paraId="52FBCB85" w14:textId="77777777" w:rsidR="00FC14FC" w:rsidRDefault="00FC14FC" w:rsidP="00D11B9D">
                  <w:pPr>
                    <w:pStyle w:val="TableBodyText"/>
                    <w:framePr w:hSpace="180" w:wrap="around" w:vAnchor="text" w:hAnchor="margin" w:y="144"/>
                  </w:pPr>
                  <w:r w:rsidRPr="00713F89">
                    <w:t>0.32</w:t>
                  </w:r>
                </w:p>
              </w:tc>
              <w:tc>
                <w:tcPr>
                  <w:tcW w:w="216" w:type="pct"/>
                  <w:vAlign w:val="bottom"/>
                </w:tcPr>
                <w:p w14:paraId="20BB947F" w14:textId="77777777" w:rsidR="00FC14FC" w:rsidRDefault="00FC14FC" w:rsidP="00D11B9D">
                  <w:pPr>
                    <w:pStyle w:val="TableBodyText"/>
                    <w:framePr w:hSpace="180" w:wrap="around" w:vAnchor="text" w:hAnchor="margin" w:y="144"/>
                  </w:pPr>
                  <w:r w:rsidRPr="00713F89">
                    <w:t>0.30</w:t>
                  </w:r>
                </w:p>
              </w:tc>
              <w:tc>
                <w:tcPr>
                  <w:tcW w:w="215" w:type="pct"/>
                  <w:vAlign w:val="bottom"/>
                </w:tcPr>
                <w:p w14:paraId="573C842F" w14:textId="77777777" w:rsidR="00FC14FC" w:rsidRDefault="00FC14FC" w:rsidP="00D11B9D">
                  <w:pPr>
                    <w:pStyle w:val="TableBodyText"/>
                    <w:framePr w:hSpace="180" w:wrap="around" w:vAnchor="text" w:hAnchor="margin" w:y="144"/>
                  </w:pPr>
                  <w:r>
                    <w:t>0.29</w:t>
                  </w:r>
                </w:p>
              </w:tc>
              <w:tc>
                <w:tcPr>
                  <w:tcW w:w="216" w:type="pct"/>
                  <w:vAlign w:val="bottom"/>
                </w:tcPr>
                <w:p w14:paraId="47A7D3D1" w14:textId="77777777" w:rsidR="00FC14FC" w:rsidRDefault="00FC14FC" w:rsidP="00D11B9D">
                  <w:pPr>
                    <w:pStyle w:val="TableBodyText"/>
                    <w:framePr w:hSpace="180" w:wrap="around" w:vAnchor="text" w:hAnchor="margin" w:y="144"/>
                  </w:pPr>
                  <w:r w:rsidRPr="00713F89">
                    <w:t>0.27</w:t>
                  </w:r>
                </w:p>
              </w:tc>
              <w:tc>
                <w:tcPr>
                  <w:tcW w:w="269" w:type="pct"/>
                  <w:shd w:val="clear" w:color="auto" w:fill="F2F2F2" w:themeFill="background1" w:themeFillShade="F2"/>
                  <w:vAlign w:val="bottom"/>
                </w:tcPr>
                <w:p w14:paraId="0C75E37A" w14:textId="77777777" w:rsidR="00FC14FC" w:rsidRDefault="00FC14FC" w:rsidP="00D11B9D">
                  <w:pPr>
                    <w:pStyle w:val="TableBodyText"/>
                    <w:framePr w:hSpace="180" w:wrap="around" w:vAnchor="text" w:hAnchor="margin" w:y="144"/>
                  </w:pPr>
                  <w:r>
                    <w:t>0.26</w:t>
                  </w:r>
                </w:p>
              </w:tc>
              <w:tc>
                <w:tcPr>
                  <w:tcW w:w="1282" w:type="pct"/>
                  <w:shd w:val="clear" w:color="auto" w:fill="F2F2F2" w:themeFill="background1" w:themeFillShade="F2"/>
                  <w:vAlign w:val="bottom"/>
                </w:tcPr>
                <w:p w14:paraId="21A47E0A" w14:textId="77777777" w:rsidR="00FC14FC" w:rsidRDefault="00FC14FC" w:rsidP="00D11B9D">
                  <w:pPr>
                    <w:pStyle w:val="TableBodyText"/>
                    <w:framePr w:hSpace="180" w:wrap="around" w:vAnchor="text" w:hAnchor="margin" w:y="144"/>
                  </w:pPr>
                  <w:r>
                    <w:t>BlackRock iShares Core Global Corporate Bond (AUD hedged) ETF</w:t>
                  </w:r>
                </w:p>
              </w:tc>
            </w:tr>
            <w:tr w:rsidR="00FC14FC" w14:paraId="2FA60941" w14:textId="77777777" w:rsidTr="00D11B9D">
              <w:tc>
                <w:tcPr>
                  <w:tcW w:w="862" w:type="pct"/>
                  <w:shd w:val="clear" w:color="auto" w:fill="auto"/>
                  <w:vAlign w:val="bottom"/>
                </w:tcPr>
                <w:p w14:paraId="682956A5" w14:textId="77777777" w:rsidR="00FC14FC" w:rsidRDefault="00FC14FC" w:rsidP="00D11B9D">
                  <w:pPr>
                    <w:pStyle w:val="TableBodyText"/>
                    <w:framePr w:hSpace="180" w:wrap="around" w:vAnchor="text" w:hAnchor="margin" w:y="144"/>
                    <w:jc w:val="left"/>
                  </w:pPr>
                  <w:r>
                    <w:t>Domestic equity</w:t>
                  </w:r>
                </w:p>
              </w:tc>
              <w:tc>
                <w:tcPr>
                  <w:tcW w:w="216" w:type="pct"/>
                  <w:shd w:val="clear" w:color="auto" w:fill="auto"/>
                  <w:vAlign w:val="bottom"/>
                </w:tcPr>
                <w:p w14:paraId="14EDD801" w14:textId="77777777" w:rsidR="00FC14FC" w:rsidRDefault="00FC14FC" w:rsidP="00D11B9D">
                  <w:pPr>
                    <w:pStyle w:val="TableBodyText"/>
                    <w:framePr w:hSpace="180" w:wrap="around" w:vAnchor="text" w:hAnchor="margin" w:y="144"/>
                  </w:pPr>
                  <w:r w:rsidRPr="00713F89">
                    <w:t>0.25</w:t>
                  </w:r>
                </w:p>
              </w:tc>
              <w:tc>
                <w:tcPr>
                  <w:tcW w:w="216" w:type="pct"/>
                  <w:vAlign w:val="bottom"/>
                </w:tcPr>
                <w:p w14:paraId="03844C99" w14:textId="77777777" w:rsidR="00FC14FC" w:rsidRDefault="00FC14FC" w:rsidP="00D11B9D">
                  <w:pPr>
                    <w:pStyle w:val="TableBodyText"/>
                    <w:framePr w:hSpace="180" w:wrap="around" w:vAnchor="text" w:hAnchor="margin" w:y="144"/>
                  </w:pPr>
                  <w:r w:rsidRPr="00713F89">
                    <w:t>0.24</w:t>
                  </w:r>
                </w:p>
              </w:tc>
              <w:tc>
                <w:tcPr>
                  <w:tcW w:w="215" w:type="pct"/>
                  <w:vAlign w:val="bottom"/>
                </w:tcPr>
                <w:p w14:paraId="057B3FD6" w14:textId="77777777" w:rsidR="00FC14FC" w:rsidRDefault="00FC14FC" w:rsidP="00D11B9D">
                  <w:pPr>
                    <w:pStyle w:val="TableBodyText"/>
                    <w:framePr w:hSpace="180" w:wrap="around" w:vAnchor="text" w:hAnchor="margin" w:y="144"/>
                  </w:pPr>
                  <w:r w:rsidRPr="00713F89">
                    <w:t>0.23</w:t>
                  </w:r>
                </w:p>
              </w:tc>
              <w:tc>
                <w:tcPr>
                  <w:tcW w:w="216" w:type="pct"/>
                  <w:vAlign w:val="bottom"/>
                </w:tcPr>
                <w:p w14:paraId="644C9556" w14:textId="77777777" w:rsidR="00FC14FC" w:rsidRDefault="00FC14FC" w:rsidP="00D11B9D">
                  <w:pPr>
                    <w:pStyle w:val="TableBodyText"/>
                    <w:framePr w:hSpace="180" w:wrap="around" w:vAnchor="text" w:hAnchor="margin" w:y="144"/>
                  </w:pPr>
                  <w:r w:rsidRPr="00713F89">
                    <w:t>0.22</w:t>
                  </w:r>
                </w:p>
              </w:tc>
              <w:tc>
                <w:tcPr>
                  <w:tcW w:w="215" w:type="pct"/>
                  <w:vAlign w:val="bottom"/>
                </w:tcPr>
                <w:p w14:paraId="6909DE9B" w14:textId="77777777" w:rsidR="00FC14FC" w:rsidRDefault="00FC14FC" w:rsidP="00D11B9D">
                  <w:pPr>
                    <w:pStyle w:val="TableBodyText"/>
                    <w:framePr w:hSpace="180" w:wrap="around" w:vAnchor="text" w:hAnchor="margin" w:y="144"/>
                  </w:pPr>
                  <w:r w:rsidRPr="00713F89">
                    <w:t>0.21</w:t>
                  </w:r>
                </w:p>
              </w:tc>
              <w:tc>
                <w:tcPr>
                  <w:tcW w:w="216" w:type="pct"/>
                  <w:vAlign w:val="bottom"/>
                </w:tcPr>
                <w:p w14:paraId="3AADBC65" w14:textId="77777777" w:rsidR="00FC14FC" w:rsidRDefault="00FC14FC" w:rsidP="00D11B9D">
                  <w:pPr>
                    <w:pStyle w:val="TableBodyText"/>
                    <w:framePr w:hSpace="180" w:wrap="around" w:vAnchor="text" w:hAnchor="margin" w:y="144"/>
                  </w:pPr>
                  <w:r w:rsidRPr="00713F89">
                    <w:t>0.20</w:t>
                  </w:r>
                </w:p>
              </w:tc>
              <w:tc>
                <w:tcPr>
                  <w:tcW w:w="215" w:type="pct"/>
                  <w:vAlign w:val="bottom"/>
                </w:tcPr>
                <w:p w14:paraId="36215199" w14:textId="77777777" w:rsidR="00FC14FC" w:rsidRDefault="00FC14FC" w:rsidP="00D11B9D">
                  <w:pPr>
                    <w:pStyle w:val="TableBodyText"/>
                    <w:framePr w:hSpace="180" w:wrap="around" w:vAnchor="text" w:hAnchor="margin" w:y="144"/>
                  </w:pPr>
                  <w:r w:rsidRPr="00713F89">
                    <w:t>0.19</w:t>
                  </w:r>
                </w:p>
              </w:tc>
              <w:tc>
                <w:tcPr>
                  <w:tcW w:w="216" w:type="pct"/>
                  <w:vAlign w:val="bottom"/>
                </w:tcPr>
                <w:p w14:paraId="37442B6E" w14:textId="77777777" w:rsidR="00FC14FC" w:rsidRDefault="00FC14FC" w:rsidP="00D11B9D">
                  <w:pPr>
                    <w:pStyle w:val="TableBodyText"/>
                    <w:framePr w:hSpace="180" w:wrap="around" w:vAnchor="text" w:hAnchor="margin" w:y="144"/>
                  </w:pPr>
                  <w:r w:rsidRPr="00713F89">
                    <w:t>0.18</w:t>
                  </w:r>
                </w:p>
              </w:tc>
              <w:tc>
                <w:tcPr>
                  <w:tcW w:w="215" w:type="pct"/>
                  <w:vAlign w:val="bottom"/>
                </w:tcPr>
                <w:p w14:paraId="4D42F46D" w14:textId="77777777" w:rsidR="00FC14FC" w:rsidRDefault="00FC14FC" w:rsidP="00D11B9D">
                  <w:pPr>
                    <w:pStyle w:val="TableBodyText"/>
                    <w:framePr w:hSpace="180" w:wrap="around" w:vAnchor="text" w:hAnchor="margin" w:y="144"/>
                  </w:pPr>
                  <w:r w:rsidRPr="00713F89">
                    <w:t>0.17</w:t>
                  </w:r>
                </w:p>
              </w:tc>
              <w:tc>
                <w:tcPr>
                  <w:tcW w:w="216" w:type="pct"/>
                  <w:vAlign w:val="bottom"/>
                </w:tcPr>
                <w:p w14:paraId="1CA7CECB" w14:textId="77777777" w:rsidR="00FC14FC" w:rsidRDefault="00FC14FC" w:rsidP="00D11B9D">
                  <w:pPr>
                    <w:pStyle w:val="TableBodyText"/>
                    <w:framePr w:hSpace="180" w:wrap="around" w:vAnchor="text" w:hAnchor="margin" w:y="144"/>
                  </w:pPr>
                  <w:r w:rsidRPr="00713F89">
                    <w:t>0.16</w:t>
                  </w:r>
                </w:p>
              </w:tc>
              <w:tc>
                <w:tcPr>
                  <w:tcW w:w="215" w:type="pct"/>
                  <w:vAlign w:val="bottom"/>
                </w:tcPr>
                <w:p w14:paraId="6CB50960" w14:textId="77777777" w:rsidR="00FC14FC" w:rsidRDefault="00FC14FC" w:rsidP="00D11B9D">
                  <w:pPr>
                    <w:pStyle w:val="TableBodyText"/>
                    <w:framePr w:hSpace="180" w:wrap="around" w:vAnchor="text" w:hAnchor="margin" w:y="144"/>
                  </w:pPr>
                  <w:r w:rsidRPr="00713F89">
                    <w:t>0.15</w:t>
                  </w:r>
                </w:p>
              </w:tc>
              <w:tc>
                <w:tcPr>
                  <w:tcW w:w="216" w:type="pct"/>
                  <w:vAlign w:val="bottom"/>
                </w:tcPr>
                <w:p w14:paraId="78359A96" w14:textId="77777777" w:rsidR="00FC14FC" w:rsidRDefault="00FC14FC" w:rsidP="00D11B9D">
                  <w:pPr>
                    <w:pStyle w:val="TableBodyText"/>
                    <w:framePr w:hSpace="180" w:wrap="around" w:vAnchor="text" w:hAnchor="margin" w:y="144"/>
                  </w:pPr>
                  <w:r>
                    <w:t>0.15</w:t>
                  </w:r>
                </w:p>
              </w:tc>
              <w:tc>
                <w:tcPr>
                  <w:tcW w:w="269" w:type="pct"/>
                  <w:shd w:val="clear" w:color="auto" w:fill="F2F2F2" w:themeFill="background1" w:themeFillShade="F2"/>
                  <w:vAlign w:val="bottom"/>
                </w:tcPr>
                <w:p w14:paraId="3B78704B" w14:textId="77777777" w:rsidR="00FC14FC" w:rsidRDefault="00FC14FC" w:rsidP="00D11B9D">
                  <w:pPr>
                    <w:pStyle w:val="TableBodyText"/>
                    <w:framePr w:hSpace="180" w:wrap="around" w:vAnchor="text" w:hAnchor="margin" w:y="144"/>
                  </w:pPr>
                  <w:r>
                    <w:t>0.14</w:t>
                  </w:r>
                </w:p>
              </w:tc>
              <w:tc>
                <w:tcPr>
                  <w:tcW w:w="1282" w:type="pct"/>
                  <w:shd w:val="clear" w:color="auto" w:fill="F2F2F2" w:themeFill="background1" w:themeFillShade="F2"/>
                  <w:vAlign w:val="bottom"/>
                </w:tcPr>
                <w:p w14:paraId="1678B435" w14:textId="77777777" w:rsidR="00FC14FC" w:rsidRDefault="00FC14FC" w:rsidP="00D11B9D">
                  <w:pPr>
                    <w:pStyle w:val="TableBodyText"/>
                    <w:framePr w:hSpace="180" w:wrap="around" w:vAnchor="text" w:hAnchor="margin" w:y="144"/>
                  </w:pPr>
                  <w:r>
                    <w:t>Vanguard Australian Shares Index ETF</w:t>
                  </w:r>
                </w:p>
              </w:tc>
            </w:tr>
            <w:tr w:rsidR="00FC14FC" w14:paraId="19B9C9AC" w14:textId="77777777" w:rsidTr="00D11B9D">
              <w:tc>
                <w:tcPr>
                  <w:tcW w:w="862" w:type="pct"/>
                  <w:shd w:val="clear" w:color="auto" w:fill="auto"/>
                  <w:vAlign w:val="bottom"/>
                </w:tcPr>
                <w:p w14:paraId="0FBDDEB4" w14:textId="77777777" w:rsidR="00FC14FC" w:rsidRDefault="00FC14FC" w:rsidP="00D11B9D">
                  <w:pPr>
                    <w:pStyle w:val="TableBodyText"/>
                    <w:framePr w:hSpace="180" w:wrap="around" w:vAnchor="text" w:hAnchor="margin" w:y="144"/>
                    <w:jc w:val="left"/>
                  </w:pPr>
                  <w:r>
                    <w:t>International equity</w:t>
                  </w:r>
                </w:p>
              </w:tc>
              <w:tc>
                <w:tcPr>
                  <w:tcW w:w="216" w:type="pct"/>
                  <w:shd w:val="clear" w:color="auto" w:fill="auto"/>
                  <w:vAlign w:val="bottom"/>
                </w:tcPr>
                <w:p w14:paraId="02155BF0" w14:textId="77777777" w:rsidR="00FC14FC" w:rsidRDefault="00FC14FC" w:rsidP="00D11B9D">
                  <w:pPr>
                    <w:pStyle w:val="TableBodyText"/>
                    <w:framePr w:hSpace="180" w:wrap="around" w:vAnchor="text" w:hAnchor="margin" w:y="144"/>
                  </w:pPr>
                  <w:r w:rsidRPr="00713F89">
                    <w:t>0.54</w:t>
                  </w:r>
                </w:p>
              </w:tc>
              <w:tc>
                <w:tcPr>
                  <w:tcW w:w="216" w:type="pct"/>
                  <w:vAlign w:val="bottom"/>
                </w:tcPr>
                <w:p w14:paraId="0874B0AD" w14:textId="77777777" w:rsidR="00FC14FC" w:rsidRDefault="00FC14FC" w:rsidP="00D11B9D">
                  <w:pPr>
                    <w:pStyle w:val="TableBodyText"/>
                    <w:framePr w:hSpace="180" w:wrap="around" w:vAnchor="text" w:hAnchor="margin" w:y="144"/>
                  </w:pPr>
                  <w:r w:rsidRPr="00713F89">
                    <w:t>0.51</w:t>
                  </w:r>
                </w:p>
              </w:tc>
              <w:tc>
                <w:tcPr>
                  <w:tcW w:w="215" w:type="pct"/>
                  <w:vAlign w:val="bottom"/>
                </w:tcPr>
                <w:p w14:paraId="7FAA8FF3" w14:textId="77777777" w:rsidR="00FC14FC" w:rsidRDefault="00FC14FC" w:rsidP="00D11B9D">
                  <w:pPr>
                    <w:pStyle w:val="TableBodyText"/>
                    <w:framePr w:hSpace="180" w:wrap="around" w:vAnchor="text" w:hAnchor="margin" w:y="144"/>
                  </w:pPr>
                  <w:r w:rsidRPr="00713F89">
                    <w:t>0.49</w:t>
                  </w:r>
                </w:p>
              </w:tc>
              <w:tc>
                <w:tcPr>
                  <w:tcW w:w="216" w:type="pct"/>
                  <w:vAlign w:val="bottom"/>
                </w:tcPr>
                <w:p w14:paraId="4D614977" w14:textId="77777777" w:rsidR="00FC14FC" w:rsidRDefault="00FC14FC" w:rsidP="00D11B9D">
                  <w:pPr>
                    <w:pStyle w:val="TableBodyText"/>
                    <w:framePr w:hSpace="180" w:wrap="around" w:vAnchor="text" w:hAnchor="margin" w:y="144"/>
                  </w:pPr>
                  <w:r w:rsidRPr="00713F89">
                    <w:t>0.47</w:t>
                  </w:r>
                </w:p>
              </w:tc>
              <w:tc>
                <w:tcPr>
                  <w:tcW w:w="215" w:type="pct"/>
                  <w:vAlign w:val="bottom"/>
                </w:tcPr>
                <w:p w14:paraId="284C3006" w14:textId="77777777" w:rsidR="00FC14FC" w:rsidRDefault="00FC14FC" w:rsidP="00D11B9D">
                  <w:pPr>
                    <w:pStyle w:val="TableBodyText"/>
                    <w:framePr w:hSpace="180" w:wrap="around" w:vAnchor="text" w:hAnchor="margin" w:y="144"/>
                  </w:pPr>
                  <w:r w:rsidRPr="00713F89">
                    <w:t>0.44</w:t>
                  </w:r>
                </w:p>
              </w:tc>
              <w:tc>
                <w:tcPr>
                  <w:tcW w:w="216" w:type="pct"/>
                  <w:vAlign w:val="bottom"/>
                </w:tcPr>
                <w:p w14:paraId="0DDB2F33" w14:textId="77777777" w:rsidR="00FC14FC" w:rsidRDefault="00FC14FC" w:rsidP="00D11B9D">
                  <w:pPr>
                    <w:pStyle w:val="TableBodyText"/>
                    <w:framePr w:hSpace="180" w:wrap="around" w:vAnchor="text" w:hAnchor="margin" w:y="144"/>
                  </w:pPr>
                  <w:r w:rsidRPr="00713F89">
                    <w:t>0.42</w:t>
                  </w:r>
                </w:p>
              </w:tc>
              <w:tc>
                <w:tcPr>
                  <w:tcW w:w="215" w:type="pct"/>
                  <w:vAlign w:val="bottom"/>
                </w:tcPr>
                <w:p w14:paraId="2CAE62EA" w14:textId="77777777" w:rsidR="00FC14FC" w:rsidRDefault="00FC14FC" w:rsidP="00D11B9D">
                  <w:pPr>
                    <w:pStyle w:val="TableBodyText"/>
                    <w:framePr w:hSpace="180" w:wrap="around" w:vAnchor="text" w:hAnchor="margin" w:y="144"/>
                  </w:pPr>
                  <w:r w:rsidRPr="00713F89">
                    <w:t>0.40</w:t>
                  </w:r>
                </w:p>
              </w:tc>
              <w:tc>
                <w:tcPr>
                  <w:tcW w:w="216" w:type="pct"/>
                  <w:vAlign w:val="bottom"/>
                </w:tcPr>
                <w:p w14:paraId="39156501" w14:textId="77777777" w:rsidR="00FC14FC" w:rsidRDefault="00FC14FC" w:rsidP="00D11B9D">
                  <w:pPr>
                    <w:pStyle w:val="TableBodyText"/>
                    <w:framePr w:hSpace="180" w:wrap="around" w:vAnchor="text" w:hAnchor="margin" w:y="144"/>
                  </w:pPr>
                  <w:r w:rsidRPr="00713F89">
                    <w:t>0.38</w:t>
                  </w:r>
                </w:p>
              </w:tc>
              <w:tc>
                <w:tcPr>
                  <w:tcW w:w="215" w:type="pct"/>
                  <w:vAlign w:val="bottom"/>
                </w:tcPr>
                <w:p w14:paraId="04D0A179" w14:textId="77777777" w:rsidR="00FC14FC" w:rsidRDefault="00FC14FC" w:rsidP="00D11B9D">
                  <w:pPr>
                    <w:pStyle w:val="TableBodyText"/>
                    <w:framePr w:hSpace="180" w:wrap="around" w:vAnchor="text" w:hAnchor="margin" w:y="144"/>
                  </w:pPr>
                  <w:r w:rsidRPr="00713F89">
                    <w:t>0.36</w:t>
                  </w:r>
                </w:p>
              </w:tc>
              <w:tc>
                <w:tcPr>
                  <w:tcW w:w="216" w:type="pct"/>
                  <w:vAlign w:val="bottom"/>
                </w:tcPr>
                <w:p w14:paraId="52CF44B8" w14:textId="77777777" w:rsidR="00FC14FC" w:rsidRDefault="00FC14FC" w:rsidP="00D11B9D">
                  <w:pPr>
                    <w:pStyle w:val="TableBodyText"/>
                    <w:framePr w:hSpace="180" w:wrap="around" w:vAnchor="text" w:hAnchor="margin" w:y="144"/>
                  </w:pPr>
                  <w:r w:rsidRPr="00713F89">
                    <w:t>0.35</w:t>
                  </w:r>
                </w:p>
              </w:tc>
              <w:tc>
                <w:tcPr>
                  <w:tcW w:w="215" w:type="pct"/>
                  <w:vAlign w:val="bottom"/>
                </w:tcPr>
                <w:p w14:paraId="748C35A9" w14:textId="77777777" w:rsidR="00FC14FC" w:rsidRDefault="00FC14FC" w:rsidP="00D11B9D">
                  <w:pPr>
                    <w:pStyle w:val="TableBodyText"/>
                    <w:framePr w:hSpace="180" w:wrap="around" w:vAnchor="text" w:hAnchor="margin" w:y="144"/>
                  </w:pPr>
                  <w:r w:rsidRPr="00713F89">
                    <w:t>0.33</w:t>
                  </w:r>
                </w:p>
              </w:tc>
              <w:tc>
                <w:tcPr>
                  <w:tcW w:w="216" w:type="pct"/>
                  <w:vAlign w:val="bottom"/>
                </w:tcPr>
                <w:p w14:paraId="41F38709" w14:textId="77777777" w:rsidR="00FC14FC" w:rsidRDefault="00FC14FC" w:rsidP="00D11B9D">
                  <w:pPr>
                    <w:pStyle w:val="TableBodyText"/>
                    <w:framePr w:hSpace="180" w:wrap="around" w:vAnchor="text" w:hAnchor="margin" w:y="144"/>
                  </w:pPr>
                  <w:r>
                    <w:t>0.32</w:t>
                  </w:r>
                </w:p>
              </w:tc>
              <w:tc>
                <w:tcPr>
                  <w:tcW w:w="269" w:type="pct"/>
                  <w:shd w:val="clear" w:color="auto" w:fill="F2F2F2" w:themeFill="background1" w:themeFillShade="F2"/>
                  <w:vAlign w:val="bottom"/>
                </w:tcPr>
                <w:p w14:paraId="36903AD0" w14:textId="77777777" w:rsidR="00FC14FC" w:rsidRDefault="00FC14FC" w:rsidP="00D11B9D">
                  <w:pPr>
                    <w:pStyle w:val="TableBodyText"/>
                    <w:framePr w:hSpace="180" w:wrap="around" w:vAnchor="text" w:hAnchor="margin" w:y="144"/>
                  </w:pPr>
                  <w:r>
                    <w:t>0.30</w:t>
                  </w:r>
                </w:p>
              </w:tc>
              <w:tc>
                <w:tcPr>
                  <w:tcW w:w="1282" w:type="pct"/>
                  <w:shd w:val="clear" w:color="auto" w:fill="F2F2F2" w:themeFill="background1" w:themeFillShade="F2"/>
                  <w:vAlign w:val="bottom"/>
                </w:tcPr>
                <w:p w14:paraId="562D0F88" w14:textId="77777777" w:rsidR="00FC14FC" w:rsidRDefault="00FC14FC" w:rsidP="00D11B9D">
                  <w:pPr>
                    <w:pStyle w:val="TableBodyText"/>
                    <w:framePr w:hSpace="180" w:wrap="around" w:vAnchor="text" w:hAnchor="margin" w:y="144"/>
                  </w:pPr>
                  <w:r>
                    <w:t>SPDR S&amp;P World ex Australia Fund</w:t>
                  </w:r>
                </w:p>
              </w:tc>
            </w:tr>
            <w:tr w:rsidR="00FC14FC" w14:paraId="6A3EACB9" w14:textId="77777777" w:rsidTr="00D11B9D">
              <w:tc>
                <w:tcPr>
                  <w:tcW w:w="862" w:type="pct"/>
                  <w:shd w:val="clear" w:color="auto" w:fill="auto"/>
                  <w:vAlign w:val="bottom"/>
                </w:tcPr>
                <w:p w14:paraId="077A893B" w14:textId="77777777" w:rsidR="00FC14FC" w:rsidRDefault="00FC14FC" w:rsidP="00D11B9D">
                  <w:pPr>
                    <w:pStyle w:val="TableBodyText"/>
                    <w:framePr w:hSpace="180" w:wrap="around" w:vAnchor="text" w:hAnchor="margin" w:y="144"/>
                    <w:jc w:val="left"/>
                  </w:pPr>
                  <w:r>
                    <w:t>Private equity (BP1)</w:t>
                  </w:r>
                </w:p>
              </w:tc>
              <w:tc>
                <w:tcPr>
                  <w:tcW w:w="216" w:type="pct"/>
                  <w:shd w:val="clear" w:color="auto" w:fill="auto"/>
                  <w:vAlign w:val="bottom"/>
                </w:tcPr>
                <w:p w14:paraId="02EF4353" w14:textId="77777777" w:rsidR="00FC14FC" w:rsidRDefault="00FC14FC" w:rsidP="00D11B9D">
                  <w:pPr>
                    <w:pStyle w:val="TableBodyText"/>
                    <w:framePr w:hSpace="180" w:wrap="around" w:vAnchor="text" w:hAnchor="margin" w:y="144"/>
                  </w:pPr>
                  <w:r w:rsidRPr="00713F89">
                    <w:t>0.90</w:t>
                  </w:r>
                </w:p>
              </w:tc>
              <w:tc>
                <w:tcPr>
                  <w:tcW w:w="216" w:type="pct"/>
                  <w:vAlign w:val="bottom"/>
                </w:tcPr>
                <w:p w14:paraId="2FF6850B" w14:textId="77777777" w:rsidR="00FC14FC" w:rsidRDefault="00FC14FC" w:rsidP="00D11B9D">
                  <w:pPr>
                    <w:pStyle w:val="TableBodyText"/>
                    <w:framePr w:hSpace="180" w:wrap="around" w:vAnchor="text" w:hAnchor="margin" w:y="144"/>
                  </w:pPr>
                  <w:r w:rsidRPr="00713F89">
                    <w:t>0.86</w:t>
                  </w:r>
                </w:p>
              </w:tc>
              <w:tc>
                <w:tcPr>
                  <w:tcW w:w="215" w:type="pct"/>
                  <w:vAlign w:val="bottom"/>
                </w:tcPr>
                <w:p w14:paraId="1F5AD230" w14:textId="77777777" w:rsidR="00FC14FC" w:rsidRDefault="00FC14FC" w:rsidP="00D11B9D">
                  <w:pPr>
                    <w:pStyle w:val="TableBodyText"/>
                    <w:framePr w:hSpace="180" w:wrap="around" w:vAnchor="text" w:hAnchor="margin" w:y="144"/>
                  </w:pPr>
                  <w:r w:rsidRPr="00713F89">
                    <w:t>0.81</w:t>
                  </w:r>
                </w:p>
              </w:tc>
              <w:tc>
                <w:tcPr>
                  <w:tcW w:w="216" w:type="pct"/>
                  <w:vAlign w:val="bottom"/>
                </w:tcPr>
                <w:p w14:paraId="7A3E4816" w14:textId="77777777" w:rsidR="00FC14FC" w:rsidRDefault="00FC14FC" w:rsidP="00D11B9D">
                  <w:pPr>
                    <w:pStyle w:val="TableBodyText"/>
                    <w:framePr w:hSpace="180" w:wrap="around" w:vAnchor="text" w:hAnchor="margin" w:y="144"/>
                  </w:pPr>
                  <w:r w:rsidRPr="00713F89">
                    <w:t>0.78</w:t>
                  </w:r>
                </w:p>
              </w:tc>
              <w:tc>
                <w:tcPr>
                  <w:tcW w:w="215" w:type="pct"/>
                  <w:vAlign w:val="bottom"/>
                </w:tcPr>
                <w:p w14:paraId="42606D3A" w14:textId="77777777" w:rsidR="00FC14FC" w:rsidRDefault="00FC14FC" w:rsidP="00D11B9D">
                  <w:pPr>
                    <w:pStyle w:val="TableBodyText"/>
                    <w:framePr w:hSpace="180" w:wrap="around" w:vAnchor="text" w:hAnchor="margin" w:y="144"/>
                  </w:pPr>
                  <w:r w:rsidRPr="00713F89">
                    <w:t>0.74</w:t>
                  </w:r>
                </w:p>
              </w:tc>
              <w:tc>
                <w:tcPr>
                  <w:tcW w:w="216" w:type="pct"/>
                  <w:vAlign w:val="bottom"/>
                </w:tcPr>
                <w:p w14:paraId="084B2004" w14:textId="77777777" w:rsidR="00FC14FC" w:rsidRDefault="00FC14FC" w:rsidP="00D11B9D">
                  <w:pPr>
                    <w:pStyle w:val="TableBodyText"/>
                    <w:framePr w:hSpace="180" w:wrap="around" w:vAnchor="text" w:hAnchor="margin" w:y="144"/>
                  </w:pPr>
                  <w:r w:rsidRPr="00713F89">
                    <w:t>0.70</w:t>
                  </w:r>
                </w:p>
              </w:tc>
              <w:tc>
                <w:tcPr>
                  <w:tcW w:w="215" w:type="pct"/>
                  <w:vAlign w:val="bottom"/>
                </w:tcPr>
                <w:p w14:paraId="4517FA0B" w14:textId="77777777" w:rsidR="00FC14FC" w:rsidRDefault="00FC14FC" w:rsidP="00D11B9D">
                  <w:pPr>
                    <w:pStyle w:val="TableBodyText"/>
                    <w:framePr w:hSpace="180" w:wrap="around" w:vAnchor="text" w:hAnchor="margin" w:y="144"/>
                  </w:pPr>
                  <w:r w:rsidRPr="00713F89">
                    <w:t>0.67</w:t>
                  </w:r>
                </w:p>
              </w:tc>
              <w:tc>
                <w:tcPr>
                  <w:tcW w:w="216" w:type="pct"/>
                  <w:vAlign w:val="bottom"/>
                </w:tcPr>
                <w:p w14:paraId="43E04180" w14:textId="77777777" w:rsidR="00FC14FC" w:rsidRDefault="00FC14FC" w:rsidP="00D11B9D">
                  <w:pPr>
                    <w:pStyle w:val="TableBodyText"/>
                    <w:framePr w:hSpace="180" w:wrap="around" w:vAnchor="text" w:hAnchor="margin" w:y="144"/>
                  </w:pPr>
                  <w:r w:rsidRPr="00713F89">
                    <w:t>0.64</w:t>
                  </w:r>
                </w:p>
              </w:tc>
              <w:tc>
                <w:tcPr>
                  <w:tcW w:w="215" w:type="pct"/>
                  <w:vAlign w:val="bottom"/>
                </w:tcPr>
                <w:p w14:paraId="0D3DAC9C" w14:textId="77777777" w:rsidR="00FC14FC" w:rsidRDefault="00FC14FC" w:rsidP="00D11B9D">
                  <w:pPr>
                    <w:pStyle w:val="TableBodyText"/>
                    <w:framePr w:hSpace="180" w:wrap="around" w:vAnchor="text" w:hAnchor="margin" w:y="144"/>
                  </w:pPr>
                  <w:r w:rsidRPr="00713F89">
                    <w:t>0.61</w:t>
                  </w:r>
                </w:p>
              </w:tc>
              <w:tc>
                <w:tcPr>
                  <w:tcW w:w="216" w:type="pct"/>
                  <w:vAlign w:val="bottom"/>
                </w:tcPr>
                <w:p w14:paraId="12139FBC" w14:textId="77777777" w:rsidR="00FC14FC" w:rsidRDefault="00FC14FC" w:rsidP="00D11B9D">
                  <w:pPr>
                    <w:pStyle w:val="TableBodyText"/>
                    <w:framePr w:hSpace="180" w:wrap="around" w:vAnchor="text" w:hAnchor="margin" w:y="144"/>
                  </w:pPr>
                  <w:r w:rsidRPr="00713F89">
                    <w:t>0.58</w:t>
                  </w:r>
                </w:p>
              </w:tc>
              <w:tc>
                <w:tcPr>
                  <w:tcW w:w="215" w:type="pct"/>
                  <w:vAlign w:val="bottom"/>
                </w:tcPr>
                <w:p w14:paraId="15E3B894" w14:textId="77777777" w:rsidR="00FC14FC" w:rsidRDefault="00FC14FC" w:rsidP="00D11B9D">
                  <w:pPr>
                    <w:pStyle w:val="TableBodyText"/>
                    <w:framePr w:hSpace="180" w:wrap="around" w:vAnchor="text" w:hAnchor="margin" w:y="144"/>
                  </w:pPr>
                  <w:r w:rsidRPr="00713F89">
                    <w:t>0.55</w:t>
                  </w:r>
                </w:p>
              </w:tc>
              <w:tc>
                <w:tcPr>
                  <w:tcW w:w="216" w:type="pct"/>
                  <w:vAlign w:val="bottom"/>
                </w:tcPr>
                <w:p w14:paraId="5C2CD1F7" w14:textId="77777777" w:rsidR="00FC14FC" w:rsidRDefault="00FC14FC" w:rsidP="00D11B9D">
                  <w:pPr>
                    <w:pStyle w:val="TableBodyText"/>
                    <w:framePr w:hSpace="180" w:wrap="around" w:vAnchor="text" w:hAnchor="margin" w:y="144"/>
                  </w:pPr>
                  <w:r>
                    <w:t>0.53</w:t>
                  </w:r>
                </w:p>
              </w:tc>
              <w:tc>
                <w:tcPr>
                  <w:tcW w:w="269" w:type="pct"/>
                  <w:shd w:val="clear" w:color="auto" w:fill="F2F2F2" w:themeFill="background1" w:themeFillShade="F2"/>
                  <w:vAlign w:val="bottom"/>
                </w:tcPr>
                <w:p w14:paraId="3E7FE685" w14:textId="77777777" w:rsidR="00FC14FC" w:rsidRDefault="00FC14FC" w:rsidP="00D11B9D">
                  <w:pPr>
                    <w:pStyle w:val="TableBodyText"/>
                    <w:framePr w:hSpace="180" w:wrap="around" w:vAnchor="text" w:hAnchor="margin" w:y="144"/>
                  </w:pPr>
                  <w:r>
                    <w:t>0.50</w:t>
                  </w:r>
                </w:p>
              </w:tc>
              <w:tc>
                <w:tcPr>
                  <w:tcW w:w="1282" w:type="pct"/>
                  <w:shd w:val="clear" w:color="auto" w:fill="F2F2F2" w:themeFill="background1" w:themeFillShade="F2"/>
                  <w:vAlign w:val="bottom"/>
                </w:tcPr>
                <w:p w14:paraId="4BBB4479" w14:textId="77777777" w:rsidR="00FC14FC" w:rsidRDefault="00FC14FC" w:rsidP="00D11B9D">
                  <w:pPr>
                    <w:pStyle w:val="TableBodyText"/>
                    <w:framePr w:hSpace="180" w:wrap="around" w:vAnchor="text" w:hAnchor="margin" w:y="144"/>
                  </w:pPr>
                  <w:r>
                    <w:t>SPDR S&amp;P/ASX Small Ordinaries Fund</w:t>
                  </w:r>
                </w:p>
              </w:tc>
            </w:tr>
            <w:tr w:rsidR="00FC14FC" w14:paraId="50F7B22F" w14:textId="77777777" w:rsidTr="00D11B9D">
              <w:tc>
                <w:tcPr>
                  <w:tcW w:w="862" w:type="pct"/>
                  <w:shd w:val="clear" w:color="auto" w:fill="auto"/>
                  <w:vAlign w:val="bottom"/>
                </w:tcPr>
                <w:p w14:paraId="01751C16" w14:textId="77777777" w:rsidR="00FC14FC" w:rsidRDefault="00FC14FC" w:rsidP="00D11B9D">
                  <w:pPr>
                    <w:pStyle w:val="TableBodyText"/>
                    <w:framePr w:hSpace="180" w:wrap="around" w:vAnchor="text" w:hAnchor="margin" w:y="144"/>
                    <w:jc w:val="left"/>
                  </w:pPr>
                  <w:r>
                    <w:t>Private equity (BP2)</w:t>
                  </w:r>
                </w:p>
              </w:tc>
              <w:tc>
                <w:tcPr>
                  <w:tcW w:w="216" w:type="pct"/>
                  <w:shd w:val="clear" w:color="auto" w:fill="auto"/>
                  <w:vAlign w:val="bottom"/>
                </w:tcPr>
                <w:p w14:paraId="04C33A88" w14:textId="77777777" w:rsidR="00FC14FC" w:rsidRDefault="00FC14FC" w:rsidP="00D11B9D">
                  <w:pPr>
                    <w:pStyle w:val="TableBodyText"/>
                    <w:framePr w:hSpace="180" w:wrap="around" w:vAnchor="text" w:hAnchor="margin" w:y="144"/>
                  </w:pPr>
                  <w:r w:rsidRPr="00713F89">
                    <w:t>2.87</w:t>
                  </w:r>
                </w:p>
              </w:tc>
              <w:tc>
                <w:tcPr>
                  <w:tcW w:w="216" w:type="pct"/>
                  <w:vAlign w:val="bottom"/>
                </w:tcPr>
                <w:p w14:paraId="50A93246" w14:textId="77777777" w:rsidR="00FC14FC" w:rsidRDefault="00FC14FC" w:rsidP="00D11B9D">
                  <w:pPr>
                    <w:pStyle w:val="TableBodyText"/>
                    <w:framePr w:hSpace="180" w:wrap="around" w:vAnchor="text" w:hAnchor="margin" w:y="144"/>
                  </w:pPr>
                  <w:r w:rsidRPr="00713F89">
                    <w:t>2.74</w:t>
                  </w:r>
                </w:p>
              </w:tc>
              <w:tc>
                <w:tcPr>
                  <w:tcW w:w="215" w:type="pct"/>
                  <w:vAlign w:val="bottom"/>
                </w:tcPr>
                <w:p w14:paraId="05FA759E" w14:textId="77777777" w:rsidR="00FC14FC" w:rsidRDefault="00FC14FC" w:rsidP="00D11B9D">
                  <w:pPr>
                    <w:pStyle w:val="TableBodyText"/>
                    <w:framePr w:hSpace="180" w:wrap="around" w:vAnchor="text" w:hAnchor="margin" w:y="144"/>
                  </w:pPr>
                  <w:r w:rsidRPr="00713F89">
                    <w:t>2.61</w:t>
                  </w:r>
                </w:p>
              </w:tc>
              <w:tc>
                <w:tcPr>
                  <w:tcW w:w="216" w:type="pct"/>
                  <w:vAlign w:val="bottom"/>
                </w:tcPr>
                <w:p w14:paraId="747EDBE1" w14:textId="77777777" w:rsidR="00FC14FC" w:rsidRDefault="00FC14FC" w:rsidP="00D11B9D">
                  <w:pPr>
                    <w:pStyle w:val="TableBodyText"/>
                    <w:framePr w:hSpace="180" w:wrap="around" w:vAnchor="text" w:hAnchor="margin" w:y="144"/>
                  </w:pPr>
                  <w:r w:rsidRPr="00713F89">
                    <w:t>2.48</w:t>
                  </w:r>
                </w:p>
              </w:tc>
              <w:tc>
                <w:tcPr>
                  <w:tcW w:w="215" w:type="pct"/>
                  <w:vAlign w:val="bottom"/>
                </w:tcPr>
                <w:p w14:paraId="41C62A65" w14:textId="77777777" w:rsidR="00FC14FC" w:rsidRDefault="00FC14FC" w:rsidP="00D11B9D">
                  <w:pPr>
                    <w:pStyle w:val="TableBodyText"/>
                    <w:framePr w:hSpace="180" w:wrap="around" w:vAnchor="text" w:hAnchor="margin" w:y="144"/>
                  </w:pPr>
                  <w:r w:rsidRPr="00713F89">
                    <w:t>2.36</w:t>
                  </w:r>
                </w:p>
              </w:tc>
              <w:tc>
                <w:tcPr>
                  <w:tcW w:w="216" w:type="pct"/>
                  <w:vAlign w:val="bottom"/>
                </w:tcPr>
                <w:p w14:paraId="6A552EA5" w14:textId="77777777" w:rsidR="00FC14FC" w:rsidRDefault="00FC14FC" w:rsidP="00D11B9D">
                  <w:pPr>
                    <w:pStyle w:val="TableBodyText"/>
                    <w:framePr w:hSpace="180" w:wrap="around" w:vAnchor="text" w:hAnchor="margin" w:y="144"/>
                  </w:pPr>
                  <w:r w:rsidRPr="00713F89">
                    <w:t>2.25</w:t>
                  </w:r>
                </w:p>
              </w:tc>
              <w:tc>
                <w:tcPr>
                  <w:tcW w:w="215" w:type="pct"/>
                  <w:vAlign w:val="bottom"/>
                </w:tcPr>
                <w:p w14:paraId="60EB547E" w14:textId="77777777" w:rsidR="00FC14FC" w:rsidRDefault="00FC14FC" w:rsidP="00D11B9D">
                  <w:pPr>
                    <w:pStyle w:val="TableBodyText"/>
                    <w:framePr w:hSpace="180" w:wrap="around" w:vAnchor="text" w:hAnchor="margin" w:y="144"/>
                  </w:pPr>
                  <w:r w:rsidRPr="00713F89">
                    <w:t>2.14</w:t>
                  </w:r>
                </w:p>
              </w:tc>
              <w:tc>
                <w:tcPr>
                  <w:tcW w:w="216" w:type="pct"/>
                  <w:vAlign w:val="bottom"/>
                </w:tcPr>
                <w:p w14:paraId="3F155CD6" w14:textId="77777777" w:rsidR="00FC14FC" w:rsidRDefault="00FC14FC" w:rsidP="00D11B9D">
                  <w:pPr>
                    <w:pStyle w:val="TableBodyText"/>
                    <w:framePr w:hSpace="180" w:wrap="around" w:vAnchor="text" w:hAnchor="margin" w:y="144"/>
                  </w:pPr>
                  <w:r w:rsidRPr="00713F89">
                    <w:t>2.04</w:t>
                  </w:r>
                </w:p>
              </w:tc>
              <w:tc>
                <w:tcPr>
                  <w:tcW w:w="215" w:type="pct"/>
                  <w:vAlign w:val="bottom"/>
                </w:tcPr>
                <w:p w14:paraId="31974945" w14:textId="77777777" w:rsidR="00FC14FC" w:rsidRDefault="00FC14FC" w:rsidP="00D11B9D">
                  <w:pPr>
                    <w:pStyle w:val="TableBodyText"/>
                    <w:framePr w:hSpace="180" w:wrap="around" w:vAnchor="text" w:hAnchor="margin" w:y="144"/>
                  </w:pPr>
                  <w:r w:rsidRPr="00713F89">
                    <w:t>1.94</w:t>
                  </w:r>
                </w:p>
              </w:tc>
              <w:tc>
                <w:tcPr>
                  <w:tcW w:w="216" w:type="pct"/>
                  <w:vAlign w:val="bottom"/>
                </w:tcPr>
                <w:p w14:paraId="13E2B981" w14:textId="77777777" w:rsidR="00FC14FC" w:rsidRDefault="00FC14FC" w:rsidP="00D11B9D">
                  <w:pPr>
                    <w:pStyle w:val="TableBodyText"/>
                    <w:framePr w:hSpace="180" w:wrap="around" w:vAnchor="text" w:hAnchor="margin" w:y="144"/>
                  </w:pPr>
                  <w:r w:rsidRPr="00713F89">
                    <w:t>1.85</w:t>
                  </w:r>
                </w:p>
              </w:tc>
              <w:tc>
                <w:tcPr>
                  <w:tcW w:w="215" w:type="pct"/>
                  <w:vAlign w:val="bottom"/>
                </w:tcPr>
                <w:p w14:paraId="7BF350BE" w14:textId="77777777" w:rsidR="00FC14FC" w:rsidRDefault="00FC14FC" w:rsidP="00D11B9D">
                  <w:pPr>
                    <w:pStyle w:val="TableBodyText"/>
                    <w:framePr w:hSpace="180" w:wrap="around" w:vAnchor="text" w:hAnchor="margin" w:y="144"/>
                  </w:pPr>
                  <w:r w:rsidRPr="00713F89">
                    <w:t>1.76</w:t>
                  </w:r>
                </w:p>
              </w:tc>
              <w:tc>
                <w:tcPr>
                  <w:tcW w:w="216" w:type="pct"/>
                  <w:vAlign w:val="bottom"/>
                </w:tcPr>
                <w:p w14:paraId="406D82C8" w14:textId="77777777" w:rsidR="00FC14FC" w:rsidRDefault="00FC14FC" w:rsidP="00D11B9D">
                  <w:pPr>
                    <w:pStyle w:val="TableBodyText"/>
                    <w:framePr w:hSpace="180" w:wrap="around" w:vAnchor="text" w:hAnchor="margin" w:y="144"/>
                  </w:pPr>
                  <w:r w:rsidRPr="00713F89">
                    <w:t>1.68</w:t>
                  </w:r>
                </w:p>
              </w:tc>
              <w:tc>
                <w:tcPr>
                  <w:tcW w:w="269" w:type="pct"/>
                  <w:shd w:val="clear" w:color="auto" w:fill="F2F2F2" w:themeFill="background1" w:themeFillShade="F2"/>
                  <w:vAlign w:val="bottom"/>
                </w:tcPr>
                <w:p w14:paraId="443F12F0" w14:textId="77777777" w:rsidR="00FC14FC" w:rsidRDefault="00FC14FC" w:rsidP="00D11B9D">
                  <w:pPr>
                    <w:pStyle w:val="TableBodyText"/>
                    <w:framePr w:hSpace="180" w:wrap="around" w:vAnchor="text" w:hAnchor="margin" w:y="144"/>
                  </w:pPr>
                  <w:r>
                    <w:t>1.60</w:t>
                  </w:r>
                </w:p>
              </w:tc>
              <w:tc>
                <w:tcPr>
                  <w:tcW w:w="1282" w:type="pct"/>
                  <w:shd w:val="clear" w:color="auto" w:fill="F2F2F2" w:themeFill="background1" w:themeFillShade="F2"/>
                  <w:vAlign w:val="bottom"/>
                </w:tcPr>
                <w:p w14:paraId="42C66AB0" w14:textId="77777777" w:rsidR="00FC14FC" w:rsidRDefault="00FC14FC" w:rsidP="00D11B9D">
                  <w:pPr>
                    <w:pStyle w:val="TableBodyText"/>
                    <w:framePr w:hSpace="180" w:wrap="around" w:vAnchor="text" w:hAnchor="margin" w:y="144"/>
                  </w:pPr>
                  <w:r>
                    <w:t>AVCAL (sub. 33)</w:t>
                  </w:r>
                </w:p>
              </w:tc>
            </w:tr>
            <w:tr w:rsidR="00FC14FC" w14:paraId="302C5066" w14:textId="77777777" w:rsidTr="00D11B9D">
              <w:tc>
                <w:tcPr>
                  <w:tcW w:w="862" w:type="pct"/>
                  <w:shd w:val="clear" w:color="auto" w:fill="auto"/>
                  <w:vAlign w:val="bottom"/>
                </w:tcPr>
                <w:p w14:paraId="497BA385" w14:textId="77777777" w:rsidR="00FC14FC" w:rsidRDefault="00FC14FC" w:rsidP="00D11B9D">
                  <w:pPr>
                    <w:pStyle w:val="TableBodyText"/>
                    <w:framePr w:hSpace="180" w:wrap="around" w:vAnchor="text" w:hAnchor="margin" w:y="144"/>
                    <w:jc w:val="left"/>
                  </w:pPr>
                  <w:r>
                    <w:t>Domestic listed property</w:t>
                  </w:r>
                </w:p>
              </w:tc>
              <w:tc>
                <w:tcPr>
                  <w:tcW w:w="216" w:type="pct"/>
                  <w:shd w:val="clear" w:color="auto" w:fill="auto"/>
                  <w:vAlign w:val="bottom"/>
                </w:tcPr>
                <w:p w14:paraId="273CF51E" w14:textId="77777777" w:rsidR="00FC14FC" w:rsidRDefault="00FC14FC" w:rsidP="00D11B9D">
                  <w:pPr>
                    <w:pStyle w:val="TableBodyText"/>
                    <w:framePr w:hSpace="180" w:wrap="around" w:vAnchor="text" w:hAnchor="margin" w:y="144"/>
                  </w:pPr>
                  <w:r w:rsidRPr="00713F89">
                    <w:t>0.41</w:t>
                  </w:r>
                </w:p>
              </w:tc>
              <w:tc>
                <w:tcPr>
                  <w:tcW w:w="216" w:type="pct"/>
                  <w:vAlign w:val="bottom"/>
                </w:tcPr>
                <w:p w14:paraId="68944488" w14:textId="77777777" w:rsidR="00FC14FC" w:rsidRDefault="00FC14FC" w:rsidP="00D11B9D">
                  <w:pPr>
                    <w:pStyle w:val="TableBodyText"/>
                    <w:framePr w:hSpace="180" w:wrap="around" w:vAnchor="text" w:hAnchor="margin" w:y="144"/>
                  </w:pPr>
                  <w:r w:rsidRPr="00713F89">
                    <w:t>0.39</w:t>
                  </w:r>
                </w:p>
              </w:tc>
              <w:tc>
                <w:tcPr>
                  <w:tcW w:w="215" w:type="pct"/>
                  <w:vAlign w:val="bottom"/>
                </w:tcPr>
                <w:p w14:paraId="1B15FDEF" w14:textId="77777777" w:rsidR="00FC14FC" w:rsidRDefault="00FC14FC" w:rsidP="00D11B9D">
                  <w:pPr>
                    <w:pStyle w:val="TableBodyText"/>
                    <w:framePr w:hSpace="180" w:wrap="around" w:vAnchor="text" w:hAnchor="margin" w:y="144"/>
                  </w:pPr>
                  <w:r w:rsidRPr="00713F89">
                    <w:t>0.37</w:t>
                  </w:r>
                </w:p>
              </w:tc>
              <w:tc>
                <w:tcPr>
                  <w:tcW w:w="216" w:type="pct"/>
                  <w:vAlign w:val="bottom"/>
                </w:tcPr>
                <w:p w14:paraId="35BB7C36" w14:textId="77777777" w:rsidR="00FC14FC" w:rsidRDefault="00FC14FC" w:rsidP="00D11B9D">
                  <w:pPr>
                    <w:pStyle w:val="TableBodyText"/>
                    <w:framePr w:hSpace="180" w:wrap="around" w:vAnchor="text" w:hAnchor="margin" w:y="144"/>
                  </w:pPr>
                  <w:r w:rsidRPr="00713F89">
                    <w:t>0.36</w:t>
                  </w:r>
                </w:p>
              </w:tc>
              <w:tc>
                <w:tcPr>
                  <w:tcW w:w="215" w:type="pct"/>
                  <w:vAlign w:val="bottom"/>
                </w:tcPr>
                <w:p w14:paraId="7498FAE8" w14:textId="77777777" w:rsidR="00FC14FC" w:rsidRDefault="00FC14FC" w:rsidP="00D11B9D">
                  <w:pPr>
                    <w:pStyle w:val="TableBodyText"/>
                    <w:framePr w:hSpace="180" w:wrap="around" w:vAnchor="text" w:hAnchor="margin" w:y="144"/>
                  </w:pPr>
                  <w:r w:rsidRPr="00713F89">
                    <w:t>0.34</w:t>
                  </w:r>
                </w:p>
              </w:tc>
              <w:tc>
                <w:tcPr>
                  <w:tcW w:w="216" w:type="pct"/>
                  <w:vAlign w:val="bottom"/>
                </w:tcPr>
                <w:p w14:paraId="2BDE8793" w14:textId="77777777" w:rsidR="00FC14FC" w:rsidRDefault="00FC14FC" w:rsidP="00D11B9D">
                  <w:pPr>
                    <w:pStyle w:val="TableBodyText"/>
                    <w:framePr w:hSpace="180" w:wrap="around" w:vAnchor="text" w:hAnchor="margin" w:y="144"/>
                  </w:pPr>
                  <w:r w:rsidRPr="00713F89">
                    <w:t>0.32</w:t>
                  </w:r>
                </w:p>
              </w:tc>
              <w:tc>
                <w:tcPr>
                  <w:tcW w:w="215" w:type="pct"/>
                  <w:vAlign w:val="bottom"/>
                </w:tcPr>
                <w:p w14:paraId="1303DE75" w14:textId="77777777" w:rsidR="00FC14FC" w:rsidRDefault="00FC14FC" w:rsidP="00D11B9D">
                  <w:pPr>
                    <w:pStyle w:val="TableBodyText"/>
                    <w:framePr w:hSpace="180" w:wrap="around" w:vAnchor="text" w:hAnchor="margin" w:y="144"/>
                  </w:pPr>
                  <w:r w:rsidRPr="00713F89">
                    <w:t>0.31</w:t>
                  </w:r>
                </w:p>
              </w:tc>
              <w:tc>
                <w:tcPr>
                  <w:tcW w:w="216" w:type="pct"/>
                  <w:vAlign w:val="bottom"/>
                </w:tcPr>
                <w:p w14:paraId="1679EFFE" w14:textId="77777777" w:rsidR="00FC14FC" w:rsidRDefault="00FC14FC" w:rsidP="00D11B9D">
                  <w:pPr>
                    <w:pStyle w:val="TableBodyText"/>
                    <w:framePr w:hSpace="180" w:wrap="around" w:vAnchor="text" w:hAnchor="margin" w:y="144"/>
                  </w:pPr>
                  <w:r w:rsidRPr="00713F89">
                    <w:t>0.29</w:t>
                  </w:r>
                </w:p>
              </w:tc>
              <w:tc>
                <w:tcPr>
                  <w:tcW w:w="215" w:type="pct"/>
                  <w:vAlign w:val="bottom"/>
                </w:tcPr>
                <w:p w14:paraId="5EF8B3AC" w14:textId="77777777" w:rsidR="00FC14FC" w:rsidRDefault="00FC14FC" w:rsidP="00D11B9D">
                  <w:pPr>
                    <w:pStyle w:val="TableBodyText"/>
                    <w:framePr w:hSpace="180" w:wrap="around" w:vAnchor="text" w:hAnchor="margin" w:y="144"/>
                  </w:pPr>
                  <w:r w:rsidRPr="00713F89">
                    <w:t>0.28</w:t>
                  </w:r>
                </w:p>
              </w:tc>
              <w:tc>
                <w:tcPr>
                  <w:tcW w:w="216" w:type="pct"/>
                  <w:vAlign w:val="bottom"/>
                </w:tcPr>
                <w:p w14:paraId="0611A382" w14:textId="77777777" w:rsidR="00FC14FC" w:rsidRDefault="00FC14FC" w:rsidP="00D11B9D">
                  <w:pPr>
                    <w:pStyle w:val="TableBodyText"/>
                    <w:framePr w:hSpace="180" w:wrap="around" w:vAnchor="text" w:hAnchor="margin" w:y="144"/>
                  </w:pPr>
                  <w:r>
                    <w:t>0.27</w:t>
                  </w:r>
                </w:p>
              </w:tc>
              <w:tc>
                <w:tcPr>
                  <w:tcW w:w="215" w:type="pct"/>
                  <w:vAlign w:val="bottom"/>
                </w:tcPr>
                <w:p w14:paraId="6DBA536B" w14:textId="77777777" w:rsidR="00FC14FC" w:rsidRDefault="00FC14FC" w:rsidP="00D11B9D">
                  <w:pPr>
                    <w:pStyle w:val="TableBodyText"/>
                    <w:framePr w:hSpace="180" w:wrap="around" w:vAnchor="text" w:hAnchor="margin" w:y="144"/>
                  </w:pPr>
                  <w:r w:rsidRPr="00713F89">
                    <w:t>0.25</w:t>
                  </w:r>
                </w:p>
              </w:tc>
              <w:tc>
                <w:tcPr>
                  <w:tcW w:w="216" w:type="pct"/>
                  <w:vAlign w:val="bottom"/>
                </w:tcPr>
                <w:p w14:paraId="201F1B9F" w14:textId="77777777" w:rsidR="00FC14FC" w:rsidRDefault="00FC14FC" w:rsidP="00D11B9D">
                  <w:pPr>
                    <w:pStyle w:val="TableBodyText"/>
                    <w:framePr w:hSpace="180" w:wrap="around" w:vAnchor="text" w:hAnchor="margin" w:y="144"/>
                  </w:pPr>
                  <w:r>
                    <w:t>0.24</w:t>
                  </w:r>
                </w:p>
              </w:tc>
              <w:tc>
                <w:tcPr>
                  <w:tcW w:w="269" w:type="pct"/>
                  <w:shd w:val="clear" w:color="auto" w:fill="F2F2F2" w:themeFill="background1" w:themeFillShade="F2"/>
                  <w:vAlign w:val="bottom"/>
                </w:tcPr>
                <w:p w14:paraId="64735E07" w14:textId="77777777" w:rsidR="00FC14FC" w:rsidRDefault="00FC14FC" w:rsidP="00D11B9D">
                  <w:pPr>
                    <w:pStyle w:val="TableBodyText"/>
                    <w:framePr w:hSpace="180" w:wrap="around" w:vAnchor="text" w:hAnchor="margin" w:y="144"/>
                  </w:pPr>
                  <w:r>
                    <w:t>0.23</w:t>
                  </w:r>
                </w:p>
              </w:tc>
              <w:tc>
                <w:tcPr>
                  <w:tcW w:w="1282" w:type="pct"/>
                  <w:shd w:val="clear" w:color="auto" w:fill="F2F2F2" w:themeFill="background1" w:themeFillShade="F2"/>
                  <w:vAlign w:val="bottom"/>
                </w:tcPr>
                <w:p w14:paraId="38EB2662" w14:textId="77777777" w:rsidR="00FC14FC" w:rsidRDefault="00FC14FC" w:rsidP="00D11B9D">
                  <w:pPr>
                    <w:pStyle w:val="TableBodyText"/>
                    <w:framePr w:hSpace="180" w:wrap="around" w:vAnchor="text" w:hAnchor="margin" w:y="144"/>
                  </w:pPr>
                  <w:r>
                    <w:t>Vanguard Australian Property Securities Index ETF</w:t>
                  </w:r>
                </w:p>
              </w:tc>
            </w:tr>
            <w:tr w:rsidR="00FC14FC" w14:paraId="1B68A20E" w14:textId="77777777" w:rsidTr="00D11B9D">
              <w:tc>
                <w:tcPr>
                  <w:tcW w:w="862" w:type="pct"/>
                  <w:shd w:val="clear" w:color="auto" w:fill="auto"/>
                  <w:vAlign w:val="bottom"/>
                </w:tcPr>
                <w:p w14:paraId="2F1527E1" w14:textId="77777777" w:rsidR="00FC14FC" w:rsidRDefault="00FC14FC" w:rsidP="00D11B9D">
                  <w:pPr>
                    <w:pStyle w:val="TableBodyText"/>
                    <w:framePr w:hSpace="180" w:wrap="around" w:vAnchor="text" w:hAnchor="margin" w:y="144"/>
                    <w:jc w:val="left"/>
                  </w:pPr>
                  <w:r>
                    <w:t>International listed property</w:t>
                  </w:r>
                </w:p>
              </w:tc>
              <w:tc>
                <w:tcPr>
                  <w:tcW w:w="216" w:type="pct"/>
                  <w:shd w:val="clear" w:color="auto" w:fill="auto"/>
                  <w:vAlign w:val="bottom"/>
                </w:tcPr>
                <w:p w14:paraId="59A7BFDF" w14:textId="77777777" w:rsidR="00FC14FC" w:rsidRDefault="00FC14FC" w:rsidP="00D11B9D">
                  <w:pPr>
                    <w:pStyle w:val="TableBodyText"/>
                    <w:framePr w:hSpace="180" w:wrap="around" w:vAnchor="text" w:hAnchor="margin" w:y="144"/>
                  </w:pPr>
                  <w:r w:rsidRPr="00713F89">
                    <w:t>0.90</w:t>
                  </w:r>
                </w:p>
              </w:tc>
              <w:tc>
                <w:tcPr>
                  <w:tcW w:w="216" w:type="pct"/>
                  <w:vAlign w:val="bottom"/>
                </w:tcPr>
                <w:p w14:paraId="1378C5C0" w14:textId="77777777" w:rsidR="00FC14FC" w:rsidRDefault="00FC14FC" w:rsidP="00D11B9D">
                  <w:pPr>
                    <w:pStyle w:val="TableBodyText"/>
                    <w:framePr w:hSpace="180" w:wrap="around" w:vAnchor="text" w:hAnchor="margin" w:y="144"/>
                  </w:pPr>
                  <w:r w:rsidRPr="00713F89">
                    <w:t>0.86</w:t>
                  </w:r>
                </w:p>
              </w:tc>
              <w:tc>
                <w:tcPr>
                  <w:tcW w:w="215" w:type="pct"/>
                  <w:vAlign w:val="bottom"/>
                </w:tcPr>
                <w:p w14:paraId="1B471445" w14:textId="77777777" w:rsidR="00FC14FC" w:rsidRDefault="00FC14FC" w:rsidP="00D11B9D">
                  <w:pPr>
                    <w:pStyle w:val="TableBodyText"/>
                    <w:framePr w:hSpace="180" w:wrap="around" w:vAnchor="text" w:hAnchor="margin" w:y="144"/>
                  </w:pPr>
                  <w:r w:rsidRPr="00713F89">
                    <w:t>0.81</w:t>
                  </w:r>
                </w:p>
              </w:tc>
              <w:tc>
                <w:tcPr>
                  <w:tcW w:w="216" w:type="pct"/>
                  <w:vAlign w:val="bottom"/>
                </w:tcPr>
                <w:p w14:paraId="10E1536A" w14:textId="77777777" w:rsidR="00FC14FC" w:rsidRDefault="00FC14FC" w:rsidP="00D11B9D">
                  <w:pPr>
                    <w:pStyle w:val="TableBodyText"/>
                    <w:framePr w:hSpace="180" w:wrap="around" w:vAnchor="text" w:hAnchor="margin" w:y="144"/>
                  </w:pPr>
                  <w:r w:rsidRPr="00713F89">
                    <w:t>0.78</w:t>
                  </w:r>
                </w:p>
              </w:tc>
              <w:tc>
                <w:tcPr>
                  <w:tcW w:w="215" w:type="pct"/>
                  <w:vAlign w:val="bottom"/>
                </w:tcPr>
                <w:p w14:paraId="2F49D3C3" w14:textId="77777777" w:rsidR="00FC14FC" w:rsidRDefault="00FC14FC" w:rsidP="00D11B9D">
                  <w:pPr>
                    <w:pStyle w:val="TableBodyText"/>
                    <w:framePr w:hSpace="180" w:wrap="around" w:vAnchor="text" w:hAnchor="margin" w:y="144"/>
                  </w:pPr>
                  <w:r w:rsidRPr="00713F89">
                    <w:t>0.74</w:t>
                  </w:r>
                </w:p>
              </w:tc>
              <w:tc>
                <w:tcPr>
                  <w:tcW w:w="216" w:type="pct"/>
                  <w:vAlign w:val="bottom"/>
                </w:tcPr>
                <w:p w14:paraId="3E4DB9E7" w14:textId="77777777" w:rsidR="00FC14FC" w:rsidRDefault="00FC14FC" w:rsidP="00D11B9D">
                  <w:pPr>
                    <w:pStyle w:val="TableBodyText"/>
                    <w:framePr w:hSpace="180" w:wrap="around" w:vAnchor="text" w:hAnchor="margin" w:y="144"/>
                  </w:pPr>
                  <w:r w:rsidRPr="00713F89">
                    <w:t>0.70</w:t>
                  </w:r>
                </w:p>
              </w:tc>
              <w:tc>
                <w:tcPr>
                  <w:tcW w:w="215" w:type="pct"/>
                  <w:vAlign w:val="bottom"/>
                </w:tcPr>
                <w:p w14:paraId="46E1B97F" w14:textId="77777777" w:rsidR="00FC14FC" w:rsidRDefault="00FC14FC" w:rsidP="00D11B9D">
                  <w:pPr>
                    <w:pStyle w:val="TableBodyText"/>
                    <w:framePr w:hSpace="180" w:wrap="around" w:vAnchor="text" w:hAnchor="margin" w:y="144"/>
                  </w:pPr>
                  <w:r w:rsidRPr="00713F89">
                    <w:t>0.67</w:t>
                  </w:r>
                </w:p>
              </w:tc>
              <w:tc>
                <w:tcPr>
                  <w:tcW w:w="216" w:type="pct"/>
                  <w:vAlign w:val="bottom"/>
                </w:tcPr>
                <w:p w14:paraId="5C960A29" w14:textId="77777777" w:rsidR="00FC14FC" w:rsidRDefault="00FC14FC" w:rsidP="00D11B9D">
                  <w:pPr>
                    <w:pStyle w:val="TableBodyText"/>
                    <w:framePr w:hSpace="180" w:wrap="around" w:vAnchor="text" w:hAnchor="margin" w:y="144"/>
                  </w:pPr>
                  <w:r w:rsidRPr="00713F89">
                    <w:t>0.64</w:t>
                  </w:r>
                </w:p>
              </w:tc>
              <w:tc>
                <w:tcPr>
                  <w:tcW w:w="215" w:type="pct"/>
                  <w:vAlign w:val="bottom"/>
                </w:tcPr>
                <w:p w14:paraId="0310BC9C" w14:textId="77777777" w:rsidR="00FC14FC" w:rsidRDefault="00FC14FC" w:rsidP="00D11B9D">
                  <w:pPr>
                    <w:pStyle w:val="TableBodyText"/>
                    <w:framePr w:hSpace="180" w:wrap="around" w:vAnchor="text" w:hAnchor="margin" w:y="144"/>
                  </w:pPr>
                  <w:r w:rsidRPr="00713F89">
                    <w:t>0.61</w:t>
                  </w:r>
                </w:p>
              </w:tc>
              <w:tc>
                <w:tcPr>
                  <w:tcW w:w="216" w:type="pct"/>
                  <w:vAlign w:val="bottom"/>
                </w:tcPr>
                <w:p w14:paraId="34206DDC" w14:textId="77777777" w:rsidR="00FC14FC" w:rsidRDefault="00FC14FC" w:rsidP="00D11B9D">
                  <w:pPr>
                    <w:pStyle w:val="TableBodyText"/>
                    <w:framePr w:hSpace="180" w:wrap="around" w:vAnchor="text" w:hAnchor="margin" w:y="144"/>
                  </w:pPr>
                  <w:r w:rsidRPr="00713F89">
                    <w:t>0.58</w:t>
                  </w:r>
                </w:p>
              </w:tc>
              <w:tc>
                <w:tcPr>
                  <w:tcW w:w="215" w:type="pct"/>
                  <w:vAlign w:val="bottom"/>
                </w:tcPr>
                <w:p w14:paraId="5B236BD0" w14:textId="77777777" w:rsidR="00FC14FC" w:rsidRDefault="00FC14FC" w:rsidP="00D11B9D">
                  <w:pPr>
                    <w:pStyle w:val="TableBodyText"/>
                    <w:framePr w:hSpace="180" w:wrap="around" w:vAnchor="text" w:hAnchor="margin" w:y="144"/>
                  </w:pPr>
                  <w:r w:rsidRPr="00713F89">
                    <w:t>0.55</w:t>
                  </w:r>
                </w:p>
              </w:tc>
              <w:tc>
                <w:tcPr>
                  <w:tcW w:w="216" w:type="pct"/>
                  <w:vAlign w:val="bottom"/>
                </w:tcPr>
                <w:p w14:paraId="78EBE1B3" w14:textId="77777777" w:rsidR="00FC14FC" w:rsidRDefault="00FC14FC" w:rsidP="00D11B9D">
                  <w:pPr>
                    <w:pStyle w:val="TableBodyText"/>
                    <w:framePr w:hSpace="180" w:wrap="around" w:vAnchor="text" w:hAnchor="margin" w:y="144"/>
                  </w:pPr>
                  <w:r>
                    <w:t>0.53</w:t>
                  </w:r>
                </w:p>
              </w:tc>
              <w:tc>
                <w:tcPr>
                  <w:tcW w:w="269" w:type="pct"/>
                  <w:shd w:val="clear" w:color="auto" w:fill="F2F2F2" w:themeFill="background1" w:themeFillShade="F2"/>
                  <w:vAlign w:val="bottom"/>
                </w:tcPr>
                <w:p w14:paraId="0C3E99C0" w14:textId="77777777" w:rsidR="00FC14FC" w:rsidRDefault="00FC14FC" w:rsidP="00D11B9D">
                  <w:pPr>
                    <w:pStyle w:val="TableBodyText"/>
                    <w:framePr w:hSpace="180" w:wrap="around" w:vAnchor="text" w:hAnchor="margin" w:y="144"/>
                  </w:pPr>
                  <w:r>
                    <w:t>0.50</w:t>
                  </w:r>
                </w:p>
              </w:tc>
              <w:tc>
                <w:tcPr>
                  <w:tcW w:w="1282" w:type="pct"/>
                  <w:shd w:val="clear" w:color="auto" w:fill="F2F2F2" w:themeFill="background1" w:themeFillShade="F2"/>
                  <w:vAlign w:val="bottom"/>
                </w:tcPr>
                <w:p w14:paraId="589D08D4" w14:textId="77777777" w:rsidR="00FC14FC" w:rsidRDefault="00FC14FC" w:rsidP="00D11B9D">
                  <w:pPr>
                    <w:pStyle w:val="TableBodyText"/>
                    <w:framePr w:hSpace="180" w:wrap="around" w:vAnchor="text" w:hAnchor="margin" w:y="144"/>
                  </w:pPr>
                  <w:r>
                    <w:t>SPDR Dow Jones Global Real Estate Fund</w:t>
                  </w:r>
                </w:p>
              </w:tc>
            </w:tr>
            <w:tr w:rsidR="00FC14FC" w14:paraId="55875CED" w14:textId="77777777" w:rsidTr="00D11B9D">
              <w:tc>
                <w:tcPr>
                  <w:tcW w:w="862" w:type="pct"/>
                  <w:tcBorders>
                    <w:bottom w:val="single" w:sz="6" w:space="0" w:color="BFBFBF"/>
                  </w:tcBorders>
                  <w:shd w:val="clear" w:color="auto" w:fill="auto"/>
                  <w:vAlign w:val="bottom"/>
                </w:tcPr>
                <w:p w14:paraId="181DC24A" w14:textId="77777777" w:rsidR="00FC14FC" w:rsidRDefault="00FC14FC" w:rsidP="00D11B9D">
                  <w:pPr>
                    <w:pStyle w:val="TableBodyText"/>
                    <w:framePr w:hSpace="180" w:wrap="around" w:vAnchor="text" w:hAnchor="margin" w:y="144"/>
                    <w:jc w:val="left"/>
                  </w:pPr>
                  <w:r>
                    <w:t>Listed infrastructure</w:t>
                  </w:r>
                </w:p>
              </w:tc>
              <w:tc>
                <w:tcPr>
                  <w:tcW w:w="216" w:type="pct"/>
                  <w:tcBorders>
                    <w:bottom w:val="single" w:sz="6" w:space="0" w:color="BFBFBF"/>
                  </w:tcBorders>
                  <w:shd w:val="clear" w:color="auto" w:fill="auto"/>
                  <w:vAlign w:val="bottom"/>
                </w:tcPr>
                <w:p w14:paraId="48B34422" w14:textId="77777777" w:rsidR="00FC14FC" w:rsidRDefault="00FC14FC" w:rsidP="00D11B9D">
                  <w:pPr>
                    <w:pStyle w:val="TableBodyText"/>
                    <w:framePr w:hSpace="180" w:wrap="around" w:vAnchor="text" w:hAnchor="margin" w:y="144"/>
                  </w:pPr>
                  <w:r w:rsidRPr="00713F89">
                    <w:t>0.86</w:t>
                  </w:r>
                </w:p>
              </w:tc>
              <w:tc>
                <w:tcPr>
                  <w:tcW w:w="216" w:type="pct"/>
                  <w:tcBorders>
                    <w:bottom w:val="single" w:sz="6" w:space="0" w:color="BFBFBF"/>
                  </w:tcBorders>
                  <w:vAlign w:val="bottom"/>
                </w:tcPr>
                <w:p w14:paraId="2049AF7C" w14:textId="77777777" w:rsidR="00FC14FC" w:rsidRDefault="00FC14FC" w:rsidP="00D11B9D">
                  <w:pPr>
                    <w:pStyle w:val="TableBodyText"/>
                    <w:framePr w:hSpace="180" w:wrap="around" w:vAnchor="text" w:hAnchor="margin" w:y="144"/>
                  </w:pPr>
                  <w:r w:rsidRPr="00713F89">
                    <w:t>0.82</w:t>
                  </w:r>
                </w:p>
              </w:tc>
              <w:tc>
                <w:tcPr>
                  <w:tcW w:w="215" w:type="pct"/>
                  <w:tcBorders>
                    <w:bottom w:val="single" w:sz="6" w:space="0" w:color="BFBFBF"/>
                  </w:tcBorders>
                  <w:vAlign w:val="bottom"/>
                </w:tcPr>
                <w:p w14:paraId="45DDE770" w14:textId="77777777" w:rsidR="00FC14FC" w:rsidRDefault="00FC14FC" w:rsidP="00D11B9D">
                  <w:pPr>
                    <w:pStyle w:val="TableBodyText"/>
                    <w:framePr w:hSpace="180" w:wrap="around" w:vAnchor="text" w:hAnchor="margin" w:y="144"/>
                  </w:pPr>
                  <w:r w:rsidRPr="00713F89">
                    <w:t>0.78</w:t>
                  </w:r>
                </w:p>
              </w:tc>
              <w:tc>
                <w:tcPr>
                  <w:tcW w:w="216" w:type="pct"/>
                  <w:tcBorders>
                    <w:bottom w:val="single" w:sz="6" w:space="0" w:color="BFBFBF"/>
                  </w:tcBorders>
                  <w:vAlign w:val="bottom"/>
                </w:tcPr>
                <w:p w14:paraId="6D0480C9" w14:textId="77777777" w:rsidR="00FC14FC" w:rsidRDefault="00FC14FC" w:rsidP="00D11B9D">
                  <w:pPr>
                    <w:pStyle w:val="TableBodyText"/>
                    <w:framePr w:hSpace="180" w:wrap="around" w:vAnchor="text" w:hAnchor="margin" w:y="144"/>
                  </w:pPr>
                  <w:r w:rsidRPr="00713F89">
                    <w:t>0.74</w:t>
                  </w:r>
                </w:p>
              </w:tc>
              <w:tc>
                <w:tcPr>
                  <w:tcW w:w="215" w:type="pct"/>
                  <w:tcBorders>
                    <w:bottom w:val="single" w:sz="6" w:space="0" w:color="BFBFBF"/>
                  </w:tcBorders>
                  <w:vAlign w:val="bottom"/>
                </w:tcPr>
                <w:p w14:paraId="60CD9BB3" w14:textId="77777777" w:rsidR="00FC14FC" w:rsidRDefault="00FC14FC" w:rsidP="00D11B9D">
                  <w:pPr>
                    <w:pStyle w:val="TableBodyText"/>
                    <w:framePr w:hSpace="180" w:wrap="around" w:vAnchor="text" w:hAnchor="margin" w:y="144"/>
                  </w:pPr>
                  <w:r w:rsidRPr="00713F89">
                    <w:t>0.71</w:t>
                  </w:r>
                </w:p>
              </w:tc>
              <w:tc>
                <w:tcPr>
                  <w:tcW w:w="216" w:type="pct"/>
                  <w:tcBorders>
                    <w:bottom w:val="single" w:sz="6" w:space="0" w:color="BFBFBF"/>
                  </w:tcBorders>
                  <w:vAlign w:val="bottom"/>
                </w:tcPr>
                <w:p w14:paraId="4ADB0575" w14:textId="77777777" w:rsidR="00FC14FC" w:rsidRDefault="00FC14FC" w:rsidP="00D11B9D">
                  <w:pPr>
                    <w:pStyle w:val="TableBodyText"/>
                    <w:framePr w:hSpace="180" w:wrap="around" w:vAnchor="text" w:hAnchor="margin" w:y="144"/>
                  </w:pPr>
                  <w:r w:rsidRPr="00713F89">
                    <w:t>0.68</w:t>
                  </w:r>
                </w:p>
              </w:tc>
              <w:tc>
                <w:tcPr>
                  <w:tcW w:w="215" w:type="pct"/>
                  <w:tcBorders>
                    <w:bottom w:val="single" w:sz="6" w:space="0" w:color="BFBFBF"/>
                  </w:tcBorders>
                  <w:vAlign w:val="bottom"/>
                </w:tcPr>
                <w:p w14:paraId="4F6D34C4" w14:textId="77777777" w:rsidR="00FC14FC" w:rsidRDefault="00FC14FC" w:rsidP="00D11B9D">
                  <w:pPr>
                    <w:pStyle w:val="TableBodyText"/>
                    <w:framePr w:hSpace="180" w:wrap="around" w:vAnchor="text" w:hAnchor="margin" w:y="144"/>
                  </w:pPr>
                  <w:r w:rsidRPr="00713F89">
                    <w:t>0.64</w:t>
                  </w:r>
                </w:p>
              </w:tc>
              <w:tc>
                <w:tcPr>
                  <w:tcW w:w="216" w:type="pct"/>
                  <w:tcBorders>
                    <w:bottom w:val="single" w:sz="6" w:space="0" w:color="BFBFBF"/>
                  </w:tcBorders>
                  <w:vAlign w:val="bottom"/>
                </w:tcPr>
                <w:p w14:paraId="2B8E262F" w14:textId="77777777" w:rsidR="00FC14FC" w:rsidRDefault="00FC14FC" w:rsidP="00D11B9D">
                  <w:pPr>
                    <w:pStyle w:val="TableBodyText"/>
                    <w:framePr w:hSpace="180" w:wrap="around" w:vAnchor="text" w:hAnchor="margin" w:y="144"/>
                  </w:pPr>
                  <w:r w:rsidRPr="00713F89">
                    <w:t>0.61</w:t>
                  </w:r>
                </w:p>
              </w:tc>
              <w:tc>
                <w:tcPr>
                  <w:tcW w:w="215" w:type="pct"/>
                  <w:tcBorders>
                    <w:bottom w:val="single" w:sz="6" w:space="0" w:color="BFBFBF"/>
                  </w:tcBorders>
                  <w:vAlign w:val="bottom"/>
                </w:tcPr>
                <w:p w14:paraId="075BB0E5" w14:textId="77777777" w:rsidR="00FC14FC" w:rsidRDefault="00FC14FC" w:rsidP="00D11B9D">
                  <w:pPr>
                    <w:pStyle w:val="TableBodyText"/>
                    <w:framePr w:hSpace="180" w:wrap="around" w:vAnchor="text" w:hAnchor="margin" w:y="144"/>
                  </w:pPr>
                  <w:r w:rsidRPr="00713F89">
                    <w:t>0.58</w:t>
                  </w:r>
                </w:p>
              </w:tc>
              <w:tc>
                <w:tcPr>
                  <w:tcW w:w="216" w:type="pct"/>
                  <w:tcBorders>
                    <w:bottom w:val="single" w:sz="6" w:space="0" w:color="BFBFBF"/>
                  </w:tcBorders>
                  <w:vAlign w:val="bottom"/>
                </w:tcPr>
                <w:p w14:paraId="639DF02B" w14:textId="77777777" w:rsidR="00FC14FC" w:rsidRDefault="00FC14FC" w:rsidP="00D11B9D">
                  <w:pPr>
                    <w:pStyle w:val="TableBodyText"/>
                    <w:framePr w:hSpace="180" w:wrap="around" w:vAnchor="text" w:hAnchor="margin" w:y="144"/>
                  </w:pPr>
                  <w:r w:rsidRPr="00713F89">
                    <w:t>0.56</w:t>
                  </w:r>
                </w:p>
              </w:tc>
              <w:tc>
                <w:tcPr>
                  <w:tcW w:w="215" w:type="pct"/>
                  <w:tcBorders>
                    <w:bottom w:val="single" w:sz="6" w:space="0" w:color="BFBFBF"/>
                  </w:tcBorders>
                  <w:vAlign w:val="bottom"/>
                </w:tcPr>
                <w:p w14:paraId="3D139D8E" w14:textId="77777777" w:rsidR="00FC14FC" w:rsidRDefault="00FC14FC" w:rsidP="00D11B9D">
                  <w:pPr>
                    <w:pStyle w:val="TableBodyText"/>
                    <w:framePr w:hSpace="180" w:wrap="around" w:vAnchor="text" w:hAnchor="margin" w:y="144"/>
                  </w:pPr>
                  <w:r w:rsidRPr="00713F89">
                    <w:t>0.53</w:t>
                  </w:r>
                </w:p>
              </w:tc>
              <w:tc>
                <w:tcPr>
                  <w:tcW w:w="216" w:type="pct"/>
                  <w:tcBorders>
                    <w:bottom w:val="single" w:sz="6" w:space="0" w:color="BFBFBF"/>
                  </w:tcBorders>
                  <w:vAlign w:val="bottom"/>
                </w:tcPr>
                <w:p w14:paraId="349014B2" w14:textId="77777777" w:rsidR="00FC14FC" w:rsidRDefault="00FC14FC" w:rsidP="00D11B9D">
                  <w:pPr>
                    <w:pStyle w:val="TableBodyText"/>
                    <w:framePr w:hSpace="180" w:wrap="around" w:vAnchor="text" w:hAnchor="margin" w:y="144"/>
                  </w:pPr>
                  <w:r w:rsidRPr="00713F89">
                    <w:t>0.50</w:t>
                  </w:r>
                </w:p>
              </w:tc>
              <w:tc>
                <w:tcPr>
                  <w:tcW w:w="269" w:type="pct"/>
                  <w:tcBorders>
                    <w:bottom w:val="single" w:sz="6" w:space="0" w:color="BFBFBF"/>
                  </w:tcBorders>
                  <w:shd w:val="clear" w:color="auto" w:fill="F2F2F2" w:themeFill="background1" w:themeFillShade="F2"/>
                  <w:vAlign w:val="bottom"/>
                </w:tcPr>
                <w:p w14:paraId="1676CEC7" w14:textId="77777777" w:rsidR="00FC14FC" w:rsidRDefault="00FC14FC" w:rsidP="00D11B9D">
                  <w:pPr>
                    <w:pStyle w:val="TableBodyText"/>
                    <w:framePr w:hSpace="180" w:wrap="around" w:vAnchor="text" w:hAnchor="margin" w:y="144"/>
                  </w:pPr>
                  <w:r>
                    <w:t>0.48</w:t>
                  </w:r>
                </w:p>
              </w:tc>
              <w:tc>
                <w:tcPr>
                  <w:tcW w:w="1282" w:type="pct"/>
                  <w:tcBorders>
                    <w:bottom w:val="single" w:sz="6" w:space="0" w:color="BFBFBF"/>
                  </w:tcBorders>
                  <w:shd w:val="clear" w:color="auto" w:fill="F2F2F2" w:themeFill="background1" w:themeFillShade="F2"/>
                  <w:vAlign w:val="bottom"/>
                </w:tcPr>
                <w:p w14:paraId="66E76129" w14:textId="77777777" w:rsidR="00FC14FC" w:rsidRDefault="00FC14FC" w:rsidP="00D11B9D">
                  <w:pPr>
                    <w:pStyle w:val="TableBodyText"/>
                    <w:framePr w:hSpace="180" w:wrap="around" w:vAnchor="text" w:hAnchor="margin" w:y="144"/>
                  </w:pPr>
                  <w:r>
                    <w:t>BlackRock iShares Global Infrastructure ETF</w:t>
                  </w:r>
                </w:p>
              </w:tc>
            </w:tr>
          </w:tbl>
          <w:p w14:paraId="4504D3AD" w14:textId="77777777" w:rsidR="00FC14FC" w:rsidRDefault="00FC14FC" w:rsidP="00D11B9D">
            <w:pPr>
              <w:pStyle w:val="Box"/>
            </w:pPr>
          </w:p>
        </w:tc>
      </w:tr>
      <w:tr w:rsidR="00FC14FC" w14:paraId="4A9967A6" w14:textId="77777777" w:rsidTr="00D11B9D">
        <w:tc>
          <w:tcPr>
            <w:tcW w:w="5000" w:type="pct"/>
            <w:tcBorders>
              <w:top w:val="nil"/>
              <w:left w:val="nil"/>
              <w:bottom w:val="nil"/>
              <w:right w:val="nil"/>
            </w:tcBorders>
            <w:shd w:val="clear" w:color="auto" w:fill="auto"/>
          </w:tcPr>
          <w:p w14:paraId="697F1018" w14:textId="77777777" w:rsidR="00FC14FC" w:rsidRDefault="00FC14FC" w:rsidP="00D11B9D">
            <w:pPr>
              <w:pStyle w:val="Note"/>
              <w:rPr>
                <w:i/>
              </w:rPr>
            </w:pPr>
            <w:r w:rsidRPr="008E77FE">
              <w:rPr>
                <w:rStyle w:val="NoteLabel"/>
              </w:rPr>
              <w:t>a</w:t>
            </w:r>
            <w:r>
              <w:t xml:space="preserve"> All fees are for both BP1 and BP2 unless otherwise stated. </w:t>
            </w:r>
            <w:r>
              <w:rPr>
                <w:rStyle w:val="NoteLabel"/>
              </w:rPr>
              <w:t xml:space="preserve">b </w:t>
            </w:r>
            <w:r>
              <w:t>Unlisted property and unlisted infrastructure have fees built into the index returns.</w:t>
            </w:r>
            <w:r>
              <w:rPr>
                <w:rStyle w:val="NoteLabel"/>
              </w:rPr>
              <w:t xml:space="preserve"> </w:t>
            </w:r>
            <w:r w:rsidRPr="00D40DA2">
              <w:rPr>
                <w:rStyle w:val="NoteLabel"/>
              </w:rPr>
              <w:t>c</w:t>
            </w:r>
            <w:r>
              <w:rPr>
                <w:rStyle w:val="NoteLabel"/>
              </w:rPr>
              <w:t xml:space="preserve"> </w:t>
            </w:r>
            <w:r>
              <w:t xml:space="preserve">The 2017 fee levels were used for 2018 in the MySuper analyses. </w:t>
            </w:r>
          </w:p>
        </w:tc>
      </w:tr>
      <w:tr w:rsidR="00FC14FC" w14:paraId="3C252208" w14:textId="77777777" w:rsidTr="00D11B9D">
        <w:tc>
          <w:tcPr>
            <w:tcW w:w="5000" w:type="pct"/>
            <w:tcBorders>
              <w:top w:val="nil"/>
              <w:left w:val="nil"/>
              <w:bottom w:val="single" w:sz="6" w:space="0" w:color="78A22F"/>
              <w:right w:val="nil"/>
            </w:tcBorders>
            <w:shd w:val="clear" w:color="auto" w:fill="auto"/>
          </w:tcPr>
          <w:p w14:paraId="7A2A199A" w14:textId="77777777" w:rsidR="00FC14FC" w:rsidRDefault="00FC14FC" w:rsidP="00D11B9D">
            <w:pPr>
              <w:pStyle w:val="Box"/>
              <w:spacing w:before="0" w:line="120" w:lineRule="exact"/>
            </w:pPr>
          </w:p>
        </w:tc>
      </w:tr>
      <w:tr w:rsidR="00FC14FC" w:rsidRPr="000863A5" w14:paraId="039B9E1A" w14:textId="77777777" w:rsidTr="00D11B9D">
        <w:tc>
          <w:tcPr>
            <w:tcW w:w="5000" w:type="pct"/>
            <w:tcBorders>
              <w:top w:val="single" w:sz="6" w:space="0" w:color="78A22F"/>
              <w:left w:val="nil"/>
              <w:bottom w:val="nil"/>
              <w:right w:val="nil"/>
            </w:tcBorders>
          </w:tcPr>
          <w:p w14:paraId="779754C2" w14:textId="77777777" w:rsidR="00FC14FC" w:rsidRPr="00626D32" w:rsidRDefault="00FC14FC" w:rsidP="00D11B9D">
            <w:pPr>
              <w:pStyle w:val="BoxSpaceBelow"/>
            </w:pPr>
          </w:p>
        </w:tc>
      </w:tr>
    </w:tbl>
    <w:p w14:paraId="040CF63C" w14:textId="77777777" w:rsidR="00FC14FC" w:rsidRPr="00C15A38" w:rsidRDefault="00FC14FC" w:rsidP="00FC14FC">
      <w:pPr>
        <w:pStyle w:val="BoxSpaceAbove"/>
      </w:pPr>
    </w:p>
    <w:p w14:paraId="004F046A" w14:textId="77777777" w:rsidR="00FC14FC" w:rsidRPr="008C6735" w:rsidRDefault="00FC14FC" w:rsidP="00FC14FC">
      <w:pPr>
        <w:pStyle w:val="BodyText"/>
        <w:sectPr w:rsidR="00FC14FC" w:rsidRPr="008C6735" w:rsidSect="00A85997">
          <w:headerReference w:type="even" r:id="rId37"/>
          <w:headerReference w:type="default" r:id="rId38"/>
          <w:footerReference w:type="even" r:id="rId39"/>
          <w:footerReference w:type="default" r:id="rId40"/>
          <w:pgSz w:w="16840" w:h="11907" w:orient="landscape" w:code="9"/>
          <w:pgMar w:top="1814" w:right="1985" w:bottom="1304" w:left="1418" w:header="1701" w:footer="567" w:gutter="0"/>
          <w:pgNumType w:chapSep="period"/>
          <w:cols w:space="720"/>
          <w:docGrid w:linePitch="326"/>
        </w:sectPr>
      </w:pPr>
    </w:p>
    <w:p w14:paraId="7268F4DA" w14:textId="77777777" w:rsidR="00FC14FC" w:rsidRDefault="00FC14FC" w:rsidP="00FC14FC">
      <w:pPr>
        <w:pStyle w:val="BodyText"/>
        <w:spacing w:before="0"/>
      </w:pPr>
      <w:r>
        <w:lastRenderedPageBreak/>
        <w:t>In the draft report analysis, the Commission applied an allowance to benchmarks for indirect investment expenses that are not reflected in asset</w:t>
      </w:r>
      <w:r>
        <w:noBreakHyphen/>
        <w:t>class investment costs, including custodian, valuation and search costs. The allowance was 0.15 percentage points (15 basis points) for BP1 and 40 basis points for BP2, based on pre</w:t>
      </w:r>
      <w:r>
        <w:noBreakHyphen/>
        <w:t>draft report consultation with experts.</w:t>
      </w:r>
    </w:p>
    <w:p w14:paraId="3F863EB1" w14:textId="77777777" w:rsidR="00FC14FC" w:rsidRDefault="00FC14FC" w:rsidP="00FC14FC">
      <w:pPr>
        <w:pStyle w:val="BodyText"/>
      </w:pPr>
      <w:r>
        <w:t xml:space="preserve">There was little feedback on this assumption in submissions following the draft report. However, further consultation with industry experts and academics provided the basis to reduce this allowance to 10 basis points for all benchmarks. This reflects estimates provided to the Commission that custodian and search costs are likely to be within the range of 1–10 basis points (with 10 chosen as a conservative estimate). Most valuation costs are likely to be reflected in asset prices or investment management costs, and thus do not require a separate adjustment to the benchmarks. </w:t>
      </w:r>
    </w:p>
    <w:p w14:paraId="1C1FD8F4" w14:textId="77777777" w:rsidR="00FC14FC" w:rsidRDefault="00FC14FC" w:rsidP="00FC14FC">
      <w:pPr>
        <w:pStyle w:val="Heading4"/>
      </w:pPr>
      <w:r>
        <w:t>Administration fees</w:t>
      </w:r>
    </w:p>
    <w:p w14:paraId="0CD2DB84" w14:textId="77777777" w:rsidR="00FC14FC" w:rsidRDefault="00FC14FC" w:rsidP="00FC14FC">
      <w:pPr>
        <w:pStyle w:val="BodyText"/>
      </w:pPr>
      <w:r>
        <w:t>The BPs are intended to represent a counterfactual investment opportunity for superannuation members. As such, there would be administration costs incurred in undertaking this investment opportunity, and administration expenses have thus been deducted from BP returns. In most cases, the Commission has used the median administration expense ratio across the system (based on APRA data)</w:t>
      </w:r>
      <w:r w:rsidRPr="00CF15EF">
        <w:rPr>
          <w:rStyle w:val="FootnoteReference"/>
        </w:rPr>
        <w:footnoteReference w:id="10"/>
      </w:r>
      <w:r>
        <w:t xml:space="preserve"> and the median (or 25</w:t>
      </w:r>
      <w:r w:rsidRPr="005B2858">
        <w:rPr>
          <w:vertAlign w:val="superscript"/>
        </w:rPr>
        <w:t>th</w:t>
      </w:r>
      <w:r>
        <w:t xml:space="preserve"> percentile in some cases) administration fee across particular segments (using SuperRatings data) (table 4.26). For fund level benchmarking, the fund’s own administration expenses were used.</w:t>
      </w:r>
    </w:p>
    <w:p w14:paraId="103C0663" w14:textId="77777777" w:rsidR="00FC14FC" w:rsidRDefault="00FC14FC" w:rsidP="00FC14FC">
      <w:pPr>
        <w:pStyle w:val="BodyText"/>
      </w:pPr>
      <w:r>
        <w:t>Note that for analysis using SuperRatings fees data, the administration fee comprises only asset</w:t>
      </w:r>
      <w:r>
        <w:noBreakHyphen/>
        <w:t xml:space="preserve">based administration fees, and not fixed fees, </w:t>
      </w:r>
      <w:r w:rsidDel="00CA79BA">
        <w:t xml:space="preserve">to </w:t>
      </w:r>
      <w:r>
        <w:t>align the BPs with the returns data (which are net of only implicit asset</w:t>
      </w:r>
      <w:r>
        <w:noBreakHyphen/>
        <w:t xml:space="preserve">based administration fees, meaning that applying the fixed fee to BPs would be overly generous). Some participants objected to this and suggested fixed administration fees should be deducted as well (FSC, sub. DR218; MLC Wealth, sub. DR223). The Commission maintained its approach to ensure the BPs best matched the ‘raw’ returns data. </w:t>
      </w:r>
    </w:p>
    <w:p w14:paraId="69CDB69D" w14:textId="77777777" w:rsidR="00FC14FC" w:rsidRDefault="00FC14FC" w:rsidP="00FC14FC">
      <w:pPr>
        <w:pStyle w:val="Heading5"/>
      </w:pPr>
      <w:r>
        <w:t>MySuper analysis</w:t>
      </w:r>
    </w:p>
    <w:p w14:paraId="13E39D26" w14:textId="77777777" w:rsidR="00FC14FC" w:rsidRDefault="00FC14FC" w:rsidP="00FC14FC">
      <w:pPr>
        <w:pStyle w:val="BodyText"/>
      </w:pPr>
      <w:r>
        <w:t>The 25</w:t>
      </w:r>
      <w:r w:rsidRPr="00E87409">
        <w:rPr>
          <w:vertAlign w:val="superscript"/>
        </w:rPr>
        <w:t>th</w:t>
      </w:r>
      <w:r>
        <w:t xml:space="preserve"> percentile asset</w:t>
      </w:r>
      <w:r>
        <w:noBreakHyphen/>
        <w:t>based administration fee was deducted from BPs for MySuper product</w:t>
      </w:r>
      <w:r>
        <w:noBreakHyphen/>
        <w:t>level analysis. This was done to reflect the fact that default products should be held to higher standards of administrative efficiency, particularly given their relatively homogeneous and largely disengaged membership.</w:t>
      </w:r>
    </w:p>
    <w:p w14:paraId="1E1074CD" w14:textId="77777777" w:rsidR="00FC14FC" w:rsidRDefault="00FC14FC" w:rsidP="00FC14FC">
      <w:pPr>
        <w:pStyle w:val="BodyText"/>
      </w:pPr>
    </w:p>
    <w:p w14:paraId="785DA693" w14:textId="77777777" w:rsidR="00FC14FC" w:rsidRDefault="00FC14FC" w:rsidP="00FC14FC">
      <w:pPr>
        <w:pStyle w:val="BodyText"/>
        <w:sectPr w:rsidR="00FC14FC" w:rsidSect="00A85997">
          <w:headerReference w:type="even" r:id="rId41"/>
          <w:headerReference w:type="default" r:id="rId42"/>
          <w:footerReference w:type="even" r:id="rId43"/>
          <w:footerReference w:type="default" r:id="rId44"/>
          <w:pgSz w:w="11907" w:h="16840" w:code="9"/>
          <w:pgMar w:top="1985" w:right="1304" w:bottom="1418" w:left="1814" w:header="1701" w:footer="567" w:gutter="0"/>
          <w:pgNumType w:chapSep="period"/>
          <w:cols w:space="720"/>
          <w:docGrid w:linePitch="326"/>
        </w:sectPr>
      </w:pPr>
    </w:p>
    <w:p w14:paraId="3BCC47E5"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FC14FC" w14:paraId="1B3FAA86" w14:textId="77777777" w:rsidTr="00D11B9D">
        <w:trPr>
          <w:tblHeader/>
        </w:trPr>
        <w:tc>
          <w:tcPr>
            <w:tcW w:w="5000" w:type="pct"/>
            <w:tcBorders>
              <w:top w:val="single" w:sz="6" w:space="0" w:color="78A22F"/>
              <w:left w:val="nil"/>
              <w:bottom w:val="nil"/>
              <w:right w:val="nil"/>
            </w:tcBorders>
            <w:shd w:val="clear" w:color="auto" w:fill="auto"/>
          </w:tcPr>
          <w:p w14:paraId="26EEE4A6" w14:textId="77777777" w:rsidR="00FC14FC" w:rsidRDefault="00FC14FC" w:rsidP="00D11B9D">
            <w:pPr>
              <w:pStyle w:val="TableTitle"/>
            </w:pPr>
            <w:r>
              <w:rPr>
                <w:b w:val="0"/>
              </w:rPr>
              <w:t>Table 4.26</w:t>
            </w:r>
            <w:r>
              <w:tab/>
              <w:t>Administration fee adjustments in the BPs</w:t>
            </w:r>
            <w:r w:rsidRPr="0021675F">
              <w:rPr>
                <w:rStyle w:val="NoteLabel"/>
              </w:rPr>
              <w:t>a</w:t>
            </w:r>
            <w:r>
              <w:rPr>
                <w:rStyle w:val="NoteLabel"/>
              </w:rPr>
              <w:t>,b</w:t>
            </w:r>
          </w:p>
          <w:p w14:paraId="35C68095" w14:textId="77777777" w:rsidR="00FC14FC" w:rsidRPr="00784A05" w:rsidRDefault="00FC14FC" w:rsidP="00D11B9D">
            <w:pPr>
              <w:pStyle w:val="Subtitle"/>
            </w:pPr>
            <w:r>
              <w:t>Medians by segment (per cent of assets under management)</w:t>
            </w:r>
          </w:p>
        </w:tc>
      </w:tr>
      <w:tr w:rsidR="00FC14FC" w14:paraId="4202A28C" w14:textId="77777777" w:rsidTr="00D11B9D">
        <w:tc>
          <w:tcPr>
            <w:tcW w:w="5000" w:type="pct"/>
            <w:tcBorders>
              <w:top w:val="nil"/>
              <w:left w:val="nil"/>
              <w:bottom w:val="nil"/>
              <w:right w:val="nil"/>
            </w:tcBorders>
            <w:shd w:val="clear" w:color="auto" w:fill="auto"/>
          </w:tcPr>
          <w:tbl>
            <w:tblPr>
              <w:tblW w:w="5000" w:type="pct"/>
              <w:tblCellMar>
                <w:top w:w="24" w:type="dxa"/>
                <w:left w:w="0" w:type="dxa"/>
                <w:right w:w="0" w:type="dxa"/>
              </w:tblCellMar>
              <w:tblLook w:val="0000" w:firstRow="0" w:lastRow="0" w:firstColumn="0" w:lastColumn="0" w:noHBand="0" w:noVBand="0"/>
            </w:tblPr>
            <w:tblGrid>
              <w:gridCol w:w="1290"/>
              <w:gridCol w:w="1574"/>
              <w:gridCol w:w="1742"/>
              <w:gridCol w:w="661"/>
              <w:gridCol w:w="660"/>
              <w:gridCol w:w="660"/>
              <w:gridCol w:w="660"/>
              <w:gridCol w:w="660"/>
              <w:gridCol w:w="660"/>
              <w:gridCol w:w="663"/>
              <w:gridCol w:w="660"/>
              <w:gridCol w:w="660"/>
              <w:gridCol w:w="660"/>
              <w:gridCol w:w="660"/>
              <w:gridCol w:w="660"/>
              <w:gridCol w:w="623"/>
            </w:tblGrid>
            <w:tr w:rsidR="00FC14FC" w:rsidRPr="009E648D" w14:paraId="7D8887CA" w14:textId="77777777" w:rsidTr="00D11B9D">
              <w:trPr>
                <w:trHeight w:val="577"/>
                <w:tblHeader/>
              </w:trPr>
              <w:tc>
                <w:tcPr>
                  <w:tcW w:w="490" w:type="pct"/>
                  <w:tcBorders>
                    <w:top w:val="single" w:sz="6" w:space="0" w:color="BFBFBF"/>
                    <w:bottom w:val="single" w:sz="6" w:space="0" w:color="BFBFBF"/>
                  </w:tcBorders>
                  <w:shd w:val="clear" w:color="auto" w:fill="auto"/>
                  <w:vAlign w:val="bottom"/>
                </w:tcPr>
                <w:p w14:paraId="747D9AB6" w14:textId="77777777" w:rsidR="00FC14FC" w:rsidRPr="0096485D" w:rsidRDefault="00FC14FC" w:rsidP="00D11B9D">
                  <w:pPr>
                    <w:pStyle w:val="TableColumnHeading"/>
                    <w:jc w:val="left"/>
                  </w:pPr>
                  <w:r w:rsidRPr="0096485D">
                    <w:t>Analysis</w:t>
                  </w:r>
                </w:p>
              </w:tc>
              <w:tc>
                <w:tcPr>
                  <w:tcW w:w="598" w:type="pct"/>
                  <w:tcBorders>
                    <w:top w:val="single" w:sz="6" w:space="0" w:color="BFBFBF"/>
                    <w:bottom w:val="single" w:sz="6" w:space="0" w:color="BFBFBF"/>
                  </w:tcBorders>
                  <w:shd w:val="clear" w:color="auto" w:fill="auto"/>
                  <w:vAlign w:val="bottom"/>
                </w:tcPr>
                <w:p w14:paraId="11A535A0" w14:textId="77777777" w:rsidR="00FC14FC" w:rsidRPr="0096485D" w:rsidRDefault="00FC14FC" w:rsidP="00D11B9D">
                  <w:pPr>
                    <w:pStyle w:val="TableColumnHeading"/>
                    <w:jc w:val="left"/>
                  </w:pPr>
                  <w:r w:rsidRPr="0096485D">
                    <w:t>Expense ratio or fee</w:t>
                  </w:r>
                </w:p>
              </w:tc>
              <w:tc>
                <w:tcPr>
                  <w:tcW w:w="662" w:type="pct"/>
                  <w:tcBorders>
                    <w:top w:val="single" w:sz="6" w:space="0" w:color="BFBFBF"/>
                    <w:bottom w:val="single" w:sz="6" w:space="0" w:color="BFBFBF"/>
                  </w:tcBorders>
                  <w:shd w:val="clear" w:color="auto" w:fill="auto"/>
                  <w:tcMar>
                    <w:top w:w="24" w:type="dxa"/>
                  </w:tcMar>
                  <w:vAlign w:val="bottom"/>
                </w:tcPr>
                <w:p w14:paraId="0A06F832" w14:textId="77777777" w:rsidR="00FC14FC" w:rsidRPr="0096485D" w:rsidRDefault="00FC14FC" w:rsidP="00D11B9D">
                  <w:pPr>
                    <w:pStyle w:val="TableColumnHeading"/>
                    <w:jc w:val="left"/>
                  </w:pPr>
                  <w:r w:rsidRPr="00073E37">
                    <w:t>Segment</w:t>
                  </w:r>
                </w:p>
              </w:tc>
              <w:tc>
                <w:tcPr>
                  <w:tcW w:w="3250" w:type="pct"/>
                  <w:gridSpan w:val="13"/>
                  <w:tcBorders>
                    <w:top w:val="single" w:sz="6" w:space="0" w:color="BFBFBF"/>
                  </w:tcBorders>
                  <w:vAlign w:val="bottom"/>
                </w:tcPr>
                <w:p w14:paraId="486C4B10" w14:textId="77777777" w:rsidR="00FC14FC" w:rsidRPr="00073E37" w:rsidRDefault="00FC14FC" w:rsidP="00D11B9D">
                  <w:pPr>
                    <w:pStyle w:val="TableColumnHeading"/>
                    <w:jc w:val="center"/>
                  </w:pPr>
                  <w:r w:rsidRPr="0096485D">
                    <w:t>Year end June</w:t>
                  </w:r>
                </w:p>
              </w:tc>
            </w:tr>
            <w:tr w:rsidR="00FC14FC" w14:paraId="1E0B28A3" w14:textId="77777777" w:rsidTr="00D11B9D">
              <w:trPr>
                <w:trHeight w:val="369"/>
                <w:tblHeader/>
              </w:trPr>
              <w:tc>
                <w:tcPr>
                  <w:tcW w:w="490" w:type="pct"/>
                  <w:tcBorders>
                    <w:top w:val="single" w:sz="6" w:space="0" w:color="BFBFBF"/>
                    <w:bottom w:val="single" w:sz="6" w:space="0" w:color="BFBFBF"/>
                  </w:tcBorders>
                  <w:shd w:val="clear" w:color="auto" w:fill="auto"/>
                </w:tcPr>
                <w:p w14:paraId="79CE4E8F" w14:textId="77777777" w:rsidR="00FC14FC" w:rsidRPr="002D1B3B" w:rsidRDefault="00FC14FC" w:rsidP="00D11B9D">
                  <w:pPr>
                    <w:pStyle w:val="TableColumnHeading"/>
                    <w:jc w:val="left"/>
                  </w:pPr>
                </w:p>
              </w:tc>
              <w:tc>
                <w:tcPr>
                  <w:tcW w:w="598" w:type="pct"/>
                  <w:tcBorders>
                    <w:top w:val="single" w:sz="6" w:space="0" w:color="BFBFBF"/>
                    <w:bottom w:val="single" w:sz="6" w:space="0" w:color="BFBFBF"/>
                  </w:tcBorders>
                  <w:shd w:val="clear" w:color="auto" w:fill="auto"/>
                </w:tcPr>
                <w:p w14:paraId="7AA8BFA7" w14:textId="77777777" w:rsidR="00FC14FC" w:rsidRPr="002329C5" w:rsidRDefault="00FC14FC" w:rsidP="00D11B9D">
                  <w:pPr>
                    <w:pStyle w:val="TableColumnHeading"/>
                    <w:jc w:val="left"/>
                  </w:pPr>
                </w:p>
              </w:tc>
              <w:tc>
                <w:tcPr>
                  <w:tcW w:w="662" w:type="pct"/>
                  <w:tcBorders>
                    <w:top w:val="single" w:sz="6" w:space="0" w:color="BFBFBF"/>
                    <w:bottom w:val="single" w:sz="6" w:space="0" w:color="BFBFBF"/>
                  </w:tcBorders>
                  <w:shd w:val="clear" w:color="auto" w:fill="auto"/>
                  <w:tcMar>
                    <w:top w:w="24" w:type="dxa"/>
                  </w:tcMar>
                </w:tcPr>
                <w:p w14:paraId="36CD65AD" w14:textId="77777777" w:rsidR="00FC14FC" w:rsidRPr="0096485D" w:rsidRDefault="00FC14FC" w:rsidP="00D11B9D">
                  <w:pPr>
                    <w:pStyle w:val="TableColumnHeading"/>
                  </w:pPr>
                </w:p>
              </w:tc>
              <w:tc>
                <w:tcPr>
                  <w:tcW w:w="251" w:type="pct"/>
                  <w:tcBorders>
                    <w:top w:val="single" w:sz="6" w:space="0" w:color="BFBFBF"/>
                    <w:bottom w:val="single" w:sz="6" w:space="0" w:color="BFBFBF"/>
                  </w:tcBorders>
                  <w:shd w:val="clear" w:color="auto" w:fill="auto"/>
                  <w:tcMar>
                    <w:top w:w="24" w:type="dxa"/>
                  </w:tcMar>
                </w:tcPr>
                <w:p w14:paraId="00C26901" w14:textId="77777777" w:rsidR="00FC14FC" w:rsidRPr="002D1B3B" w:rsidRDefault="00FC14FC" w:rsidP="00D11B9D">
                  <w:pPr>
                    <w:pStyle w:val="TableColumnHeading"/>
                  </w:pPr>
                  <w:r w:rsidRPr="0096485D">
                    <w:t>2005</w:t>
                  </w:r>
                </w:p>
              </w:tc>
              <w:tc>
                <w:tcPr>
                  <w:tcW w:w="251" w:type="pct"/>
                  <w:tcBorders>
                    <w:top w:val="single" w:sz="6" w:space="0" w:color="BFBFBF"/>
                    <w:bottom w:val="single" w:sz="6" w:space="0" w:color="BFBFBF"/>
                  </w:tcBorders>
                  <w:shd w:val="clear" w:color="auto" w:fill="auto"/>
                  <w:tcMar>
                    <w:top w:w="24" w:type="dxa"/>
                  </w:tcMar>
                </w:tcPr>
                <w:p w14:paraId="3D4305F5" w14:textId="77777777" w:rsidR="00FC14FC" w:rsidRPr="002D1B3B" w:rsidRDefault="00FC14FC" w:rsidP="00D11B9D">
                  <w:pPr>
                    <w:pStyle w:val="TableColumnHeading"/>
                  </w:pPr>
                  <w:r w:rsidRPr="0096485D">
                    <w:t>2006</w:t>
                  </w:r>
                </w:p>
              </w:tc>
              <w:tc>
                <w:tcPr>
                  <w:tcW w:w="251" w:type="pct"/>
                  <w:tcBorders>
                    <w:top w:val="single" w:sz="6" w:space="0" w:color="BFBFBF"/>
                    <w:bottom w:val="single" w:sz="6" w:space="0" w:color="BFBFBF"/>
                  </w:tcBorders>
                  <w:shd w:val="clear" w:color="auto" w:fill="auto"/>
                </w:tcPr>
                <w:p w14:paraId="4F48637E" w14:textId="77777777" w:rsidR="00FC14FC" w:rsidRPr="002D1B3B" w:rsidRDefault="00FC14FC" w:rsidP="00D11B9D">
                  <w:pPr>
                    <w:pStyle w:val="TableColumnHeading"/>
                  </w:pPr>
                  <w:r w:rsidRPr="0096485D">
                    <w:t>2007</w:t>
                  </w:r>
                </w:p>
              </w:tc>
              <w:tc>
                <w:tcPr>
                  <w:tcW w:w="251" w:type="pct"/>
                  <w:tcBorders>
                    <w:top w:val="single" w:sz="6" w:space="0" w:color="BFBFBF"/>
                    <w:bottom w:val="single" w:sz="6" w:space="0" w:color="BFBFBF"/>
                  </w:tcBorders>
                  <w:shd w:val="clear" w:color="auto" w:fill="auto"/>
                </w:tcPr>
                <w:p w14:paraId="271DB5C3" w14:textId="77777777" w:rsidR="00FC14FC" w:rsidRPr="002D1B3B" w:rsidRDefault="00FC14FC" w:rsidP="00D11B9D">
                  <w:pPr>
                    <w:pStyle w:val="TableColumnHeading"/>
                  </w:pPr>
                  <w:r w:rsidRPr="0096485D">
                    <w:t>2008</w:t>
                  </w:r>
                </w:p>
              </w:tc>
              <w:tc>
                <w:tcPr>
                  <w:tcW w:w="251" w:type="pct"/>
                  <w:tcBorders>
                    <w:top w:val="single" w:sz="6" w:space="0" w:color="BFBFBF"/>
                    <w:bottom w:val="single" w:sz="6" w:space="0" w:color="BFBFBF"/>
                  </w:tcBorders>
                  <w:shd w:val="clear" w:color="auto" w:fill="auto"/>
                </w:tcPr>
                <w:p w14:paraId="39D2BD47" w14:textId="77777777" w:rsidR="00FC14FC" w:rsidRPr="002D1B3B" w:rsidRDefault="00FC14FC" w:rsidP="00D11B9D">
                  <w:pPr>
                    <w:pStyle w:val="TableColumnHeading"/>
                  </w:pPr>
                  <w:r w:rsidRPr="0096485D">
                    <w:t>2009</w:t>
                  </w:r>
                </w:p>
              </w:tc>
              <w:tc>
                <w:tcPr>
                  <w:tcW w:w="251" w:type="pct"/>
                  <w:tcBorders>
                    <w:top w:val="single" w:sz="6" w:space="0" w:color="BFBFBF"/>
                    <w:bottom w:val="single" w:sz="6" w:space="0" w:color="BFBFBF"/>
                  </w:tcBorders>
                  <w:shd w:val="clear" w:color="auto" w:fill="auto"/>
                </w:tcPr>
                <w:p w14:paraId="64B4128D" w14:textId="77777777" w:rsidR="00FC14FC" w:rsidRPr="002D1B3B" w:rsidRDefault="00FC14FC" w:rsidP="00D11B9D">
                  <w:pPr>
                    <w:pStyle w:val="TableColumnHeading"/>
                  </w:pPr>
                  <w:r w:rsidRPr="0096485D">
                    <w:t>2010</w:t>
                  </w:r>
                </w:p>
              </w:tc>
              <w:tc>
                <w:tcPr>
                  <w:tcW w:w="252" w:type="pct"/>
                  <w:tcBorders>
                    <w:top w:val="single" w:sz="6" w:space="0" w:color="BFBFBF"/>
                    <w:bottom w:val="single" w:sz="6" w:space="0" w:color="BFBFBF"/>
                  </w:tcBorders>
                  <w:shd w:val="clear" w:color="auto" w:fill="auto"/>
                </w:tcPr>
                <w:p w14:paraId="6B38892E" w14:textId="77777777" w:rsidR="00FC14FC" w:rsidRPr="002D1B3B" w:rsidRDefault="00FC14FC" w:rsidP="00D11B9D">
                  <w:pPr>
                    <w:pStyle w:val="TableColumnHeading"/>
                  </w:pPr>
                  <w:r w:rsidRPr="0096485D">
                    <w:t>2011</w:t>
                  </w:r>
                </w:p>
              </w:tc>
              <w:tc>
                <w:tcPr>
                  <w:tcW w:w="251" w:type="pct"/>
                  <w:tcBorders>
                    <w:top w:val="single" w:sz="6" w:space="0" w:color="BFBFBF"/>
                    <w:bottom w:val="single" w:sz="6" w:space="0" w:color="BFBFBF"/>
                  </w:tcBorders>
                  <w:shd w:val="clear" w:color="auto" w:fill="auto"/>
                </w:tcPr>
                <w:p w14:paraId="72F3A15E" w14:textId="77777777" w:rsidR="00FC14FC" w:rsidRPr="002D1B3B" w:rsidRDefault="00FC14FC" w:rsidP="00D11B9D">
                  <w:pPr>
                    <w:pStyle w:val="TableColumnHeading"/>
                  </w:pPr>
                  <w:r w:rsidRPr="0096485D">
                    <w:t>2012</w:t>
                  </w:r>
                </w:p>
              </w:tc>
              <w:tc>
                <w:tcPr>
                  <w:tcW w:w="251" w:type="pct"/>
                  <w:tcBorders>
                    <w:top w:val="single" w:sz="6" w:space="0" w:color="BFBFBF"/>
                    <w:bottom w:val="single" w:sz="6" w:space="0" w:color="BFBFBF"/>
                  </w:tcBorders>
                  <w:shd w:val="clear" w:color="auto" w:fill="auto"/>
                </w:tcPr>
                <w:p w14:paraId="07829680" w14:textId="77777777" w:rsidR="00FC14FC" w:rsidRPr="002D1B3B" w:rsidRDefault="00FC14FC" w:rsidP="00D11B9D">
                  <w:pPr>
                    <w:pStyle w:val="TableColumnHeading"/>
                  </w:pPr>
                  <w:r w:rsidRPr="0096485D">
                    <w:t>2013</w:t>
                  </w:r>
                </w:p>
              </w:tc>
              <w:tc>
                <w:tcPr>
                  <w:tcW w:w="251" w:type="pct"/>
                  <w:tcBorders>
                    <w:top w:val="single" w:sz="6" w:space="0" w:color="BFBFBF"/>
                    <w:bottom w:val="single" w:sz="6" w:space="0" w:color="BFBFBF"/>
                  </w:tcBorders>
                  <w:shd w:val="clear" w:color="auto" w:fill="auto"/>
                </w:tcPr>
                <w:p w14:paraId="37D47003" w14:textId="77777777" w:rsidR="00FC14FC" w:rsidRPr="002D1B3B" w:rsidRDefault="00FC14FC" w:rsidP="00D11B9D">
                  <w:pPr>
                    <w:pStyle w:val="TableColumnHeading"/>
                  </w:pPr>
                  <w:r w:rsidRPr="0096485D">
                    <w:t>2014</w:t>
                  </w:r>
                </w:p>
              </w:tc>
              <w:tc>
                <w:tcPr>
                  <w:tcW w:w="251" w:type="pct"/>
                  <w:tcBorders>
                    <w:top w:val="single" w:sz="6" w:space="0" w:color="BFBFBF"/>
                    <w:bottom w:val="single" w:sz="6" w:space="0" w:color="BFBFBF"/>
                  </w:tcBorders>
                  <w:shd w:val="clear" w:color="auto" w:fill="auto"/>
                </w:tcPr>
                <w:p w14:paraId="6BD9EFD0" w14:textId="77777777" w:rsidR="00FC14FC" w:rsidRPr="002D1B3B" w:rsidRDefault="00FC14FC" w:rsidP="00D11B9D">
                  <w:pPr>
                    <w:pStyle w:val="TableColumnHeading"/>
                  </w:pPr>
                  <w:r w:rsidRPr="0096485D">
                    <w:t>2015</w:t>
                  </w:r>
                </w:p>
              </w:tc>
              <w:tc>
                <w:tcPr>
                  <w:tcW w:w="251" w:type="pct"/>
                  <w:tcBorders>
                    <w:top w:val="single" w:sz="6" w:space="0" w:color="BFBFBF"/>
                    <w:bottom w:val="single" w:sz="6" w:space="0" w:color="BFBFBF"/>
                  </w:tcBorders>
                </w:tcPr>
                <w:p w14:paraId="22D1FEC4" w14:textId="77777777" w:rsidR="00FC14FC" w:rsidRPr="0096485D" w:rsidRDefault="00FC14FC" w:rsidP="00D11B9D">
                  <w:pPr>
                    <w:pStyle w:val="TableColumnHeading"/>
                  </w:pPr>
                  <w:r w:rsidRPr="0096485D">
                    <w:t>2016</w:t>
                  </w:r>
                </w:p>
              </w:tc>
              <w:tc>
                <w:tcPr>
                  <w:tcW w:w="236" w:type="pct"/>
                  <w:tcBorders>
                    <w:top w:val="single" w:sz="6" w:space="0" w:color="BFBFBF"/>
                    <w:bottom w:val="single" w:sz="6" w:space="0" w:color="BFBFBF"/>
                  </w:tcBorders>
                  <w:shd w:val="clear" w:color="auto" w:fill="auto"/>
                </w:tcPr>
                <w:p w14:paraId="6D2776F3" w14:textId="77777777" w:rsidR="00FC14FC" w:rsidRPr="002D1B3B" w:rsidRDefault="00FC14FC" w:rsidP="00D11B9D">
                  <w:pPr>
                    <w:pStyle w:val="TableColumnHeading"/>
                    <w:ind w:right="28"/>
                  </w:pPr>
                  <w:r w:rsidRPr="0096485D">
                    <w:t>201</w:t>
                  </w:r>
                  <w:r>
                    <w:t>7</w:t>
                  </w:r>
                </w:p>
              </w:tc>
            </w:tr>
            <w:tr w:rsidR="00FC14FC" w14:paraId="61EBFA60" w14:textId="77777777" w:rsidTr="00D11B9D">
              <w:tblPrEx>
                <w:tblCellMar>
                  <w:top w:w="28" w:type="dxa"/>
                </w:tblCellMar>
              </w:tblPrEx>
              <w:trPr>
                <w:trHeight w:val="293"/>
              </w:trPr>
              <w:tc>
                <w:tcPr>
                  <w:tcW w:w="490" w:type="pct"/>
                  <w:tcBorders>
                    <w:top w:val="single" w:sz="6" w:space="0" w:color="BFBFBF"/>
                  </w:tcBorders>
                </w:tcPr>
                <w:p w14:paraId="2D22BF78" w14:textId="77777777" w:rsidR="00FC14FC" w:rsidRPr="00D617A6" w:rsidRDefault="00FC14FC" w:rsidP="00D11B9D">
                  <w:pPr>
                    <w:pStyle w:val="TableBodyText"/>
                    <w:spacing w:before="40"/>
                    <w:jc w:val="left"/>
                  </w:pPr>
                  <w:r>
                    <w:t>System</w:t>
                  </w:r>
                </w:p>
              </w:tc>
              <w:tc>
                <w:tcPr>
                  <w:tcW w:w="598" w:type="pct"/>
                  <w:tcBorders>
                    <w:top w:val="single" w:sz="6" w:space="0" w:color="BFBFBF"/>
                  </w:tcBorders>
                </w:tcPr>
                <w:p w14:paraId="291838A9" w14:textId="77777777" w:rsidR="00FC14FC" w:rsidRPr="00D617A6" w:rsidRDefault="00FC14FC" w:rsidP="00D11B9D">
                  <w:pPr>
                    <w:pStyle w:val="TableBodyText"/>
                    <w:spacing w:before="40"/>
                    <w:jc w:val="left"/>
                  </w:pPr>
                  <w:r>
                    <w:t>Expense ratio</w:t>
                  </w:r>
                </w:p>
              </w:tc>
              <w:tc>
                <w:tcPr>
                  <w:tcW w:w="662" w:type="pct"/>
                  <w:tcBorders>
                    <w:top w:val="single" w:sz="6" w:space="0" w:color="BFBFBF"/>
                  </w:tcBorders>
                </w:tcPr>
                <w:p w14:paraId="21426B9C" w14:textId="77777777" w:rsidR="00FC14FC" w:rsidRPr="00D617A6" w:rsidRDefault="00FC14FC" w:rsidP="00D11B9D">
                  <w:pPr>
                    <w:pStyle w:val="TableBodyText"/>
                    <w:spacing w:before="40"/>
                    <w:jc w:val="both"/>
                  </w:pPr>
                  <w:r w:rsidRPr="00D617A6">
                    <w:t>System</w:t>
                  </w:r>
                </w:p>
              </w:tc>
              <w:tc>
                <w:tcPr>
                  <w:tcW w:w="251" w:type="pct"/>
                  <w:tcBorders>
                    <w:top w:val="single" w:sz="6" w:space="0" w:color="BFBFBF"/>
                  </w:tcBorders>
                </w:tcPr>
                <w:p w14:paraId="0C270CB4" w14:textId="77777777" w:rsidR="00FC14FC" w:rsidRPr="00D617A6" w:rsidRDefault="00FC14FC" w:rsidP="00D11B9D">
                  <w:pPr>
                    <w:pStyle w:val="TableBodyText"/>
                  </w:pPr>
                  <w:r w:rsidRPr="00D617A6">
                    <w:t>0.80</w:t>
                  </w:r>
                </w:p>
              </w:tc>
              <w:tc>
                <w:tcPr>
                  <w:tcW w:w="251" w:type="pct"/>
                  <w:tcBorders>
                    <w:top w:val="single" w:sz="6" w:space="0" w:color="BFBFBF"/>
                  </w:tcBorders>
                </w:tcPr>
                <w:p w14:paraId="511EFE60" w14:textId="77777777" w:rsidR="00FC14FC" w:rsidRPr="00D617A6" w:rsidRDefault="00FC14FC" w:rsidP="00D11B9D">
                  <w:pPr>
                    <w:pStyle w:val="TableBodyText"/>
                  </w:pPr>
                  <w:r w:rsidRPr="00D617A6">
                    <w:t>0.80</w:t>
                  </w:r>
                </w:p>
              </w:tc>
              <w:tc>
                <w:tcPr>
                  <w:tcW w:w="251" w:type="pct"/>
                  <w:tcBorders>
                    <w:top w:val="single" w:sz="6" w:space="0" w:color="BFBFBF"/>
                  </w:tcBorders>
                </w:tcPr>
                <w:p w14:paraId="2D11906D" w14:textId="77777777" w:rsidR="00FC14FC" w:rsidRPr="00D617A6" w:rsidRDefault="00FC14FC" w:rsidP="00D11B9D">
                  <w:pPr>
                    <w:pStyle w:val="TableBodyText"/>
                  </w:pPr>
                  <w:r w:rsidRPr="00D617A6">
                    <w:t>0.60</w:t>
                  </w:r>
                </w:p>
              </w:tc>
              <w:tc>
                <w:tcPr>
                  <w:tcW w:w="251" w:type="pct"/>
                  <w:tcBorders>
                    <w:top w:val="single" w:sz="6" w:space="0" w:color="BFBFBF"/>
                  </w:tcBorders>
                </w:tcPr>
                <w:p w14:paraId="15DE807D" w14:textId="77777777" w:rsidR="00FC14FC" w:rsidRPr="00D617A6" w:rsidRDefault="00FC14FC" w:rsidP="00D11B9D">
                  <w:pPr>
                    <w:pStyle w:val="TableBodyText"/>
                  </w:pPr>
                  <w:r w:rsidRPr="00D617A6">
                    <w:t>0.60</w:t>
                  </w:r>
                </w:p>
              </w:tc>
              <w:tc>
                <w:tcPr>
                  <w:tcW w:w="251" w:type="pct"/>
                  <w:tcBorders>
                    <w:top w:val="single" w:sz="6" w:space="0" w:color="BFBFBF"/>
                  </w:tcBorders>
                </w:tcPr>
                <w:p w14:paraId="13F3FB8D" w14:textId="77777777" w:rsidR="00FC14FC" w:rsidRPr="00D617A6" w:rsidRDefault="00FC14FC" w:rsidP="00D11B9D">
                  <w:pPr>
                    <w:pStyle w:val="TableBodyText"/>
                  </w:pPr>
                  <w:r w:rsidRPr="00D617A6">
                    <w:t>0.60</w:t>
                  </w:r>
                </w:p>
              </w:tc>
              <w:tc>
                <w:tcPr>
                  <w:tcW w:w="251" w:type="pct"/>
                  <w:tcBorders>
                    <w:top w:val="single" w:sz="6" w:space="0" w:color="BFBFBF"/>
                  </w:tcBorders>
                </w:tcPr>
                <w:p w14:paraId="12061649" w14:textId="77777777" w:rsidR="00FC14FC" w:rsidRPr="00D617A6" w:rsidRDefault="00FC14FC" w:rsidP="00D11B9D">
                  <w:pPr>
                    <w:pStyle w:val="TableBodyText"/>
                  </w:pPr>
                  <w:r w:rsidRPr="00D617A6">
                    <w:t>0.70</w:t>
                  </w:r>
                </w:p>
              </w:tc>
              <w:tc>
                <w:tcPr>
                  <w:tcW w:w="252" w:type="pct"/>
                  <w:tcBorders>
                    <w:top w:val="single" w:sz="6" w:space="0" w:color="BFBFBF"/>
                  </w:tcBorders>
                </w:tcPr>
                <w:p w14:paraId="0E919BA1" w14:textId="77777777" w:rsidR="00FC14FC" w:rsidRPr="00D617A6" w:rsidRDefault="00FC14FC" w:rsidP="00D11B9D">
                  <w:pPr>
                    <w:pStyle w:val="TableBodyText"/>
                  </w:pPr>
                  <w:r w:rsidRPr="00D617A6">
                    <w:t>0.70</w:t>
                  </w:r>
                </w:p>
              </w:tc>
              <w:tc>
                <w:tcPr>
                  <w:tcW w:w="251" w:type="pct"/>
                  <w:tcBorders>
                    <w:top w:val="single" w:sz="6" w:space="0" w:color="BFBFBF"/>
                  </w:tcBorders>
                </w:tcPr>
                <w:p w14:paraId="030C304E" w14:textId="77777777" w:rsidR="00FC14FC" w:rsidRPr="00D617A6" w:rsidRDefault="00FC14FC" w:rsidP="00D11B9D">
                  <w:pPr>
                    <w:pStyle w:val="TableBodyText"/>
                  </w:pPr>
                  <w:r w:rsidRPr="00D617A6">
                    <w:t>0.65</w:t>
                  </w:r>
                </w:p>
              </w:tc>
              <w:tc>
                <w:tcPr>
                  <w:tcW w:w="251" w:type="pct"/>
                  <w:tcBorders>
                    <w:top w:val="single" w:sz="6" w:space="0" w:color="BFBFBF"/>
                  </w:tcBorders>
                </w:tcPr>
                <w:p w14:paraId="05A5D863" w14:textId="77777777" w:rsidR="00FC14FC" w:rsidRPr="00D617A6" w:rsidRDefault="00FC14FC" w:rsidP="00D11B9D">
                  <w:pPr>
                    <w:pStyle w:val="TableBodyText"/>
                  </w:pPr>
                  <w:r w:rsidRPr="00D617A6">
                    <w:t>0.80</w:t>
                  </w:r>
                </w:p>
              </w:tc>
              <w:tc>
                <w:tcPr>
                  <w:tcW w:w="251" w:type="pct"/>
                  <w:tcBorders>
                    <w:top w:val="single" w:sz="6" w:space="0" w:color="BFBFBF"/>
                  </w:tcBorders>
                </w:tcPr>
                <w:p w14:paraId="466AFC59" w14:textId="77777777" w:rsidR="00FC14FC" w:rsidRPr="00D617A6" w:rsidRDefault="00FC14FC" w:rsidP="00D11B9D">
                  <w:pPr>
                    <w:pStyle w:val="TableBodyText"/>
                  </w:pPr>
                  <w:r w:rsidRPr="00D617A6">
                    <w:t>0.71</w:t>
                  </w:r>
                </w:p>
              </w:tc>
              <w:tc>
                <w:tcPr>
                  <w:tcW w:w="251" w:type="pct"/>
                  <w:tcBorders>
                    <w:top w:val="single" w:sz="6" w:space="0" w:color="BFBFBF"/>
                  </w:tcBorders>
                </w:tcPr>
                <w:p w14:paraId="115FBD83" w14:textId="77777777" w:rsidR="00FC14FC" w:rsidRPr="00D617A6" w:rsidRDefault="00FC14FC" w:rsidP="00D11B9D">
                  <w:pPr>
                    <w:pStyle w:val="TableBodyText"/>
                  </w:pPr>
                  <w:r w:rsidRPr="00D617A6">
                    <w:t>0.60</w:t>
                  </w:r>
                </w:p>
              </w:tc>
              <w:tc>
                <w:tcPr>
                  <w:tcW w:w="251" w:type="pct"/>
                  <w:tcBorders>
                    <w:top w:val="single" w:sz="6" w:space="0" w:color="BFBFBF"/>
                  </w:tcBorders>
                </w:tcPr>
                <w:p w14:paraId="20F61752" w14:textId="77777777" w:rsidR="00FC14FC" w:rsidRPr="00D617A6" w:rsidRDefault="00FC14FC" w:rsidP="00D11B9D">
                  <w:pPr>
                    <w:pStyle w:val="TableBodyText"/>
                  </w:pPr>
                  <w:r>
                    <w:t>0.55</w:t>
                  </w:r>
                </w:p>
              </w:tc>
              <w:tc>
                <w:tcPr>
                  <w:tcW w:w="236" w:type="pct"/>
                  <w:tcBorders>
                    <w:top w:val="single" w:sz="6" w:space="0" w:color="BFBFBF"/>
                  </w:tcBorders>
                </w:tcPr>
                <w:p w14:paraId="1BE95844" w14:textId="77777777" w:rsidR="00FC14FC" w:rsidRPr="00D617A6" w:rsidRDefault="00FC14FC" w:rsidP="00D11B9D">
                  <w:pPr>
                    <w:pStyle w:val="TableBodyText"/>
                    <w:ind w:right="28"/>
                  </w:pPr>
                  <w:r w:rsidRPr="00D617A6">
                    <w:t>0.</w:t>
                  </w:r>
                  <w:r>
                    <w:t>57</w:t>
                  </w:r>
                </w:p>
              </w:tc>
            </w:tr>
            <w:tr w:rsidR="00FC14FC" w14:paraId="35A32DEA" w14:textId="77777777" w:rsidTr="00D11B9D">
              <w:tblPrEx>
                <w:tblCellMar>
                  <w:top w:w="28" w:type="dxa"/>
                </w:tblCellMar>
              </w:tblPrEx>
              <w:trPr>
                <w:trHeight w:val="174"/>
              </w:trPr>
              <w:tc>
                <w:tcPr>
                  <w:tcW w:w="490" w:type="pct"/>
                  <w:vMerge w:val="restart"/>
                  <w:shd w:val="clear" w:color="auto" w:fill="F2F2F2" w:themeFill="background1" w:themeFillShade="F2"/>
                </w:tcPr>
                <w:p w14:paraId="34F10E44" w14:textId="77777777" w:rsidR="00FC14FC" w:rsidRPr="00D617A6" w:rsidRDefault="00FC14FC" w:rsidP="00D11B9D">
                  <w:pPr>
                    <w:pStyle w:val="TableBodyText"/>
                    <w:jc w:val="left"/>
                  </w:pPr>
                  <w:r>
                    <w:t>Accumulation/</w:t>
                  </w:r>
                  <w:r>
                    <w:br/>
                    <w:t>retirement</w:t>
                  </w:r>
                </w:p>
              </w:tc>
              <w:tc>
                <w:tcPr>
                  <w:tcW w:w="598" w:type="pct"/>
                  <w:shd w:val="clear" w:color="auto" w:fill="F2F2F2" w:themeFill="background1" w:themeFillShade="F2"/>
                </w:tcPr>
                <w:p w14:paraId="1EBD14EE" w14:textId="77777777" w:rsidR="00FC14FC" w:rsidRPr="00D617A6" w:rsidRDefault="00FC14FC" w:rsidP="00D11B9D">
                  <w:pPr>
                    <w:pStyle w:val="TableBodyText"/>
                    <w:jc w:val="left"/>
                  </w:pPr>
                  <w:r>
                    <w:t>Fee</w:t>
                  </w:r>
                </w:p>
              </w:tc>
              <w:tc>
                <w:tcPr>
                  <w:tcW w:w="662" w:type="pct"/>
                  <w:shd w:val="clear" w:color="auto" w:fill="F2F2F2" w:themeFill="background1" w:themeFillShade="F2"/>
                </w:tcPr>
                <w:p w14:paraId="56D8BA36" w14:textId="77777777" w:rsidR="00FC14FC" w:rsidRPr="00D617A6" w:rsidRDefault="00FC14FC" w:rsidP="00D11B9D">
                  <w:pPr>
                    <w:pStyle w:val="TableBodyText"/>
                    <w:jc w:val="left"/>
                  </w:pPr>
                  <w:r w:rsidRPr="00D617A6">
                    <w:t>Accumulati</w:t>
                  </w:r>
                  <w:r>
                    <w:t>on</w:t>
                  </w:r>
                </w:p>
              </w:tc>
              <w:tc>
                <w:tcPr>
                  <w:tcW w:w="251" w:type="pct"/>
                  <w:shd w:val="clear" w:color="auto" w:fill="F2F2F2" w:themeFill="background1" w:themeFillShade="F2"/>
                </w:tcPr>
                <w:p w14:paraId="536C9BF5" w14:textId="77777777" w:rsidR="00FC14FC" w:rsidRPr="00D617A6" w:rsidRDefault="00FC14FC" w:rsidP="00D11B9D">
                  <w:pPr>
                    <w:pStyle w:val="TableBodyText"/>
                  </w:pPr>
                  <w:r>
                    <w:t>0.44</w:t>
                  </w:r>
                </w:p>
              </w:tc>
              <w:tc>
                <w:tcPr>
                  <w:tcW w:w="251" w:type="pct"/>
                  <w:shd w:val="clear" w:color="auto" w:fill="F2F2F2" w:themeFill="background1" w:themeFillShade="F2"/>
                </w:tcPr>
                <w:p w14:paraId="08A7E6E4" w14:textId="77777777" w:rsidR="00FC14FC" w:rsidRPr="00D617A6" w:rsidRDefault="00FC14FC" w:rsidP="00D11B9D">
                  <w:pPr>
                    <w:pStyle w:val="TableBodyText"/>
                  </w:pPr>
                  <w:r>
                    <w:t>0.54</w:t>
                  </w:r>
                </w:p>
              </w:tc>
              <w:tc>
                <w:tcPr>
                  <w:tcW w:w="251" w:type="pct"/>
                  <w:shd w:val="clear" w:color="auto" w:fill="F2F2F2" w:themeFill="background1" w:themeFillShade="F2"/>
                </w:tcPr>
                <w:p w14:paraId="2C5166FC" w14:textId="77777777" w:rsidR="00FC14FC" w:rsidRPr="00D617A6" w:rsidRDefault="00FC14FC" w:rsidP="00D11B9D">
                  <w:pPr>
                    <w:pStyle w:val="TableBodyText"/>
                  </w:pPr>
                  <w:r>
                    <w:t>0.53</w:t>
                  </w:r>
                </w:p>
              </w:tc>
              <w:tc>
                <w:tcPr>
                  <w:tcW w:w="251" w:type="pct"/>
                  <w:shd w:val="clear" w:color="auto" w:fill="F2F2F2" w:themeFill="background1" w:themeFillShade="F2"/>
                </w:tcPr>
                <w:p w14:paraId="49E8A731" w14:textId="77777777" w:rsidR="00FC14FC" w:rsidRPr="00D617A6" w:rsidRDefault="00FC14FC" w:rsidP="00D11B9D">
                  <w:pPr>
                    <w:pStyle w:val="TableBodyText"/>
                  </w:pPr>
                  <w:r>
                    <w:t>0.51</w:t>
                  </w:r>
                </w:p>
              </w:tc>
              <w:tc>
                <w:tcPr>
                  <w:tcW w:w="251" w:type="pct"/>
                  <w:shd w:val="clear" w:color="auto" w:fill="F2F2F2" w:themeFill="background1" w:themeFillShade="F2"/>
                </w:tcPr>
                <w:p w14:paraId="7D62CDE0" w14:textId="77777777" w:rsidR="00FC14FC" w:rsidRPr="00D617A6" w:rsidRDefault="00FC14FC" w:rsidP="00D11B9D">
                  <w:pPr>
                    <w:pStyle w:val="TableBodyText"/>
                  </w:pPr>
                  <w:r>
                    <w:t>0.55</w:t>
                  </w:r>
                </w:p>
              </w:tc>
              <w:tc>
                <w:tcPr>
                  <w:tcW w:w="251" w:type="pct"/>
                  <w:shd w:val="clear" w:color="auto" w:fill="F2F2F2" w:themeFill="background1" w:themeFillShade="F2"/>
                </w:tcPr>
                <w:p w14:paraId="52810ABA" w14:textId="77777777" w:rsidR="00FC14FC" w:rsidRPr="00D617A6" w:rsidRDefault="00FC14FC" w:rsidP="00D11B9D">
                  <w:pPr>
                    <w:pStyle w:val="TableBodyText"/>
                  </w:pPr>
                  <w:r>
                    <w:t>0.52</w:t>
                  </w:r>
                </w:p>
              </w:tc>
              <w:tc>
                <w:tcPr>
                  <w:tcW w:w="252" w:type="pct"/>
                  <w:shd w:val="clear" w:color="auto" w:fill="F2F2F2" w:themeFill="background1" w:themeFillShade="F2"/>
                </w:tcPr>
                <w:p w14:paraId="3B856141" w14:textId="77777777" w:rsidR="00FC14FC" w:rsidRPr="00D617A6" w:rsidRDefault="00FC14FC" w:rsidP="00D11B9D">
                  <w:pPr>
                    <w:pStyle w:val="TableBodyText"/>
                  </w:pPr>
                  <w:r>
                    <w:t>0.50</w:t>
                  </w:r>
                </w:p>
              </w:tc>
              <w:tc>
                <w:tcPr>
                  <w:tcW w:w="251" w:type="pct"/>
                  <w:shd w:val="clear" w:color="auto" w:fill="F2F2F2" w:themeFill="background1" w:themeFillShade="F2"/>
                </w:tcPr>
                <w:p w14:paraId="06F0D2BC" w14:textId="77777777" w:rsidR="00FC14FC" w:rsidRPr="00D617A6" w:rsidRDefault="00FC14FC" w:rsidP="00D11B9D">
                  <w:pPr>
                    <w:pStyle w:val="TableBodyText"/>
                  </w:pPr>
                  <w:r w:rsidRPr="00D617A6" w:rsidDel="00F038E8">
                    <w:t>0.</w:t>
                  </w:r>
                  <w:r>
                    <w:t>48</w:t>
                  </w:r>
                </w:p>
              </w:tc>
              <w:tc>
                <w:tcPr>
                  <w:tcW w:w="251" w:type="pct"/>
                  <w:shd w:val="clear" w:color="auto" w:fill="F2F2F2" w:themeFill="background1" w:themeFillShade="F2"/>
                </w:tcPr>
                <w:p w14:paraId="5FD11AC9" w14:textId="77777777" w:rsidR="00FC14FC" w:rsidRPr="00D617A6" w:rsidRDefault="00FC14FC" w:rsidP="00D11B9D">
                  <w:pPr>
                    <w:pStyle w:val="TableBodyText"/>
                  </w:pPr>
                  <w:r>
                    <w:t>0.43</w:t>
                  </w:r>
                </w:p>
              </w:tc>
              <w:tc>
                <w:tcPr>
                  <w:tcW w:w="251" w:type="pct"/>
                  <w:shd w:val="clear" w:color="auto" w:fill="F2F2F2" w:themeFill="background1" w:themeFillShade="F2"/>
                </w:tcPr>
                <w:p w14:paraId="73FD7C77" w14:textId="77777777" w:rsidR="00FC14FC" w:rsidRPr="00D617A6" w:rsidRDefault="00FC14FC" w:rsidP="00D11B9D">
                  <w:pPr>
                    <w:pStyle w:val="TableBodyText"/>
                  </w:pPr>
                  <w:r w:rsidRPr="00D617A6" w:rsidDel="00F038E8">
                    <w:t>0.</w:t>
                  </w:r>
                  <w:r>
                    <w:t>41</w:t>
                  </w:r>
                </w:p>
              </w:tc>
              <w:tc>
                <w:tcPr>
                  <w:tcW w:w="251" w:type="pct"/>
                  <w:shd w:val="clear" w:color="auto" w:fill="F2F2F2" w:themeFill="background1" w:themeFillShade="F2"/>
                </w:tcPr>
                <w:p w14:paraId="5E9CCD33" w14:textId="77777777" w:rsidR="00FC14FC" w:rsidRPr="00D617A6" w:rsidRDefault="00FC14FC" w:rsidP="00D11B9D">
                  <w:pPr>
                    <w:pStyle w:val="TableBodyText"/>
                  </w:pPr>
                  <w:r>
                    <w:t>0.40</w:t>
                  </w:r>
                </w:p>
              </w:tc>
              <w:tc>
                <w:tcPr>
                  <w:tcW w:w="251" w:type="pct"/>
                  <w:shd w:val="clear" w:color="auto" w:fill="F2F2F2" w:themeFill="background1" w:themeFillShade="F2"/>
                </w:tcPr>
                <w:p w14:paraId="407913FD" w14:textId="77777777" w:rsidR="00FC14FC" w:rsidRPr="00D617A6" w:rsidRDefault="00FC14FC" w:rsidP="00D11B9D">
                  <w:pPr>
                    <w:pStyle w:val="TableBodyText"/>
                  </w:pPr>
                  <w:r>
                    <w:t>0.40</w:t>
                  </w:r>
                </w:p>
              </w:tc>
              <w:tc>
                <w:tcPr>
                  <w:tcW w:w="236" w:type="pct"/>
                  <w:shd w:val="clear" w:color="auto" w:fill="F2F2F2" w:themeFill="background1" w:themeFillShade="F2"/>
                </w:tcPr>
                <w:p w14:paraId="0000B16C" w14:textId="77777777" w:rsidR="00FC14FC" w:rsidRPr="00D617A6" w:rsidRDefault="00FC14FC" w:rsidP="00D11B9D">
                  <w:pPr>
                    <w:pStyle w:val="TableBodyText"/>
                    <w:ind w:right="28"/>
                  </w:pPr>
                  <w:r>
                    <w:t>0.38</w:t>
                  </w:r>
                </w:p>
              </w:tc>
            </w:tr>
            <w:tr w:rsidR="00FC14FC" w14:paraId="0EAEC6BB" w14:textId="77777777" w:rsidTr="00D11B9D">
              <w:tblPrEx>
                <w:tblCellMar>
                  <w:top w:w="28" w:type="dxa"/>
                </w:tblCellMar>
              </w:tblPrEx>
              <w:trPr>
                <w:trHeight w:val="47"/>
              </w:trPr>
              <w:tc>
                <w:tcPr>
                  <w:tcW w:w="490" w:type="pct"/>
                  <w:vMerge/>
                  <w:shd w:val="clear" w:color="auto" w:fill="F2F2F2" w:themeFill="background1" w:themeFillShade="F2"/>
                </w:tcPr>
                <w:p w14:paraId="50252DE5" w14:textId="77777777" w:rsidR="00FC14FC" w:rsidRPr="00D617A6" w:rsidRDefault="00FC14FC" w:rsidP="00D11B9D">
                  <w:pPr>
                    <w:pStyle w:val="TableBodyText"/>
                    <w:jc w:val="left"/>
                  </w:pPr>
                </w:p>
              </w:tc>
              <w:tc>
                <w:tcPr>
                  <w:tcW w:w="598" w:type="pct"/>
                  <w:shd w:val="clear" w:color="auto" w:fill="F2F2F2" w:themeFill="background1" w:themeFillShade="F2"/>
                </w:tcPr>
                <w:p w14:paraId="3D5E812F" w14:textId="77777777" w:rsidR="00FC14FC" w:rsidRPr="00D617A6" w:rsidRDefault="00FC14FC" w:rsidP="00D11B9D">
                  <w:pPr>
                    <w:pStyle w:val="TableBodyText"/>
                    <w:jc w:val="left"/>
                  </w:pPr>
                  <w:r>
                    <w:t>Fee</w:t>
                  </w:r>
                </w:p>
              </w:tc>
              <w:tc>
                <w:tcPr>
                  <w:tcW w:w="662" w:type="pct"/>
                  <w:shd w:val="clear" w:color="auto" w:fill="F2F2F2" w:themeFill="background1" w:themeFillShade="F2"/>
                  <w:vAlign w:val="center"/>
                </w:tcPr>
                <w:p w14:paraId="6D8EBD7D" w14:textId="77777777" w:rsidR="00FC14FC" w:rsidRPr="00D617A6" w:rsidRDefault="00FC14FC" w:rsidP="00D11B9D">
                  <w:pPr>
                    <w:pStyle w:val="TableBodyText"/>
                    <w:jc w:val="left"/>
                  </w:pPr>
                  <w:r w:rsidRPr="00D617A6">
                    <w:t>Retiremen</w:t>
                  </w:r>
                  <w:r>
                    <w:t>t</w:t>
                  </w:r>
                </w:p>
              </w:tc>
              <w:tc>
                <w:tcPr>
                  <w:tcW w:w="251" w:type="pct"/>
                  <w:shd w:val="clear" w:color="auto" w:fill="F2F2F2" w:themeFill="background1" w:themeFillShade="F2"/>
                </w:tcPr>
                <w:p w14:paraId="18086750" w14:textId="77777777" w:rsidR="00FC14FC" w:rsidRPr="00D617A6" w:rsidRDefault="00FC14FC" w:rsidP="00D11B9D">
                  <w:pPr>
                    <w:pStyle w:val="TableBodyText"/>
                  </w:pPr>
                  <w:r w:rsidRPr="00D617A6">
                    <w:t>1.79</w:t>
                  </w:r>
                </w:p>
              </w:tc>
              <w:tc>
                <w:tcPr>
                  <w:tcW w:w="251" w:type="pct"/>
                  <w:shd w:val="clear" w:color="auto" w:fill="F2F2F2" w:themeFill="background1" w:themeFillShade="F2"/>
                </w:tcPr>
                <w:p w14:paraId="15702821" w14:textId="77777777" w:rsidR="00FC14FC" w:rsidRPr="00D617A6" w:rsidRDefault="00FC14FC" w:rsidP="00D11B9D">
                  <w:pPr>
                    <w:pStyle w:val="TableBodyText"/>
                  </w:pPr>
                  <w:r>
                    <w:t>1.12</w:t>
                  </w:r>
                </w:p>
              </w:tc>
              <w:tc>
                <w:tcPr>
                  <w:tcW w:w="251" w:type="pct"/>
                  <w:shd w:val="clear" w:color="auto" w:fill="F2F2F2" w:themeFill="background1" w:themeFillShade="F2"/>
                </w:tcPr>
                <w:p w14:paraId="0AC03915" w14:textId="77777777" w:rsidR="00FC14FC" w:rsidRPr="00D617A6" w:rsidRDefault="00FC14FC" w:rsidP="00D11B9D">
                  <w:pPr>
                    <w:pStyle w:val="TableBodyText"/>
                  </w:pPr>
                  <w:r>
                    <w:t>0.67</w:t>
                  </w:r>
                </w:p>
              </w:tc>
              <w:tc>
                <w:tcPr>
                  <w:tcW w:w="251" w:type="pct"/>
                  <w:shd w:val="clear" w:color="auto" w:fill="F2F2F2" w:themeFill="background1" w:themeFillShade="F2"/>
                </w:tcPr>
                <w:p w14:paraId="0B5A8BDC" w14:textId="77777777" w:rsidR="00FC14FC" w:rsidRPr="00D617A6" w:rsidRDefault="00FC14FC" w:rsidP="00D11B9D">
                  <w:pPr>
                    <w:pStyle w:val="TableBodyText"/>
                  </w:pPr>
                  <w:r>
                    <w:t>0.60</w:t>
                  </w:r>
                </w:p>
              </w:tc>
              <w:tc>
                <w:tcPr>
                  <w:tcW w:w="251" w:type="pct"/>
                  <w:shd w:val="clear" w:color="auto" w:fill="F2F2F2" w:themeFill="background1" w:themeFillShade="F2"/>
                </w:tcPr>
                <w:p w14:paraId="2BB4375D" w14:textId="77777777" w:rsidR="00FC14FC" w:rsidRPr="00D617A6" w:rsidRDefault="00FC14FC" w:rsidP="00D11B9D">
                  <w:pPr>
                    <w:pStyle w:val="TableBodyText"/>
                  </w:pPr>
                  <w:r>
                    <w:t>0.59</w:t>
                  </w:r>
                </w:p>
              </w:tc>
              <w:tc>
                <w:tcPr>
                  <w:tcW w:w="251" w:type="pct"/>
                  <w:shd w:val="clear" w:color="auto" w:fill="F2F2F2" w:themeFill="background1" w:themeFillShade="F2"/>
                </w:tcPr>
                <w:p w14:paraId="3BBCA65B" w14:textId="77777777" w:rsidR="00FC14FC" w:rsidRPr="00D617A6" w:rsidRDefault="00FC14FC" w:rsidP="00D11B9D">
                  <w:pPr>
                    <w:pStyle w:val="TableBodyText"/>
                  </w:pPr>
                  <w:r>
                    <w:t>0.54</w:t>
                  </w:r>
                </w:p>
              </w:tc>
              <w:tc>
                <w:tcPr>
                  <w:tcW w:w="252" w:type="pct"/>
                  <w:shd w:val="clear" w:color="auto" w:fill="F2F2F2" w:themeFill="background1" w:themeFillShade="F2"/>
                </w:tcPr>
                <w:p w14:paraId="4F46B40B" w14:textId="77777777" w:rsidR="00FC14FC" w:rsidRPr="00D617A6" w:rsidRDefault="00FC14FC" w:rsidP="00D11B9D">
                  <w:pPr>
                    <w:pStyle w:val="TableBodyText"/>
                  </w:pPr>
                  <w:r w:rsidRPr="00D617A6" w:rsidDel="00F038E8">
                    <w:t>0.</w:t>
                  </w:r>
                  <w:r>
                    <w:t>50</w:t>
                  </w:r>
                </w:p>
              </w:tc>
              <w:tc>
                <w:tcPr>
                  <w:tcW w:w="251" w:type="pct"/>
                  <w:shd w:val="clear" w:color="auto" w:fill="F2F2F2" w:themeFill="background1" w:themeFillShade="F2"/>
                </w:tcPr>
                <w:p w14:paraId="6675F2AB" w14:textId="77777777" w:rsidR="00FC14FC" w:rsidRPr="00D617A6" w:rsidRDefault="00FC14FC" w:rsidP="00D11B9D">
                  <w:pPr>
                    <w:pStyle w:val="TableBodyText"/>
                  </w:pPr>
                  <w:r w:rsidRPr="00D617A6" w:rsidDel="00F038E8">
                    <w:t>0.</w:t>
                  </w:r>
                  <w:r>
                    <w:t>48</w:t>
                  </w:r>
                </w:p>
              </w:tc>
              <w:tc>
                <w:tcPr>
                  <w:tcW w:w="251" w:type="pct"/>
                  <w:shd w:val="clear" w:color="auto" w:fill="F2F2F2" w:themeFill="background1" w:themeFillShade="F2"/>
                </w:tcPr>
                <w:p w14:paraId="55EB80CE" w14:textId="77777777" w:rsidR="00FC14FC" w:rsidRPr="00D617A6" w:rsidRDefault="00FC14FC" w:rsidP="00D11B9D">
                  <w:pPr>
                    <w:pStyle w:val="TableBodyText"/>
                  </w:pPr>
                  <w:r>
                    <w:t>0.45</w:t>
                  </w:r>
                </w:p>
              </w:tc>
              <w:tc>
                <w:tcPr>
                  <w:tcW w:w="251" w:type="pct"/>
                  <w:shd w:val="clear" w:color="auto" w:fill="F2F2F2" w:themeFill="background1" w:themeFillShade="F2"/>
                </w:tcPr>
                <w:p w14:paraId="46B95440" w14:textId="77777777" w:rsidR="00FC14FC" w:rsidRPr="00D617A6" w:rsidRDefault="00FC14FC" w:rsidP="00D11B9D">
                  <w:pPr>
                    <w:pStyle w:val="TableBodyText"/>
                  </w:pPr>
                  <w:r w:rsidRPr="00D617A6" w:rsidDel="00F038E8">
                    <w:t>0.</w:t>
                  </w:r>
                  <w:r>
                    <w:t>43</w:t>
                  </w:r>
                </w:p>
              </w:tc>
              <w:tc>
                <w:tcPr>
                  <w:tcW w:w="251" w:type="pct"/>
                  <w:shd w:val="clear" w:color="auto" w:fill="F2F2F2" w:themeFill="background1" w:themeFillShade="F2"/>
                </w:tcPr>
                <w:p w14:paraId="4EE1E6ED" w14:textId="77777777" w:rsidR="00FC14FC" w:rsidRPr="00D617A6" w:rsidRDefault="00FC14FC" w:rsidP="00D11B9D">
                  <w:pPr>
                    <w:pStyle w:val="TableBodyText"/>
                  </w:pPr>
                  <w:r>
                    <w:t>0.40</w:t>
                  </w:r>
                </w:p>
              </w:tc>
              <w:tc>
                <w:tcPr>
                  <w:tcW w:w="251" w:type="pct"/>
                  <w:shd w:val="clear" w:color="auto" w:fill="F2F2F2" w:themeFill="background1" w:themeFillShade="F2"/>
                </w:tcPr>
                <w:p w14:paraId="4B64FD78" w14:textId="77777777" w:rsidR="00FC14FC" w:rsidRPr="00D617A6" w:rsidRDefault="00FC14FC" w:rsidP="00D11B9D">
                  <w:pPr>
                    <w:pStyle w:val="TableBodyText"/>
                  </w:pPr>
                  <w:r>
                    <w:t>0.39</w:t>
                  </w:r>
                </w:p>
              </w:tc>
              <w:tc>
                <w:tcPr>
                  <w:tcW w:w="236" w:type="pct"/>
                  <w:shd w:val="clear" w:color="auto" w:fill="F2F2F2" w:themeFill="background1" w:themeFillShade="F2"/>
                </w:tcPr>
                <w:p w14:paraId="7C5CC998" w14:textId="77777777" w:rsidR="00FC14FC" w:rsidRPr="00D617A6" w:rsidRDefault="00FC14FC" w:rsidP="00D11B9D">
                  <w:pPr>
                    <w:pStyle w:val="TableBodyText"/>
                    <w:ind w:right="28"/>
                  </w:pPr>
                  <w:r>
                    <w:t>0.39</w:t>
                  </w:r>
                </w:p>
              </w:tc>
            </w:tr>
            <w:tr w:rsidR="00FC14FC" w14:paraId="1B6F4CED" w14:textId="77777777" w:rsidTr="00D11B9D">
              <w:tblPrEx>
                <w:tblCellMar>
                  <w:top w:w="28" w:type="dxa"/>
                </w:tblCellMar>
              </w:tblPrEx>
              <w:trPr>
                <w:trHeight w:val="247"/>
              </w:trPr>
              <w:tc>
                <w:tcPr>
                  <w:tcW w:w="490" w:type="pct"/>
                  <w:vMerge w:val="restart"/>
                  <w:shd w:val="clear" w:color="auto" w:fill="auto"/>
                </w:tcPr>
                <w:p w14:paraId="620AA6CF" w14:textId="77777777" w:rsidR="00FC14FC" w:rsidRDefault="00FC14FC" w:rsidP="00D11B9D">
                  <w:pPr>
                    <w:pStyle w:val="TableBodyText"/>
                    <w:jc w:val="left"/>
                  </w:pPr>
                  <w:r>
                    <w:t>Default/choice</w:t>
                  </w:r>
                </w:p>
              </w:tc>
              <w:tc>
                <w:tcPr>
                  <w:tcW w:w="598" w:type="pct"/>
                </w:tcPr>
                <w:p w14:paraId="4DAE39DA" w14:textId="77777777" w:rsidR="00FC14FC" w:rsidRDefault="00FC14FC" w:rsidP="00D11B9D">
                  <w:pPr>
                    <w:pStyle w:val="TableBodyText"/>
                    <w:jc w:val="left"/>
                  </w:pPr>
                  <w:r>
                    <w:t>Expense ratio</w:t>
                  </w:r>
                </w:p>
              </w:tc>
              <w:tc>
                <w:tcPr>
                  <w:tcW w:w="662" w:type="pct"/>
                  <w:shd w:val="clear" w:color="auto" w:fill="auto"/>
                  <w:vAlign w:val="bottom"/>
                </w:tcPr>
                <w:p w14:paraId="2FEE3431" w14:textId="77777777" w:rsidR="00FC14FC" w:rsidRPr="00D617A6" w:rsidRDefault="00FC14FC" w:rsidP="00D11B9D">
                  <w:pPr>
                    <w:pStyle w:val="TableBodyText"/>
                    <w:ind w:left="0"/>
                    <w:jc w:val="left"/>
                  </w:pPr>
                  <w:r>
                    <w:t>Default / MySuper</w:t>
                  </w:r>
                  <w:r>
                    <w:rPr>
                      <w:rStyle w:val="NoteLabel"/>
                    </w:rPr>
                    <w:t>c</w:t>
                  </w:r>
                </w:p>
              </w:tc>
              <w:tc>
                <w:tcPr>
                  <w:tcW w:w="251" w:type="pct"/>
                  <w:shd w:val="clear" w:color="auto" w:fill="auto"/>
                </w:tcPr>
                <w:p w14:paraId="60550707" w14:textId="77777777" w:rsidR="00FC14FC" w:rsidRPr="00D617A6" w:rsidRDefault="00FC14FC" w:rsidP="00D11B9D">
                  <w:pPr>
                    <w:pStyle w:val="TableBodyText"/>
                  </w:pPr>
                  <w:r w:rsidRPr="00D617A6">
                    <w:t>0.40</w:t>
                  </w:r>
                </w:p>
              </w:tc>
              <w:tc>
                <w:tcPr>
                  <w:tcW w:w="251" w:type="pct"/>
                  <w:shd w:val="clear" w:color="auto" w:fill="auto"/>
                </w:tcPr>
                <w:p w14:paraId="38FB7F78" w14:textId="77777777" w:rsidR="00FC14FC" w:rsidRPr="00D617A6" w:rsidRDefault="00FC14FC" w:rsidP="00D11B9D">
                  <w:pPr>
                    <w:pStyle w:val="TableBodyText"/>
                  </w:pPr>
                  <w:r w:rsidRPr="00D617A6">
                    <w:t>0.40</w:t>
                  </w:r>
                </w:p>
              </w:tc>
              <w:tc>
                <w:tcPr>
                  <w:tcW w:w="251" w:type="pct"/>
                  <w:shd w:val="clear" w:color="auto" w:fill="auto"/>
                </w:tcPr>
                <w:p w14:paraId="2355F5F6" w14:textId="77777777" w:rsidR="00FC14FC" w:rsidRPr="00D617A6" w:rsidRDefault="00FC14FC" w:rsidP="00D11B9D">
                  <w:pPr>
                    <w:pStyle w:val="TableBodyText"/>
                  </w:pPr>
                  <w:r w:rsidRPr="00D617A6" w:rsidDel="00B449BF">
                    <w:t>0.30</w:t>
                  </w:r>
                </w:p>
              </w:tc>
              <w:tc>
                <w:tcPr>
                  <w:tcW w:w="251" w:type="pct"/>
                  <w:shd w:val="clear" w:color="auto" w:fill="auto"/>
                </w:tcPr>
                <w:p w14:paraId="33C9B044" w14:textId="77777777" w:rsidR="00FC14FC" w:rsidRPr="00D617A6" w:rsidRDefault="00FC14FC" w:rsidP="00D11B9D">
                  <w:pPr>
                    <w:pStyle w:val="TableBodyText"/>
                  </w:pPr>
                  <w:r w:rsidRPr="00D617A6">
                    <w:t>0.30</w:t>
                  </w:r>
                </w:p>
              </w:tc>
              <w:tc>
                <w:tcPr>
                  <w:tcW w:w="251" w:type="pct"/>
                  <w:shd w:val="clear" w:color="auto" w:fill="auto"/>
                </w:tcPr>
                <w:p w14:paraId="5B7BE8A2" w14:textId="77777777" w:rsidR="00FC14FC" w:rsidRPr="00D617A6" w:rsidRDefault="00FC14FC" w:rsidP="00D11B9D">
                  <w:pPr>
                    <w:pStyle w:val="TableBodyText"/>
                  </w:pPr>
                  <w:r w:rsidRPr="00D617A6">
                    <w:t>0.30</w:t>
                  </w:r>
                </w:p>
              </w:tc>
              <w:tc>
                <w:tcPr>
                  <w:tcW w:w="251" w:type="pct"/>
                  <w:shd w:val="clear" w:color="auto" w:fill="auto"/>
                </w:tcPr>
                <w:p w14:paraId="3B987714" w14:textId="77777777" w:rsidR="00FC14FC" w:rsidRPr="00D617A6" w:rsidRDefault="00FC14FC" w:rsidP="00D11B9D">
                  <w:pPr>
                    <w:pStyle w:val="TableBodyText"/>
                  </w:pPr>
                  <w:r w:rsidRPr="00D617A6" w:rsidDel="00B449BF">
                    <w:t>0.40</w:t>
                  </w:r>
                </w:p>
              </w:tc>
              <w:tc>
                <w:tcPr>
                  <w:tcW w:w="252" w:type="pct"/>
                  <w:shd w:val="clear" w:color="auto" w:fill="auto"/>
                </w:tcPr>
                <w:p w14:paraId="631D0724" w14:textId="77777777" w:rsidR="00FC14FC" w:rsidRPr="00D617A6" w:rsidRDefault="00FC14FC" w:rsidP="00D11B9D">
                  <w:pPr>
                    <w:pStyle w:val="TableBodyText"/>
                  </w:pPr>
                  <w:r w:rsidRPr="00D617A6" w:rsidDel="00B449BF">
                    <w:t>0.40</w:t>
                  </w:r>
                </w:p>
              </w:tc>
              <w:tc>
                <w:tcPr>
                  <w:tcW w:w="251" w:type="pct"/>
                  <w:shd w:val="clear" w:color="auto" w:fill="auto"/>
                </w:tcPr>
                <w:p w14:paraId="6BA7D7DA" w14:textId="77777777" w:rsidR="00FC14FC" w:rsidRPr="00D617A6" w:rsidRDefault="00FC14FC" w:rsidP="00D11B9D">
                  <w:pPr>
                    <w:pStyle w:val="TableBodyText"/>
                  </w:pPr>
                  <w:r w:rsidRPr="00D617A6" w:rsidDel="00B449BF">
                    <w:t>0.40</w:t>
                  </w:r>
                </w:p>
              </w:tc>
              <w:tc>
                <w:tcPr>
                  <w:tcW w:w="251" w:type="pct"/>
                  <w:shd w:val="clear" w:color="auto" w:fill="auto"/>
                </w:tcPr>
                <w:p w14:paraId="2110B5FE" w14:textId="77777777" w:rsidR="00FC14FC" w:rsidRPr="00D617A6" w:rsidRDefault="00FC14FC" w:rsidP="00D11B9D">
                  <w:pPr>
                    <w:pStyle w:val="TableBodyText"/>
                  </w:pPr>
                  <w:r w:rsidRPr="00D617A6">
                    <w:t>0.40</w:t>
                  </w:r>
                </w:p>
              </w:tc>
              <w:tc>
                <w:tcPr>
                  <w:tcW w:w="251" w:type="pct"/>
                  <w:shd w:val="clear" w:color="auto" w:fill="auto"/>
                </w:tcPr>
                <w:p w14:paraId="1922850D" w14:textId="77777777" w:rsidR="00FC14FC" w:rsidRPr="00D617A6" w:rsidRDefault="00FC14FC" w:rsidP="00D11B9D">
                  <w:pPr>
                    <w:pStyle w:val="TableBodyText"/>
                  </w:pPr>
                  <w:r w:rsidRPr="00D617A6">
                    <w:t>0.37</w:t>
                  </w:r>
                </w:p>
              </w:tc>
              <w:tc>
                <w:tcPr>
                  <w:tcW w:w="251" w:type="pct"/>
                  <w:shd w:val="clear" w:color="auto" w:fill="auto"/>
                </w:tcPr>
                <w:p w14:paraId="5C570AE7" w14:textId="77777777" w:rsidR="00FC14FC" w:rsidRPr="00D617A6" w:rsidRDefault="00FC14FC" w:rsidP="00D11B9D">
                  <w:pPr>
                    <w:pStyle w:val="TableBodyText"/>
                  </w:pPr>
                  <w:r w:rsidRPr="00D617A6">
                    <w:t>0.33</w:t>
                  </w:r>
                </w:p>
              </w:tc>
              <w:tc>
                <w:tcPr>
                  <w:tcW w:w="251" w:type="pct"/>
                </w:tcPr>
                <w:p w14:paraId="124A2F31" w14:textId="77777777" w:rsidR="00FC14FC" w:rsidRPr="00D617A6" w:rsidRDefault="00FC14FC" w:rsidP="00D11B9D">
                  <w:pPr>
                    <w:pStyle w:val="TableBodyText"/>
                  </w:pPr>
                  <w:r w:rsidRPr="00D617A6">
                    <w:t>0.31</w:t>
                  </w:r>
                </w:p>
              </w:tc>
              <w:tc>
                <w:tcPr>
                  <w:tcW w:w="236" w:type="pct"/>
                  <w:shd w:val="clear" w:color="auto" w:fill="auto"/>
                </w:tcPr>
                <w:p w14:paraId="43011429" w14:textId="77777777" w:rsidR="00FC14FC" w:rsidRPr="00D617A6" w:rsidRDefault="00FC14FC" w:rsidP="00D11B9D">
                  <w:pPr>
                    <w:pStyle w:val="TableBodyText"/>
                    <w:ind w:right="28"/>
                  </w:pPr>
                  <w:r w:rsidRPr="00D617A6">
                    <w:t>0.3</w:t>
                  </w:r>
                  <w:r>
                    <w:t>3</w:t>
                  </w:r>
                </w:p>
              </w:tc>
            </w:tr>
            <w:tr w:rsidR="00FC14FC" w14:paraId="7ABEFCF2" w14:textId="77777777" w:rsidTr="00D11B9D">
              <w:tblPrEx>
                <w:tblCellMar>
                  <w:top w:w="28" w:type="dxa"/>
                </w:tblCellMar>
              </w:tblPrEx>
              <w:trPr>
                <w:trHeight w:val="284"/>
              </w:trPr>
              <w:tc>
                <w:tcPr>
                  <w:tcW w:w="490" w:type="pct"/>
                  <w:vMerge/>
                  <w:shd w:val="clear" w:color="auto" w:fill="auto"/>
                </w:tcPr>
                <w:p w14:paraId="17E6E662" w14:textId="77777777" w:rsidR="00FC14FC" w:rsidRPr="00D617A6" w:rsidRDefault="00FC14FC" w:rsidP="00D11B9D">
                  <w:pPr>
                    <w:pStyle w:val="TableBodyText"/>
                    <w:jc w:val="left"/>
                  </w:pPr>
                </w:p>
              </w:tc>
              <w:tc>
                <w:tcPr>
                  <w:tcW w:w="598" w:type="pct"/>
                </w:tcPr>
                <w:p w14:paraId="1020FF9E" w14:textId="77777777" w:rsidR="00FC14FC" w:rsidRPr="00D617A6" w:rsidRDefault="00FC14FC" w:rsidP="00D11B9D">
                  <w:pPr>
                    <w:pStyle w:val="TableBodyText"/>
                    <w:jc w:val="left"/>
                  </w:pPr>
                  <w:r>
                    <w:t>Fee</w:t>
                  </w:r>
                </w:p>
              </w:tc>
              <w:tc>
                <w:tcPr>
                  <w:tcW w:w="662" w:type="pct"/>
                  <w:shd w:val="clear" w:color="auto" w:fill="auto"/>
                  <w:vAlign w:val="center"/>
                </w:tcPr>
                <w:p w14:paraId="5CFB04D9" w14:textId="77777777" w:rsidR="00FC14FC" w:rsidRPr="00D617A6" w:rsidRDefault="00FC14FC" w:rsidP="00D11B9D">
                  <w:pPr>
                    <w:pStyle w:val="TableBodyText"/>
                    <w:jc w:val="left"/>
                  </w:pPr>
                  <w:r w:rsidRPr="00D617A6">
                    <w:t>Choice</w:t>
                  </w:r>
                </w:p>
              </w:tc>
              <w:tc>
                <w:tcPr>
                  <w:tcW w:w="251" w:type="pct"/>
                  <w:shd w:val="clear" w:color="auto" w:fill="auto"/>
                </w:tcPr>
                <w:p w14:paraId="24F5D85E" w14:textId="77777777" w:rsidR="00FC14FC" w:rsidRPr="00D617A6" w:rsidRDefault="00FC14FC" w:rsidP="00D11B9D">
                  <w:pPr>
                    <w:pStyle w:val="TableBodyText"/>
                  </w:pPr>
                  <w:r>
                    <w:t>0.44</w:t>
                  </w:r>
                </w:p>
              </w:tc>
              <w:tc>
                <w:tcPr>
                  <w:tcW w:w="251" w:type="pct"/>
                  <w:shd w:val="clear" w:color="auto" w:fill="auto"/>
                </w:tcPr>
                <w:p w14:paraId="067A5855" w14:textId="77777777" w:rsidR="00FC14FC" w:rsidRPr="00D617A6" w:rsidRDefault="00FC14FC" w:rsidP="00D11B9D">
                  <w:pPr>
                    <w:pStyle w:val="TableBodyText"/>
                  </w:pPr>
                  <w:r>
                    <w:t>0.54</w:t>
                  </w:r>
                </w:p>
              </w:tc>
              <w:tc>
                <w:tcPr>
                  <w:tcW w:w="251" w:type="pct"/>
                  <w:shd w:val="clear" w:color="auto" w:fill="auto"/>
                </w:tcPr>
                <w:p w14:paraId="1E9B619D" w14:textId="77777777" w:rsidR="00FC14FC" w:rsidRPr="00D617A6" w:rsidRDefault="00FC14FC" w:rsidP="00D11B9D">
                  <w:pPr>
                    <w:pStyle w:val="TableBodyText"/>
                  </w:pPr>
                  <w:r>
                    <w:t>0.53</w:t>
                  </w:r>
                </w:p>
              </w:tc>
              <w:tc>
                <w:tcPr>
                  <w:tcW w:w="251" w:type="pct"/>
                  <w:shd w:val="clear" w:color="auto" w:fill="auto"/>
                </w:tcPr>
                <w:p w14:paraId="49FC885F" w14:textId="77777777" w:rsidR="00FC14FC" w:rsidRPr="00D617A6" w:rsidRDefault="00FC14FC" w:rsidP="00D11B9D">
                  <w:pPr>
                    <w:pStyle w:val="TableBodyText"/>
                  </w:pPr>
                  <w:r>
                    <w:t>0.51</w:t>
                  </w:r>
                </w:p>
              </w:tc>
              <w:tc>
                <w:tcPr>
                  <w:tcW w:w="251" w:type="pct"/>
                  <w:shd w:val="clear" w:color="auto" w:fill="auto"/>
                </w:tcPr>
                <w:p w14:paraId="78087129" w14:textId="77777777" w:rsidR="00FC14FC" w:rsidRPr="00D617A6" w:rsidRDefault="00FC14FC" w:rsidP="00D11B9D">
                  <w:pPr>
                    <w:pStyle w:val="TableBodyText"/>
                  </w:pPr>
                  <w:r>
                    <w:t>0.55</w:t>
                  </w:r>
                </w:p>
              </w:tc>
              <w:tc>
                <w:tcPr>
                  <w:tcW w:w="251" w:type="pct"/>
                  <w:shd w:val="clear" w:color="auto" w:fill="auto"/>
                </w:tcPr>
                <w:p w14:paraId="76EA2B20" w14:textId="77777777" w:rsidR="00FC14FC" w:rsidRPr="00D617A6" w:rsidRDefault="00FC14FC" w:rsidP="00D11B9D">
                  <w:pPr>
                    <w:pStyle w:val="TableBodyText"/>
                  </w:pPr>
                  <w:r>
                    <w:t>0.52</w:t>
                  </w:r>
                </w:p>
              </w:tc>
              <w:tc>
                <w:tcPr>
                  <w:tcW w:w="252" w:type="pct"/>
                  <w:shd w:val="clear" w:color="auto" w:fill="auto"/>
                </w:tcPr>
                <w:p w14:paraId="108566EF" w14:textId="77777777" w:rsidR="00FC14FC" w:rsidRPr="00D617A6" w:rsidRDefault="00FC14FC" w:rsidP="00D11B9D">
                  <w:pPr>
                    <w:pStyle w:val="TableBodyText"/>
                  </w:pPr>
                  <w:r>
                    <w:t>0.50</w:t>
                  </w:r>
                </w:p>
              </w:tc>
              <w:tc>
                <w:tcPr>
                  <w:tcW w:w="251" w:type="pct"/>
                  <w:shd w:val="clear" w:color="auto" w:fill="auto"/>
                </w:tcPr>
                <w:p w14:paraId="68CA9F7C" w14:textId="77777777" w:rsidR="00FC14FC" w:rsidRPr="00D617A6" w:rsidRDefault="00FC14FC" w:rsidP="00D11B9D">
                  <w:pPr>
                    <w:pStyle w:val="TableBodyText"/>
                  </w:pPr>
                  <w:r>
                    <w:t>0.48</w:t>
                  </w:r>
                </w:p>
              </w:tc>
              <w:tc>
                <w:tcPr>
                  <w:tcW w:w="251" w:type="pct"/>
                  <w:shd w:val="clear" w:color="auto" w:fill="auto"/>
                </w:tcPr>
                <w:p w14:paraId="40554EE2" w14:textId="77777777" w:rsidR="00FC14FC" w:rsidRPr="00D617A6" w:rsidRDefault="00FC14FC" w:rsidP="00D11B9D">
                  <w:pPr>
                    <w:pStyle w:val="TableBodyText"/>
                  </w:pPr>
                  <w:r>
                    <w:t>0.47</w:t>
                  </w:r>
                </w:p>
              </w:tc>
              <w:tc>
                <w:tcPr>
                  <w:tcW w:w="251" w:type="pct"/>
                  <w:shd w:val="clear" w:color="auto" w:fill="auto"/>
                </w:tcPr>
                <w:p w14:paraId="23C01117" w14:textId="77777777" w:rsidR="00FC14FC" w:rsidRPr="00D617A6" w:rsidRDefault="00FC14FC" w:rsidP="00D11B9D">
                  <w:pPr>
                    <w:pStyle w:val="TableBodyText"/>
                  </w:pPr>
                  <w:r>
                    <w:t>0.45</w:t>
                  </w:r>
                </w:p>
              </w:tc>
              <w:tc>
                <w:tcPr>
                  <w:tcW w:w="251" w:type="pct"/>
                  <w:shd w:val="clear" w:color="auto" w:fill="auto"/>
                </w:tcPr>
                <w:p w14:paraId="1A5C62CB" w14:textId="77777777" w:rsidR="00FC14FC" w:rsidRPr="00D617A6" w:rsidRDefault="00FC14FC" w:rsidP="00D11B9D">
                  <w:pPr>
                    <w:pStyle w:val="TableBodyText"/>
                  </w:pPr>
                  <w:r>
                    <w:t>0.44</w:t>
                  </w:r>
                </w:p>
              </w:tc>
              <w:tc>
                <w:tcPr>
                  <w:tcW w:w="251" w:type="pct"/>
                </w:tcPr>
                <w:p w14:paraId="6546CB81" w14:textId="77777777" w:rsidR="00FC14FC" w:rsidRPr="00D617A6" w:rsidRDefault="00FC14FC" w:rsidP="00D11B9D">
                  <w:pPr>
                    <w:pStyle w:val="TableBodyText"/>
                  </w:pPr>
                  <w:r>
                    <w:t>0.43</w:t>
                  </w:r>
                </w:p>
              </w:tc>
              <w:tc>
                <w:tcPr>
                  <w:tcW w:w="236" w:type="pct"/>
                  <w:shd w:val="clear" w:color="auto" w:fill="auto"/>
                </w:tcPr>
                <w:p w14:paraId="67F9F1D2" w14:textId="77777777" w:rsidR="00FC14FC" w:rsidRPr="00D617A6" w:rsidRDefault="00FC14FC" w:rsidP="00D11B9D">
                  <w:pPr>
                    <w:pStyle w:val="TableBodyText"/>
                    <w:ind w:right="28"/>
                  </w:pPr>
                  <w:r>
                    <w:t>0.42</w:t>
                  </w:r>
                </w:p>
              </w:tc>
            </w:tr>
            <w:tr w:rsidR="00FC14FC" w14:paraId="0D987C0E" w14:textId="77777777" w:rsidTr="00D11B9D">
              <w:tblPrEx>
                <w:tblCellMar>
                  <w:top w:w="28" w:type="dxa"/>
                </w:tblCellMar>
              </w:tblPrEx>
              <w:trPr>
                <w:trHeight w:val="245"/>
              </w:trPr>
              <w:tc>
                <w:tcPr>
                  <w:tcW w:w="490" w:type="pct"/>
                  <w:vMerge w:val="restart"/>
                  <w:shd w:val="clear" w:color="auto" w:fill="F2F2F2" w:themeFill="background1" w:themeFillShade="F2"/>
                </w:tcPr>
                <w:p w14:paraId="0BFAD331" w14:textId="77777777" w:rsidR="00FC14FC" w:rsidRPr="00D617A6" w:rsidRDefault="00FC14FC" w:rsidP="00D11B9D">
                  <w:pPr>
                    <w:pStyle w:val="TableBodyText"/>
                    <w:jc w:val="left"/>
                  </w:pPr>
                  <w:r>
                    <w:t>Profit status</w:t>
                  </w:r>
                </w:p>
              </w:tc>
              <w:tc>
                <w:tcPr>
                  <w:tcW w:w="598" w:type="pct"/>
                  <w:shd w:val="clear" w:color="auto" w:fill="F2F2F2" w:themeFill="background1" w:themeFillShade="F2"/>
                </w:tcPr>
                <w:p w14:paraId="3084BB45" w14:textId="77777777" w:rsidR="00FC14FC" w:rsidRPr="00D617A6" w:rsidRDefault="00FC14FC" w:rsidP="00D11B9D">
                  <w:pPr>
                    <w:pStyle w:val="TableBodyText"/>
                    <w:jc w:val="left"/>
                  </w:pPr>
                  <w:r>
                    <w:t>Expense ratio</w:t>
                  </w:r>
                </w:p>
              </w:tc>
              <w:tc>
                <w:tcPr>
                  <w:tcW w:w="662" w:type="pct"/>
                  <w:shd w:val="clear" w:color="auto" w:fill="F2F2F2" w:themeFill="background1" w:themeFillShade="F2"/>
                  <w:vAlign w:val="center"/>
                </w:tcPr>
                <w:p w14:paraId="6F110FF1" w14:textId="77777777" w:rsidR="00FC14FC" w:rsidRPr="00D617A6" w:rsidRDefault="00FC14FC" w:rsidP="00D11B9D">
                  <w:pPr>
                    <w:pStyle w:val="TableBodyText"/>
                    <w:jc w:val="left"/>
                  </w:pPr>
                  <w:r>
                    <w:t>Retail</w:t>
                  </w:r>
                </w:p>
              </w:tc>
              <w:tc>
                <w:tcPr>
                  <w:tcW w:w="251" w:type="pct"/>
                  <w:shd w:val="clear" w:color="auto" w:fill="F2F2F2" w:themeFill="background1" w:themeFillShade="F2"/>
                </w:tcPr>
                <w:p w14:paraId="7C9D947F" w14:textId="77777777" w:rsidR="00FC14FC" w:rsidRPr="00D617A6" w:rsidRDefault="00FC14FC" w:rsidP="00D11B9D">
                  <w:pPr>
                    <w:pStyle w:val="TableBodyText"/>
                  </w:pPr>
                  <w:r w:rsidRPr="00D617A6">
                    <w:t>0.80</w:t>
                  </w:r>
                </w:p>
              </w:tc>
              <w:tc>
                <w:tcPr>
                  <w:tcW w:w="251" w:type="pct"/>
                  <w:shd w:val="clear" w:color="auto" w:fill="F2F2F2" w:themeFill="background1" w:themeFillShade="F2"/>
                </w:tcPr>
                <w:p w14:paraId="4456C765" w14:textId="77777777" w:rsidR="00FC14FC" w:rsidRPr="00D617A6" w:rsidRDefault="00FC14FC" w:rsidP="00D11B9D">
                  <w:pPr>
                    <w:pStyle w:val="TableBodyText"/>
                  </w:pPr>
                  <w:r w:rsidRPr="00D617A6">
                    <w:t>0.80</w:t>
                  </w:r>
                </w:p>
              </w:tc>
              <w:tc>
                <w:tcPr>
                  <w:tcW w:w="251" w:type="pct"/>
                  <w:shd w:val="clear" w:color="auto" w:fill="F2F2F2" w:themeFill="background1" w:themeFillShade="F2"/>
                </w:tcPr>
                <w:p w14:paraId="502C3FE3" w14:textId="77777777" w:rsidR="00FC14FC" w:rsidRPr="00D617A6" w:rsidRDefault="00FC14FC" w:rsidP="00D11B9D">
                  <w:pPr>
                    <w:pStyle w:val="TableBodyText"/>
                  </w:pPr>
                  <w:r w:rsidRPr="00D617A6" w:rsidDel="00B449BF">
                    <w:t>0.60</w:t>
                  </w:r>
                </w:p>
              </w:tc>
              <w:tc>
                <w:tcPr>
                  <w:tcW w:w="251" w:type="pct"/>
                  <w:shd w:val="clear" w:color="auto" w:fill="F2F2F2" w:themeFill="background1" w:themeFillShade="F2"/>
                </w:tcPr>
                <w:p w14:paraId="4C9BCB45" w14:textId="77777777" w:rsidR="00FC14FC" w:rsidRPr="00D617A6" w:rsidRDefault="00FC14FC" w:rsidP="00D11B9D">
                  <w:pPr>
                    <w:pStyle w:val="TableBodyText"/>
                  </w:pPr>
                  <w:r w:rsidRPr="00D617A6">
                    <w:t>0.60</w:t>
                  </w:r>
                </w:p>
              </w:tc>
              <w:tc>
                <w:tcPr>
                  <w:tcW w:w="251" w:type="pct"/>
                  <w:shd w:val="clear" w:color="auto" w:fill="F2F2F2" w:themeFill="background1" w:themeFillShade="F2"/>
                </w:tcPr>
                <w:p w14:paraId="0FD1EDD0" w14:textId="77777777" w:rsidR="00FC14FC" w:rsidRPr="00D617A6" w:rsidRDefault="00FC14FC" w:rsidP="00D11B9D">
                  <w:pPr>
                    <w:pStyle w:val="TableBodyText"/>
                  </w:pPr>
                  <w:r w:rsidRPr="00D617A6">
                    <w:t>0.60</w:t>
                  </w:r>
                </w:p>
              </w:tc>
              <w:tc>
                <w:tcPr>
                  <w:tcW w:w="251" w:type="pct"/>
                  <w:shd w:val="clear" w:color="auto" w:fill="F2F2F2" w:themeFill="background1" w:themeFillShade="F2"/>
                </w:tcPr>
                <w:p w14:paraId="039CEC94" w14:textId="77777777" w:rsidR="00FC14FC" w:rsidRPr="00D617A6" w:rsidRDefault="00FC14FC" w:rsidP="00D11B9D">
                  <w:pPr>
                    <w:pStyle w:val="TableBodyText"/>
                  </w:pPr>
                  <w:r w:rsidRPr="00D617A6">
                    <w:t>0.70</w:t>
                  </w:r>
                </w:p>
              </w:tc>
              <w:tc>
                <w:tcPr>
                  <w:tcW w:w="252" w:type="pct"/>
                  <w:shd w:val="clear" w:color="auto" w:fill="F2F2F2" w:themeFill="background1" w:themeFillShade="F2"/>
                </w:tcPr>
                <w:p w14:paraId="362C9D18" w14:textId="77777777" w:rsidR="00FC14FC" w:rsidRPr="00D617A6" w:rsidRDefault="00FC14FC" w:rsidP="00D11B9D">
                  <w:pPr>
                    <w:pStyle w:val="TableBodyText"/>
                  </w:pPr>
                  <w:r w:rsidRPr="00D617A6">
                    <w:t>0.70</w:t>
                  </w:r>
                </w:p>
              </w:tc>
              <w:tc>
                <w:tcPr>
                  <w:tcW w:w="251" w:type="pct"/>
                  <w:shd w:val="clear" w:color="auto" w:fill="F2F2F2" w:themeFill="background1" w:themeFillShade="F2"/>
                </w:tcPr>
                <w:p w14:paraId="68936574" w14:textId="77777777" w:rsidR="00FC14FC" w:rsidRPr="00D617A6" w:rsidRDefault="00FC14FC" w:rsidP="00D11B9D">
                  <w:pPr>
                    <w:pStyle w:val="TableBodyText"/>
                  </w:pPr>
                  <w:r w:rsidRPr="00D617A6">
                    <w:t>0.65</w:t>
                  </w:r>
                </w:p>
              </w:tc>
              <w:tc>
                <w:tcPr>
                  <w:tcW w:w="251" w:type="pct"/>
                  <w:shd w:val="clear" w:color="auto" w:fill="F2F2F2" w:themeFill="background1" w:themeFillShade="F2"/>
                </w:tcPr>
                <w:p w14:paraId="79A7F4C5" w14:textId="77777777" w:rsidR="00FC14FC" w:rsidRPr="00D617A6" w:rsidRDefault="00FC14FC" w:rsidP="00D11B9D">
                  <w:pPr>
                    <w:pStyle w:val="TableBodyText"/>
                  </w:pPr>
                  <w:r w:rsidRPr="00D617A6">
                    <w:t>0.80</w:t>
                  </w:r>
                </w:p>
              </w:tc>
              <w:tc>
                <w:tcPr>
                  <w:tcW w:w="251" w:type="pct"/>
                  <w:shd w:val="clear" w:color="auto" w:fill="F2F2F2" w:themeFill="background1" w:themeFillShade="F2"/>
                </w:tcPr>
                <w:p w14:paraId="3B661D68" w14:textId="77777777" w:rsidR="00FC14FC" w:rsidRPr="00D617A6" w:rsidRDefault="00FC14FC" w:rsidP="00D11B9D">
                  <w:pPr>
                    <w:pStyle w:val="TableBodyText"/>
                  </w:pPr>
                  <w:r w:rsidRPr="00D617A6">
                    <w:t>0.71</w:t>
                  </w:r>
                </w:p>
              </w:tc>
              <w:tc>
                <w:tcPr>
                  <w:tcW w:w="251" w:type="pct"/>
                  <w:shd w:val="clear" w:color="auto" w:fill="F2F2F2" w:themeFill="background1" w:themeFillShade="F2"/>
                </w:tcPr>
                <w:p w14:paraId="5782F1BA" w14:textId="77777777" w:rsidR="00FC14FC" w:rsidRPr="00D617A6" w:rsidRDefault="00FC14FC" w:rsidP="00D11B9D">
                  <w:pPr>
                    <w:pStyle w:val="TableBodyText"/>
                  </w:pPr>
                  <w:r w:rsidRPr="00D617A6">
                    <w:t>0.60</w:t>
                  </w:r>
                </w:p>
              </w:tc>
              <w:tc>
                <w:tcPr>
                  <w:tcW w:w="251" w:type="pct"/>
                  <w:shd w:val="clear" w:color="auto" w:fill="F2F2F2" w:themeFill="background1" w:themeFillShade="F2"/>
                </w:tcPr>
                <w:p w14:paraId="55804955" w14:textId="77777777" w:rsidR="00FC14FC" w:rsidRPr="00D617A6" w:rsidRDefault="00FC14FC" w:rsidP="00D11B9D">
                  <w:pPr>
                    <w:pStyle w:val="TableBodyText"/>
                  </w:pPr>
                  <w:r>
                    <w:t>0.55</w:t>
                  </w:r>
                </w:p>
              </w:tc>
              <w:tc>
                <w:tcPr>
                  <w:tcW w:w="236" w:type="pct"/>
                  <w:shd w:val="clear" w:color="auto" w:fill="F2F2F2" w:themeFill="background1" w:themeFillShade="F2"/>
                </w:tcPr>
                <w:p w14:paraId="358A16C6" w14:textId="77777777" w:rsidR="00FC14FC" w:rsidRPr="00D617A6" w:rsidRDefault="00FC14FC" w:rsidP="00D11B9D">
                  <w:pPr>
                    <w:pStyle w:val="TableBodyText"/>
                    <w:ind w:right="28"/>
                  </w:pPr>
                  <w:r w:rsidRPr="00D617A6">
                    <w:t>0.</w:t>
                  </w:r>
                  <w:r>
                    <w:t>57</w:t>
                  </w:r>
                </w:p>
              </w:tc>
            </w:tr>
            <w:tr w:rsidR="00FC14FC" w14:paraId="7D6DF5F8" w14:textId="77777777" w:rsidTr="00D11B9D">
              <w:tblPrEx>
                <w:tblCellMar>
                  <w:top w:w="28" w:type="dxa"/>
                </w:tblCellMar>
              </w:tblPrEx>
              <w:trPr>
                <w:trHeight w:val="284"/>
              </w:trPr>
              <w:tc>
                <w:tcPr>
                  <w:tcW w:w="490" w:type="pct"/>
                  <w:vMerge/>
                  <w:shd w:val="clear" w:color="auto" w:fill="F2F2F2" w:themeFill="background1" w:themeFillShade="F2"/>
                </w:tcPr>
                <w:p w14:paraId="2DDBDB8F" w14:textId="77777777" w:rsidR="00FC14FC" w:rsidRPr="00D617A6" w:rsidRDefault="00FC14FC" w:rsidP="00D11B9D">
                  <w:pPr>
                    <w:pStyle w:val="TableBodyText"/>
                    <w:jc w:val="left"/>
                  </w:pPr>
                </w:p>
              </w:tc>
              <w:tc>
                <w:tcPr>
                  <w:tcW w:w="598" w:type="pct"/>
                  <w:shd w:val="clear" w:color="auto" w:fill="F2F2F2" w:themeFill="background1" w:themeFillShade="F2"/>
                </w:tcPr>
                <w:p w14:paraId="6682D8CF" w14:textId="77777777" w:rsidR="00FC14FC" w:rsidRPr="00D617A6" w:rsidRDefault="00FC14FC" w:rsidP="00D11B9D">
                  <w:pPr>
                    <w:pStyle w:val="TableBodyText"/>
                    <w:jc w:val="left"/>
                  </w:pPr>
                  <w:r>
                    <w:t>Expense ratio</w:t>
                  </w:r>
                </w:p>
              </w:tc>
              <w:tc>
                <w:tcPr>
                  <w:tcW w:w="662" w:type="pct"/>
                  <w:shd w:val="clear" w:color="auto" w:fill="F2F2F2" w:themeFill="background1" w:themeFillShade="F2"/>
                  <w:vAlign w:val="center"/>
                </w:tcPr>
                <w:p w14:paraId="44C47190" w14:textId="77777777" w:rsidR="00FC14FC" w:rsidRPr="00D617A6" w:rsidRDefault="00FC14FC" w:rsidP="00D11B9D">
                  <w:pPr>
                    <w:pStyle w:val="TableBodyText"/>
                    <w:jc w:val="left"/>
                  </w:pPr>
                  <w:r w:rsidRPr="00D617A6">
                    <w:t>Not</w:t>
                  </w:r>
                  <w:r>
                    <w:noBreakHyphen/>
                  </w:r>
                  <w:r w:rsidRPr="00D617A6">
                    <w:t>for</w:t>
                  </w:r>
                  <w:r>
                    <w:noBreakHyphen/>
                  </w:r>
                  <w:r w:rsidRPr="00D617A6">
                    <w:t>profit</w:t>
                  </w:r>
                </w:p>
              </w:tc>
              <w:tc>
                <w:tcPr>
                  <w:tcW w:w="251" w:type="pct"/>
                  <w:shd w:val="clear" w:color="auto" w:fill="F2F2F2" w:themeFill="background1" w:themeFillShade="F2"/>
                </w:tcPr>
                <w:p w14:paraId="3F457E86" w14:textId="77777777" w:rsidR="00FC14FC" w:rsidRPr="00D617A6" w:rsidRDefault="00FC14FC" w:rsidP="00D11B9D">
                  <w:pPr>
                    <w:pStyle w:val="TableBodyText"/>
                  </w:pPr>
                  <w:r w:rsidRPr="00D617A6">
                    <w:t>0.80</w:t>
                  </w:r>
                </w:p>
              </w:tc>
              <w:tc>
                <w:tcPr>
                  <w:tcW w:w="251" w:type="pct"/>
                  <w:shd w:val="clear" w:color="auto" w:fill="F2F2F2" w:themeFill="background1" w:themeFillShade="F2"/>
                </w:tcPr>
                <w:p w14:paraId="6813B305" w14:textId="77777777" w:rsidR="00FC14FC" w:rsidRPr="00D617A6" w:rsidRDefault="00FC14FC" w:rsidP="00D11B9D">
                  <w:pPr>
                    <w:pStyle w:val="TableBodyText"/>
                  </w:pPr>
                  <w:r w:rsidRPr="00D617A6">
                    <w:t>0.80</w:t>
                  </w:r>
                </w:p>
              </w:tc>
              <w:tc>
                <w:tcPr>
                  <w:tcW w:w="251" w:type="pct"/>
                  <w:shd w:val="clear" w:color="auto" w:fill="F2F2F2" w:themeFill="background1" w:themeFillShade="F2"/>
                </w:tcPr>
                <w:p w14:paraId="56C7A693" w14:textId="77777777" w:rsidR="00FC14FC" w:rsidRPr="00D617A6" w:rsidRDefault="00FC14FC" w:rsidP="00D11B9D">
                  <w:pPr>
                    <w:pStyle w:val="TableBodyText"/>
                  </w:pPr>
                  <w:r w:rsidRPr="00D617A6" w:rsidDel="00B449BF">
                    <w:t>0.60</w:t>
                  </w:r>
                </w:p>
              </w:tc>
              <w:tc>
                <w:tcPr>
                  <w:tcW w:w="251" w:type="pct"/>
                  <w:shd w:val="clear" w:color="auto" w:fill="F2F2F2" w:themeFill="background1" w:themeFillShade="F2"/>
                </w:tcPr>
                <w:p w14:paraId="444E347D" w14:textId="77777777" w:rsidR="00FC14FC" w:rsidRPr="00D617A6" w:rsidRDefault="00FC14FC" w:rsidP="00D11B9D">
                  <w:pPr>
                    <w:pStyle w:val="TableBodyText"/>
                  </w:pPr>
                  <w:r w:rsidRPr="00D617A6">
                    <w:t>0.60</w:t>
                  </w:r>
                </w:p>
              </w:tc>
              <w:tc>
                <w:tcPr>
                  <w:tcW w:w="251" w:type="pct"/>
                  <w:shd w:val="clear" w:color="auto" w:fill="F2F2F2" w:themeFill="background1" w:themeFillShade="F2"/>
                </w:tcPr>
                <w:p w14:paraId="07406625" w14:textId="77777777" w:rsidR="00FC14FC" w:rsidRPr="00D617A6" w:rsidRDefault="00FC14FC" w:rsidP="00D11B9D">
                  <w:pPr>
                    <w:pStyle w:val="TableBodyText"/>
                  </w:pPr>
                  <w:r w:rsidRPr="00D617A6">
                    <w:t>0.60</w:t>
                  </w:r>
                </w:p>
              </w:tc>
              <w:tc>
                <w:tcPr>
                  <w:tcW w:w="251" w:type="pct"/>
                  <w:shd w:val="clear" w:color="auto" w:fill="F2F2F2" w:themeFill="background1" w:themeFillShade="F2"/>
                </w:tcPr>
                <w:p w14:paraId="4C9B5EE6" w14:textId="77777777" w:rsidR="00FC14FC" w:rsidRPr="00D617A6" w:rsidRDefault="00FC14FC" w:rsidP="00D11B9D">
                  <w:pPr>
                    <w:pStyle w:val="TableBodyText"/>
                  </w:pPr>
                  <w:r w:rsidRPr="00D617A6">
                    <w:t>0.70</w:t>
                  </w:r>
                </w:p>
              </w:tc>
              <w:tc>
                <w:tcPr>
                  <w:tcW w:w="252" w:type="pct"/>
                  <w:shd w:val="clear" w:color="auto" w:fill="F2F2F2" w:themeFill="background1" w:themeFillShade="F2"/>
                </w:tcPr>
                <w:p w14:paraId="7F948600" w14:textId="77777777" w:rsidR="00FC14FC" w:rsidRPr="00D617A6" w:rsidRDefault="00FC14FC" w:rsidP="00D11B9D">
                  <w:pPr>
                    <w:pStyle w:val="TableBodyText"/>
                  </w:pPr>
                  <w:r w:rsidRPr="00D617A6">
                    <w:t>0.70</w:t>
                  </w:r>
                </w:p>
              </w:tc>
              <w:tc>
                <w:tcPr>
                  <w:tcW w:w="251" w:type="pct"/>
                  <w:shd w:val="clear" w:color="auto" w:fill="F2F2F2" w:themeFill="background1" w:themeFillShade="F2"/>
                </w:tcPr>
                <w:p w14:paraId="7FE5B624" w14:textId="77777777" w:rsidR="00FC14FC" w:rsidRPr="00D617A6" w:rsidRDefault="00FC14FC" w:rsidP="00D11B9D">
                  <w:pPr>
                    <w:pStyle w:val="TableBodyText"/>
                  </w:pPr>
                  <w:r w:rsidRPr="00D617A6">
                    <w:t>0.65</w:t>
                  </w:r>
                </w:p>
              </w:tc>
              <w:tc>
                <w:tcPr>
                  <w:tcW w:w="251" w:type="pct"/>
                  <w:shd w:val="clear" w:color="auto" w:fill="F2F2F2" w:themeFill="background1" w:themeFillShade="F2"/>
                </w:tcPr>
                <w:p w14:paraId="2A8984EE" w14:textId="77777777" w:rsidR="00FC14FC" w:rsidRPr="00D617A6" w:rsidRDefault="00FC14FC" w:rsidP="00D11B9D">
                  <w:pPr>
                    <w:pStyle w:val="TableBodyText"/>
                  </w:pPr>
                  <w:r w:rsidRPr="00D617A6">
                    <w:t>0.80</w:t>
                  </w:r>
                </w:p>
              </w:tc>
              <w:tc>
                <w:tcPr>
                  <w:tcW w:w="251" w:type="pct"/>
                  <w:shd w:val="clear" w:color="auto" w:fill="F2F2F2" w:themeFill="background1" w:themeFillShade="F2"/>
                </w:tcPr>
                <w:p w14:paraId="78BD700E" w14:textId="77777777" w:rsidR="00FC14FC" w:rsidRPr="00D617A6" w:rsidRDefault="00FC14FC" w:rsidP="00D11B9D">
                  <w:pPr>
                    <w:pStyle w:val="TableBodyText"/>
                  </w:pPr>
                  <w:r w:rsidRPr="00D617A6">
                    <w:t>0.71</w:t>
                  </w:r>
                </w:p>
              </w:tc>
              <w:tc>
                <w:tcPr>
                  <w:tcW w:w="251" w:type="pct"/>
                  <w:shd w:val="clear" w:color="auto" w:fill="F2F2F2" w:themeFill="background1" w:themeFillShade="F2"/>
                </w:tcPr>
                <w:p w14:paraId="1680C1E0" w14:textId="77777777" w:rsidR="00FC14FC" w:rsidRPr="00D617A6" w:rsidRDefault="00FC14FC" w:rsidP="00D11B9D">
                  <w:pPr>
                    <w:pStyle w:val="TableBodyText"/>
                  </w:pPr>
                  <w:r w:rsidRPr="00D617A6">
                    <w:t>0.60</w:t>
                  </w:r>
                </w:p>
              </w:tc>
              <w:tc>
                <w:tcPr>
                  <w:tcW w:w="251" w:type="pct"/>
                  <w:shd w:val="clear" w:color="auto" w:fill="F2F2F2" w:themeFill="background1" w:themeFillShade="F2"/>
                </w:tcPr>
                <w:p w14:paraId="649A5A5B" w14:textId="77777777" w:rsidR="00FC14FC" w:rsidRPr="00D617A6" w:rsidRDefault="00FC14FC" w:rsidP="00D11B9D">
                  <w:pPr>
                    <w:pStyle w:val="TableBodyText"/>
                  </w:pPr>
                  <w:r>
                    <w:t>0.55</w:t>
                  </w:r>
                </w:p>
              </w:tc>
              <w:tc>
                <w:tcPr>
                  <w:tcW w:w="236" w:type="pct"/>
                  <w:shd w:val="clear" w:color="auto" w:fill="F2F2F2" w:themeFill="background1" w:themeFillShade="F2"/>
                </w:tcPr>
                <w:p w14:paraId="108946CE" w14:textId="77777777" w:rsidR="00FC14FC" w:rsidRPr="00D617A6" w:rsidRDefault="00FC14FC" w:rsidP="00D11B9D">
                  <w:pPr>
                    <w:pStyle w:val="TableBodyText"/>
                    <w:ind w:right="28"/>
                  </w:pPr>
                  <w:r w:rsidRPr="00D617A6">
                    <w:t>0.</w:t>
                  </w:r>
                  <w:r>
                    <w:t>57</w:t>
                  </w:r>
                </w:p>
              </w:tc>
            </w:tr>
            <w:tr w:rsidR="00FC14FC" w14:paraId="5C9F5340" w14:textId="77777777" w:rsidTr="00D11B9D">
              <w:tblPrEx>
                <w:tblCellMar>
                  <w:top w:w="28" w:type="dxa"/>
                </w:tblCellMar>
              </w:tblPrEx>
              <w:trPr>
                <w:trHeight w:val="255"/>
              </w:trPr>
              <w:tc>
                <w:tcPr>
                  <w:tcW w:w="490" w:type="pct"/>
                  <w:vMerge w:val="restart"/>
                  <w:shd w:val="clear" w:color="auto" w:fill="auto"/>
                </w:tcPr>
                <w:p w14:paraId="7E822094" w14:textId="77777777" w:rsidR="00FC14FC" w:rsidRPr="00D617A6" w:rsidRDefault="00FC14FC" w:rsidP="00D11B9D">
                  <w:pPr>
                    <w:pStyle w:val="TableBodyText"/>
                    <w:jc w:val="left"/>
                  </w:pPr>
                  <w:r>
                    <w:t>Fund</w:t>
                  </w:r>
                  <w:r>
                    <w:noBreakHyphen/>
                    <w:t>type</w:t>
                  </w:r>
                </w:p>
              </w:tc>
              <w:tc>
                <w:tcPr>
                  <w:tcW w:w="598" w:type="pct"/>
                </w:tcPr>
                <w:p w14:paraId="6128C6C6" w14:textId="77777777" w:rsidR="00FC14FC" w:rsidRPr="00D617A6" w:rsidRDefault="00FC14FC" w:rsidP="00D11B9D">
                  <w:pPr>
                    <w:pStyle w:val="TableBodyText"/>
                    <w:jc w:val="left"/>
                  </w:pPr>
                  <w:r>
                    <w:t>Expense ratio</w:t>
                  </w:r>
                </w:p>
              </w:tc>
              <w:tc>
                <w:tcPr>
                  <w:tcW w:w="662" w:type="pct"/>
                  <w:shd w:val="clear" w:color="auto" w:fill="auto"/>
                  <w:vAlign w:val="center"/>
                </w:tcPr>
                <w:p w14:paraId="745E8141" w14:textId="77777777" w:rsidR="00FC14FC" w:rsidRPr="00D617A6" w:rsidRDefault="00FC14FC" w:rsidP="00D11B9D">
                  <w:pPr>
                    <w:pStyle w:val="TableBodyText"/>
                    <w:jc w:val="left"/>
                  </w:pPr>
                  <w:r w:rsidRPr="00D617A6">
                    <w:t>Industry</w:t>
                  </w:r>
                </w:p>
              </w:tc>
              <w:tc>
                <w:tcPr>
                  <w:tcW w:w="251" w:type="pct"/>
                  <w:shd w:val="clear" w:color="auto" w:fill="auto"/>
                </w:tcPr>
                <w:p w14:paraId="689186F5" w14:textId="77777777" w:rsidR="00FC14FC" w:rsidRPr="00D617A6" w:rsidRDefault="00FC14FC" w:rsidP="00D11B9D">
                  <w:pPr>
                    <w:pStyle w:val="TableBodyText"/>
                  </w:pPr>
                  <w:r w:rsidRPr="00D617A6">
                    <w:t>0.80</w:t>
                  </w:r>
                </w:p>
              </w:tc>
              <w:tc>
                <w:tcPr>
                  <w:tcW w:w="251" w:type="pct"/>
                  <w:shd w:val="clear" w:color="auto" w:fill="auto"/>
                </w:tcPr>
                <w:p w14:paraId="31F35805" w14:textId="77777777" w:rsidR="00FC14FC" w:rsidRPr="00D617A6" w:rsidRDefault="00FC14FC" w:rsidP="00D11B9D">
                  <w:pPr>
                    <w:pStyle w:val="TableBodyText"/>
                  </w:pPr>
                  <w:r w:rsidRPr="00D617A6">
                    <w:t>0.80</w:t>
                  </w:r>
                </w:p>
              </w:tc>
              <w:tc>
                <w:tcPr>
                  <w:tcW w:w="251" w:type="pct"/>
                  <w:shd w:val="clear" w:color="auto" w:fill="auto"/>
                </w:tcPr>
                <w:p w14:paraId="5F848AAF" w14:textId="77777777" w:rsidR="00FC14FC" w:rsidRPr="00D617A6" w:rsidRDefault="00FC14FC" w:rsidP="00D11B9D">
                  <w:pPr>
                    <w:pStyle w:val="TableBodyText"/>
                  </w:pPr>
                  <w:r w:rsidRPr="00D617A6" w:rsidDel="00B449BF">
                    <w:t>0.60</w:t>
                  </w:r>
                </w:p>
              </w:tc>
              <w:tc>
                <w:tcPr>
                  <w:tcW w:w="251" w:type="pct"/>
                  <w:shd w:val="clear" w:color="auto" w:fill="auto"/>
                </w:tcPr>
                <w:p w14:paraId="7AC957BA" w14:textId="77777777" w:rsidR="00FC14FC" w:rsidRPr="00D617A6" w:rsidRDefault="00FC14FC" w:rsidP="00D11B9D">
                  <w:pPr>
                    <w:pStyle w:val="TableBodyText"/>
                  </w:pPr>
                  <w:r w:rsidRPr="00D617A6">
                    <w:t>0.60</w:t>
                  </w:r>
                </w:p>
              </w:tc>
              <w:tc>
                <w:tcPr>
                  <w:tcW w:w="251" w:type="pct"/>
                  <w:shd w:val="clear" w:color="auto" w:fill="auto"/>
                </w:tcPr>
                <w:p w14:paraId="193779F3" w14:textId="77777777" w:rsidR="00FC14FC" w:rsidRPr="00D617A6" w:rsidRDefault="00FC14FC" w:rsidP="00D11B9D">
                  <w:pPr>
                    <w:pStyle w:val="TableBodyText"/>
                  </w:pPr>
                  <w:r w:rsidRPr="00D617A6">
                    <w:t>0.60</w:t>
                  </w:r>
                </w:p>
              </w:tc>
              <w:tc>
                <w:tcPr>
                  <w:tcW w:w="251" w:type="pct"/>
                  <w:shd w:val="clear" w:color="auto" w:fill="auto"/>
                </w:tcPr>
                <w:p w14:paraId="004E3107" w14:textId="77777777" w:rsidR="00FC14FC" w:rsidRPr="00D617A6" w:rsidRDefault="00FC14FC" w:rsidP="00D11B9D">
                  <w:pPr>
                    <w:pStyle w:val="TableBodyText"/>
                  </w:pPr>
                  <w:r w:rsidRPr="00D617A6" w:rsidDel="00B449BF">
                    <w:t>0.70</w:t>
                  </w:r>
                </w:p>
              </w:tc>
              <w:tc>
                <w:tcPr>
                  <w:tcW w:w="252" w:type="pct"/>
                  <w:shd w:val="clear" w:color="auto" w:fill="auto"/>
                </w:tcPr>
                <w:p w14:paraId="52BB9389" w14:textId="77777777" w:rsidR="00FC14FC" w:rsidRPr="00D617A6" w:rsidRDefault="00FC14FC" w:rsidP="00D11B9D">
                  <w:pPr>
                    <w:pStyle w:val="TableBodyText"/>
                  </w:pPr>
                  <w:r w:rsidRPr="00D617A6">
                    <w:t>0.70</w:t>
                  </w:r>
                </w:p>
              </w:tc>
              <w:tc>
                <w:tcPr>
                  <w:tcW w:w="251" w:type="pct"/>
                  <w:shd w:val="clear" w:color="auto" w:fill="auto"/>
                </w:tcPr>
                <w:p w14:paraId="0117DF3E" w14:textId="77777777" w:rsidR="00FC14FC" w:rsidRPr="00D617A6" w:rsidRDefault="00FC14FC" w:rsidP="00D11B9D">
                  <w:pPr>
                    <w:pStyle w:val="TableBodyText"/>
                  </w:pPr>
                  <w:r w:rsidRPr="00D617A6">
                    <w:t>0.65</w:t>
                  </w:r>
                </w:p>
              </w:tc>
              <w:tc>
                <w:tcPr>
                  <w:tcW w:w="251" w:type="pct"/>
                  <w:shd w:val="clear" w:color="auto" w:fill="auto"/>
                </w:tcPr>
                <w:p w14:paraId="0BDC01AD" w14:textId="77777777" w:rsidR="00FC14FC" w:rsidRPr="00D617A6" w:rsidRDefault="00FC14FC" w:rsidP="00D11B9D">
                  <w:pPr>
                    <w:pStyle w:val="TableBodyText"/>
                  </w:pPr>
                  <w:r w:rsidRPr="00D617A6">
                    <w:t>0.80</w:t>
                  </w:r>
                </w:p>
              </w:tc>
              <w:tc>
                <w:tcPr>
                  <w:tcW w:w="251" w:type="pct"/>
                  <w:shd w:val="clear" w:color="auto" w:fill="auto"/>
                </w:tcPr>
                <w:p w14:paraId="12390D83" w14:textId="77777777" w:rsidR="00FC14FC" w:rsidRPr="00D617A6" w:rsidRDefault="00FC14FC" w:rsidP="00D11B9D">
                  <w:pPr>
                    <w:pStyle w:val="TableBodyText"/>
                  </w:pPr>
                  <w:r w:rsidRPr="00D617A6">
                    <w:t>0.71</w:t>
                  </w:r>
                </w:p>
              </w:tc>
              <w:tc>
                <w:tcPr>
                  <w:tcW w:w="251" w:type="pct"/>
                  <w:shd w:val="clear" w:color="auto" w:fill="auto"/>
                </w:tcPr>
                <w:p w14:paraId="31C81A64" w14:textId="77777777" w:rsidR="00FC14FC" w:rsidRPr="00D617A6" w:rsidRDefault="00FC14FC" w:rsidP="00D11B9D">
                  <w:pPr>
                    <w:pStyle w:val="TableBodyText"/>
                  </w:pPr>
                  <w:r w:rsidRPr="00D617A6">
                    <w:t>0.60</w:t>
                  </w:r>
                </w:p>
              </w:tc>
              <w:tc>
                <w:tcPr>
                  <w:tcW w:w="251" w:type="pct"/>
                </w:tcPr>
                <w:p w14:paraId="64A94E92" w14:textId="77777777" w:rsidR="00FC14FC" w:rsidRPr="00D617A6" w:rsidRDefault="00FC14FC" w:rsidP="00D11B9D">
                  <w:pPr>
                    <w:pStyle w:val="TableBodyText"/>
                  </w:pPr>
                  <w:r>
                    <w:t>0.55</w:t>
                  </w:r>
                </w:p>
              </w:tc>
              <w:tc>
                <w:tcPr>
                  <w:tcW w:w="236" w:type="pct"/>
                  <w:shd w:val="clear" w:color="auto" w:fill="auto"/>
                </w:tcPr>
                <w:p w14:paraId="4E38303C" w14:textId="77777777" w:rsidR="00FC14FC" w:rsidRPr="00D617A6" w:rsidRDefault="00FC14FC" w:rsidP="00D11B9D">
                  <w:pPr>
                    <w:pStyle w:val="TableBodyText"/>
                    <w:ind w:right="28"/>
                  </w:pPr>
                  <w:r w:rsidRPr="00D617A6">
                    <w:t>0.</w:t>
                  </w:r>
                  <w:r>
                    <w:t>57</w:t>
                  </w:r>
                </w:p>
              </w:tc>
            </w:tr>
            <w:tr w:rsidR="00FC14FC" w14:paraId="0934608F" w14:textId="77777777" w:rsidTr="00D11B9D">
              <w:tblPrEx>
                <w:tblCellMar>
                  <w:top w:w="28" w:type="dxa"/>
                </w:tblCellMar>
              </w:tblPrEx>
              <w:trPr>
                <w:trHeight w:val="284"/>
              </w:trPr>
              <w:tc>
                <w:tcPr>
                  <w:tcW w:w="490" w:type="pct"/>
                  <w:vMerge/>
                  <w:shd w:val="clear" w:color="auto" w:fill="auto"/>
                </w:tcPr>
                <w:p w14:paraId="674995D7" w14:textId="77777777" w:rsidR="00FC14FC" w:rsidRPr="00D617A6" w:rsidRDefault="00FC14FC" w:rsidP="00D11B9D">
                  <w:pPr>
                    <w:pStyle w:val="TableBodyText"/>
                    <w:jc w:val="left"/>
                  </w:pPr>
                </w:p>
              </w:tc>
              <w:tc>
                <w:tcPr>
                  <w:tcW w:w="598" w:type="pct"/>
                </w:tcPr>
                <w:p w14:paraId="0D063FE9" w14:textId="77777777" w:rsidR="00FC14FC" w:rsidRPr="00D617A6" w:rsidRDefault="00FC14FC" w:rsidP="00D11B9D">
                  <w:pPr>
                    <w:pStyle w:val="TableBodyText"/>
                    <w:jc w:val="left"/>
                  </w:pPr>
                  <w:r>
                    <w:t>Expense ratio</w:t>
                  </w:r>
                </w:p>
              </w:tc>
              <w:tc>
                <w:tcPr>
                  <w:tcW w:w="662" w:type="pct"/>
                  <w:shd w:val="clear" w:color="auto" w:fill="auto"/>
                  <w:vAlign w:val="center"/>
                </w:tcPr>
                <w:p w14:paraId="43CE8936" w14:textId="77777777" w:rsidR="00FC14FC" w:rsidRPr="00D617A6" w:rsidRDefault="00FC14FC" w:rsidP="00D11B9D">
                  <w:pPr>
                    <w:pStyle w:val="TableBodyText"/>
                    <w:jc w:val="left"/>
                  </w:pPr>
                  <w:r w:rsidRPr="00D617A6">
                    <w:t>Corporate</w:t>
                  </w:r>
                </w:p>
              </w:tc>
              <w:tc>
                <w:tcPr>
                  <w:tcW w:w="251" w:type="pct"/>
                  <w:shd w:val="clear" w:color="auto" w:fill="auto"/>
                </w:tcPr>
                <w:p w14:paraId="6572C5F7" w14:textId="77777777" w:rsidR="00FC14FC" w:rsidRPr="00D617A6" w:rsidRDefault="00FC14FC" w:rsidP="00D11B9D">
                  <w:pPr>
                    <w:pStyle w:val="TableBodyText"/>
                  </w:pPr>
                  <w:r w:rsidRPr="00D617A6">
                    <w:t>0.80</w:t>
                  </w:r>
                </w:p>
              </w:tc>
              <w:tc>
                <w:tcPr>
                  <w:tcW w:w="251" w:type="pct"/>
                  <w:shd w:val="clear" w:color="auto" w:fill="auto"/>
                </w:tcPr>
                <w:p w14:paraId="7F217D67" w14:textId="77777777" w:rsidR="00FC14FC" w:rsidRPr="00D617A6" w:rsidRDefault="00FC14FC" w:rsidP="00D11B9D">
                  <w:pPr>
                    <w:pStyle w:val="TableBodyText"/>
                  </w:pPr>
                  <w:r w:rsidRPr="00D617A6">
                    <w:t>0.80</w:t>
                  </w:r>
                </w:p>
              </w:tc>
              <w:tc>
                <w:tcPr>
                  <w:tcW w:w="251" w:type="pct"/>
                  <w:shd w:val="clear" w:color="auto" w:fill="auto"/>
                </w:tcPr>
                <w:p w14:paraId="42D4CF1B" w14:textId="77777777" w:rsidR="00FC14FC" w:rsidRPr="00D617A6" w:rsidRDefault="00FC14FC" w:rsidP="00D11B9D">
                  <w:pPr>
                    <w:pStyle w:val="TableBodyText"/>
                  </w:pPr>
                  <w:r w:rsidRPr="00D617A6" w:rsidDel="00B449BF">
                    <w:t>0.60</w:t>
                  </w:r>
                </w:p>
              </w:tc>
              <w:tc>
                <w:tcPr>
                  <w:tcW w:w="251" w:type="pct"/>
                  <w:shd w:val="clear" w:color="auto" w:fill="auto"/>
                </w:tcPr>
                <w:p w14:paraId="791A0DDB" w14:textId="77777777" w:rsidR="00FC14FC" w:rsidRPr="00D617A6" w:rsidRDefault="00FC14FC" w:rsidP="00D11B9D">
                  <w:pPr>
                    <w:pStyle w:val="TableBodyText"/>
                    <w:ind w:left="1440" w:hanging="1434"/>
                  </w:pPr>
                  <w:r w:rsidRPr="00D617A6">
                    <w:t>0.60</w:t>
                  </w:r>
                </w:p>
              </w:tc>
              <w:tc>
                <w:tcPr>
                  <w:tcW w:w="251" w:type="pct"/>
                  <w:shd w:val="clear" w:color="auto" w:fill="auto"/>
                </w:tcPr>
                <w:p w14:paraId="77927C99" w14:textId="77777777" w:rsidR="00FC14FC" w:rsidRPr="00D617A6" w:rsidRDefault="00FC14FC" w:rsidP="00D11B9D">
                  <w:pPr>
                    <w:pStyle w:val="TableBodyText"/>
                    <w:ind w:left="1440" w:hanging="1434"/>
                  </w:pPr>
                  <w:r w:rsidRPr="00D617A6">
                    <w:t>0.60</w:t>
                  </w:r>
                </w:p>
              </w:tc>
              <w:tc>
                <w:tcPr>
                  <w:tcW w:w="251" w:type="pct"/>
                  <w:shd w:val="clear" w:color="auto" w:fill="auto"/>
                </w:tcPr>
                <w:p w14:paraId="49C2E51B" w14:textId="77777777" w:rsidR="00FC14FC" w:rsidRPr="00D617A6" w:rsidRDefault="00FC14FC" w:rsidP="00D11B9D">
                  <w:pPr>
                    <w:pStyle w:val="TableBodyText"/>
                  </w:pPr>
                  <w:r w:rsidRPr="00D617A6" w:rsidDel="00B449BF">
                    <w:t>0.70</w:t>
                  </w:r>
                </w:p>
              </w:tc>
              <w:tc>
                <w:tcPr>
                  <w:tcW w:w="252" w:type="pct"/>
                  <w:shd w:val="clear" w:color="auto" w:fill="auto"/>
                </w:tcPr>
                <w:p w14:paraId="54DC0976" w14:textId="77777777" w:rsidR="00FC14FC" w:rsidRPr="00D617A6" w:rsidRDefault="00FC14FC" w:rsidP="00D11B9D">
                  <w:pPr>
                    <w:pStyle w:val="TableBodyText"/>
                  </w:pPr>
                  <w:r w:rsidRPr="00D617A6">
                    <w:t>0.70</w:t>
                  </w:r>
                </w:p>
              </w:tc>
              <w:tc>
                <w:tcPr>
                  <w:tcW w:w="251" w:type="pct"/>
                  <w:shd w:val="clear" w:color="auto" w:fill="auto"/>
                </w:tcPr>
                <w:p w14:paraId="1863C6BE" w14:textId="77777777" w:rsidR="00FC14FC" w:rsidRPr="00D617A6" w:rsidRDefault="00FC14FC" w:rsidP="00D11B9D">
                  <w:pPr>
                    <w:pStyle w:val="TableBodyText"/>
                  </w:pPr>
                  <w:r w:rsidRPr="00D617A6">
                    <w:t>0.65</w:t>
                  </w:r>
                </w:p>
              </w:tc>
              <w:tc>
                <w:tcPr>
                  <w:tcW w:w="251" w:type="pct"/>
                  <w:shd w:val="clear" w:color="auto" w:fill="auto"/>
                </w:tcPr>
                <w:p w14:paraId="46CC1674" w14:textId="77777777" w:rsidR="00FC14FC" w:rsidRPr="00D617A6" w:rsidRDefault="00FC14FC" w:rsidP="00D11B9D">
                  <w:pPr>
                    <w:pStyle w:val="TableBodyText"/>
                  </w:pPr>
                  <w:r w:rsidRPr="00D617A6">
                    <w:t>0.80</w:t>
                  </w:r>
                </w:p>
              </w:tc>
              <w:tc>
                <w:tcPr>
                  <w:tcW w:w="251" w:type="pct"/>
                  <w:shd w:val="clear" w:color="auto" w:fill="auto"/>
                </w:tcPr>
                <w:p w14:paraId="1E863928" w14:textId="77777777" w:rsidR="00FC14FC" w:rsidRPr="00D617A6" w:rsidRDefault="00FC14FC" w:rsidP="00D11B9D">
                  <w:pPr>
                    <w:pStyle w:val="TableBodyText"/>
                  </w:pPr>
                  <w:r w:rsidRPr="00D617A6">
                    <w:t>0.71</w:t>
                  </w:r>
                </w:p>
              </w:tc>
              <w:tc>
                <w:tcPr>
                  <w:tcW w:w="251" w:type="pct"/>
                  <w:shd w:val="clear" w:color="auto" w:fill="auto"/>
                </w:tcPr>
                <w:p w14:paraId="1E4B8548" w14:textId="77777777" w:rsidR="00FC14FC" w:rsidRPr="00D617A6" w:rsidRDefault="00FC14FC" w:rsidP="00D11B9D">
                  <w:pPr>
                    <w:pStyle w:val="TableBodyText"/>
                  </w:pPr>
                  <w:r w:rsidRPr="00D617A6">
                    <w:t>0.60</w:t>
                  </w:r>
                </w:p>
              </w:tc>
              <w:tc>
                <w:tcPr>
                  <w:tcW w:w="251" w:type="pct"/>
                </w:tcPr>
                <w:p w14:paraId="5244D526" w14:textId="77777777" w:rsidR="00FC14FC" w:rsidRPr="00D617A6" w:rsidRDefault="00FC14FC" w:rsidP="00D11B9D">
                  <w:pPr>
                    <w:pStyle w:val="TableBodyText"/>
                  </w:pPr>
                  <w:r>
                    <w:t>0.55</w:t>
                  </w:r>
                </w:p>
              </w:tc>
              <w:tc>
                <w:tcPr>
                  <w:tcW w:w="236" w:type="pct"/>
                  <w:shd w:val="clear" w:color="auto" w:fill="auto"/>
                </w:tcPr>
                <w:p w14:paraId="35B20346" w14:textId="77777777" w:rsidR="00FC14FC" w:rsidRPr="00D617A6" w:rsidRDefault="00FC14FC" w:rsidP="00D11B9D">
                  <w:pPr>
                    <w:pStyle w:val="TableBodyText"/>
                    <w:ind w:right="28"/>
                  </w:pPr>
                  <w:r w:rsidRPr="00D617A6">
                    <w:t>0.</w:t>
                  </w:r>
                  <w:r>
                    <w:t>57</w:t>
                  </w:r>
                </w:p>
              </w:tc>
            </w:tr>
            <w:tr w:rsidR="00FC14FC" w14:paraId="70564DC9" w14:textId="77777777" w:rsidTr="00D11B9D">
              <w:tblPrEx>
                <w:tblCellMar>
                  <w:top w:w="28" w:type="dxa"/>
                </w:tblCellMar>
              </w:tblPrEx>
              <w:trPr>
                <w:trHeight w:val="284"/>
              </w:trPr>
              <w:tc>
                <w:tcPr>
                  <w:tcW w:w="490" w:type="pct"/>
                  <w:vMerge/>
                  <w:shd w:val="clear" w:color="auto" w:fill="auto"/>
                </w:tcPr>
                <w:p w14:paraId="39691668" w14:textId="77777777" w:rsidR="00FC14FC" w:rsidRPr="00D617A6" w:rsidRDefault="00FC14FC" w:rsidP="00D11B9D">
                  <w:pPr>
                    <w:pStyle w:val="TableBodyText"/>
                    <w:jc w:val="left"/>
                  </w:pPr>
                </w:p>
              </w:tc>
              <w:tc>
                <w:tcPr>
                  <w:tcW w:w="598" w:type="pct"/>
                </w:tcPr>
                <w:p w14:paraId="0F8D6010" w14:textId="77777777" w:rsidR="00FC14FC" w:rsidRPr="00D617A6" w:rsidRDefault="00FC14FC" w:rsidP="00D11B9D">
                  <w:pPr>
                    <w:pStyle w:val="TableBodyText"/>
                    <w:jc w:val="left"/>
                  </w:pPr>
                  <w:r>
                    <w:t>Expense ratio</w:t>
                  </w:r>
                </w:p>
              </w:tc>
              <w:tc>
                <w:tcPr>
                  <w:tcW w:w="662" w:type="pct"/>
                  <w:shd w:val="clear" w:color="auto" w:fill="auto"/>
                  <w:vAlign w:val="center"/>
                </w:tcPr>
                <w:p w14:paraId="3DAAF5D8" w14:textId="77777777" w:rsidR="00FC14FC" w:rsidRPr="00D617A6" w:rsidRDefault="00FC14FC" w:rsidP="00D11B9D">
                  <w:pPr>
                    <w:pStyle w:val="TableBodyText"/>
                    <w:jc w:val="left"/>
                  </w:pPr>
                  <w:r w:rsidRPr="00D617A6">
                    <w:t xml:space="preserve">Public </w:t>
                  </w:r>
                  <w:r>
                    <w:t>s</w:t>
                  </w:r>
                  <w:r w:rsidRPr="00D617A6">
                    <w:t>ector</w:t>
                  </w:r>
                </w:p>
              </w:tc>
              <w:tc>
                <w:tcPr>
                  <w:tcW w:w="251" w:type="pct"/>
                  <w:shd w:val="clear" w:color="auto" w:fill="auto"/>
                </w:tcPr>
                <w:p w14:paraId="62A62380" w14:textId="77777777" w:rsidR="00FC14FC" w:rsidRPr="00D617A6" w:rsidRDefault="00FC14FC" w:rsidP="00D11B9D">
                  <w:pPr>
                    <w:pStyle w:val="TableBodyText"/>
                  </w:pPr>
                  <w:r w:rsidRPr="00D617A6">
                    <w:t>0.80</w:t>
                  </w:r>
                </w:p>
              </w:tc>
              <w:tc>
                <w:tcPr>
                  <w:tcW w:w="251" w:type="pct"/>
                  <w:shd w:val="clear" w:color="auto" w:fill="auto"/>
                </w:tcPr>
                <w:p w14:paraId="1AACE302" w14:textId="77777777" w:rsidR="00FC14FC" w:rsidRPr="00D617A6" w:rsidRDefault="00FC14FC" w:rsidP="00D11B9D">
                  <w:pPr>
                    <w:pStyle w:val="TableBodyText"/>
                  </w:pPr>
                  <w:r w:rsidRPr="00D617A6">
                    <w:t>0.80</w:t>
                  </w:r>
                </w:p>
              </w:tc>
              <w:tc>
                <w:tcPr>
                  <w:tcW w:w="251" w:type="pct"/>
                  <w:shd w:val="clear" w:color="auto" w:fill="auto"/>
                </w:tcPr>
                <w:p w14:paraId="758D80B7" w14:textId="77777777" w:rsidR="00FC14FC" w:rsidRPr="00D617A6" w:rsidRDefault="00FC14FC" w:rsidP="00D11B9D">
                  <w:pPr>
                    <w:pStyle w:val="TableBodyText"/>
                  </w:pPr>
                  <w:r w:rsidRPr="00D617A6" w:rsidDel="00B449BF">
                    <w:t>0.60</w:t>
                  </w:r>
                </w:p>
              </w:tc>
              <w:tc>
                <w:tcPr>
                  <w:tcW w:w="251" w:type="pct"/>
                  <w:shd w:val="clear" w:color="auto" w:fill="auto"/>
                </w:tcPr>
                <w:p w14:paraId="508FE723" w14:textId="77777777" w:rsidR="00FC14FC" w:rsidRPr="00D617A6" w:rsidRDefault="00FC14FC" w:rsidP="00D11B9D">
                  <w:pPr>
                    <w:pStyle w:val="TableBodyText"/>
                  </w:pPr>
                  <w:r w:rsidRPr="00D617A6">
                    <w:t>0.60</w:t>
                  </w:r>
                </w:p>
              </w:tc>
              <w:tc>
                <w:tcPr>
                  <w:tcW w:w="251" w:type="pct"/>
                  <w:shd w:val="clear" w:color="auto" w:fill="auto"/>
                </w:tcPr>
                <w:p w14:paraId="3BA310E4" w14:textId="77777777" w:rsidR="00FC14FC" w:rsidRPr="00D617A6" w:rsidRDefault="00FC14FC" w:rsidP="00D11B9D">
                  <w:pPr>
                    <w:pStyle w:val="TableBodyText"/>
                  </w:pPr>
                  <w:r w:rsidRPr="00D617A6">
                    <w:t>0.60</w:t>
                  </w:r>
                </w:p>
              </w:tc>
              <w:tc>
                <w:tcPr>
                  <w:tcW w:w="251" w:type="pct"/>
                  <w:shd w:val="clear" w:color="auto" w:fill="auto"/>
                </w:tcPr>
                <w:p w14:paraId="79CBD93C" w14:textId="77777777" w:rsidR="00FC14FC" w:rsidRPr="00D617A6" w:rsidRDefault="00FC14FC" w:rsidP="00D11B9D">
                  <w:pPr>
                    <w:pStyle w:val="TableBodyText"/>
                  </w:pPr>
                  <w:r w:rsidRPr="00D617A6" w:rsidDel="00B449BF">
                    <w:t>0.70</w:t>
                  </w:r>
                </w:p>
              </w:tc>
              <w:tc>
                <w:tcPr>
                  <w:tcW w:w="252" w:type="pct"/>
                  <w:shd w:val="clear" w:color="auto" w:fill="auto"/>
                </w:tcPr>
                <w:p w14:paraId="1C59CDE8" w14:textId="77777777" w:rsidR="00FC14FC" w:rsidRPr="00D617A6" w:rsidRDefault="00FC14FC" w:rsidP="00D11B9D">
                  <w:pPr>
                    <w:pStyle w:val="TableBodyText"/>
                  </w:pPr>
                  <w:r w:rsidRPr="00D617A6">
                    <w:t>0.70</w:t>
                  </w:r>
                </w:p>
              </w:tc>
              <w:tc>
                <w:tcPr>
                  <w:tcW w:w="251" w:type="pct"/>
                  <w:shd w:val="clear" w:color="auto" w:fill="auto"/>
                </w:tcPr>
                <w:p w14:paraId="3C3D018B" w14:textId="77777777" w:rsidR="00FC14FC" w:rsidRPr="00D617A6" w:rsidRDefault="00FC14FC" w:rsidP="00D11B9D">
                  <w:pPr>
                    <w:pStyle w:val="TableBodyText"/>
                  </w:pPr>
                  <w:r w:rsidRPr="00D617A6">
                    <w:t>0.65</w:t>
                  </w:r>
                </w:p>
              </w:tc>
              <w:tc>
                <w:tcPr>
                  <w:tcW w:w="251" w:type="pct"/>
                  <w:shd w:val="clear" w:color="auto" w:fill="auto"/>
                </w:tcPr>
                <w:p w14:paraId="0B70F72F" w14:textId="77777777" w:rsidR="00FC14FC" w:rsidRPr="00D617A6" w:rsidRDefault="00FC14FC" w:rsidP="00D11B9D">
                  <w:pPr>
                    <w:pStyle w:val="TableBodyText"/>
                  </w:pPr>
                  <w:r w:rsidRPr="00D617A6">
                    <w:t>0.80</w:t>
                  </w:r>
                </w:p>
              </w:tc>
              <w:tc>
                <w:tcPr>
                  <w:tcW w:w="251" w:type="pct"/>
                  <w:shd w:val="clear" w:color="auto" w:fill="auto"/>
                </w:tcPr>
                <w:p w14:paraId="07C776B5" w14:textId="77777777" w:rsidR="00FC14FC" w:rsidRPr="00D617A6" w:rsidRDefault="00FC14FC" w:rsidP="00D11B9D">
                  <w:pPr>
                    <w:pStyle w:val="TableBodyText"/>
                  </w:pPr>
                  <w:r w:rsidRPr="00D617A6">
                    <w:t>0.71</w:t>
                  </w:r>
                </w:p>
              </w:tc>
              <w:tc>
                <w:tcPr>
                  <w:tcW w:w="251" w:type="pct"/>
                  <w:shd w:val="clear" w:color="auto" w:fill="auto"/>
                </w:tcPr>
                <w:p w14:paraId="0A21ACD0" w14:textId="77777777" w:rsidR="00FC14FC" w:rsidRPr="00D617A6" w:rsidRDefault="00FC14FC" w:rsidP="00D11B9D">
                  <w:pPr>
                    <w:pStyle w:val="TableBodyText"/>
                  </w:pPr>
                  <w:r w:rsidRPr="00D617A6">
                    <w:t>0.60</w:t>
                  </w:r>
                </w:p>
              </w:tc>
              <w:tc>
                <w:tcPr>
                  <w:tcW w:w="251" w:type="pct"/>
                </w:tcPr>
                <w:p w14:paraId="48EF5DBC" w14:textId="77777777" w:rsidR="00FC14FC" w:rsidRPr="00D617A6" w:rsidRDefault="00FC14FC" w:rsidP="00D11B9D">
                  <w:pPr>
                    <w:pStyle w:val="TableBodyText"/>
                  </w:pPr>
                  <w:r>
                    <w:t>0.55</w:t>
                  </w:r>
                </w:p>
              </w:tc>
              <w:tc>
                <w:tcPr>
                  <w:tcW w:w="236" w:type="pct"/>
                  <w:shd w:val="clear" w:color="auto" w:fill="auto"/>
                </w:tcPr>
                <w:p w14:paraId="21EBDBA7" w14:textId="77777777" w:rsidR="00FC14FC" w:rsidRPr="00D617A6" w:rsidRDefault="00FC14FC" w:rsidP="00D11B9D">
                  <w:pPr>
                    <w:pStyle w:val="TableBodyText"/>
                    <w:ind w:right="28"/>
                  </w:pPr>
                  <w:r w:rsidRPr="00D617A6">
                    <w:t>0.</w:t>
                  </w:r>
                  <w:r>
                    <w:t>57</w:t>
                  </w:r>
                </w:p>
              </w:tc>
            </w:tr>
            <w:tr w:rsidR="00FC14FC" w14:paraId="73BBC356" w14:textId="77777777" w:rsidTr="00D11B9D">
              <w:tblPrEx>
                <w:tblCellMar>
                  <w:top w:w="28" w:type="dxa"/>
                </w:tblCellMar>
              </w:tblPrEx>
              <w:trPr>
                <w:trHeight w:val="245"/>
              </w:trPr>
              <w:tc>
                <w:tcPr>
                  <w:tcW w:w="490" w:type="pct"/>
                  <w:vMerge/>
                  <w:tcBorders>
                    <w:bottom w:val="single" w:sz="6" w:space="0" w:color="BFBFBF"/>
                  </w:tcBorders>
                  <w:shd w:val="clear" w:color="auto" w:fill="auto"/>
                </w:tcPr>
                <w:p w14:paraId="39F31A19" w14:textId="77777777" w:rsidR="00FC14FC" w:rsidRPr="00D617A6" w:rsidRDefault="00FC14FC" w:rsidP="00D11B9D">
                  <w:pPr>
                    <w:pStyle w:val="TableBodyText"/>
                    <w:ind w:left="0"/>
                    <w:jc w:val="left"/>
                  </w:pPr>
                </w:p>
              </w:tc>
              <w:tc>
                <w:tcPr>
                  <w:tcW w:w="598" w:type="pct"/>
                  <w:tcBorders>
                    <w:bottom w:val="single" w:sz="6" w:space="0" w:color="BFBFBF"/>
                  </w:tcBorders>
                </w:tcPr>
                <w:p w14:paraId="3E3CF125" w14:textId="77777777" w:rsidR="00FC14FC" w:rsidRPr="00D617A6" w:rsidRDefault="00FC14FC" w:rsidP="00D11B9D">
                  <w:pPr>
                    <w:pStyle w:val="TableBodyText"/>
                    <w:jc w:val="left"/>
                  </w:pPr>
                  <w:r>
                    <w:t>Expense ratio</w:t>
                  </w:r>
                </w:p>
              </w:tc>
              <w:tc>
                <w:tcPr>
                  <w:tcW w:w="662" w:type="pct"/>
                  <w:tcBorders>
                    <w:bottom w:val="single" w:sz="6" w:space="0" w:color="BFBFBF"/>
                  </w:tcBorders>
                  <w:shd w:val="clear" w:color="auto" w:fill="auto"/>
                  <w:vAlign w:val="center"/>
                </w:tcPr>
                <w:p w14:paraId="42FBFDE5" w14:textId="77777777" w:rsidR="00FC14FC" w:rsidRPr="00D617A6" w:rsidRDefault="00FC14FC" w:rsidP="00D11B9D">
                  <w:pPr>
                    <w:pStyle w:val="TableBodyText"/>
                    <w:jc w:val="left"/>
                  </w:pPr>
                  <w:r w:rsidRPr="00D617A6">
                    <w:t>Retail</w:t>
                  </w:r>
                </w:p>
              </w:tc>
              <w:tc>
                <w:tcPr>
                  <w:tcW w:w="251" w:type="pct"/>
                  <w:tcBorders>
                    <w:bottom w:val="single" w:sz="6" w:space="0" w:color="BFBFBF"/>
                  </w:tcBorders>
                </w:tcPr>
                <w:p w14:paraId="584811C8" w14:textId="77777777" w:rsidR="00FC14FC" w:rsidRPr="00D617A6" w:rsidRDefault="00FC14FC" w:rsidP="00D11B9D">
                  <w:pPr>
                    <w:pStyle w:val="TableBodyText"/>
                  </w:pPr>
                  <w:r w:rsidRPr="00D617A6">
                    <w:t>0.80</w:t>
                  </w:r>
                </w:p>
              </w:tc>
              <w:tc>
                <w:tcPr>
                  <w:tcW w:w="251" w:type="pct"/>
                  <w:tcBorders>
                    <w:bottom w:val="single" w:sz="6" w:space="0" w:color="BFBFBF"/>
                  </w:tcBorders>
                  <w:shd w:val="clear" w:color="auto" w:fill="auto"/>
                </w:tcPr>
                <w:p w14:paraId="5FDF0C75" w14:textId="77777777" w:rsidR="00FC14FC" w:rsidRPr="00D617A6" w:rsidRDefault="00FC14FC" w:rsidP="00D11B9D">
                  <w:pPr>
                    <w:pStyle w:val="TableBodyText"/>
                  </w:pPr>
                  <w:r w:rsidRPr="00D617A6">
                    <w:t>0.80</w:t>
                  </w:r>
                </w:p>
              </w:tc>
              <w:tc>
                <w:tcPr>
                  <w:tcW w:w="251" w:type="pct"/>
                  <w:tcBorders>
                    <w:bottom w:val="single" w:sz="6" w:space="0" w:color="BFBFBF"/>
                  </w:tcBorders>
                  <w:shd w:val="clear" w:color="auto" w:fill="auto"/>
                </w:tcPr>
                <w:p w14:paraId="0AEDC670" w14:textId="77777777" w:rsidR="00FC14FC" w:rsidRPr="00D617A6" w:rsidRDefault="00FC14FC" w:rsidP="00D11B9D">
                  <w:pPr>
                    <w:pStyle w:val="TableBodyText"/>
                  </w:pPr>
                  <w:r w:rsidRPr="00D617A6">
                    <w:t>0.60</w:t>
                  </w:r>
                </w:p>
              </w:tc>
              <w:tc>
                <w:tcPr>
                  <w:tcW w:w="251" w:type="pct"/>
                  <w:tcBorders>
                    <w:bottom w:val="single" w:sz="6" w:space="0" w:color="BFBFBF"/>
                  </w:tcBorders>
                  <w:shd w:val="clear" w:color="auto" w:fill="auto"/>
                </w:tcPr>
                <w:p w14:paraId="5EE279AC" w14:textId="77777777" w:rsidR="00FC14FC" w:rsidRPr="00D617A6" w:rsidRDefault="00FC14FC" w:rsidP="00D11B9D">
                  <w:pPr>
                    <w:pStyle w:val="TableBodyText"/>
                  </w:pPr>
                  <w:r w:rsidRPr="00D617A6">
                    <w:t>0.60</w:t>
                  </w:r>
                </w:p>
              </w:tc>
              <w:tc>
                <w:tcPr>
                  <w:tcW w:w="251" w:type="pct"/>
                  <w:tcBorders>
                    <w:bottom w:val="single" w:sz="6" w:space="0" w:color="BFBFBF"/>
                  </w:tcBorders>
                  <w:shd w:val="clear" w:color="auto" w:fill="auto"/>
                </w:tcPr>
                <w:p w14:paraId="3162A429" w14:textId="77777777" w:rsidR="00FC14FC" w:rsidRPr="00D617A6" w:rsidRDefault="00FC14FC" w:rsidP="00D11B9D">
                  <w:pPr>
                    <w:pStyle w:val="TableBodyText"/>
                  </w:pPr>
                  <w:r w:rsidRPr="00D617A6">
                    <w:t>0.60</w:t>
                  </w:r>
                </w:p>
              </w:tc>
              <w:tc>
                <w:tcPr>
                  <w:tcW w:w="251" w:type="pct"/>
                  <w:tcBorders>
                    <w:bottom w:val="single" w:sz="6" w:space="0" w:color="BFBFBF"/>
                  </w:tcBorders>
                  <w:shd w:val="clear" w:color="auto" w:fill="auto"/>
                </w:tcPr>
                <w:p w14:paraId="30408938" w14:textId="77777777" w:rsidR="00FC14FC" w:rsidRPr="00D617A6" w:rsidRDefault="00FC14FC" w:rsidP="00D11B9D">
                  <w:pPr>
                    <w:pStyle w:val="TableBodyText"/>
                  </w:pPr>
                  <w:r w:rsidRPr="00D617A6">
                    <w:t>0.70</w:t>
                  </w:r>
                </w:p>
              </w:tc>
              <w:tc>
                <w:tcPr>
                  <w:tcW w:w="252" w:type="pct"/>
                  <w:tcBorders>
                    <w:bottom w:val="single" w:sz="6" w:space="0" w:color="BFBFBF"/>
                  </w:tcBorders>
                  <w:shd w:val="clear" w:color="auto" w:fill="auto"/>
                </w:tcPr>
                <w:p w14:paraId="36DCF865" w14:textId="77777777" w:rsidR="00FC14FC" w:rsidRPr="00D617A6" w:rsidDel="001067FF" w:rsidRDefault="00FC14FC" w:rsidP="00D11B9D">
                  <w:pPr>
                    <w:pStyle w:val="TableBodyText"/>
                  </w:pPr>
                  <w:r w:rsidRPr="00D617A6">
                    <w:t>0.70</w:t>
                  </w:r>
                </w:p>
              </w:tc>
              <w:tc>
                <w:tcPr>
                  <w:tcW w:w="251" w:type="pct"/>
                  <w:tcBorders>
                    <w:bottom w:val="single" w:sz="6" w:space="0" w:color="BFBFBF"/>
                  </w:tcBorders>
                  <w:shd w:val="clear" w:color="auto" w:fill="auto"/>
                </w:tcPr>
                <w:p w14:paraId="5632065E" w14:textId="77777777" w:rsidR="00FC14FC" w:rsidRPr="00D617A6" w:rsidRDefault="00FC14FC" w:rsidP="00D11B9D">
                  <w:pPr>
                    <w:pStyle w:val="TableBodyText"/>
                  </w:pPr>
                  <w:r w:rsidRPr="00D617A6">
                    <w:t>0.65</w:t>
                  </w:r>
                </w:p>
              </w:tc>
              <w:tc>
                <w:tcPr>
                  <w:tcW w:w="251" w:type="pct"/>
                  <w:tcBorders>
                    <w:bottom w:val="single" w:sz="6" w:space="0" w:color="BFBFBF"/>
                  </w:tcBorders>
                  <w:shd w:val="clear" w:color="auto" w:fill="auto"/>
                </w:tcPr>
                <w:p w14:paraId="582B2F85" w14:textId="77777777" w:rsidR="00FC14FC" w:rsidRPr="00D617A6" w:rsidRDefault="00FC14FC" w:rsidP="00D11B9D">
                  <w:pPr>
                    <w:pStyle w:val="TableBodyText"/>
                  </w:pPr>
                  <w:r w:rsidRPr="00D617A6">
                    <w:t>0.80</w:t>
                  </w:r>
                </w:p>
              </w:tc>
              <w:tc>
                <w:tcPr>
                  <w:tcW w:w="251" w:type="pct"/>
                  <w:tcBorders>
                    <w:bottom w:val="single" w:sz="6" w:space="0" w:color="BFBFBF"/>
                  </w:tcBorders>
                  <w:shd w:val="clear" w:color="auto" w:fill="auto"/>
                </w:tcPr>
                <w:p w14:paraId="0BCAE653" w14:textId="77777777" w:rsidR="00FC14FC" w:rsidRPr="00D617A6" w:rsidRDefault="00FC14FC" w:rsidP="00D11B9D">
                  <w:pPr>
                    <w:pStyle w:val="TableBodyText"/>
                  </w:pPr>
                  <w:r w:rsidRPr="00D617A6">
                    <w:t>0.71</w:t>
                  </w:r>
                </w:p>
              </w:tc>
              <w:tc>
                <w:tcPr>
                  <w:tcW w:w="251" w:type="pct"/>
                  <w:tcBorders>
                    <w:bottom w:val="single" w:sz="6" w:space="0" w:color="BFBFBF"/>
                  </w:tcBorders>
                  <w:shd w:val="clear" w:color="auto" w:fill="auto"/>
                </w:tcPr>
                <w:p w14:paraId="01F2ABF0" w14:textId="77777777" w:rsidR="00FC14FC" w:rsidRPr="00D617A6" w:rsidRDefault="00FC14FC" w:rsidP="00D11B9D">
                  <w:pPr>
                    <w:pStyle w:val="TableBodyText"/>
                  </w:pPr>
                  <w:r w:rsidRPr="00D617A6">
                    <w:t>0.60</w:t>
                  </w:r>
                </w:p>
              </w:tc>
              <w:tc>
                <w:tcPr>
                  <w:tcW w:w="251" w:type="pct"/>
                  <w:tcBorders>
                    <w:bottom w:val="single" w:sz="6" w:space="0" w:color="BFBFBF"/>
                  </w:tcBorders>
                </w:tcPr>
                <w:p w14:paraId="55BAC8FD" w14:textId="77777777" w:rsidR="00FC14FC" w:rsidRPr="00D617A6" w:rsidRDefault="00FC14FC" w:rsidP="00D11B9D">
                  <w:pPr>
                    <w:pStyle w:val="TableBodyText"/>
                  </w:pPr>
                  <w:r>
                    <w:t>0.55</w:t>
                  </w:r>
                </w:p>
              </w:tc>
              <w:tc>
                <w:tcPr>
                  <w:tcW w:w="236" w:type="pct"/>
                  <w:tcBorders>
                    <w:bottom w:val="single" w:sz="6" w:space="0" w:color="BFBFBF"/>
                  </w:tcBorders>
                  <w:shd w:val="clear" w:color="auto" w:fill="auto"/>
                </w:tcPr>
                <w:p w14:paraId="79BD7198" w14:textId="77777777" w:rsidR="00FC14FC" w:rsidRPr="00D617A6" w:rsidRDefault="00FC14FC" w:rsidP="00D11B9D">
                  <w:pPr>
                    <w:pStyle w:val="TableBodyText"/>
                    <w:ind w:right="28"/>
                  </w:pPr>
                  <w:r>
                    <w:t>0.57</w:t>
                  </w:r>
                </w:p>
              </w:tc>
            </w:tr>
          </w:tbl>
          <w:p w14:paraId="0541A279" w14:textId="77777777" w:rsidR="00FC14FC" w:rsidRDefault="00FC14FC" w:rsidP="00D11B9D">
            <w:pPr>
              <w:pStyle w:val="Box"/>
            </w:pPr>
          </w:p>
        </w:tc>
      </w:tr>
      <w:tr w:rsidR="00FC14FC" w14:paraId="1CF718D6" w14:textId="77777777" w:rsidTr="00D11B9D">
        <w:tc>
          <w:tcPr>
            <w:tcW w:w="5000" w:type="pct"/>
            <w:tcBorders>
              <w:top w:val="nil"/>
              <w:left w:val="nil"/>
              <w:bottom w:val="nil"/>
              <w:right w:val="nil"/>
            </w:tcBorders>
            <w:shd w:val="clear" w:color="auto" w:fill="auto"/>
          </w:tcPr>
          <w:p w14:paraId="7A229D3D" w14:textId="77777777" w:rsidR="00FC14FC" w:rsidRDefault="00FC14FC" w:rsidP="00D11B9D">
            <w:pPr>
              <w:pStyle w:val="Note"/>
              <w:rPr>
                <w:i/>
              </w:rPr>
            </w:pPr>
            <w:r w:rsidRPr="008E77FE">
              <w:rPr>
                <w:rStyle w:val="NoteLabel"/>
              </w:rPr>
              <w:t>a</w:t>
            </w:r>
            <w:r>
              <w:t xml:space="preserve"> Some analyses use a more granular, tailored administration expense ratio which is not amenable to presentation (for example, the individual fund</w:t>
            </w:r>
            <w:r>
              <w:noBreakHyphen/>
              <w:t>level benchmarking).</w:t>
            </w:r>
            <w:r w:rsidRPr="008E77FE">
              <w:rPr>
                <w:rStyle w:val="NoteLabel"/>
              </w:rPr>
              <w:t xml:space="preserve"> </w:t>
            </w:r>
            <w:r>
              <w:rPr>
                <w:rStyle w:val="NoteLabel"/>
              </w:rPr>
              <w:t xml:space="preserve">b </w:t>
            </w:r>
            <w:r>
              <w:t>Individual option</w:t>
            </w:r>
            <w:r>
              <w:noBreakHyphen/>
              <w:t>level analysis used segment</w:t>
            </w:r>
            <w:r>
              <w:noBreakHyphen/>
              <w:t>level administration fee adjustments due to data limitations.</w:t>
            </w:r>
            <w:r w:rsidDel="00E817B0">
              <w:t xml:space="preserve"> </w:t>
            </w:r>
            <w:r>
              <w:rPr>
                <w:rStyle w:val="NoteLabel"/>
              </w:rPr>
              <w:t>c</w:t>
            </w:r>
            <w:r>
              <w:t xml:space="preserve"> For default, as MySuper did not exist prior to 2014, the Commission drew on the APRA</w:t>
            </w:r>
            <w:r>
              <w:noBreakHyphen/>
              <w:t>regulated fund bottom quartile administration expense ratio, which was commensurate with fees from MySuper products in SuperRatings data for 2014–2016 where MySuper fees data were available.</w:t>
            </w:r>
          </w:p>
        </w:tc>
      </w:tr>
      <w:tr w:rsidR="00FC14FC" w14:paraId="326D5DB9" w14:textId="77777777" w:rsidTr="00D11B9D">
        <w:tc>
          <w:tcPr>
            <w:tcW w:w="5000" w:type="pct"/>
            <w:tcBorders>
              <w:top w:val="nil"/>
              <w:left w:val="nil"/>
              <w:bottom w:val="nil"/>
              <w:right w:val="nil"/>
            </w:tcBorders>
            <w:shd w:val="clear" w:color="auto" w:fill="auto"/>
          </w:tcPr>
          <w:p w14:paraId="4E807DF7" w14:textId="77777777" w:rsidR="00FC14FC" w:rsidRDefault="00FC14FC" w:rsidP="00D11B9D">
            <w:pPr>
              <w:pStyle w:val="Source"/>
            </w:pPr>
            <w:r>
              <w:rPr>
                <w:i/>
              </w:rPr>
              <w:t>Source</w:t>
            </w:r>
            <w:r w:rsidRPr="00167F06">
              <w:t xml:space="preserve">: </w:t>
            </w:r>
            <w:r>
              <w:t xml:space="preserve">PC analysis of unpublished APRA </w:t>
            </w:r>
            <w:r w:rsidDel="00F71AE2">
              <w:t>data</w:t>
            </w:r>
            <w:r>
              <w:t>.</w:t>
            </w:r>
          </w:p>
        </w:tc>
      </w:tr>
      <w:tr w:rsidR="00FC14FC" w14:paraId="36A68FB9" w14:textId="77777777" w:rsidTr="00D11B9D">
        <w:tc>
          <w:tcPr>
            <w:tcW w:w="5000" w:type="pct"/>
            <w:tcBorders>
              <w:top w:val="nil"/>
              <w:left w:val="nil"/>
              <w:bottom w:val="single" w:sz="6" w:space="0" w:color="78A22F"/>
              <w:right w:val="nil"/>
            </w:tcBorders>
            <w:shd w:val="clear" w:color="auto" w:fill="auto"/>
          </w:tcPr>
          <w:p w14:paraId="28B158C0" w14:textId="77777777" w:rsidR="00FC14FC" w:rsidRDefault="00FC14FC" w:rsidP="00D11B9D">
            <w:pPr>
              <w:pStyle w:val="Box"/>
              <w:spacing w:before="0" w:line="120" w:lineRule="exact"/>
            </w:pPr>
          </w:p>
        </w:tc>
      </w:tr>
      <w:tr w:rsidR="00FC14FC" w:rsidRPr="000863A5" w14:paraId="0E539EEB" w14:textId="77777777" w:rsidTr="00D11B9D">
        <w:tc>
          <w:tcPr>
            <w:tcW w:w="5000" w:type="pct"/>
            <w:tcBorders>
              <w:top w:val="single" w:sz="6" w:space="0" w:color="78A22F"/>
              <w:left w:val="nil"/>
              <w:bottom w:val="nil"/>
              <w:right w:val="nil"/>
            </w:tcBorders>
          </w:tcPr>
          <w:p w14:paraId="2EE47B1C" w14:textId="77777777" w:rsidR="00FC14FC" w:rsidRPr="00626D32" w:rsidRDefault="00FC14FC" w:rsidP="00D11B9D">
            <w:pPr>
              <w:pStyle w:val="BoxSpaceBelow"/>
            </w:pPr>
          </w:p>
        </w:tc>
      </w:tr>
    </w:tbl>
    <w:p w14:paraId="39044442" w14:textId="77777777" w:rsidR="00FC14FC" w:rsidRDefault="00FC14FC" w:rsidP="00FC14FC">
      <w:pPr>
        <w:pStyle w:val="BodyText"/>
        <w:sectPr w:rsidR="00FC14FC" w:rsidSect="00A85997">
          <w:headerReference w:type="even" r:id="rId45"/>
          <w:headerReference w:type="default" r:id="rId46"/>
          <w:footerReference w:type="even" r:id="rId47"/>
          <w:footerReference w:type="default" r:id="rId48"/>
          <w:pgSz w:w="16840" w:h="11907" w:orient="landscape" w:code="9"/>
          <w:pgMar w:top="1814" w:right="1985" w:bottom="1304" w:left="1418" w:header="1701" w:footer="567" w:gutter="0"/>
          <w:pgNumType w:chapSep="period"/>
          <w:cols w:space="720"/>
          <w:docGrid w:linePitch="326"/>
        </w:sectPr>
      </w:pPr>
    </w:p>
    <w:p w14:paraId="73BB7C3A" w14:textId="77777777" w:rsidR="00FC14FC" w:rsidRDefault="00FC14FC" w:rsidP="00FC14FC">
      <w:pPr>
        <w:pStyle w:val="Heading3"/>
        <w:spacing w:before="0"/>
      </w:pPr>
      <w:r>
        <w:lastRenderedPageBreak/>
        <w:t>Investment performance decomposition</w:t>
      </w:r>
    </w:p>
    <w:p w14:paraId="7A99BE9E" w14:textId="77777777" w:rsidR="00FC14FC" w:rsidRDefault="00FC14FC" w:rsidP="00FC14FC">
      <w:pPr>
        <w:pStyle w:val="BodyText"/>
      </w:pPr>
      <w:bookmarkStart w:id="11" w:name="_Toc528158042"/>
      <w:bookmarkStart w:id="12" w:name="_Toc528229664"/>
      <w:bookmarkStart w:id="13" w:name="_Toc528298314"/>
      <w:bookmarkEnd w:id="11"/>
      <w:bookmarkEnd w:id="12"/>
      <w:bookmarkEnd w:id="13"/>
      <w:r>
        <w:t>To better understand the nature of investment performance, the Commission has undertaken an attribution analysis of historical net returns for the system, some segments, funds and MySuper products using unpublished APRA fund</w:t>
      </w:r>
      <w:r>
        <w:noBreakHyphen/>
        <w:t xml:space="preserve">level data and SuperRatings data. </w:t>
      </w:r>
      <w:r w:rsidRPr="00904B3E">
        <w:t>Th</w:t>
      </w:r>
      <w:r>
        <w:t>e</w:t>
      </w:r>
      <w:r w:rsidRPr="00904B3E">
        <w:t xml:space="preserve"> analysis </w:t>
      </w:r>
      <w:r>
        <w:t>decomposes net returns into several</w:t>
      </w:r>
      <w:r w:rsidRPr="00904B3E">
        <w:t xml:space="preserve"> measured factors — asset allocation, tax and expenses</w:t>
      </w:r>
      <w:r w:rsidRPr="00CF15EF">
        <w:rPr>
          <w:rStyle w:val="FootnoteReference"/>
        </w:rPr>
        <w:footnoteReference w:id="11"/>
      </w:r>
      <w:r w:rsidRPr="00904B3E">
        <w:t xml:space="preserve"> — </w:t>
      </w:r>
      <w:r>
        <w:t>to</w:t>
      </w:r>
      <w:r w:rsidRPr="00904B3E">
        <w:t xml:space="preserve"> </w:t>
      </w:r>
      <w:r>
        <w:t>attribute drivers of</w:t>
      </w:r>
      <w:r w:rsidRPr="00904B3E">
        <w:t xml:space="preserve"> differences in investment performance, over the long term and relative to </w:t>
      </w:r>
      <w:r>
        <w:t>BPs</w:t>
      </w:r>
      <w:r w:rsidRPr="00D83150">
        <w:t>.</w:t>
      </w:r>
      <w:r>
        <w:t xml:space="preserve"> </w:t>
      </w:r>
      <w:r w:rsidRPr="00904B3E">
        <w:t>Asset allocation</w:t>
      </w:r>
      <w:r>
        <w:rPr>
          <w:i/>
        </w:rPr>
        <w:t xml:space="preserve"> </w:t>
      </w:r>
      <w:r>
        <w:t>effects are calculated using the gross (of all fees and tax) return benchmark — that is, the return to a portfolio of market indexes. Tax and expenses are calculated using APRA or SuperRatings data, and then subtracted from the gross return benchmark.</w:t>
      </w:r>
    </w:p>
    <w:p w14:paraId="7732B5D8" w14:textId="77777777" w:rsidR="00FC14FC" w:rsidRDefault="00FC14FC" w:rsidP="00FC14FC">
      <w:pPr>
        <w:pStyle w:val="BodyText"/>
      </w:pPr>
      <w:r>
        <w:t xml:space="preserve">What remains is a ‘residual’, which is likely to comprise asset selection (individual investment decisions within asset classes), </w:t>
      </w:r>
      <w:r w:rsidRPr="002D557A">
        <w:t>deviations from the benchmark asset allocation within a year</w:t>
      </w:r>
      <w:r>
        <w:t>, unreported indirect expenses and measurement error. The primary candidate is asset selection, which in this context can be thought of as deviations in gross investment performance from the market average within each asset class. This will inherently vary by fund depending on specific investment strategies, selected asset holdings and choice of investment managers</w:t>
      </w:r>
      <w:r w:rsidDel="00D3160F">
        <w:t>.</w:t>
      </w:r>
      <w:r>
        <w:t xml:space="preserve"> In short, it reflects how well a fund is doing at securing exposure to an asset class, including via its intra</w:t>
      </w:r>
      <w:r>
        <w:noBreakHyphen/>
        <w:t>asset class investment strategy and the investment decisions of fund managers within those sub</w:t>
      </w:r>
      <w:r>
        <w:noBreakHyphen/>
        <w:t>classes (including for direct asset holdings).</w:t>
      </w:r>
    </w:p>
    <w:p w14:paraId="6F7728CF" w14:textId="77777777" w:rsidR="00FC14FC" w:rsidRDefault="00FC14FC" w:rsidP="00FC14FC">
      <w:pPr>
        <w:pStyle w:val="BodyText"/>
      </w:pPr>
      <w:r>
        <w:t>The residual</w:t>
      </w:r>
      <w:r w:rsidDel="000F43C5">
        <w:t xml:space="preserve"> </w:t>
      </w:r>
      <w:r>
        <w:t xml:space="preserve">could also reflect measurement errors, including inaccuracies in the Commission’s benchmarking assumptions and data sources. For example, the asset allocations used in the benchmark may not be completely representative for each individual fund. The residual may also include the effect of indirect expenses which are </w:t>
      </w:r>
      <w:r w:rsidRPr="00066DF1">
        <w:t>implicitly</w:t>
      </w:r>
      <w:r>
        <w:rPr>
          <w:i/>
        </w:rPr>
        <w:t xml:space="preserve"> </w:t>
      </w:r>
      <w:r>
        <w:t xml:space="preserve">captured in returns, but not </w:t>
      </w:r>
      <w:r w:rsidRPr="00066DF1">
        <w:t>explicitly</w:t>
      </w:r>
      <w:r>
        <w:rPr>
          <w:i/>
        </w:rPr>
        <w:t xml:space="preserve"> </w:t>
      </w:r>
      <w:r>
        <w:t xml:space="preserve">captured in expense data. For example, indirect investment expenses are embedded in APRA data on gross returns, but are not separately disclosed as expenses. </w:t>
      </w:r>
    </w:p>
    <w:p w14:paraId="49658B74" w14:textId="77777777" w:rsidR="00FC14FC" w:rsidRDefault="00FC14FC" w:rsidP="00FC14FC">
      <w:pPr>
        <w:pStyle w:val="BodyText"/>
      </w:pPr>
      <w:r>
        <w:t xml:space="preserve">Importantly, the residual does not include anything which is not captured in the returns data, such as most advice fees and insurance premiums. Any fees that are not reflected in the underlying administration and investment expense data similarly </w:t>
      </w:r>
      <w:r w:rsidRPr="00066DF1">
        <w:t>cannot be used to</w:t>
      </w:r>
      <w:r w:rsidRPr="00190968">
        <w:t xml:space="preserve"> explain the differences in performance across segments and funds in the Commission’s analysis.</w:t>
      </w:r>
    </w:p>
    <w:p w14:paraId="57A3BD87" w14:textId="77777777" w:rsidR="00FC14FC" w:rsidRDefault="00FC14FC" w:rsidP="00FC14FC">
      <w:pPr>
        <w:pStyle w:val="BodyText"/>
      </w:pPr>
      <w:r>
        <w:t>Some participants suggested the residuals presented in the supplementary paper released by the Commission following its draft report were too large to reflect a true measure of asset selection value</w:t>
      </w:r>
      <w:r>
        <w:noBreakHyphen/>
        <w:t>add (or ‘alpha’) (AustralianSuper, sub. DR222; MLC Wealth, sub. DR223; Rice Warner, sub. DR225). However, as discussed in chapter 2, the analysis was not intended to be a</w:t>
      </w:r>
      <w:r w:rsidRPr="002D557A">
        <w:t xml:space="preserve"> classic performance attribution analysis </w:t>
      </w:r>
      <w:r>
        <w:t>(</w:t>
      </w:r>
      <w:r w:rsidRPr="002D557A">
        <w:t>that would usually be conducted at an asset</w:t>
      </w:r>
      <w:r w:rsidRPr="002D557A">
        <w:noBreakHyphen/>
        <w:t>class level</w:t>
      </w:r>
      <w:r>
        <w:t>)</w:t>
      </w:r>
      <w:r w:rsidRPr="002D557A">
        <w:t xml:space="preserve">. </w:t>
      </w:r>
      <w:r>
        <w:t>Rather, due to data limitations, the Commission’s analysis decomposes gross returns using the available system</w:t>
      </w:r>
      <w:r>
        <w:noBreakHyphen/>
        <w:t>, segment</w:t>
      </w:r>
      <w:r>
        <w:noBreakHyphen/>
        <w:t>, fund</w:t>
      </w:r>
      <w:r>
        <w:noBreakHyphen/>
        <w:t xml:space="preserve"> or product</w:t>
      </w:r>
      <w:r>
        <w:noBreakHyphen/>
        <w:t>level data.</w:t>
      </w:r>
      <w:r w:rsidDel="00111698">
        <w:t xml:space="preserve"> </w:t>
      </w:r>
    </w:p>
    <w:p w14:paraId="3FAABC75" w14:textId="77777777" w:rsidR="00FC14FC" w:rsidRPr="00816655" w:rsidRDefault="00FC14FC" w:rsidP="00FC14FC">
      <w:pPr>
        <w:pStyle w:val="Heading4"/>
      </w:pPr>
      <w:r>
        <w:lastRenderedPageBreak/>
        <w:t>Methodology</w:t>
      </w:r>
    </w:p>
    <w:p w14:paraId="140CBB3C" w14:textId="77777777" w:rsidR="00FC14FC" w:rsidRDefault="00FC14FC" w:rsidP="00FC14FC">
      <w:pPr>
        <w:pStyle w:val="BodyText"/>
      </w:pPr>
      <w:r>
        <w:t xml:space="preserve">The Commission undertook two types of decomposition. </w:t>
      </w:r>
      <w:r w:rsidRPr="0072455F">
        <w:t xml:space="preserve">Absolute </w:t>
      </w:r>
      <w:r>
        <w:t>performance</w:t>
      </w:r>
      <w:r>
        <w:rPr>
          <w:i/>
        </w:rPr>
        <w:t xml:space="preserve"> </w:t>
      </w:r>
      <w:r>
        <w:t>decompositions take a given unit of analysis (system, segment, fund or product) and distinguish the components of the net returns for that unit of analysis, where:</w:t>
      </w:r>
    </w:p>
    <w:p w14:paraId="4777A165" w14:textId="77777777" w:rsidR="00FC14FC" w:rsidRPr="00727722" w:rsidRDefault="00FC14FC" w:rsidP="00FC14FC">
      <w:pPr>
        <w:pStyle w:val="BodyText"/>
        <w:jc w:val="left"/>
        <w:rPr>
          <w:i/>
        </w:rPr>
      </w:pPr>
      <w:r w:rsidRPr="00727722">
        <w:rPr>
          <w:i/>
        </w:rPr>
        <w:t>Net return</w:t>
      </w:r>
      <w:r>
        <w:rPr>
          <w:i/>
        </w:rPr>
        <w:t xml:space="preserve"> </w:t>
      </w:r>
      <w:r w:rsidRPr="00727722">
        <w:rPr>
          <w:i/>
        </w:rPr>
        <w:t>=</w:t>
      </w:r>
      <w:r>
        <w:rPr>
          <w:i/>
        </w:rPr>
        <w:t xml:space="preserve"> </w:t>
      </w:r>
      <w:r w:rsidRPr="00727722">
        <w:rPr>
          <w:i/>
        </w:rPr>
        <w:t>benchmark asset allocation</w:t>
      </w:r>
      <w:r>
        <w:rPr>
          <w:i/>
        </w:rPr>
        <w:t xml:space="preserve"> – </w:t>
      </w:r>
      <w:r w:rsidRPr="00727722">
        <w:rPr>
          <w:i/>
        </w:rPr>
        <w:t>administration expenses</w:t>
      </w:r>
      <w:r>
        <w:rPr>
          <w:i/>
        </w:rPr>
        <w:t xml:space="preserve"> – </w:t>
      </w:r>
      <w:r>
        <w:rPr>
          <w:i/>
        </w:rPr>
        <w:br/>
      </w:r>
      <w:r w:rsidRPr="00727722">
        <w:rPr>
          <w:i/>
        </w:rPr>
        <w:t>investment expenses</w:t>
      </w:r>
      <w:r>
        <w:rPr>
          <w:i/>
        </w:rPr>
        <w:t xml:space="preserve"> – </w:t>
      </w:r>
      <w:r w:rsidRPr="00727722">
        <w:rPr>
          <w:i/>
        </w:rPr>
        <w:t>tax</w:t>
      </w:r>
      <w:r>
        <w:rPr>
          <w:i/>
        </w:rPr>
        <w:t xml:space="preserve"> – </w:t>
      </w:r>
      <w:r w:rsidRPr="00727722">
        <w:rPr>
          <w:i/>
        </w:rPr>
        <w:t>residual</w:t>
      </w:r>
    </w:p>
    <w:p w14:paraId="53778D29" w14:textId="77777777" w:rsidR="00FC14FC" w:rsidRDefault="00FC14FC" w:rsidP="00FC14FC">
      <w:pPr>
        <w:pStyle w:val="BodyText"/>
      </w:pPr>
      <w:r>
        <w:t>Relative outperformance</w:t>
      </w:r>
      <w:r>
        <w:rPr>
          <w:i/>
        </w:rPr>
        <w:t xml:space="preserve"> </w:t>
      </w:r>
      <w:r>
        <w:t xml:space="preserve">decompositions decompose the total </w:t>
      </w:r>
      <w:r w:rsidRPr="002E774A">
        <w:rPr>
          <w:b/>
        </w:rPr>
        <w:t>out</w:t>
      </w:r>
      <w:r>
        <w:t>performance gap between segments and funds. In the case of the segment</w:t>
      </w:r>
      <w:r>
        <w:noBreakHyphen/>
        <w:t xml:space="preserve">level relative outperformance decomposition, the </w:t>
      </w:r>
      <w:r w:rsidRPr="00BF09C5">
        <w:t>out</w:t>
      </w:r>
      <w:r>
        <w:t>performance gap is calculated by subtracting the outperformance of one segment from the outperformance of the other.</w:t>
      </w:r>
      <w:r w:rsidRPr="00CF15EF">
        <w:rPr>
          <w:rStyle w:val="FootnoteReference"/>
        </w:rPr>
        <w:footnoteReference w:id="12"/>
      </w:r>
      <w:r>
        <w:t xml:space="preserve"> Specifically, it is defined as:</w:t>
      </w:r>
    </w:p>
    <w:p w14:paraId="2C6F4632" w14:textId="77777777" w:rsidR="00FC14FC" w:rsidRPr="00727722" w:rsidRDefault="00FC14FC" w:rsidP="00FC14FC">
      <w:pPr>
        <w:pStyle w:val="BodyText"/>
        <w:jc w:val="left"/>
        <w:rPr>
          <w:i/>
        </w:rPr>
      </w:pPr>
      <w:r>
        <w:rPr>
          <w:i/>
        </w:rPr>
        <w:t>(Not</w:t>
      </w:r>
      <w:r>
        <w:rPr>
          <w:i/>
        </w:rPr>
        <w:noBreakHyphen/>
        <w:t>for</w:t>
      </w:r>
      <w:r>
        <w:rPr>
          <w:i/>
        </w:rPr>
        <w:noBreakHyphen/>
      </w:r>
      <w:r w:rsidRPr="00727722">
        <w:rPr>
          <w:i/>
        </w:rPr>
        <w:t xml:space="preserve">profit actual performance </w:t>
      </w:r>
      <w:r>
        <w:rPr>
          <w:i/>
        </w:rPr>
        <w:t>– Not</w:t>
      </w:r>
      <w:r>
        <w:rPr>
          <w:i/>
        </w:rPr>
        <w:noBreakHyphen/>
        <w:t>for</w:t>
      </w:r>
      <w:r>
        <w:rPr>
          <w:i/>
        </w:rPr>
        <w:noBreakHyphen/>
      </w:r>
      <w:r w:rsidRPr="00727722">
        <w:rPr>
          <w:i/>
        </w:rPr>
        <w:t xml:space="preserve">profit benchmark) </w:t>
      </w:r>
      <w:r>
        <w:rPr>
          <w:i/>
        </w:rPr>
        <w:t>–</w:t>
      </w:r>
      <w:r w:rsidRPr="00727722">
        <w:rPr>
          <w:i/>
        </w:rPr>
        <w:t xml:space="preserve"> </w:t>
      </w:r>
      <w:r>
        <w:rPr>
          <w:i/>
        </w:rPr>
        <w:br/>
      </w:r>
      <w:r w:rsidRPr="00727722">
        <w:rPr>
          <w:i/>
        </w:rPr>
        <w:t>(Retail actual performance</w:t>
      </w:r>
      <w:r>
        <w:rPr>
          <w:i/>
        </w:rPr>
        <w:t xml:space="preserve"> – </w:t>
      </w:r>
      <w:r w:rsidRPr="00727722">
        <w:rPr>
          <w:i/>
        </w:rPr>
        <w:t>Retail benchmark)</w:t>
      </w:r>
    </w:p>
    <w:p w14:paraId="43E4C002" w14:textId="77777777" w:rsidR="00FC14FC" w:rsidRDefault="00FC14FC" w:rsidP="00FC14FC">
      <w:pPr>
        <w:pStyle w:val="BodyText"/>
      </w:pPr>
      <w:r>
        <w:t>Which is decomposed as:</w:t>
      </w:r>
    </w:p>
    <w:p w14:paraId="39A6F062" w14:textId="77777777" w:rsidR="00FC14FC" w:rsidRPr="00727722" w:rsidRDefault="00FC14FC" w:rsidP="00FC14FC">
      <w:pPr>
        <w:pStyle w:val="BodyText"/>
        <w:jc w:val="left"/>
        <w:rPr>
          <w:i/>
        </w:rPr>
      </w:pPr>
      <w:r w:rsidRPr="00727722">
        <w:rPr>
          <w:i/>
        </w:rPr>
        <w:t>Outperformance gap</w:t>
      </w:r>
      <w:r>
        <w:rPr>
          <w:i/>
        </w:rPr>
        <w:t xml:space="preserve"> </w:t>
      </w:r>
      <w:r w:rsidRPr="00727722">
        <w:rPr>
          <w:i/>
        </w:rPr>
        <w:t>=</w:t>
      </w:r>
      <w:r>
        <w:rPr>
          <w:i/>
        </w:rPr>
        <w:t xml:space="preserve"> </w:t>
      </w:r>
      <w:r w:rsidRPr="00727722">
        <w:rPr>
          <w:i/>
        </w:rPr>
        <w:t>administration expense gap</w:t>
      </w:r>
      <w:r>
        <w:rPr>
          <w:i/>
        </w:rPr>
        <w:t xml:space="preserve"> </w:t>
      </w:r>
      <w:r w:rsidRPr="00727722">
        <w:rPr>
          <w:i/>
        </w:rPr>
        <w:t>+</w:t>
      </w:r>
      <w:r>
        <w:rPr>
          <w:i/>
        </w:rPr>
        <w:t xml:space="preserve"> </w:t>
      </w:r>
      <w:r w:rsidRPr="00727722">
        <w:rPr>
          <w:i/>
        </w:rPr>
        <w:t>investment expense gap</w:t>
      </w:r>
      <w:r>
        <w:rPr>
          <w:i/>
        </w:rPr>
        <w:t xml:space="preserve"> </w:t>
      </w:r>
      <w:r w:rsidRPr="00727722">
        <w:rPr>
          <w:i/>
        </w:rPr>
        <w:t>+</w:t>
      </w:r>
      <w:r>
        <w:rPr>
          <w:i/>
        </w:rPr>
        <w:t xml:space="preserve"> </w:t>
      </w:r>
      <w:r>
        <w:rPr>
          <w:i/>
        </w:rPr>
        <w:br/>
      </w:r>
      <w:r w:rsidRPr="00727722">
        <w:rPr>
          <w:i/>
        </w:rPr>
        <w:t>tax gap</w:t>
      </w:r>
      <w:r>
        <w:rPr>
          <w:i/>
        </w:rPr>
        <w:t xml:space="preserve"> </w:t>
      </w:r>
      <w:r w:rsidRPr="00727722">
        <w:rPr>
          <w:i/>
        </w:rPr>
        <w:t>+</w:t>
      </w:r>
      <w:r>
        <w:rPr>
          <w:i/>
        </w:rPr>
        <w:t xml:space="preserve"> </w:t>
      </w:r>
      <w:r w:rsidRPr="00727722">
        <w:rPr>
          <w:i/>
        </w:rPr>
        <w:t>residual gap</w:t>
      </w:r>
    </w:p>
    <w:p w14:paraId="5460A968" w14:textId="77777777" w:rsidR="00FC14FC" w:rsidRDefault="00FC14FC" w:rsidP="00FC14FC">
      <w:pPr>
        <w:pStyle w:val="BodyText"/>
      </w:pPr>
      <w:r>
        <w:t>The interpretation in this case is that the larger the total outperformance gap, the better the not</w:t>
      </w:r>
      <w:r>
        <w:noBreakHyphen/>
        <w:t>for</w:t>
      </w:r>
      <w:r>
        <w:noBreakHyphen/>
        <w:t xml:space="preserve">profit segment is performing compared with the retail segment, after </w:t>
      </w:r>
      <w:r w:rsidRPr="009A1769">
        <w:t>accounting for differences in asset allocation.</w:t>
      </w:r>
    </w:p>
    <w:p w14:paraId="1B4FD167" w14:textId="77777777" w:rsidR="00FC14FC" w:rsidRDefault="00FC14FC" w:rsidP="00FC14FC">
      <w:pPr>
        <w:pStyle w:val="BodyText"/>
      </w:pPr>
      <w:r>
        <w:t>In terms of the components the outperformance gap is decomposed into, these also represent differences relative to benchmarks. For example, for the tax gap:</w:t>
      </w:r>
    </w:p>
    <w:p w14:paraId="60210EFE" w14:textId="77777777" w:rsidR="00FC14FC" w:rsidRDefault="00FC14FC" w:rsidP="00FC14FC">
      <w:pPr>
        <w:pStyle w:val="BodyText"/>
        <w:jc w:val="left"/>
      </w:pPr>
      <w:r>
        <w:rPr>
          <w:i/>
        </w:rPr>
        <w:t>Tax gap = (Not</w:t>
      </w:r>
      <w:r>
        <w:rPr>
          <w:i/>
        </w:rPr>
        <w:noBreakHyphen/>
        <w:t>for</w:t>
      </w:r>
      <w:r>
        <w:rPr>
          <w:i/>
        </w:rPr>
        <w:noBreakHyphen/>
        <w:t>profit actual tax – Not</w:t>
      </w:r>
      <w:r>
        <w:rPr>
          <w:i/>
        </w:rPr>
        <w:noBreakHyphen/>
        <w:t>for</w:t>
      </w:r>
      <w:r>
        <w:rPr>
          <w:i/>
        </w:rPr>
        <w:noBreakHyphen/>
        <w:t xml:space="preserve">profit tax in benchmark) – </w:t>
      </w:r>
      <w:r>
        <w:rPr>
          <w:i/>
        </w:rPr>
        <w:br/>
        <w:t>(Retail actual tax – Retail tax in benchmark)</w:t>
      </w:r>
    </w:p>
    <w:p w14:paraId="6F49176A" w14:textId="77777777" w:rsidR="00FC14FC" w:rsidRDefault="00FC14FC" w:rsidP="00FC14FC">
      <w:pPr>
        <w:pStyle w:val="BodyText"/>
      </w:pPr>
      <w:r>
        <w:t>The impact of asset allocation (the gross return of the BP) is contained in the difference between residuals:</w:t>
      </w:r>
    </w:p>
    <w:p w14:paraId="621421FC" w14:textId="77777777" w:rsidR="00FC14FC" w:rsidRDefault="00FC14FC" w:rsidP="00FC14FC">
      <w:pPr>
        <w:pStyle w:val="BodyText"/>
        <w:jc w:val="left"/>
        <w:rPr>
          <w:i/>
        </w:rPr>
      </w:pPr>
      <w:r>
        <w:rPr>
          <w:i/>
        </w:rPr>
        <w:t>Difference in residuals = Not</w:t>
      </w:r>
      <w:r>
        <w:rPr>
          <w:i/>
        </w:rPr>
        <w:noBreakHyphen/>
        <w:t>for</w:t>
      </w:r>
      <w:r>
        <w:rPr>
          <w:i/>
        </w:rPr>
        <w:noBreakHyphen/>
        <w:t>profit residual – Retail residual</w:t>
      </w:r>
    </w:p>
    <w:p w14:paraId="3968B0B7" w14:textId="77777777" w:rsidR="00FC14FC" w:rsidRDefault="00FC14FC" w:rsidP="00FC14FC">
      <w:pPr>
        <w:pStyle w:val="BodyText"/>
        <w:jc w:val="left"/>
        <w:rPr>
          <w:i/>
        </w:rPr>
      </w:pPr>
      <w:r>
        <w:rPr>
          <w:i/>
        </w:rPr>
        <w:t>= (Not</w:t>
      </w:r>
      <w:r>
        <w:rPr>
          <w:i/>
        </w:rPr>
        <w:noBreakHyphen/>
        <w:t>for</w:t>
      </w:r>
      <w:r>
        <w:rPr>
          <w:i/>
        </w:rPr>
        <w:noBreakHyphen/>
        <w:t xml:space="preserve">profit gross return – Retail gross return) – </w:t>
      </w:r>
      <w:r>
        <w:rPr>
          <w:i/>
        </w:rPr>
        <w:br/>
        <w:t>(Not</w:t>
      </w:r>
      <w:r>
        <w:rPr>
          <w:i/>
        </w:rPr>
        <w:noBreakHyphen/>
        <w:t>for</w:t>
      </w:r>
      <w:r>
        <w:rPr>
          <w:i/>
        </w:rPr>
        <w:noBreakHyphen/>
        <w:t>profit gross benchmarked – Retail gross benchmark)</w:t>
      </w:r>
    </w:p>
    <w:p w14:paraId="0050331A" w14:textId="77777777" w:rsidR="00FC14FC" w:rsidRPr="000A5D44" w:rsidRDefault="00FC14FC" w:rsidP="00FC14FC">
      <w:pPr>
        <w:pStyle w:val="BodyText"/>
        <w:jc w:val="left"/>
        <w:rPr>
          <w:i/>
        </w:rPr>
      </w:pPr>
      <w:r>
        <w:rPr>
          <w:i/>
        </w:rPr>
        <w:t>= Difference in gross returns – difference in asset allocation</w:t>
      </w:r>
    </w:p>
    <w:p w14:paraId="1FC51F06" w14:textId="77777777" w:rsidR="00FC14FC" w:rsidRDefault="00FC14FC" w:rsidP="00FC14FC">
      <w:pPr>
        <w:pStyle w:val="BodyText"/>
      </w:pPr>
      <w:r>
        <w:lastRenderedPageBreak/>
        <w:t>In the case of fund</w:t>
      </w:r>
      <w:r>
        <w:noBreakHyphen/>
        <w:t xml:space="preserve">level </w:t>
      </w:r>
      <w:r w:rsidRPr="0072455F">
        <w:t>relative outperformance</w:t>
      </w:r>
      <w:r>
        <w:t xml:space="preserve"> decompositions (section 4.3), the total </w:t>
      </w:r>
      <w:r w:rsidRPr="009A1769">
        <w:rPr>
          <w:b/>
        </w:rPr>
        <w:t>out</w:t>
      </w:r>
      <w:r>
        <w:t xml:space="preserve">performance gap is the fund’s </w:t>
      </w:r>
      <w:r w:rsidRPr="00CC2F46">
        <w:t>outp</w:t>
      </w:r>
      <w:r>
        <w:t>erformance minus system outperformance. Funds with a large and positive total outperformance gap are performing better than the system as a whole, taking into account differences in asset allocation. And funds with a negative outperformance gap are performing worse than the system, even when accounting for differences in asset allocation.</w:t>
      </w:r>
    </w:p>
    <w:p w14:paraId="6843F3F5" w14:textId="77777777" w:rsidR="00FC14FC" w:rsidRPr="000136CC" w:rsidRDefault="00FC14FC" w:rsidP="00FC14FC">
      <w:pPr>
        <w:pStyle w:val="BodyText"/>
        <w:rPr>
          <w:spacing w:val="-2"/>
        </w:rPr>
      </w:pPr>
      <w:r w:rsidRPr="000136CC">
        <w:rPr>
          <w:spacing w:val="-2"/>
        </w:rPr>
        <w:t>The Commission has used simple arithmetic averages for the decomposition analysis because geometric averages (time</w:t>
      </w:r>
      <w:r w:rsidRPr="000136CC">
        <w:rPr>
          <w:spacing w:val="-2"/>
        </w:rPr>
        <w:noBreakHyphen/>
        <w:t>weighted measures) are not linear functions of inputs and thus pose computational difficulties for decomposing attribution quantities. However, arithmetic averages provide a reasonable approximation as the discrepancies are likely to be small.</w:t>
      </w:r>
    </w:p>
    <w:p w14:paraId="11F2F0DF" w14:textId="77777777" w:rsidR="00FC14FC" w:rsidRDefault="00FC14FC" w:rsidP="00FC14FC">
      <w:pPr>
        <w:pStyle w:val="Heading4"/>
      </w:pPr>
      <w:r>
        <w:t>Exploratory analysis of residuals</w:t>
      </w:r>
    </w:p>
    <w:p w14:paraId="300F5FF2" w14:textId="77777777" w:rsidR="00FC14FC" w:rsidRDefault="00FC14FC" w:rsidP="00FC14FC">
      <w:pPr>
        <w:pStyle w:val="BodyText"/>
      </w:pPr>
      <w:r>
        <w:t>The Commission also conducted simple regression analysis of the fund</w:t>
      </w:r>
      <w:r>
        <w:noBreakHyphen/>
        <w:t>level residuals to explore potential correlations with various fund characteristics. While the correlations might suggest avenues of further investigation and analysis by regulators and researchers, the results here are associative — they can only indicate correlation, not causation.</w:t>
      </w:r>
    </w:p>
    <w:p w14:paraId="58E0A4F3" w14:textId="77777777" w:rsidR="00FC14FC" w:rsidRDefault="00FC14FC" w:rsidP="00FC14FC">
      <w:pPr>
        <w:pStyle w:val="Heading3"/>
      </w:pPr>
      <w:r>
        <w:t>Rate of return and return on assets (SMSFs)</w:t>
      </w:r>
    </w:p>
    <w:p w14:paraId="3D24D68B" w14:textId="77777777" w:rsidR="00FC14FC" w:rsidRDefault="00FC14FC" w:rsidP="00FC14FC">
      <w:pPr>
        <w:pStyle w:val="BodyText"/>
      </w:pPr>
      <w:r>
        <w:t>Calculating a simple annual return is complicated by the fact that the level of underlying assets can change during the year due to contributions flows. Class Limited (sub. DR190) and the SMSF Association (sub. DR194) submitted that the ‘return on assets’ (ROA) formula used by the ATO to calculate SMSF returns provides systematically lower figures than the ‘rate of return’ (ROR) formula used by APRA to calculate returns for APRA</w:t>
      </w:r>
      <w:r>
        <w:noBreakHyphen/>
        <w:t>regulated funds</w:t>
      </w:r>
      <w:r>
        <w:rPr>
          <w:rStyle w:val="FootnoteReference"/>
        </w:rPr>
        <w:footnoteReference w:id="13"/>
      </w:r>
      <w:r>
        <w:t>. This is because of how the measures are constructed:</w:t>
      </w:r>
    </w:p>
    <w:p w14:paraId="49476B49" w14:textId="77777777" w:rsidR="00FC14FC" w:rsidRPr="00CC1DB0" w:rsidRDefault="00FC14FC" w:rsidP="00FC14FC">
      <w:pPr>
        <w:pStyle w:val="BodyText"/>
        <w:rPr>
          <w:sz w:val="20"/>
        </w:rPr>
      </w:pPr>
      <m:oMathPara>
        <m:oMathParaPr>
          <m:jc m:val="left"/>
        </m:oMathParaPr>
        <m:oMath>
          <m:r>
            <w:rPr>
              <w:rFonts w:ascii="Cambria Math" w:hAnsi="Cambria Math"/>
              <w:sz w:val="20"/>
            </w:rPr>
            <m:t xml:space="preserve">ROA </m:t>
          </m:r>
          <m:d>
            <m:dPr>
              <m:ctrlPr>
                <w:rPr>
                  <w:rFonts w:ascii="Cambria Math" w:hAnsi="Cambria Math"/>
                  <w:i/>
                  <w:sz w:val="20"/>
                </w:rPr>
              </m:ctrlPr>
            </m:dPr>
            <m:e>
              <m:r>
                <w:rPr>
                  <w:rFonts w:ascii="Cambria Math" w:hAnsi="Cambria Math"/>
                  <w:sz w:val="20"/>
                </w:rPr>
                <m:t>ATO</m:t>
              </m:r>
            </m:e>
          </m:d>
          <m:r>
            <w:rPr>
              <w:rFonts w:ascii="Cambria Math" w:hAnsi="Cambria Math"/>
              <w:sz w:val="20"/>
            </w:rPr>
            <m:t>=</m:t>
          </m:r>
          <m:f>
            <m:fPr>
              <m:ctrlPr>
                <w:rPr>
                  <w:rFonts w:ascii="Cambria Math" w:hAnsi="Cambria Math"/>
                  <w:i/>
                  <w:sz w:val="20"/>
                </w:rPr>
              </m:ctrlPr>
            </m:fPr>
            <m:num>
              <m:r>
                <w:rPr>
                  <w:rFonts w:ascii="Cambria Math" w:hAnsi="Cambria Math"/>
                  <w:sz w:val="20"/>
                </w:rPr>
                <m:t>Net earnings after tax</m:t>
              </m:r>
            </m:num>
            <m:den>
              <m:r>
                <w:rPr>
                  <w:rFonts w:ascii="Cambria Math" w:hAnsi="Cambria Math"/>
                  <w:sz w:val="20"/>
                </w:rPr>
                <m:t>Average assets over the period</m:t>
              </m:r>
            </m:den>
          </m:f>
          <m:r>
            <w:rPr>
              <w:rFonts w:ascii="Cambria Math" w:hAnsi="Cambria Math"/>
              <w:sz w:val="20"/>
            </w:rPr>
            <m:t xml:space="preserve">         ROR (APRA)=</m:t>
          </m:r>
          <m:f>
            <m:fPr>
              <m:ctrlPr>
                <w:rPr>
                  <w:rFonts w:ascii="Cambria Math" w:hAnsi="Cambria Math"/>
                  <w:i/>
                  <w:sz w:val="20"/>
                </w:rPr>
              </m:ctrlPr>
            </m:fPr>
            <m:num>
              <m:r>
                <w:rPr>
                  <w:rFonts w:ascii="Cambria Math" w:hAnsi="Cambria Math"/>
                  <w:sz w:val="20"/>
                </w:rPr>
                <m:t>Net earnings after tax</m:t>
              </m:r>
            </m:num>
            <m:den>
              <m:r>
                <w:rPr>
                  <w:rFonts w:ascii="Cambria Math" w:hAnsi="Cambria Math"/>
                  <w:sz w:val="20"/>
                </w:rPr>
                <m:t>Cashflow adjusted net assets</m:t>
              </m:r>
            </m:den>
          </m:f>
        </m:oMath>
      </m:oMathPara>
    </w:p>
    <w:p w14:paraId="53EBB2B9" w14:textId="77777777" w:rsidR="00FC14FC" w:rsidRDefault="00FC14FC" w:rsidP="00FC14FC">
      <w:pPr>
        <w:pStyle w:val="BodyText"/>
      </w:pPr>
      <w:r>
        <w:t>One key difference is the denominator used in each of the two measures — the ROA measure simply uses the average value of net assets over the period (calculated by taking the average of the assets at the beginning, and the assets at end of the period), whereas the ROR measure takes the beginning value and adds adjustments for net member flows and net insurance flows.</w:t>
      </w:r>
      <w:r>
        <w:rPr>
          <w:rStyle w:val="FootnoteReference"/>
        </w:rPr>
        <w:footnoteReference w:id="14"/>
      </w:r>
      <w:r>
        <w:t xml:space="preserve"> The effect is that the ROA denominator is influenced by net earnings during the period through the value of assets at the end of the period, while the ROR denominator is not — meaning that the ROA measure will produce systematically lower estimates of returns than the ROR measure.</w:t>
      </w:r>
    </w:p>
    <w:p w14:paraId="14344FEE" w14:textId="77777777" w:rsidR="00FC14FC" w:rsidRDefault="00FC14FC" w:rsidP="00FC14FC">
      <w:pPr>
        <w:pStyle w:val="BodyText"/>
      </w:pPr>
      <w:r>
        <w:lastRenderedPageBreak/>
        <w:t>The method for calculating ‘net earnings after tax’ also differs, affecting both the numerator and denominator of both measures. In the case of ROA (as calculated by the ATO), net earnings are measured as the difference between opening and closing assets over a given period, with adjustments for non</w:t>
      </w:r>
      <w:r>
        <w:noBreakHyphen/>
        <w:t>earnings cashflows contributions, inward rollovers and other income not considered income. In the case of ROR (as calculated by APRA), net earnings are calculated directly using data on net investment and operating income and on changes in asset values (data which are not reported to the ATO by SMSFs) (ATO, pers. comm., 8 August 2017). The consequence is that the ROA measure of net earnings is net of contributions tax and insurance flows, whereas the ROR measure is gross of contributions tax and insurance flows (Class Limited, sub. DR190). Again, this means that ROA estimates of returns will tend to be lower than ROR estimates.</w:t>
      </w:r>
    </w:p>
    <w:p w14:paraId="35EB2671" w14:textId="77777777" w:rsidR="00FC14FC" w:rsidRPr="000136CC" w:rsidRDefault="00FC14FC" w:rsidP="00FC14FC">
      <w:pPr>
        <w:pStyle w:val="BodyText"/>
        <w:rPr>
          <w:spacing w:val="-2"/>
        </w:rPr>
      </w:pPr>
      <w:r w:rsidRPr="000136CC">
        <w:rPr>
          <w:spacing w:val="-2"/>
        </w:rPr>
        <w:t>In addition to these differences, the SMSF Association (sub. DR194) suggested that ATO calculations of ROA may capture a wider set of administration expenses than APRA calculations of ROR, and thus may be influenced by advice and establishment costs of SMSFs.</w:t>
      </w:r>
    </w:p>
    <w:p w14:paraId="192E93BF" w14:textId="77777777" w:rsidR="00FC14FC" w:rsidRDefault="00FC14FC" w:rsidP="00FC14FC">
      <w:pPr>
        <w:pStyle w:val="BodyText"/>
      </w:pPr>
      <w:r>
        <w:t>Some of the differences between the ROA and ROR formulas were acknowledged in the Commission’s draft report. Since then, estimates have been provided to the Commission that attempt to replicate the ROR formula for SMSFs. This includes estimates from the ATO that attempt to more closely align the ROA formula for SMSFs to the ROR formula for APRA</w:t>
      </w:r>
      <w:r>
        <w:noBreakHyphen/>
        <w:t>regulated funds, allowing for improved comparisons (figure 4.4</w:t>
      </w:r>
      <w:r w:rsidRPr="00F56CF5">
        <w:t>).</w:t>
      </w:r>
      <w:r>
        <w:t xml:space="preserve"> These estimates were only provided for the SMSF segment as a whole.</w:t>
      </w:r>
    </w:p>
    <w:p w14:paraId="2AE6BFEF" w14:textId="77777777" w:rsidR="00FC14FC" w:rsidRPr="00F56CF5" w:rsidRDefault="00FC14FC" w:rsidP="00FC14FC">
      <w:pPr>
        <w:pStyle w:val="ListBullet"/>
      </w:pPr>
      <w:r w:rsidRPr="00F56CF5">
        <w:t xml:space="preserve">Class Limited provided </w:t>
      </w:r>
      <w:r>
        <w:t>ROR</w:t>
      </w:r>
      <w:r w:rsidRPr="00F56CF5">
        <w:t xml:space="preserve"> estimates </w:t>
      </w:r>
      <w:r>
        <w:t xml:space="preserve">(based on publicly available data) </w:t>
      </w:r>
      <w:r w:rsidRPr="00F56CF5">
        <w:t xml:space="preserve">that adjust for the time period in the denominator, as well as the effect of contributions </w:t>
      </w:r>
      <w:r>
        <w:t xml:space="preserve">tax </w:t>
      </w:r>
      <w:r w:rsidRPr="00F56CF5">
        <w:t>and insurance flows.</w:t>
      </w:r>
    </w:p>
    <w:p w14:paraId="715DFA7B" w14:textId="77777777" w:rsidR="00FC14FC" w:rsidRDefault="00FC14FC" w:rsidP="00FC14FC">
      <w:pPr>
        <w:pStyle w:val="ListBullet"/>
      </w:pPr>
      <w:r>
        <w:t xml:space="preserve">The ATO provided ROA estimates that only adjust </w:t>
      </w:r>
      <w:r w:rsidRPr="00F56CF5">
        <w:t>for the time period in the denominator.</w:t>
      </w:r>
    </w:p>
    <w:p w14:paraId="3D5F258A" w14:textId="77777777" w:rsidR="00FC14FC" w:rsidRDefault="00FC14FC" w:rsidP="00FC14FC">
      <w:pPr>
        <w:pStyle w:val="BodyText"/>
      </w:pPr>
      <w:r>
        <w:t xml:space="preserve">Class Limited estimates suggest that the standard ROA measure is, on average, about 1 percentage point below the </w:t>
      </w:r>
      <w:r w:rsidRPr="00F56CF5">
        <w:t>RO</w:t>
      </w:r>
      <w:r>
        <w:t>R measure, with the difference greatest in the earlier years of the sample (though the ATO estimates suggest a smaller margin). To the extent that contributions tax and insurance flows are relatively larger for smaller SMSFs, the difference between the ROA and ROR measures is likely to be greatest for smaller SMSFs. A chart submitted by Class Limited (sub. DR216) based on a subset of SMSFs indicates that the difference between the two measures is small for SMSFs with over $1 million, but material (over 3 percentage points) for those with under $100 000 in assets.</w:t>
      </w:r>
    </w:p>
    <w:p w14:paraId="062FE57F" w14:textId="77777777" w:rsidR="00FC14FC" w:rsidRDefault="00FC14FC" w:rsidP="00FC14FC">
      <w:pPr>
        <w:pStyle w:val="BodyText"/>
      </w:pPr>
      <w:r>
        <w:t xml:space="preserve">Direct estimates of ROR for SMSFs are not available for all years. To account for this, the Commission has used a simple mathematical adjustment published by Sy </w:t>
      </w:r>
      <w:r w:rsidRPr="004D7052">
        <w:t>(2009a)</w:t>
      </w:r>
      <w:r>
        <w:t>:</w:t>
      </w:r>
    </w:p>
    <w:p w14:paraId="7683DBC0" w14:textId="77777777" w:rsidR="00FC14FC" w:rsidRPr="00265951" w:rsidRDefault="00FC14FC" w:rsidP="00FC14FC">
      <w:pPr>
        <w:pStyle w:val="ListBullet"/>
        <w:numPr>
          <w:ilvl w:val="0"/>
          <w:numId w:val="0"/>
        </w:numPr>
        <w:ind w:left="340"/>
      </w:pPr>
      <m:oMathPara>
        <m:oMathParaPr>
          <m:jc m:val="left"/>
        </m:oMathParaPr>
        <m:oMath>
          <m:r>
            <w:rPr>
              <w:rFonts w:ascii="Cambria Math" w:hAnsi="Cambria Math"/>
            </w:rPr>
            <m:t>ROR</m:t>
          </m:r>
          <m:r>
            <m:rPr>
              <m:sty m:val="p"/>
            </m:rPr>
            <w:rPr>
              <w:rFonts w:ascii="Cambria Math" w:hAnsi="Cambria Math"/>
            </w:rPr>
            <m:t>=</m:t>
          </m:r>
          <m:f>
            <m:fPr>
              <m:ctrlPr>
                <w:rPr>
                  <w:rFonts w:ascii="Cambria Math" w:hAnsi="Cambria Math"/>
                </w:rPr>
              </m:ctrlPr>
            </m:fPr>
            <m:num>
              <m:r>
                <w:rPr>
                  <w:rFonts w:ascii="Cambria Math" w:hAnsi="Cambria Math"/>
                </w:rPr>
                <m:t>ROA</m:t>
              </m:r>
            </m:num>
            <m:den>
              <m:r>
                <m:rPr>
                  <m:sty m:val="p"/>
                </m:rPr>
                <w:rPr>
                  <w:rFonts w:ascii="Cambria Math" w:hAnsi="Cambria Math"/>
                </w:rPr>
                <m:t>1-</m:t>
              </m:r>
              <m:f>
                <m:fPr>
                  <m:ctrlPr>
                    <w:rPr>
                      <w:rFonts w:ascii="Cambria Math" w:hAnsi="Cambria Math"/>
                    </w:rPr>
                  </m:ctrlPr>
                </m:fPr>
                <m:num>
                  <m:r>
                    <w:rPr>
                      <w:rFonts w:ascii="Cambria Math" w:hAnsi="Cambria Math"/>
                    </w:rPr>
                    <m:t>ROA</m:t>
                  </m:r>
                </m:num>
                <m:den>
                  <m:r>
                    <m:rPr>
                      <m:sty m:val="p"/>
                    </m:rPr>
                    <w:rPr>
                      <w:rFonts w:ascii="Cambria Math" w:hAnsi="Cambria Math"/>
                    </w:rPr>
                    <m:t>2</m:t>
                  </m:r>
                </m:den>
              </m:f>
            </m:den>
          </m:f>
          <m:r>
            <m:rPr>
              <m:sty m:val="p"/>
            </m:rPr>
            <w:rPr>
              <w:rFonts w:ascii="Cambria Math" w:hAnsi="Cambria Math"/>
            </w:rPr>
            <m:t xml:space="preserve"> </m:t>
          </m:r>
        </m:oMath>
      </m:oMathPara>
    </w:p>
    <w:p w14:paraId="3B9251CE"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2B44C5BE" w14:textId="77777777" w:rsidTr="00D11B9D">
        <w:trPr>
          <w:tblHeader/>
        </w:trPr>
        <w:tc>
          <w:tcPr>
            <w:tcW w:w="5000" w:type="pct"/>
            <w:tcBorders>
              <w:top w:val="single" w:sz="6" w:space="0" w:color="78A22F"/>
              <w:left w:val="nil"/>
              <w:bottom w:val="nil"/>
              <w:right w:val="nil"/>
            </w:tcBorders>
            <w:shd w:val="clear" w:color="auto" w:fill="auto"/>
          </w:tcPr>
          <w:p w14:paraId="77592BD1" w14:textId="77777777" w:rsidR="00FC14FC" w:rsidRDefault="00FC14FC" w:rsidP="00D11B9D">
            <w:pPr>
              <w:pStyle w:val="FigureTitle"/>
              <w:rPr>
                <w:rStyle w:val="NoteLabel"/>
                <w:b/>
              </w:rPr>
            </w:pPr>
            <w:r w:rsidRPr="00784A05">
              <w:rPr>
                <w:b w:val="0"/>
              </w:rPr>
              <w:t xml:space="preserve">Figure </w:t>
            </w:r>
            <w:r>
              <w:rPr>
                <w:b w:val="0"/>
              </w:rPr>
              <w:t>4.4</w:t>
            </w:r>
            <w:r>
              <w:tab/>
              <w:t>ROA estimates are generally lower than ROR estimates</w:t>
            </w:r>
            <w:r w:rsidRPr="009E3A8F">
              <w:rPr>
                <w:rStyle w:val="NoteLabel"/>
              </w:rPr>
              <w:t>a</w:t>
            </w:r>
          </w:p>
          <w:p w14:paraId="32F2E4EA" w14:textId="77777777" w:rsidR="00FC14FC" w:rsidRPr="00176D3F" w:rsidRDefault="00FC14FC" w:rsidP="00D11B9D">
            <w:pPr>
              <w:pStyle w:val="Subtitle"/>
            </w:pPr>
            <w:r>
              <w:t>SMSFs, 2006–2016</w:t>
            </w:r>
          </w:p>
        </w:tc>
      </w:tr>
      <w:tr w:rsidR="00FC14FC" w14:paraId="1DAAD2CF"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51E9A831" w14:textId="77777777" w:rsidTr="00D11B9D">
              <w:trPr>
                <w:tblHeader/>
                <w:jc w:val="center"/>
              </w:trPr>
              <w:tc>
                <w:tcPr>
                  <w:tcW w:w="5000" w:type="pct"/>
                  <w:tcBorders>
                    <w:top w:val="nil"/>
                    <w:bottom w:val="nil"/>
                  </w:tcBorders>
                </w:tcPr>
                <w:p w14:paraId="0862D09C" w14:textId="77777777" w:rsidR="00FC14FC" w:rsidRPr="00B1465D" w:rsidRDefault="00FC14FC" w:rsidP="00D11B9D">
                  <w:pPr>
                    <w:pStyle w:val="Figure"/>
                    <w:spacing w:before="60" w:after="60"/>
                    <w:rPr>
                      <w:rFonts w:ascii="Arial" w:hAnsi="Arial" w:cs="Arial"/>
                      <w:sz w:val="18"/>
                      <w:szCs w:val="18"/>
                    </w:rPr>
                  </w:pPr>
                  <w:r>
                    <w:rPr>
                      <w:rFonts w:ascii="Arial" w:hAnsi="Arial" w:cs="Arial"/>
                      <w:sz w:val="18"/>
                      <w:szCs w:val="18"/>
                    </w:rPr>
                    <w:t xml:space="preserve"> </w:t>
                  </w:r>
                  <w:r w:rsidRPr="005B2858">
                    <w:rPr>
                      <w:rFonts w:ascii="Arial" w:hAnsi="Arial" w:cs="Arial"/>
                      <w:noProof/>
                      <w:sz w:val="18"/>
                      <w:szCs w:val="18"/>
                    </w:rPr>
                    <w:drawing>
                      <wp:inline distT="0" distB="0" distL="0" distR="0" wp14:anchorId="058662FC" wp14:editId="0F90209C">
                        <wp:extent cx="5143500" cy="2760980"/>
                        <wp:effectExtent l="0" t="0" r="0" b="1270"/>
                        <wp:docPr id="9" name="Picture 9" descr="Fig 4.4. This bar chart shows the impact of using different returns methods on SMSF returns. The Class ROR estimate is generally the highest, while the ATO ROA is generally the lowest. " title="ROA measures are generally lower than 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0" cy="2760980"/>
                                </a:xfrm>
                                <a:prstGeom prst="rect">
                                  <a:avLst/>
                                </a:prstGeom>
                                <a:noFill/>
                                <a:ln>
                                  <a:noFill/>
                                </a:ln>
                              </pic:spPr>
                            </pic:pic>
                          </a:graphicData>
                        </a:graphic>
                      </wp:inline>
                    </w:drawing>
                  </w:r>
                </w:p>
              </w:tc>
            </w:tr>
          </w:tbl>
          <w:p w14:paraId="0BE6507F" w14:textId="77777777" w:rsidR="00FC14FC" w:rsidRDefault="00FC14FC" w:rsidP="00D11B9D">
            <w:pPr>
              <w:pStyle w:val="Figure"/>
            </w:pPr>
          </w:p>
        </w:tc>
      </w:tr>
      <w:tr w:rsidR="00FC14FC" w:rsidRPr="00176D3F" w14:paraId="0ECC09A6" w14:textId="77777777" w:rsidTr="00D11B9D">
        <w:tc>
          <w:tcPr>
            <w:tcW w:w="5000" w:type="pct"/>
            <w:tcBorders>
              <w:top w:val="nil"/>
              <w:left w:val="nil"/>
              <w:bottom w:val="nil"/>
              <w:right w:val="nil"/>
            </w:tcBorders>
            <w:shd w:val="clear" w:color="auto" w:fill="auto"/>
          </w:tcPr>
          <w:p w14:paraId="3D660B4B" w14:textId="77777777" w:rsidR="00FC14FC" w:rsidRPr="00176D3F" w:rsidRDefault="00FC14FC" w:rsidP="00D11B9D">
            <w:pPr>
              <w:pStyle w:val="Note"/>
            </w:pPr>
            <w:r>
              <w:rPr>
                <w:rStyle w:val="NoteLabel"/>
              </w:rPr>
              <w:t>a</w:t>
            </w:r>
            <w:r>
              <w:rPr>
                <w:b/>
              </w:rPr>
              <w:t xml:space="preserve"> </w:t>
            </w:r>
            <w:r>
              <w:t>The estimates for Class Limited differ slightly from those in its submission (sub. DR190, p. 4) due to refinements to the calculation methodology. ATO revised ROA estimates are not available for all years.</w:t>
            </w:r>
          </w:p>
        </w:tc>
      </w:tr>
      <w:tr w:rsidR="00FC14FC" w:rsidRPr="00176D3F" w14:paraId="0721784D" w14:textId="77777777" w:rsidTr="00D11B9D">
        <w:tc>
          <w:tcPr>
            <w:tcW w:w="5000" w:type="pct"/>
            <w:tcBorders>
              <w:top w:val="nil"/>
              <w:left w:val="nil"/>
              <w:bottom w:val="nil"/>
              <w:right w:val="nil"/>
            </w:tcBorders>
            <w:shd w:val="clear" w:color="auto" w:fill="auto"/>
          </w:tcPr>
          <w:p w14:paraId="449AF122" w14:textId="77777777" w:rsidR="00FC14FC" w:rsidRPr="00176D3F" w:rsidRDefault="00FC14FC" w:rsidP="00D11B9D">
            <w:pPr>
              <w:pStyle w:val="Source"/>
            </w:pPr>
            <w:r>
              <w:rPr>
                <w:i/>
              </w:rPr>
              <w:t>Sources</w:t>
            </w:r>
            <w:r w:rsidRPr="00167F06">
              <w:t xml:space="preserve">: </w:t>
            </w:r>
            <w:r>
              <w:t>ATO (</w:t>
            </w:r>
            <w:r w:rsidRPr="003B6044">
              <w:t>pers. comm., 8</w:t>
            </w:r>
            <w:r>
              <w:t> </w:t>
            </w:r>
            <w:r w:rsidRPr="003B6044">
              <w:t>August 2017</w:t>
            </w:r>
            <w:r>
              <w:t>;</w:t>
            </w:r>
            <w:r w:rsidRPr="003B6044">
              <w:t xml:space="preserve"> 11</w:t>
            </w:r>
            <w:r>
              <w:t> </w:t>
            </w:r>
            <w:r w:rsidRPr="003B6044">
              <w:t>December 2017; 31</w:t>
            </w:r>
            <w:r>
              <w:t> </w:t>
            </w:r>
            <w:r w:rsidRPr="003B6044">
              <w:t>August 2018</w:t>
            </w:r>
            <w:r>
              <w:t>); Class Limited (pers. comm, 29 August 2018).</w:t>
            </w:r>
          </w:p>
        </w:tc>
      </w:tr>
      <w:tr w:rsidR="00FC14FC" w14:paraId="63498967" w14:textId="77777777" w:rsidTr="00D11B9D">
        <w:tc>
          <w:tcPr>
            <w:tcW w:w="5000" w:type="pct"/>
            <w:tcBorders>
              <w:top w:val="nil"/>
              <w:left w:val="nil"/>
              <w:bottom w:val="single" w:sz="6" w:space="0" w:color="78A22F"/>
              <w:right w:val="nil"/>
            </w:tcBorders>
            <w:shd w:val="clear" w:color="auto" w:fill="auto"/>
          </w:tcPr>
          <w:p w14:paraId="2A10D85F" w14:textId="77777777" w:rsidR="00FC14FC" w:rsidRDefault="00FC14FC" w:rsidP="00D11B9D">
            <w:pPr>
              <w:pStyle w:val="Figurespace"/>
            </w:pPr>
          </w:p>
        </w:tc>
      </w:tr>
      <w:tr w:rsidR="00FC14FC" w:rsidRPr="000863A5" w14:paraId="21AC76C2" w14:textId="77777777" w:rsidTr="00D11B9D">
        <w:tc>
          <w:tcPr>
            <w:tcW w:w="5000" w:type="pct"/>
            <w:tcBorders>
              <w:top w:val="single" w:sz="6" w:space="0" w:color="78A22F"/>
              <w:left w:val="nil"/>
              <w:bottom w:val="nil"/>
              <w:right w:val="nil"/>
            </w:tcBorders>
          </w:tcPr>
          <w:p w14:paraId="17292CE8" w14:textId="77777777" w:rsidR="00FC14FC" w:rsidRPr="00626D32" w:rsidRDefault="00FC14FC" w:rsidP="00D11B9D">
            <w:pPr>
              <w:pStyle w:val="BoxSpaceBelow"/>
            </w:pPr>
          </w:p>
        </w:tc>
      </w:tr>
    </w:tbl>
    <w:p w14:paraId="7054A5F9" w14:textId="77777777" w:rsidR="00FC14FC" w:rsidRDefault="00FC14FC" w:rsidP="00FC14FC">
      <w:pPr>
        <w:pStyle w:val="BodyText"/>
      </w:pPr>
      <w:r>
        <w:t>The effect of this adjustment it yields a similar difference to the conventional ROA measure as the other adjustments (figure 4.4). Over the period 2012–2016, this method yielded an SMSF returns estimate that was about 36 basis points more than the unadjusted ROA measure (on an annualised basis). Because the methodology is based only on the rate of return, it does not account for the factors that can create distortions across size brackets.</w:t>
      </w:r>
    </w:p>
    <w:p w14:paraId="7A7035D1" w14:textId="77777777" w:rsidR="00FC14FC" w:rsidRDefault="00FC14FC" w:rsidP="00FC14FC">
      <w:pPr>
        <w:pStyle w:val="BodyText"/>
      </w:pPr>
      <w:r>
        <w:t xml:space="preserve">A further issue is that the ATO publishes data for SMSF returns in summary form according to a set of size brackets, with SMSFs assigned to brackets based on their average balance during the period (which reflects the size of the SMSF overall rather than of individual member balances). However, SMSFs that experience high returns (or, conversely, negative returns) may move up (or down) to another size bracket during the period. Class Limited (sub. DR190, p. 6) submitted that this can lead to ‘selection bias’, whereby the returns for smaller size brackets are brought down — by over 10 percentage points in the case of the smallest SMSFs. It argued that grouping SMSFs according to balance at the </w:t>
      </w:r>
      <w:r>
        <w:rPr>
          <w:i/>
        </w:rPr>
        <w:t>beginning</w:t>
      </w:r>
      <w:r>
        <w:t xml:space="preserve"> of the period can avoid this type of selection bias. Grouping the data this way would mean that the measured net return better reflects the average experience of SMSFs that start out with similar balances.</w:t>
      </w:r>
    </w:p>
    <w:p w14:paraId="3DCD9693" w14:textId="77777777" w:rsidR="00FC14FC" w:rsidRDefault="00FC14FC" w:rsidP="00FC14FC">
      <w:pPr>
        <w:pStyle w:val="BodyText"/>
      </w:pPr>
      <w:r>
        <w:t xml:space="preserve">The ATO provided calculations of ROA using an amended methodology that use size brackets according to balance at the beginning of each year, rather than the average balance over the year (figure 4.5). In each year, the effect of measuring balances at the beginning of </w:t>
      </w:r>
      <w:r>
        <w:lastRenderedPageBreak/>
        <w:t>the period is to lift the measured returns for all size brackets, with the exception of the very largest ($2 million or more). The differences are more pronounced for smaller SMSFs, especially those with balances under $500 000. In 2016, for example, the difference in estimated returns was about 1.2 percentage points for SMSFs between $200 000 and $500 000 in size, and as high as 17 percentage points for the smallest SMSFs (under $50 000). The differences were of similar magnitudes for other years.</w:t>
      </w:r>
    </w:p>
    <w:p w14:paraId="131664CA" w14:textId="77777777" w:rsidR="00FC14FC" w:rsidRDefault="00FC14FC" w:rsidP="00FC14FC">
      <w:pPr>
        <w:pStyle w:val="BodyText"/>
      </w:pPr>
      <w:r>
        <w:t xml:space="preserve">These differences in estimated returns are explained by the fact that, most notably for the smaller SMSFs, the average size of SMSFs </w:t>
      </w:r>
      <w:r>
        <w:rPr>
          <w:i/>
        </w:rPr>
        <w:t>within</w:t>
      </w:r>
      <w:r>
        <w:t xml:space="preserve"> each bracket is larger when grouped by assets at the beginning of the period, compared with when grouped by average assets over the period. This may be because SMSFs close to the top of their starting bracket that experience strong returns (or high inward rollovers or contributions) end up being reclassified into the next highest bracket for the average</w:t>
      </w:r>
      <w:r>
        <w:noBreakHyphen/>
        <w:t>assets measure. At the same time, SMSFs could be measured as having strongly negative returns using the average</w:t>
      </w:r>
      <w:r>
        <w:noBreakHyphen/>
        <w:t>assets measure if their assets (the denominator in the calculation) shrink over the period — for example, because of high expenses and/or drawdowns from retired members. This appears likely, at least in the smallest size brackets, as net earnings were negative for SMSFs starting with less than $100 000 for most years over the period 2012–2016.</w:t>
      </w:r>
    </w:p>
    <w:p w14:paraId="5D2555A0"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772843C4" w14:textId="77777777" w:rsidTr="00D11B9D">
        <w:trPr>
          <w:tblHeader/>
        </w:trPr>
        <w:tc>
          <w:tcPr>
            <w:tcW w:w="5000" w:type="pct"/>
            <w:tcBorders>
              <w:top w:val="single" w:sz="6" w:space="0" w:color="78A22F"/>
              <w:left w:val="nil"/>
              <w:bottom w:val="nil"/>
              <w:right w:val="nil"/>
            </w:tcBorders>
            <w:shd w:val="clear" w:color="auto" w:fill="auto"/>
          </w:tcPr>
          <w:p w14:paraId="7C52B676" w14:textId="77777777" w:rsidR="00FC14FC" w:rsidRDefault="00FC14FC" w:rsidP="00D11B9D">
            <w:pPr>
              <w:pStyle w:val="FigureTitle"/>
              <w:rPr>
                <w:rStyle w:val="NoteLabel"/>
                <w:b/>
              </w:rPr>
            </w:pPr>
            <w:r w:rsidRPr="00784A05">
              <w:rPr>
                <w:b w:val="0"/>
              </w:rPr>
              <w:t xml:space="preserve">Figure </w:t>
            </w:r>
            <w:r>
              <w:rPr>
                <w:b w:val="0"/>
                <w:noProof/>
              </w:rPr>
              <w:t>4.5</w:t>
            </w:r>
            <w:r>
              <w:tab/>
              <w:t>Different balance period methods produce different return estimates</w:t>
            </w:r>
            <w:r w:rsidRPr="007C08E3">
              <w:rPr>
                <w:rStyle w:val="NoteLabel"/>
              </w:rPr>
              <w:t>a</w:t>
            </w:r>
          </w:p>
          <w:p w14:paraId="0C2EB6D2" w14:textId="77777777" w:rsidR="00FC14FC" w:rsidRPr="00F97E63" w:rsidRDefault="00FC14FC" w:rsidP="00D11B9D">
            <w:pPr>
              <w:pStyle w:val="Subtitle"/>
            </w:pPr>
            <w:r w:rsidRPr="00F97E63">
              <w:t>SMSFs</w:t>
            </w:r>
          </w:p>
        </w:tc>
      </w:tr>
      <w:tr w:rsidR="00FC14FC" w14:paraId="62AFE9F9"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0A2714AA" w14:textId="77777777" w:rsidTr="00D11B9D">
              <w:trPr>
                <w:tblHeader/>
                <w:jc w:val="center"/>
              </w:trPr>
              <w:tc>
                <w:tcPr>
                  <w:tcW w:w="5000" w:type="pct"/>
                  <w:tcBorders>
                    <w:top w:val="nil"/>
                    <w:bottom w:val="nil"/>
                  </w:tcBorders>
                </w:tcPr>
                <w:p w14:paraId="5EBCC038" w14:textId="77777777" w:rsidR="00FC14FC" w:rsidRPr="00B1465D" w:rsidRDefault="00FC14FC" w:rsidP="00D11B9D">
                  <w:pPr>
                    <w:pStyle w:val="Figure"/>
                    <w:spacing w:before="60" w:after="60"/>
                    <w:rPr>
                      <w:rFonts w:ascii="Arial" w:hAnsi="Arial" w:cs="Arial"/>
                      <w:sz w:val="18"/>
                      <w:szCs w:val="18"/>
                    </w:rPr>
                  </w:pPr>
                  <w:r>
                    <w:rPr>
                      <w:rFonts w:ascii="Arial" w:hAnsi="Arial" w:cs="Arial"/>
                      <w:sz w:val="18"/>
                      <w:szCs w:val="18"/>
                    </w:rPr>
                    <w:t xml:space="preserve"> </w:t>
                  </w:r>
                  <w:r w:rsidRPr="003108FE">
                    <w:rPr>
                      <w:rFonts w:ascii="Arial" w:hAnsi="Arial" w:cs="Arial"/>
                      <w:noProof/>
                      <w:sz w:val="18"/>
                      <w:szCs w:val="18"/>
                    </w:rPr>
                    <w:drawing>
                      <wp:inline distT="0" distB="0" distL="0" distR="0" wp14:anchorId="273FC9F4" wp14:editId="553361D7">
                        <wp:extent cx="5362463" cy="2501900"/>
                        <wp:effectExtent l="0" t="0" r="0" b="0"/>
                        <wp:docPr id="25" name="Picture 25" descr="Fig 4.5. This figure contains two bar charts. One is for 2012 and one is for 2016. It shows the effect of using different balance periods on SMSF returns. Using the balance at the beginning of the period as the returns denominator leads to generally higher returns calculations than using the average during the period.  " title="Different balance period methods produce differen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64739" cy="2502962"/>
                                </a:xfrm>
                                <a:prstGeom prst="rect">
                                  <a:avLst/>
                                </a:prstGeom>
                                <a:noFill/>
                                <a:ln>
                                  <a:noFill/>
                                </a:ln>
                              </pic:spPr>
                            </pic:pic>
                          </a:graphicData>
                        </a:graphic>
                      </wp:inline>
                    </w:drawing>
                  </w:r>
                </w:p>
              </w:tc>
            </w:tr>
          </w:tbl>
          <w:p w14:paraId="18507BF3" w14:textId="77777777" w:rsidR="00FC14FC" w:rsidRDefault="00FC14FC" w:rsidP="00D11B9D">
            <w:pPr>
              <w:pStyle w:val="Figure"/>
            </w:pPr>
          </w:p>
        </w:tc>
      </w:tr>
      <w:tr w:rsidR="00FC14FC" w:rsidRPr="00176D3F" w14:paraId="244B1EC5" w14:textId="77777777" w:rsidTr="00D11B9D">
        <w:tc>
          <w:tcPr>
            <w:tcW w:w="5000" w:type="pct"/>
            <w:tcBorders>
              <w:top w:val="nil"/>
              <w:left w:val="nil"/>
              <w:bottom w:val="nil"/>
              <w:right w:val="nil"/>
            </w:tcBorders>
            <w:shd w:val="clear" w:color="auto" w:fill="auto"/>
          </w:tcPr>
          <w:p w14:paraId="11AFE75A" w14:textId="77777777" w:rsidR="00FC14FC" w:rsidRPr="00176D3F" w:rsidRDefault="00FC14FC" w:rsidP="00D11B9D">
            <w:pPr>
              <w:pStyle w:val="Note"/>
            </w:pPr>
            <w:r>
              <w:rPr>
                <w:rStyle w:val="NoteLabel"/>
              </w:rPr>
              <w:t>a</w:t>
            </w:r>
            <w:r>
              <w:t xml:space="preserve"> Size brackets calculated on assets at the beginning of the year (amended methodology) compared with size brackets calculated as the average balance over the year (current ATO methodology). Adjustments have been applied to SMSF returns data to approximate a ‘rate of return’ calculation, as per Sy </w:t>
            </w:r>
            <w:r w:rsidRPr="002856AA">
              <w:rPr>
                <w:rFonts w:cs="Arial"/>
              </w:rPr>
              <w:t>(2009b)</w:t>
            </w:r>
            <w:r>
              <w:t>.</w:t>
            </w:r>
          </w:p>
        </w:tc>
      </w:tr>
      <w:tr w:rsidR="00FC14FC" w:rsidRPr="00176D3F" w14:paraId="16E4392D" w14:textId="77777777" w:rsidTr="00D11B9D">
        <w:tc>
          <w:tcPr>
            <w:tcW w:w="5000" w:type="pct"/>
            <w:tcBorders>
              <w:top w:val="nil"/>
              <w:left w:val="nil"/>
              <w:bottom w:val="nil"/>
              <w:right w:val="nil"/>
            </w:tcBorders>
            <w:shd w:val="clear" w:color="auto" w:fill="auto"/>
          </w:tcPr>
          <w:p w14:paraId="70E83272" w14:textId="77777777" w:rsidR="00FC14FC" w:rsidRPr="00176D3F" w:rsidRDefault="00FC14FC" w:rsidP="00D11B9D">
            <w:pPr>
              <w:pStyle w:val="Source"/>
            </w:pPr>
            <w:r>
              <w:rPr>
                <w:i/>
              </w:rPr>
              <w:t>Sources</w:t>
            </w:r>
            <w:r w:rsidRPr="00167F06">
              <w:t xml:space="preserve">: </w:t>
            </w:r>
            <w:r>
              <w:t>ATO (</w:t>
            </w:r>
            <w:r w:rsidRPr="003B6044">
              <w:t>pers. comm., 31</w:t>
            </w:r>
            <w:r>
              <w:t> </w:t>
            </w:r>
            <w:r w:rsidRPr="003B6044">
              <w:t>August 2018</w:t>
            </w:r>
            <w:r>
              <w:t>, 24 September 2018).</w:t>
            </w:r>
          </w:p>
        </w:tc>
      </w:tr>
      <w:tr w:rsidR="00FC14FC" w14:paraId="533F7334" w14:textId="77777777" w:rsidTr="00D11B9D">
        <w:tc>
          <w:tcPr>
            <w:tcW w:w="5000" w:type="pct"/>
            <w:tcBorders>
              <w:top w:val="nil"/>
              <w:left w:val="nil"/>
              <w:bottom w:val="single" w:sz="6" w:space="0" w:color="78A22F"/>
              <w:right w:val="nil"/>
            </w:tcBorders>
            <w:shd w:val="clear" w:color="auto" w:fill="auto"/>
          </w:tcPr>
          <w:p w14:paraId="4C722D44" w14:textId="77777777" w:rsidR="00FC14FC" w:rsidRDefault="00FC14FC" w:rsidP="00D11B9D">
            <w:pPr>
              <w:pStyle w:val="Figurespace"/>
            </w:pPr>
          </w:p>
        </w:tc>
      </w:tr>
      <w:tr w:rsidR="00FC14FC" w:rsidRPr="000863A5" w14:paraId="0248C72A" w14:textId="77777777" w:rsidTr="00D11B9D">
        <w:tc>
          <w:tcPr>
            <w:tcW w:w="5000" w:type="pct"/>
            <w:tcBorders>
              <w:top w:val="single" w:sz="6" w:space="0" w:color="78A22F"/>
              <w:left w:val="nil"/>
              <w:bottom w:val="nil"/>
              <w:right w:val="nil"/>
            </w:tcBorders>
          </w:tcPr>
          <w:p w14:paraId="44336224" w14:textId="77777777" w:rsidR="00FC14FC" w:rsidRPr="00626D32" w:rsidRDefault="00FC14FC" w:rsidP="00D11B9D">
            <w:pPr>
              <w:pStyle w:val="BoxSpaceBelow"/>
            </w:pPr>
          </w:p>
        </w:tc>
      </w:tr>
    </w:tbl>
    <w:p w14:paraId="3D0D3FB2" w14:textId="77777777" w:rsidR="00FC14FC" w:rsidRDefault="00FC14FC" w:rsidP="00FC14FC">
      <w:pPr>
        <w:pStyle w:val="Heading2"/>
        <w:ind w:left="0" w:firstLine="0"/>
      </w:pPr>
      <w:bookmarkStart w:id="14" w:name="_Toc532997259"/>
      <w:bookmarkStart w:id="15" w:name="_Toc534642278"/>
      <w:r>
        <w:lastRenderedPageBreak/>
        <w:t>4.</w:t>
      </w:r>
      <w:r>
        <w:rPr>
          <w:noProof/>
        </w:rPr>
        <w:t>3</w:t>
      </w:r>
      <w:r>
        <w:tab/>
        <w:t>Supporting analysis</w:t>
      </w:r>
      <w:bookmarkEnd w:id="14"/>
      <w:bookmarkEnd w:id="15"/>
    </w:p>
    <w:p w14:paraId="4051544D" w14:textId="77777777" w:rsidR="00FC14FC" w:rsidRPr="006E2A00" w:rsidRDefault="00FC14FC" w:rsidP="00FC14FC">
      <w:pPr>
        <w:pStyle w:val="BodyText"/>
      </w:pPr>
      <w:r>
        <w:t xml:space="preserve">This section sets out the Commission’s analysis and outputs, including sensitivity testing, to support the results provided in chapter 2. This section is structured in the same order as the analysis in chapter 2. </w:t>
      </w:r>
    </w:p>
    <w:p w14:paraId="0B1BE724" w14:textId="77777777" w:rsidR="00FC14FC" w:rsidRDefault="00FC14FC" w:rsidP="00FC14FC">
      <w:pPr>
        <w:pStyle w:val="Heading3"/>
      </w:pPr>
      <w:r>
        <w:t>Cameo simulations</w:t>
      </w:r>
    </w:p>
    <w:p w14:paraId="487F0966" w14:textId="77777777" w:rsidR="00FC14FC" w:rsidRDefault="00FC14FC" w:rsidP="00FC14FC">
      <w:pPr>
        <w:pStyle w:val="BodyText"/>
      </w:pPr>
      <w:r>
        <w:t>Chapter 2 contains three simulations from the Commission’s cameo model that illustrate the impact of different rates of return over a member’s lifetime. The base case assumptions for the cameo model are set out in chapter 1.</w:t>
      </w:r>
    </w:p>
    <w:p w14:paraId="4C98662B" w14:textId="77777777" w:rsidR="00FC14FC" w:rsidRDefault="00FC14FC" w:rsidP="00FC14FC">
      <w:pPr>
        <w:pStyle w:val="ListBullet"/>
      </w:pPr>
      <w:r>
        <w:t>Cameo 2.1 shows the effect of a 5 per cent gross real rate of return compared with  6 per cent.</w:t>
      </w:r>
    </w:p>
    <w:p w14:paraId="0D9470D7" w14:textId="77777777" w:rsidR="00FC14FC" w:rsidRDefault="00FC14FC" w:rsidP="00FC14FC">
      <w:pPr>
        <w:pStyle w:val="ListBullet"/>
      </w:pPr>
      <w:r>
        <w:t>Cameo 2.2 shows the effect of receiving the returns associated with the median bottom</w:t>
      </w:r>
      <w:r>
        <w:noBreakHyphen/>
        <w:t>quartile fund (over 13 years to 2017) compared with those associated with the median top</w:t>
      </w:r>
      <w:r>
        <w:noBreakHyphen/>
        <w:t>quartile fund, over a member’s entire accumulation stage.</w:t>
      </w:r>
    </w:p>
    <w:p w14:paraId="12B9AD31" w14:textId="77777777" w:rsidR="00FC14FC" w:rsidRPr="000136CC" w:rsidRDefault="00FC14FC" w:rsidP="00FC14FC">
      <w:pPr>
        <w:pStyle w:val="ListBullet"/>
        <w:rPr>
          <w:spacing w:val="-2"/>
        </w:rPr>
      </w:pPr>
      <w:r w:rsidRPr="000136CC">
        <w:rPr>
          <w:spacing w:val="-2"/>
        </w:rPr>
        <w:t>Cameo 2.3 shows the effect of receiving the returns associated with the median bottom</w:t>
      </w:r>
      <w:r w:rsidRPr="000136CC">
        <w:rPr>
          <w:spacing w:val="-2"/>
        </w:rPr>
        <w:noBreakHyphen/>
        <w:t>quartile MySuper product (over 11 years to 2018) compared with those associated with the median top</w:t>
      </w:r>
      <w:r w:rsidRPr="000136CC">
        <w:rPr>
          <w:spacing w:val="-2"/>
        </w:rPr>
        <w:noBreakHyphen/>
        <w:t xml:space="preserve">quartile product, over a member’s entire accumulation stage. </w:t>
      </w:r>
    </w:p>
    <w:p w14:paraId="7835F668" w14:textId="77777777" w:rsidR="00FC14FC" w:rsidRDefault="00FC14FC" w:rsidP="00FC14FC">
      <w:pPr>
        <w:pStyle w:val="BodyText"/>
      </w:pPr>
      <w:r>
        <w:t xml:space="preserve">In the latter two cases, the </w:t>
      </w:r>
      <w:r w:rsidRPr="00F45D6A">
        <w:t>real</w:t>
      </w:r>
      <w:r>
        <w:rPr>
          <w:i/>
        </w:rPr>
        <w:t xml:space="preserve"> </w:t>
      </w:r>
      <w:r>
        <w:t>rates of return being compared were reduced by the impact of the GFC during the relevant time horizons. As such, the Commission ‘normalised’ the returns around the long</w:t>
      </w:r>
      <w:r>
        <w:noBreakHyphen/>
        <w:t xml:space="preserve">term average </w:t>
      </w:r>
      <w:r w:rsidRPr="00970769">
        <w:t xml:space="preserve">net </w:t>
      </w:r>
      <w:r>
        <w:t>real rate of return of 3.89 per cent used in its cameo model.</w:t>
      </w:r>
      <w:r w:rsidRPr="00CF15EF">
        <w:rPr>
          <w:rStyle w:val="FootnoteReference"/>
        </w:rPr>
        <w:footnoteReference w:id="15"/>
      </w:r>
      <w:r>
        <w:t xml:space="preserve"> This involved taking the dispersion between the ‘high’ and ‘low’ returns being compared, and distributing it evenly either side of this long</w:t>
      </w:r>
      <w:r>
        <w:noBreakHyphen/>
        <w:t xml:space="preserve">term average (figure 4.6). </w:t>
      </w:r>
    </w:p>
    <w:p w14:paraId="493AEA2B" w14:textId="77777777" w:rsidR="00FC14FC" w:rsidRDefault="00FC14FC" w:rsidP="00FC14FC">
      <w:pPr>
        <w:pStyle w:val="BodyText"/>
      </w:pPr>
      <w:r>
        <w:t>The final inquiry report also contains a simulation for a 55 year old individual (using the same returns as the left</w:t>
      </w:r>
      <w:r>
        <w:noBreakHyphen/>
        <w:t xml:space="preserve">hand panel in figure 4.6). Two different assumptions were made for this simulation. First, a starting wage of $46 800 was assumed (the median income for all 55 year olds in 2016) </w:t>
      </w:r>
      <w:r w:rsidRPr="002856AA">
        <w:rPr>
          <w:szCs w:val="24"/>
        </w:rPr>
        <w:t>(ABS 2017a)</w:t>
      </w:r>
      <w:r>
        <w:t xml:space="preserve">. Further, a starting balance of $129 000 was assumed (the median balance for 55–64 year olds in 2016) </w:t>
      </w:r>
      <w:r w:rsidRPr="002856AA">
        <w:rPr>
          <w:szCs w:val="24"/>
        </w:rPr>
        <w:t>(ABS 2017b)</w:t>
      </w:r>
      <w:r>
        <w:t>.</w:t>
      </w:r>
    </w:p>
    <w:p w14:paraId="74364D28"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5AD76DD5" w14:textId="77777777" w:rsidTr="00D11B9D">
        <w:trPr>
          <w:tblHeader/>
        </w:trPr>
        <w:tc>
          <w:tcPr>
            <w:tcW w:w="5000" w:type="pct"/>
            <w:tcBorders>
              <w:top w:val="single" w:sz="6" w:space="0" w:color="78A22F"/>
              <w:left w:val="nil"/>
              <w:bottom w:val="nil"/>
              <w:right w:val="nil"/>
            </w:tcBorders>
            <w:shd w:val="clear" w:color="auto" w:fill="auto"/>
          </w:tcPr>
          <w:p w14:paraId="623AFA0E" w14:textId="77777777" w:rsidR="00FC14FC" w:rsidRDefault="00FC14FC" w:rsidP="00D11B9D">
            <w:pPr>
              <w:pStyle w:val="FigureTitle"/>
            </w:pPr>
            <w:r w:rsidRPr="00784A05">
              <w:rPr>
                <w:b w:val="0"/>
              </w:rPr>
              <w:t xml:space="preserve">Figure </w:t>
            </w:r>
            <w:r>
              <w:rPr>
                <w:b w:val="0"/>
              </w:rPr>
              <w:t>4.6</w:t>
            </w:r>
            <w:r>
              <w:tab/>
              <w:t>Cameo simulations with altered rates of returns</w:t>
            </w:r>
            <w:r w:rsidRPr="00296EAC">
              <w:rPr>
                <w:rStyle w:val="NoteLabel"/>
              </w:rPr>
              <w:t>a</w:t>
            </w:r>
          </w:p>
          <w:p w14:paraId="0B97D51D" w14:textId="77777777" w:rsidR="00FC14FC" w:rsidRPr="00176D3F" w:rsidRDefault="00FC14FC" w:rsidP="00D11B9D">
            <w:pPr>
              <w:pStyle w:val="Subtitle"/>
            </w:pPr>
            <w:r>
              <w:t>Normalising to the Commission’s cameo model’s long</w:t>
            </w:r>
            <w:r>
              <w:noBreakHyphen/>
              <w:t>term average</w:t>
            </w:r>
          </w:p>
        </w:tc>
      </w:tr>
      <w:tr w:rsidR="00FC14FC" w14:paraId="29D9C435" w14:textId="77777777" w:rsidTr="00D11B9D">
        <w:trPr>
          <w:trHeight w:val="3853"/>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55B7E807" w14:textId="77777777" w:rsidTr="00D11B9D">
              <w:trPr>
                <w:tblHeader/>
                <w:jc w:val="center"/>
              </w:trPr>
              <w:tc>
                <w:tcPr>
                  <w:tcW w:w="5000" w:type="pct"/>
                  <w:tcBorders>
                    <w:top w:val="nil"/>
                    <w:bottom w:val="nil"/>
                  </w:tcBorders>
                </w:tcPr>
                <w:p w14:paraId="159D7C58" w14:textId="77777777" w:rsidR="00FC14FC" w:rsidRPr="00B1465D" w:rsidRDefault="00FC14FC" w:rsidP="00D11B9D">
                  <w:pPr>
                    <w:pStyle w:val="Figure"/>
                    <w:spacing w:before="60" w:after="60"/>
                    <w:rPr>
                      <w:rFonts w:ascii="Arial" w:hAnsi="Arial" w:cs="Arial"/>
                      <w:sz w:val="18"/>
                      <w:szCs w:val="18"/>
                    </w:rPr>
                  </w:pPr>
                  <w:r w:rsidRPr="00335952">
                    <w:rPr>
                      <w:rFonts w:ascii="Arial" w:hAnsi="Arial" w:cs="Arial"/>
                      <w:noProof/>
                      <w:sz w:val="18"/>
                      <w:szCs w:val="18"/>
                    </w:rPr>
                    <w:drawing>
                      <wp:inline distT="0" distB="0" distL="0" distR="0" wp14:anchorId="2F3D6AE5" wp14:editId="623A9B58">
                        <wp:extent cx="5396661" cy="2409092"/>
                        <wp:effectExtent l="0" t="0" r="0" b="0"/>
                        <wp:docPr id="7" name="Picture 7" descr="The left hand side of this stylised figure shows how the difference between the median top quartile fund and the median bottom-quartile fund (2.9%) is spread evenly either side of the cameo model’s long-term average real net return (3.9%) to produce the two simulated values – 2.4% and 5.4%. &#10;The right hand side of this stylised figure shows how the difference between the median top-quartile MySuper product and the median bottom-quartile MySuper product (1.75%) is spread evenly either side of the cameo model’s long-term average real net return (3.9%) to produce the two simulated values – 2.7% and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03578" cy="2412180"/>
                                </a:xfrm>
                                <a:prstGeom prst="rect">
                                  <a:avLst/>
                                </a:prstGeom>
                                <a:noFill/>
                                <a:ln>
                                  <a:noFill/>
                                </a:ln>
                              </pic:spPr>
                            </pic:pic>
                          </a:graphicData>
                        </a:graphic>
                      </wp:inline>
                    </w:drawing>
                  </w:r>
                </w:p>
              </w:tc>
            </w:tr>
          </w:tbl>
          <w:p w14:paraId="0B4D26E5" w14:textId="77777777" w:rsidR="00FC14FC" w:rsidRDefault="00FC14FC" w:rsidP="00D11B9D">
            <w:pPr>
              <w:pStyle w:val="Figure"/>
            </w:pPr>
          </w:p>
        </w:tc>
      </w:tr>
      <w:tr w:rsidR="00FC14FC" w:rsidRPr="00176D3F" w14:paraId="63E25F3C" w14:textId="77777777" w:rsidTr="00D11B9D">
        <w:tc>
          <w:tcPr>
            <w:tcW w:w="5000" w:type="pct"/>
            <w:tcBorders>
              <w:top w:val="nil"/>
              <w:left w:val="nil"/>
              <w:bottom w:val="nil"/>
              <w:right w:val="nil"/>
            </w:tcBorders>
            <w:shd w:val="clear" w:color="auto" w:fill="auto"/>
          </w:tcPr>
          <w:p w14:paraId="2248F4C1" w14:textId="77777777" w:rsidR="00FC14FC" w:rsidRPr="00176D3F" w:rsidRDefault="00FC14FC" w:rsidP="00D11B9D">
            <w:pPr>
              <w:pStyle w:val="Note"/>
            </w:pPr>
            <w:r>
              <w:rPr>
                <w:rStyle w:val="NoteLabel"/>
              </w:rPr>
              <w:t>a</w:t>
            </w:r>
            <w:r>
              <w:t xml:space="preserve"> All returns are real.</w:t>
            </w:r>
          </w:p>
        </w:tc>
      </w:tr>
      <w:tr w:rsidR="00FC14FC" w:rsidRPr="00176D3F" w14:paraId="2289BB17" w14:textId="77777777" w:rsidTr="00D11B9D">
        <w:tc>
          <w:tcPr>
            <w:tcW w:w="5000" w:type="pct"/>
            <w:tcBorders>
              <w:top w:val="nil"/>
              <w:left w:val="nil"/>
              <w:bottom w:val="nil"/>
              <w:right w:val="nil"/>
            </w:tcBorders>
            <w:shd w:val="clear" w:color="auto" w:fill="auto"/>
          </w:tcPr>
          <w:p w14:paraId="7E6C79CD" w14:textId="77777777" w:rsidR="00FC14FC" w:rsidRPr="00176D3F" w:rsidRDefault="00FC14FC" w:rsidP="00D11B9D">
            <w:pPr>
              <w:pStyle w:val="Source"/>
            </w:pPr>
            <w:r>
              <w:rPr>
                <w:i/>
              </w:rPr>
              <w:t>S</w:t>
            </w:r>
            <w:r w:rsidRPr="00784A05">
              <w:rPr>
                <w:i/>
              </w:rPr>
              <w:t>ource</w:t>
            </w:r>
            <w:r>
              <w:rPr>
                <w:i/>
              </w:rPr>
              <w:t>s</w:t>
            </w:r>
            <w:r w:rsidRPr="00176D3F">
              <w:t xml:space="preserve">: </w:t>
            </w:r>
            <w:r>
              <w:t>ABS (</w:t>
            </w:r>
            <w:r>
              <w:rPr>
                <w:i/>
              </w:rPr>
              <w:t xml:space="preserve">Consumer Price Index, Australia, June 2017, Cat. no. 6401.0); </w:t>
            </w:r>
            <w:r>
              <w:t xml:space="preserve">PC analysis of unpublished APRA </w:t>
            </w:r>
            <w:r w:rsidDel="00F71AE2">
              <w:t>data</w:t>
            </w:r>
            <w:r>
              <w:t xml:space="preserve"> and SuperRatings data.</w:t>
            </w:r>
          </w:p>
        </w:tc>
      </w:tr>
      <w:tr w:rsidR="00FC14FC" w14:paraId="297B6CE1" w14:textId="77777777" w:rsidTr="00D11B9D">
        <w:tc>
          <w:tcPr>
            <w:tcW w:w="5000" w:type="pct"/>
            <w:tcBorders>
              <w:top w:val="nil"/>
              <w:left w:val="nil"/>
              <w:bottom w:val="single" w:sz="6" w:space="0" w:color="78A22F"/>
              <w:right w:val="nil"/>
            </w:tcBorders>
            <w:shd w:val="clear" w:color="auto" w:fill="auto"/>
          </w:tcPr>
          <w:p w14:paraId="18DB2086" w14:textId="77777777" w:rsidR="00FC14FC" w:rsidRDefault="00FC14FC" w:rsidP="00D11B9D">
            <w:pPr>
              <w:pStyle w:val="Figurespace"/>
            </w:pPr>
          </w:p>
        </w:tc>
      </w:tr>
      <w:tr w:rsidR="00FC14FC" w:rsidRPr="000863A5" w14:paraId="24CAEB65" w14:textId="77777777" w:rsidTr="00D11B9D">
        <w:tc>
          <w:tcPr>
            <w:tcW w:w="5000" w:type="pct"/>
            <w:tcBorders>
              <w:top w:val="single" w:sz="6" w:space="0" w:color="78A22F"/>
              <w:left w:val="nil"/>
              <w:bottom w:val="nil"/>
              <w:right w:val="nil"/>
            </w:tcBorders>
          </w:tcPr>
          <w:p w14:paraId="7F0CB00D" w14:textId="77777777" w:rsidR="00FC14FC" w:rsidRPr="00626D32" w:rsidRDefault="00FC14FC" w:rsidP="00D11B9D">
            <w:pPr>
              <w:pStyle w:val="BoxSpaceBelow"/>
            </w:pPr>
          </w:p>
        </w:tc>
      </w:tr>
    </w:tbl>
    <w:p w14:paraId="17B54129" w14:textId="77777777" w:rsidR="00FC14FC" w:rsidRDefault="00FC14FC" w:rsidP="00FC14FC">
      <w:pPr>
        <w:pStyle w:val="Heading3"/>
      </w:pPr>
      <w:r>
        <w:t>Index returns</w:t>
      </w:r>
    </w:p>
    <w:p w14:paraId="1F916F9A" w14:textId="77777777" w:rsidR="00FC14FC" w:rsidRDefault="00FC14FC" w:rsidP="00FC14FC">
      <w:pPr>
        <w:pStyle w:val="BodyText"/>
      </w:pPr>
      <w:r>
        <w:t>Figure 4.7 shows the investment returns (net of fees</w:t>
      </w:r>
      <w:r w:rsidRPr="00CF15EF">
        <w:rPr>
          <w:rStyle w:val="FootnoteReference"/>
        </w:rPr>
        <w:footnoteReference w:id="16"/>
      </w:r>
      <w:r>
        <w:t xml:space="preserve"> but not tax) to each index used in constructing the BPs (as outlined in table 4.7), over the 13 years to 2017. To understand how these indexes come together in a BP and the sensitivity of BPs to asset allocation, the Commission conducted simulations of BPs under different hypothetical asset allocations (figure 4.8). These simulations are all based on a listed portfolio (BP1), such that each asset class is benchmarked to a listed financial market index.</w:t>
      </w:r>
    </w:p>
    <w:p w14:paraId="29733925" w14:textId="77777777" w:rsidR="00FC14FC" w:rsidRDefault="00FC14FC" w:rsidP="00FC14FC">
      <w:pPr>
        <w:pStyle w:val="BodyText"/>
      </w:pPr>
      <w:r>
        <w:t xml:space="preserve">To construct these simulations, the Commission considered the set of all possible BPs which: </w:t>
      </w:r>
    </w:p>
    <w:p w14:paraId="4463FDE2" w14:textId="77777777" w:rsidR="00FC14FC" w:rsidRDefault="00FC14FC" w:rsidP="00FC14FC">
      <w:pPr>
        <w:pStyle w:val="ListBullet"/>
      </w:pPr>
      <w:r>
        <w:t>consist of at most 10 listed asset classes (shown in table 4.27)</w:t>
      </w:r>
    </w:p>
    <w:p w14:paraId="4B0F9ED8" w14:textId="77777777" w:rsidR="00FC14FC" w:rsidRDefault="00FC14FC" w:rsidP="00FC14FC">
      <w:pPr>
        <w:pStyle w:val="ListBullet"/>
      </w:pPr>
      <w:r>
        <w:t>have asset allocation ‘increments’ of 5 per cent (for example, 0 per cent, 5 per cent, 10 per cent, and so forth) for each asset class, with the maximum and minimum possible allocation provided in table 4.27. The maximum and minimum possible allocations were chosen on the basis of APRA actual fund</w:t>
      </w:r>
      <w:r>
        <w:noBreakHyphen/>
        <w:t>level asset allocation data</w:t>
      </w:r>
      <w:r w:rsidRPr="00CF15EF">
        <w:rPr>
          <w:rStyle w:val="FootnoteReference"/>
        </w:rPr>
        <w:footnoteReference w:id="17"/>
      </w:r>
      <w:r>
        <w:t xml:space="preserve"> </w:t>
      </w:r>
    </w:p>
    <w:p w14:paraId="314D92D8" w14:textId="77777777" w:rsidR="00FC14FC" w:rsidRDefault="00FC14FC" w:rsidP="00FC14FC">
      <w:pPr>
        <w:pStyle w:val="ListBullet"/>
      </w:pPr>
      <w:r>
        <w:t>have a total asset allocation summing to 100 per cent.</w:t>
      </w:r>
    </w:p>
    <w:p w14:paraId="08074229" w14:textId="77777777" w:rsidR="00FC14FC" w:rsidRDefault="00FC14FC" w:rsidP="00FC14FC">
      <w:pPr>
        <w:pStyle w:val="BodyText"/>
      </w:pPr>
      <w:r>
        <w:lastRenderedPageBreak/>
        <w:t>For example, one possible BP could be 50 per cent</w:t>
      </w:r>
      <w:r w:rsidDel="00230E23">
        <w:t xml:space="preserve"> </w:t>
      </w:r>
      <w:r>
        <w:t>private equity and 50 per cent</w:t>
      </w:r>
      <w:r w:rsidDel="00230E23">
        <w:t xml:space="preserve"> </w:t>
      </w:r>
      <w:r>
        <w:t>Australian listed equity, and another could be 50 per cent private equity, 25 per cent</w:t>
      </w:r>
      <w:r w:rsidDel="00230E23">
        <w:t xml:space="preserve"> </w:t>
      </w:r>
      <w:r>
        <w:t>domestic listed property and 25 per cent</w:t>
      </w:r>
      <w:r w:rsidDel="00230E23">
        <w:t xml:space="preserve"> </w:t>
      </w:r>
      <w:r>
        <w:t>Australian listed equity. In total, the Commission constructed 6 509 532 hypothetical listed BPs.</w:t>
      </w:r>
    </w:p>
    <w:p w14:paraId="1981E2A2"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7EA39EBC" w14:textId="77777777" w:rsidTr="00D11B9D">
        <w:trPr>
          <w:tblHeader/>
        </w:trPr>
        <w:tc>
          <w:tcPr>
            <w:tcW w:w="5000" w:type="pct"/>
            <w:tcBorders>
              <w:top w:val="single" w:sz="6" w:space="0" w:color="78A22F"/>
              <w:left w:val="nil"/>
              <w:bottom w:val="nil"/>
              <w:right w:val="nil"/>
            </w:tcBorders>
            <w:shd w:val="clear" w:color="auto" w:fill="auto"/>
          </w:tcPr>
          <w:p w14:paraId="26E01C1F" w14:textId="77777777" w:rsidR="00FC14FC" w:rsidRPr="00784A05" w:rsidRDefault="00FC14FC" w:rsidP="00D11B9D">
            <w:pPr>
              <w:pStyle w:val="TableTitle"/>
            </w:pPr>
            <w:r>
              <w:rPr>
                <w:b w:val="0"/>
              </w:rPr>
              <w:t>Table 4.27</w:t>
            </w:r>
            <w:r>
              <w:tab/>
              <w:t>Asset classes and ranges used for simulations</w:t>
            </w:r>
          </w:p>
        </w:tc>
      </w:tr>
      <w:tr w:rsidR="00FC14FC" w14:paraId="37F1F059"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007"/>
              <w:gridCol w:w="4514"/>
              <w:gridCol w:w="992"/>
              <w:gridCol w:w="992"/>
            </w:tblGrid>
            <w:tr w:rsidR="00FC14FC" w14:paraId="0B97A4B8" w14:textId="77777777" w:rsidTr="00D11B9D">
              <w:trPr>
                <w:tblHeader/>
              </w:trPr>
              <w:tc>
                <w:tcPr>
                  <w:tcW w:w="1180" w:type="pct"/>
                  <w:tcBorders>
                    <w:top w:val="single" w:sz="6" w:space="0" w:color="BFBFBF"/>
                    <w:bottom w:val="single" w:sz="6" w:space="0" w:color="BFBFBF"/>
                  </w:tcBorders>
                  <w:shd w:val="clear" w:color="auto" w:fill="auto"/>
                  <w:tcMar>
                    <w:top w:w="28" w:type="dxa"/>
                  </w:tcMar>
                  <w:vAlign w:val="bottom"/>
                </w:tcPr>
                <w:p w14:paraId="660D8B74" w14:textId="77777777" w:rsidR="00FC14FC" w:rsidRDefault="00FC14FC" w:rsidP="00D11B9D">
                  <w:pPr>
                    <w:pStyle w:val="TableColumnHeading"/>
                    <w:jc w:val="left"/>
                  </w:pPr>
                  <w:r>
                    <w:t>Asset class</w:t>
                  </w:r>
                </w:p>
              </w:tc>
              <w:tc>
                <w:tcPr>
                  <w:tcW w:w="2654" w:type="pct"/>
                  <w:tcBorders>
                    <w:top w:val="single" w:sz="6" w:space="0" w:color="BFBFBF"/>
                    <w:bottom w:val="single" w:sz="6" w:space="0" w:color="BFBFBF"/>
                  </w:tcBorders>
                  <w:shd w:val="clear" w:color="auto" w:fill="auto"/>
                  <w:vAlign w:val="bottom"/>
                </w:tcPr>
                <w:p w14:paraId="30ABD668" w14:textId="77777777" w:rsidR="00FC14FC" w:rsidRDefault="00FC14FC" w:rsidP="00D11B9D">
                  <w:pPr>
                    <w:pStyle w:val="TableColumnHeading"/>
                    <w:jc w:val="left"/>
                  </w:pPr>
                  <w:r>
                    <w:t>Index</w:t>
                  </w:r>
                </w:p>
              </w:tc>
              <w:tc>
                <w:tcPr>
                  <w:tcW w:w="583" w:type="pct"/>
                  <w:tcBorders>
                    <w:top w:val="single" w:sz="6" w:space="0" w:color="BFBFBF"/>
                    <w:bottom w:val="single" w:sz="6" w:space="0" w:color="BFBFBF"/>
                  </w:tcBorders>
                  <w:shd w:val="clear" w:color="auto" w:fill="auto"/>
                  <w:vAlign w:val="bottom"/>
                </w:tcPr>
                <w:p w14:paraId="4B4D1186" w14:textId="77777777" w:rsidR="00FC14FC" w:rsidRDefault="00FC14FC" w:rsidP="00D11B9D">
                  <w:pPr>
                    <w:pStyle w:val="TableColumnHeading"/>
                  </w:pPr>
                  <w:r>
                    <w:t xml:space="preserve">Min allocation </w:t>
                  </w:r>
                </w:p>
              </w:tc>
              <w:tc>
                <w:tcPr>
                  <w:tcW w:w="583" w:type="pct"/>
                  <w:tcBorders>
                    <w:top w:val="single" w:sz="6" w:space="0" w:color="BFBFBF"/>
                    <w:bottom w:val="single" w:sz="6" w:space="0" w:color="BFBFBF"/>
                  </w:tcBorders>
                  <w:shd w:val="clear" w:color="auto" w:fill="auto"/>
                  <w:tcMar>
                    <w:top w:w="28" w:type="dxa"/>
                  </w:tcMar>
                  <w:vAlign w:val="bottom"/>
                </w:tcPr>
                <w:p w14:paraId="66A60EEE" w14:textId="77777777" w:rsidR="00FC14FC" w:rsidRDefault="00FC14FC" w:rsidP="00D11B9D">
                  <w:pPr>
                    <w:pStyle w:val="TableColumnHeading"/>
                    <w:ind w:right="28"/>
                  </w:pPr>
                  <w:r>
                    <w:t xml:space="preserve">Max allocation </w:t>
                  </w:r>
                </w:p>
              </w:tc>
            </w:tr>
            <w:tr w:rsidR="00FC14FC" w14:paraId="2AE2AE49" w14:textId="77777777" w:rsidTr="00D11B9D">
              <w:tc>
                <w:tcPr>
                  <w:tcW w:w="1180" w:type="pct"/>
                  <w:tcBorders>
                    <w:top w:val="single" w:sz="6" w:space="0" w:color="BFBFBF"/>
                  </w:tcBorders>
                </w:tcPr>
                <w:p w14:paraId="5396DBAB" w14:textId="77777777" w:rsidR="00FC14FC" w:rsidRDefault="00FC14FC" w:rsidP="00D11B9D">
                  <w:pPr>
                    <w:pStyle w:val="TableUnitsRow"/>
                  </w:pPr>
                </w:p>
              </w:tc>
              <w:tc>
                <w:tcPr>
                  <w:tcW w:w="2654" w:type="pct"/>
                  <w:tcBorders>
                    <w:top w:val="single" w:sz="6" w:space="0" w:color="BFBFBF"/>
                  </w:tcBorders>
                </w:tcPr>
                <w:p w14:paraId="5D760B22" w14:textId="77777777" w:rsidR="00FC14FC" w:rsidRDefault="00FC14FC" w:rsidP="00D11B9D">
                  <w:pPr>
                    <w:pStyle w:val="TableUnitsRow"/>
                  </w:pPr>
                </w:p>
              </w:tc>
              <w:tc>
                <w:tcPr>
                  <w:tcW w:w="583" w:type="pct"/>
                  <w:tcBorders>
                    <w:top w:val="single" w:sz="6" w:space="0" w:color="BFBFBF"/>
                  </w:tcBorders>
                </w:tcPr>
                <w:p w14:paraId="1495F34B" w14:textId="77777777" w:rsidR="00FC14FC" w:rsidRDefault="00FC14FC" w:rsidP="00D11B9D">
                  <w:pPr>
                    <w:pStyle w:val="TableUnitsRow"/>
                  </w:pPr>
                  <w:r>
                    <w:t>%</w:t>
                  </w:r>
                </w:p>
              </w:tc>
              <w:tc>
                <w:tcPr>
                  <w:tcW w:w="583" w:type="pct"/>
                  <w:tcBorders>
                    <w:top w:val="single" w:sz="6" w:space="0" w:color="BFBFBF"/>
                  </w:tcBorders>
                </w:tcPr>
                <w:p w14:paraId="57A332DA" w14:textId="77777777" w:rsidR="00FC14FC" w:rsidRDefault="00FC14FC" w:rsidP="00D11B9D">
                  <w:pPr>
                    <w:pStyle w:val="TableUnitsRow"/>
                  </w:pPr>
                  <w:r>
                    <w:t>%</w:t>
                  </w:r>
                </w:p>
              </w:tc>
            </w:tr>
            <w:tr w:rsidR="00FC14FC" w14:paraId="76E1FF45" w14:textId="77777777" w:rsidTr="00D11B9D">
              <w:tc>
                <w:tcPr>
                  <w:tcW w:w="1180" w:type="pct"/>
                </w:tcPr>
                <w:p w14:paraId="5544FF3C" w14:textId="77777777" w:rsidR="00FC14FC" w:rsidRDefault="00FC14FC" w:rsidP="00D11B9D">
                  <w:pPr>
                    <w:pStyle w:val="TableUnitsRow"/>
                    <w:spacing w:before="0"/>
                    <w:jc w:val="left"/>
                  </w:pPr>
                  <w:r>
                    <w:t>Cash</w:t>
                  </w:r>
                </w:p>
              </w:tc>
              <w:tc>
                <w:tcPr>
                  <w:tcW w:w="2654" w:type="pct"/>
                </w:tcPr>
                <w:p w14:paraId="53007D08" w14:textId="77777777" w:rsidR="00FC14FC" w:rsidRDefault="00FC14FC" w:rsidP="00D11B9D">
                  <w:pPr>
                    <w:pStyle w:val="TableBodyText"/>
                    <w:jc w:val="left"/>
                  </w:pPr>
                  <w:r>
                    <w:t>Reserve Bank of Australia cash rate (30%) and Bloomberg AusBond Bank Bill Index (70%)</w:t>
                  </w:r>
                </w:p>
              </w:tc>
              <w:tc>
                <w:tcPr>
                  <w:tcW w:w="583" w:type="pct"/>
                </w:tcPr>
                <w:p w14:paraId="54C98CBF" w14:textId="77777777" w:rsidR="00FC14FC" w:rsidRDefault="00FC14FC" w:rsidP="00D11B9D">
                  <w:pPr>
                    <w:pStyle w:val="TableUnitsRow"/>
                    <w:spacing w:before="0"/>
                  </w:pPr>
                  <w:r>
                    <w:t>0</w:t>
                  </w:r>
                </w:p>
              </w:tc>
              <w:tc>
                <w:tcPr>
                  <w:tcW w:w="583" w:type="pct"/>
                </w:tcPr>
                <w:p w14:paraId="53296A5B" w14:textId="77777777" w:rsidR="00FC14FC" w:rsidRDefault="00FC14FC" w:rsidP="00D11B9D">
                  <w:pPr>
                    <w:pStyle w:val="TableUnitsRow"/>
                    <w:spacing w:before="0"/>
                    <w:ind w:right="28"/>
                  </w:pPr>
                  <w:r>
                    <w:t>35</w:t>
                  </w:r>
                </w:p>
              </w:tc>
            </w:tr>
            <w:tr w:rsidR="00FC14FC" w14:paraId="776576AB" w14:textId="77777777" w:rsidTr="00D11B9D">
              <w:tc>
                <w:tcPr>
                  <w:tcW w:w="1180" w:type="pct"/>
                  <w:shd w:val="clear" w:color="auto" w:fill="F2F2F2" w:themeFill="background1" w:themeFillShade="F2"/>
                </w:tcPr>
                <w:p w14:paraId="570AEE94" w14:textId="77777777" w:rsidR="00FC14FC" w:rsidRDefault="00FC14FC" w:rsidP="00D11B9D">
                  <w:pPr>
                    <w:pStyle w:val="TableBodyText"/>
                    <w:jc w:val="left"/>
                  </w:pPr>
                  <w:r>
                    <w:t>Australian fixed income</w:t>
                  </w:r>
                </w:p>
              </w:tc>
              <w:tc>
                <w:tcPr>
                  <w:tcW w:w="2654" w:type="pct"/>
                  <w:shd w:val="clear" w:color="auto" w:fill="F2F2F2" w:themeFill="background1" w:themeFillShade="F2"/>
                </w:tcPr>
                <w:p w14:paraId="596F8EFD" w14:textId="77777777" w:rsidR="00FC14FC" w:rsidRDefault="00FC14FC" w:rsidP="00D11B9D">
                  <w:pPr>
                    <w:pStyle w:val="TableBodyText"/>
                    <w:jc w:val="left"/>
                  </w:pPr>
                  <w:r>
                    <w:t>Bloomberg AusBond Composite Index</w:t>
                  </w:r>
                </w:p>
              </w:tc>
              <w:tc>
                <w:tcPr>
                  <w:tcW w:w="583" w:type="pct"/>
                  <w:shd w:val="clear" w:color="auto" w:fill="F2F2F2" w:themeFill="background1" w:themeFillShade="F2"/>
                </w:tcPr>
                <w:p w14:paraId="27CD56FB" w14:textId="77777777" w:rsidR="00FC14FC" w:rsidRDefault="00FC14FC" w:rsidP="00D11B9D">
                  <w:pPr>
                    <w:pStyle w:val="TableBodyText"/>
                  </w:pPr>
                  <w:r>
                    <w:t>0</w:t>
                  </w:r>
                </w:p>
              </w:tc>
              <w:tc>
                <w:tcPr>
                  <w:tcW w:w="583" w:type="pct"/>
                  <w:shd w:val="clear" w:color="auto" w:fill="F2F2F2" w:themeFill="background1" w:themeFillShade="F2"/>
                </w:tcPr>
                <w:p w14:paraId="0B8E9136" w14:textId="77777777" w:rsidR="00FC14FC" w:rsidRDefault="00FC14FC" w:rsidP="00D11B9D">
                  <w:pPr>
                    <w:pStyle w:val="TableBodyText"/>
                    <w:ind w:right="28"/>
                  </w:pPr>
                  <w:r>
                    <w:t>55</w:t>
                  </w:r>
                </w:p>
              </w:tc>
            </w:tr>
            <w:tr w:rsidR="00FC14FC" w14:paraId="46831C34" w14:textId="77777777" w:rsidTr="00D11B9D">
              <w:tc>
                <w:tcPr>
                  <w:tcW w:w="1180" w:type="pct"/>
                  <w:shd w:val="clear" w:color="auto" w:fill="auto"/>
                </w:tcPr>
                <w:p w14:paraId="0A8664DA" w14:textId="77777777" w:rsidR="00FC14FC" w:rsidRDefault="00FC14FC" w:rsidP="00D11B9D">
                  <w:pPr>
                    <w:pStyle w:val="TableBodyText"/>
                    <w:jc w:val="left"/>
                  </w:pPr>
                  <w:r>
                    <w:t>International fixed income</w:t>
                  </w:r>
                </w:p>
              </w:tc>
              <w:tc>
                <w:tcPr>
                  <w:tcW w:w="2654" w:type="pct"/>
                </w:tcPr>
                <w:p w14:paraId="60D7B3DE" w14:textId="77777777" w:rsidR="00FC14FC" w:rsidRDefault="00FC14FC" w:rsidP="00D11B9D">
                  <w:pPr>
                    <w:pStyle w:val="TableBodyText"/>
                    <w:jc w:val="left"/>
                  </w:pPr>
                  <w:r>
                    <w:t xml:space="preserve">Bloomberg Barclays Global Aggregate Index </w:t>
                  </w:r>
                  <w:r>
                    <w:br/>
                    <w:t>(80% hedged, 20 % unhedged)</w:t>
                  </w:r>
                </w:p>
              </w:tc>
              <w:tc>
                <w:tcPr>
                  <w:tcW w:w="583" w:type="pct"/>
                </w:tcPr>
                <w:p w14:paraId="4E1C4016" w14:textId="77777777" w:rsidR="00FC14FC" w:rsidRDefault="00FC14FC" w:rsidP="00D11B9D">
                  <w:pPr>
                    <w:pStyle w:val="TableBodyText"/>
                  </w:pPr>
                  <w:r>
                    <w:t>0</w:t>
                  </w:r>
                </w:p>
              </w:tc>
              <w:tc>
                <w:tcPr>
                  <w:tcW w:w="583" w:type="pct"/>
                  <w:shd w:val="clear" w:color="auto" w:fill="auto"/>
                </w:tcPr>
                <w:p w14:paraId="2CD3702C" w14:textId="77777777" w:rsidR="00FC14FC" w:rsidRDefault="00FC14FC" w:rsidP="00D11B9D">
                  <w:pPr>
                    <w:pStyle w:val="TableBodyText"/>
                    <w:ind w:right="28"/>
                  </w:pPr>
                  <w:r>
                    <w:t>35</w:t>
                  </w:r>
                </w:p>
              </w:tc>
            </w:tr>
            <w:tr w:rsidR="00FC14FC" w14:paraId="4C0D9F5C" w14:textId="77777777" w:rsidTr="00D11B9D">
              <w:tc>
                <w:tcPr>
                  <w:tcW w:w="1180" w:type="pct"/>
                  <w:shd w:val="clear" w:color="auto" w:fill="F2F2F2" w:themeFill="background1" w:themeFillShade="F2"/>
                </w:tcPr>
                <w:p w14:paraId="2EDDD706" w14:textId="77777777" w:rsidR="00FC14FC" w:rsidRDefault="00FC14FC" w:rsidP="00D11B9D">
                  <w:pPr>
                    <w:pStyle w:val="TableBodyText"/>
                    <w:jc w:val="left"/>
                  </w:pPr>
                  <w:r>
                    <w:t>Australian listed equity</w:t>
                  </w:r>
                </w:p>
              </w:tc>
              <w:tc>
                <w:tcPr>
                  <w:tcW w:w="2654" w:type="pct"/>
                  <w:shd w:val="clear" w:color="auto" w:fill="F2F2F2" w:themeFill="background1" w:themeFillShade="F2"/>
                </w:tcPr>
                <w:p w14:paraId="0F8EDCBF" w14:textId="77777777" w:rsidR="00FC14FC" w:rsidRDefault="00FC14FC" w:rsidP="00D11B9D">
                  <w:pPr>
                    <w:pStyle w:val="TableBodyText"/>
                    <w:jc w:val="left"/>
                  </w:pPr>
                  <w:r w:rsidRPr="00DF51BD">
                    <w:t xml:space="preserve">S&amp;P/ASX 300 </w:t>
                  </w:r>
                  <w:r>
                    <w:t>Inde</w:t>
                  </w:r>
                  <w:r w:rsidRPr="00DF51BD">
                    <w:t>x</w:t>
                  </w:r>
                </w:p>
              </w:tc>
              <w:tc>
                <w:tcPr>
                  <w:tcW w:w="583" w:type="pct"/>
                  <w:shd w:val="clear" w:color="auto" w:fill="F2F2F2" w:themeFill="background1" w:themeFillShade="F2"/>
                </w:tcPr>
                <w:p w14:paraId="76B73D83" w14:textId="77777777" w:rsidR="00FC14FC" w:rsidRDefault="00FC14FC" w:rsidP="00D11B9D">
                  <w:pPr>
                    <w:pStyle w:val="TableBodyText"/>
                  </w:pPr>
                  <w:r>
                    <w:t>0</w:t>
                  </w:r>
                </w:p>
              </w:tc>
              <w:tc>
                <w:tcPr>
                  <w:tcW w:w="583" w:type="pct"/>
                  <w:shd w:val="clear" w:color="auto" w:fill="F2F2F2" w:themeFill="background1" w:themeFillShade="F2"/>
                </w:tcPr>
                <w:p w14:paraId="6EBFB848" w14:textId="77777777" w:rsidR="00FC14FC" w:rsidRDefault="00FC14FC" w:rsidP="00D11B9D">
                  <w:pPr>
                    <w:pStyle w:val="TableBodyText"/>
                    <w:ind w:right="28"/>
                  </w:pPr>
                  <w:r>
                    <w:t>90</w:t>
                  </w:r>
                </w:p>
              </w:tc>
            </w:tr>
            <w:tr w:rsidR="00FC14FC" w14:paraId="3665374A" w14:textId="77777777" w:rsidTr="00D11B9D">
              <w:tc>
                <w:tcPr>
                  <w:tcW w:w="1180" w:type="pct"/>
                  <w:shd w:val="clear" w:color="auto" w:fill="auto"/>
                </w:tcPr>
                <w:p w14:paraId="41A77A58" w14:textId="77777777" w:rsidR="00FC14FC" w:rsidRDefault="00FC14FC" w:rsidP="00D11B9D">
                  <w:pPr>
                    <w:pStyle w:val="TableBodyText"/>
                    <w:jc w:val="left"/>
                  </w:pPr>
                  <w:r>
                    <w:t>International listed equity</w:t>
                  </w:r>
                </w:p>
              </w:tc>
              <w:tc>
                <w:tcPr>
                  <w:tcW w:w="2654" w:type="pct"/>
                </w:tcPr>
                <w:p w14:paraId="510D475A" w14:textId="77777777" w:rsidR="00FC14FC" w:rsidRDefault="00FC14FC" w:rsidP="00D11B9D">
                  <w:pPr>
                    <w:pStyle w:val="TableBodyText"/>
                    <w:jc w:val="left"/>
                  </w:pPr>
                  <w:r>
                    <w:t>MSCI World ex</w:t>
                  </w:r>
                  <w:r>
                    <w:noBreakHyphen/>
                    <w:t>Australia (30% hedged, 70% unhedged custom)</w:t>
                  </w:r>
                </w:p>
              </w:tc>
              <w:tc>
                <w:tcPr>
                  <w:tcW w:w="583" w:type="pct"/>
                </w:tcPr>
                <w:p w14:paraId="0577292E" w14:textId="77777777" w:rsidR="00FC14FC" w:rsidRDefault="00FC14FC" w:rsidP="00D11B9D">
                  <w:pPr>
                    <w:pStyle w:val="TableBodyText"/>
                  </w:pPr>
                  <w:r>
                    <w:t>0</w:t>
                  </w:r>
                </w:p>
              </w:tc>
              <w:tc>
                <w:tcPr>
                  <w:tcW w:w="583" w:type="pct"/>
                  <w:shd w:val="clear" w:color="auto" w:fill="auto"/>
                </w:tcPr>
                <w:p w14:paraId="47738940" w14:textId="77777777" w:rsidR="00FC14FC" w:rsidRDefault="00FC14FC" w:rsidP="00D11B9D">
                  <w:pPr>
                    <w:pStyle w:val="TableBodyText"/>
                    <w:ind w:right="28"/>
                  </w:pPr>
                  <w:r>
                    <w:t>50</w:t>
                  </w:r>
                </w:p>
              </w:tc>
            </w:tr>
            <w:tr w:rsidR="00FC14FC" w14:paraId="2DCE1ACD" w14:textId="77777777" w:rsidTr="00D11B9D">
              <w:tc>
                <w:tcPr>
                  <w:tcW w:w="1180" w:type="pct"/>
                  <w:shd w:val="clear" w:color="auto" w:fill="F2F2F2" w:themeFill="background1" w:themeFillShade="F2"/>
                </w:tcPr>
                <w:p w14:paraId="6406DFF5" w14:textId="77777777" w:rsidR="00FC14FC" w:rsidRDefault="00FC14FC" w:rsidP="00D11B9D">
                  <w:pPr>
                    <w:pStyle w:val="TableBodyText"/>
                    <w:jc w:val="left"/>
                  </w:pPr>
                  <w:r>
                    <w:t>Private equity</w:t>
                  </w:r>
                </w:p>
              </w:tc>
              <w:tc>
                <w:tcPr>
                  <w:tcW w:w="2654" w:type="pct"/>
                  <w:shd w:val="clear" w:color="auto" w:fill="F2F2F2" w:themeFill="background1" w:themeFillShade="F2"/>
                </w:tcPr>
                <w:p w14:paraId="76CA9E2E" w14:textId="77777777" w:rsidR="00FC14FC" w:rsidRDefault="00FC14FC" w:rsidP="00D11B9D">
                  <w:pPr>
                    <w:pStyle w:val="TableBodyText"/>
                    <w:jc w:val="left"/>
                  </w:pPr>
                  <w:r>
                    <w:t>S&amp;P ASX Small Ordinaries Index</w:t>
                  </w:r>
                </w:p>
              </w:tc>
              <w:tc>
                <w:tcPr>
                  <w:tcW w:w="583" w:type="pct"/>
                  <w:shd w:val="clear" w:color="auto" w:fill="F2F2F2" w:themeFill="background1" w:themeFillShade="F2"/>
                </w:tcPr>
                <w:p w14:paraId="5623454B" w14:textId="77777777" w:rsidR="00FC14FC" w:rsidRDefault="00FC14FC" w:rsidP="00D11B9D">
                  <w:pPr>
                    <w:pStyle w:val="TableBodyText"/>
                  </w:pPr>
                  <w:r>
                    <w:t>0</w:t>
                  </w:r>
                </w:p>
              </w:tc>
              <w:tc>
                <w:tcPr>
                  <w:tcW w:w="583" w:type="pct"/>
                  <w:shd w:val="clear" w:color="auto" w:fill="F2F2F2" w:themeFill="background1" w:themeFillShade="F2"/>
                </w:tcPr>
                <w:p w14:paraId="22262E62" w14:textId="77777777" w:rsidR="00FC14FC" w:rsidRDefault="00FC14FC" w:rsidP="00D11B9D">
                  <w:pPr>
                    <w:pStyle w:val="TableBodyText"/>
                    <w:ind w:right="28"/>
                  </w:pPr>
                  <w:r>
                    <w:t>50</w:t>
                  </w:r>
                </w:p>
              </w:tc>
            </w:tr>
            <w:tr w:rsidR="00FC14FC" w14:paraId="405EBF3D" w14:textId="77777777" w:rsidTr="00D11B9D">
              <w:tc>
                <w:tcPr>
                  <w:tcW w:w="1180" w:type="pct"/>
                  <w:shd w:val="clear" w:color="auto" w:fill="auto"/>
                </w:tcPr>
                <w:p w14:paraId="56E702F6" w14:textId="77777777" w:rsidR="00FC14FC" w:rsidRDefault="00FC14FC" w:rsidP="00D11B9D">
                  <w:pPr>
                    <w:pStyle w:val="TableBodyText"/>
                    <w:jc w:val="left"/>
                  </w:pPr>
                  <w:r>
                    <w:t>Domestic listed property</w:t>
                  </w:r>
                </w:p>
              </w:tc>
              <w:tc>
                <w:tcPr>
                  <w:tcW w:w="2654" w:type="pct"/>
                </w:tcPr>
                <w:p w14:paraId="7769850F" w14:textId="77777777" w:rsidR="00FC14FC" w:rsidRDefault="00FC14FC" w:rsidP="00D11B9D">
                  <w:pPr>
                    <w:pStyle w:val="TableBodyText"/>
                    <w:jc w:val="left"/>
                  </w:pPr>
                  <w:r>
                    <w:t>S&amp;P/ASX 200 A</w:t>
                  </w:r>
                  <w:r>
                    <w:noBreakHyphen/>
                    <w:t>REIT Index</w:t>
                  </w:r>
                </w:p>
              </w:tc>
              <w:tc>
                <w:tcPr>
                  <w:tcW w:w="583" w:type="pct"/>
                </w:tcPr>
                <w:p w14:paraId="26228DA8" w14:textId="77777777" w:rsidR="00FC14FC" w:rsidRDefault="00FC14FC" w:rsidP="00D11B9D">
                  <w:pPr>
                    <w:pStyle w:val="TableBodyText"/>
                  </w:pPr>
                  <w:r>
                    <w:t>0</w:t>
                  </w:r>
                </w:p>
              </w:tc>
              <w:tc>
                <w:tcPr>
                  <w:tcW w:w="583" w:type="pct"/>
                  <w:shd w:val="clear" w:color="auto" w:fill="auto"/>
                </w:tcPr>
                <w:p w14:paraId="16A12D97" w14:textId="77777777" w:rsidR="00FC14FC" w:rsidRDefault="00FC14FC" w:rsidP="00D11B9D">
                  <w:pPr>
                    <w:pStyle w:val="TableBodyText"/>
                    <w:ind w:right="28"/>
                  </w:pPr>
                  <w:r>
                    <w:t>50</w:t>
                  </w:r>
                </w:p>
              </w:tc>
            </w:tr>
            <w:tr w:rsidR="00FC14FC" w14:paraId="788B4F7B" w14:textId="77777777" w:rsidTr="00D11B9D">
              <w:tc>
                <w:tcPr>
                  <w:tcW w:w="1180" w:type="pct"/>
                  <w:shd w:val="clear" w:color="auto" w:fill="F2F2F2" w:themeFill="background1" w:themeFillShade="F2"/>
                </w:tcPr>
                <w:p w14:paraId="0DDB68A5" w14:textId="77777777" w:rsidR="00FC14FC" w:rsidRDefault="00FC14FC" w:rsidP="00D11B9D">
                  <w:pPr>
                    <w:pStyle w:val="TableBodyText"/>
                    <w:jc w:val="left"/>
                  </w:pPr>
                  <w:r>
                    <w:t>International listed property</w:t>
                  </w:r>
                </w:p>
              </w:tc>
              <w:tc>
                <w:tcPr>
                  <w:tcW w:w="2654" w:type="pct"/>
                  <w:shd w:val="clear" w:color="auto" w:fill="F2F2F2" w:themeFill="background1" w:themeFillShade="F2"/>
                </w:tcPr>
                <w:p w14:paraId="354A417B" w14:textId="77777777" w:rsidR="00FC14FC" w:rsidRDefault="00FC14FC" w:rsidP="00D11B9D">
                  <w:pPr>
                    <w:pStyle w:val="TableBodyText"/>
                    <w:jc w:val="left"/>
                  </w:pPr>
                  <w:r>
                    <w:t>FTSE EPRA/NAREIT Developed (100% hedged)</w:t>
                  </w:r>
                </w:p>
              </w:tc>
              <w:tc>
                <w:tcPr>
                  <w:tcW w:w="583" w:type="pct"/>
                  <w:shd w:val="clear" w:color="auto" w:fill="F2F2F2" w:themeFill="background1" w:themeFillShade="F2"/>
                </w:tcPr>
                <w:p w14:paraId="7CBEE6B8" w14:textId="77777777" w:rsidR="00FC14FC" w:rsidRDefault="00FC14FC" w:rsidP="00D11B9D">
                  <w:pPr>
                    <w:pStyle w:val="TableBodyText"/>
                  </w:pPr>
                  <w:r>
                    <w:t>0</w:t>
                  </w:r>
                </w:p>
              </w:tc>
              <w:tc>
                <w:tcPr>
                  <w:tcW w:w="583" w:type="pct"/>
                  <w:shd w:val="clear" w:color="auto" w:fill="F2F2F2" w:themeFill="background1" w:themeFillShade="F2"/>
                </w:tcPr>
                <w:p w14:paraId="42A61548" w14:textId="77777777" w:rsidR="00FC14FC" w:rsidRDefault="00FC14FC" w:rsidP="00D11B9D">
                  <w:pPr>
                    <w:pStyle w:val="TableBodyText"/>
                    <w:ind w:right="28"/>
                  </w:pPr>
                  <w:r>
                    <w:t>50</w:t>
                  </w:r>
                </w:p>
              </w:tc>
            </w:tr>
            <w:tr w:rsidR="00FC14FC" w14:paraId="0291B984" w14:textId="77777777" w:rsidTr="00D11B9D">
              <w:tc>
                <w:tcPr>
                  <w:tcW w:w="1180" w:type="pct"/>
                  <w:shd w:val="clear" w:color="auto" w:fill="auto"/>
                </w:tcPr>
                <w:p w14:paraId="13752A35" w14:textId="77777777" w:rsidR="00FC14FC" w:rsidRDefault="00FC14FC" w:rsidP="00D11B9D">
                  <w:pPr>
                    <w:pStyle w:val="TableBodyText"/>
                    <w:jc w:val="left"/>
                  </w:pPr>
                  <w:r>
                    <w:t>Listed infrastructure (international)</w:t>
                  </w:r>
                </w:p>
              </w:tc>
              <w:tc>
                <w:tcPr>
                  <w:tcW w:w="2654" w:type="pct"/>
                </w:tcPr>
                <w:p w14:paraId="10E0E4EF" w14:textId="77777777" w:rsidR="00FC14FC" w:rsidRDefault="00FC14FC" w:rsidP="00D11B9D">
                  <w:pPr>
                    <w:pStyle w:val="TableBodyText"/>
                    <w:jc w:val="left"/>
                  </w:pPr>
                  <w:r>
                    <w:t>2005–2007: S&amp;P Global Infrastructure Index (USD)</w:t>
                  </w:r>
                </w:p>
                <w:p w14:paraId="1EBB68B6" w14:textId="77777777" w:rsidR="00FC14FC" w:rsidRDefault="00FC14FC" w:rsidP="00D11B9D">
                  <w:pPr>
                    <w:pStyle w:val="TableBodyText"/>
                    <w:jc w:val="left"/>
                  </w:pPr>
                  <w:r>
                    <w:t>2008 onwards: S&amp;P Global Infrastructure Index (80% AUD hedged, 20% AUD unhedged)</w:t>
                  </w:r>
                </w:p>
              </w:tc>
              <w:tc>
                <w:tcPr>
                  <w:tcW w:w="583" w:type="pct"/>
                </w:tcPr>
                <w:p w14:paraId="16ACD753" w14:textId="77777777" w:rsidR="00FC14FC" w:rsidRDefault="00FC14FC" w:rsidP="00D11B9D">
                  <w:pPr>
                    <w:pStyle w:val="TableBodyText"/>
                  </w:pPr>
                  <w:r>
                    <w:t>0</w:t>
                  </w:r>
                </w:p>
              </w:tc>
              <w:tc>
                <w:tcPr>
                  <w:tcW w:w="583" w:type="pct"/>
                  <w:shd w:val="clear" w:color="auto" w:fill="auto"/>
                </w:tcPr>
                <w:p w14:paraId="7FCD5062" w14:textId="77777777" w:rsidR="00FC14FC" w:rsidRDefault="00FC14FC" w:rsidP="00D11B9D">
                  <w:pPr>
                    <w:pStyle w:val="TableBodyText"/>
                    <w:ind w:right="28"/>
                  </w:pPr>
                  <w:r>
                    <w:t>15</w:t>
                  </w:r>
                </w:p>
              </w:tc>
            </w:tr>
            <w:tr w:rsidR="00FC14FC" w14:paraId="45619709" w14:textId="77777777" w:rsidTr="00D11B9D">
              <w:tc>
                <w:tcPr>
                  <w:tcW w:w="1180" w:type="pct"/>
                  <w:tcBorders>
                    <w:bottom w:val="single" w:sz="6" w:space="0" w:color="BFBFBF"/>
                  </w:tcBorders>
                  <w:shd w:val="clear" w:color="auto" w:fill="F2F2F2" w:themeFill="background1" w:themeFillShade="F2"/>
                </w:tcPr>
                <w:p w14:paraId="2B869E73" w14:textId="77777777" w:rsidR="00FC14FC" w:rsidRDefault="00FC14FC" w:rsidP="00D11B9D">
                  <w:pPr>
                    <w:pStyle w:val="TableBodyText"/>
                    <w:jc w:val="left"/>
                  </w:pPr>
                  <w:r>
                    <w:t xml:space="preserve">Other </w:t>
                  </w:r>
                </w:p>
              </w:tc>
              <w:tc>
                <w:tcPr>
                  <w:tcW w:w="2654" w:type="pct"/>
                  <w:tcBorders>
                    <w:bottom w:val="single" w:sz="6" w:space="0" w:color="BFBFBF"/>
                  </w:tcBorders>
                  <w:shd w:val="clear" w:color="auto" w:fill="F2F2F2" w:themeFill="background1" w:themeFillShade="F2"/>
                </w:tcPr>
                <w:p w14:paraId="66795CAC" w14:textId="77777777" w:rsidR="00FC14FC" w:rsidRDefault="00FC14FC" w:rsidP="00D11B9D">
                  <w:pPr>
                    <w:pStyle w:val="TableBodyText"/>
                    <w:jc w:val="left"/>
                  </w:pPr>
                  <w:r>
                    <w:t xml:space="preserve">25% </w:t>
                  </w:r>
                  <w:r w:rsidRPr="00DF51BD">
                    <w:t xml:space="preserve">S&amp;P/ASX 300 </w:t>
                  </w:r>
                  <w:r>
                    <w:t>Inde</w:t>
                  </w:r>
                  <w:r w:rsidRPr="00DF51BD">
                    <w:t>x</w:t>
                  </w:r>
                </w:p>
                <w:p w14:paraId="58E51A7C" w14:textId="77777777" w:rsidR="00FC14FC" w:rsidRDefault="00FC14FC" w:rsidP="00D11B9D">
                  <w:pPr>
                    <w:pStyle w:val="TableBodyText"/>
                    <w:jc w:val="left"/>
                  </w:pPr>
                  <w:r>
                    <w:t>25% MSCI World ex</w:t>
                  </w:r>
                  <w:r>
                    <w:noBreakHyphen/>
                    <w:t>Australia (30% AUD hedged, 70% AUD unhedged (custom))</w:t>
                  </w:r>
                </w:p>
                <w:p w14:paraId="6835E561" w14:textId="77777777" w:rsidR="00FC14FC" w:rsidRDefault="00FC14FC" w:rsidP="00D11B9D">
                  <w:pPr>
                    <w:pStyle w:val="TableBodyText"/>
                    <w:jc w:val="left"/>
                  </w:pPr>
                  <w:r>
                    <w:t>25% Bloomberg AusBond Composite Index</w:t>
                  </w:r>
                </w:p>
                <w:p w14:paraId="76ADAE60" w14:textId="77777777" w:rsidR="00FC14FC" w:rsidRDefault="00FC14FC" w:rsidP="00D11B9D">
                  <w:pPr>
                    <w:pStyle w:val="TableBodyText"/>
                    <w:jc w:val="left"/>
                  </w:pPr>
                  <w:r>
                    <w:t xml:space="preserve">25% Bloomberg Barclays Global Aggregate Index </w:t>
                  </w:r>
                  <w:r>
                    <w:br/>
                    <w:t>(80% AUD hedged, 20% AUD unhedged)</w:t>
                  </w:r>
                </w:p>
              </w:tc>
              <w:tc>
                <w:tcPr>
                  <w:tcW w:w="583" w:type="pct"/>
                  <w:tcBorders>
                    <w:bottom w:val="single" w:sz="6" w:space="0" w:color="BFBFBF"/>
                  </w:tcBorders>
                  <w:shd w:val="clear" w:color="auto" w:fill="F2F2F2" w:themeFill="background1" w:themeFillShade="F2"/>
                </w:tcPr>
                <w:p w14:paraId="0007878C" w14:textId="77777777" w:rsidR="00FC14FC" w:rsidRDefault="00FC14FC" w:rsidP="00D11B9D">
                  <w:pPr>
                    <w:pStyle w:val="TableBodyText"/>
                  </w:pPr>
                  <w:r>
                    <w:t>0</w:t>
                  </w:r>
                </w:p>
              </w:tc>
              <w:tc>
                <w:tcPr>
                  <w:tcW w:w="583" w:type="pct"/>
                  <w:tcBorders>
                    <w:bottom w:val="single" w:sz="6" w:space="0" w:color="BFBFBF"/>
                  </w:tcBorders>
                  <w:shd w:val="clear" w:color="auto" w:fill="F2F2F2" w:themeFill="background1" w:themeFillShade="F2"/>
                </w:tcPr>
                <w:p w14:paraId="3BE7C446" w14:textId="77777777" w:rsidR="00FC14FC" w:rsidRDefault="00FC14FC" w:rsidP="00D11B9D">
                  <w:pPr>
                    <w:pStyle w:val="TableBodyText"/>
                    <w:ind w:right="28"/>
                  </w:pPr>
                  <w:r>
                    <w:t>25</w:t>
                  </w:r>
                </w:p>
              </w:tc>
            </w:tr>
          </w:tbl>
          <w:p w14:paraId="4BEC0112" w14:textId="77777777" w:rsidR="00FC14FC" w:rsidRDefault="00FC14FC" w:rsidP="00D11B9D">
            <w:pPr>
              <w:pStyle w:val="Box"/>
            </w:pPr>
          </w:p>
        </w:tc>
      </w:tr>
      <w:tr w:rsidR="00FC14FC" w14:paraId="7004DEDD" w14:textId="77777777" w:rsidTr="00D11B9D">
        <w:tc>
          <w:tcPr>
            <w:tcW w:w="5000" w:type="pct"/>
            <w:tcBorders>
              <w:top w:val="nil"/>
              <w:left w:val="nil"/>
              <w:bottom w:val="single" w:sz="6" w:space="0" w:color="78A22F"/>
              <w:right w:val="nil"/>
            </w:tcBorders>
            <w:shd w:val="clear" w:color="auto" w:fill="auto"/>
          </w:tcPr>
          <w:p w14:paraId="579E53E2" w14:textId="77777777" w:rsidR="00FC14FC" w:rsidRDefault="00FC14FC" w:rsidP="00D11B9D">
            <w:pPr>
              <w:pStyle w:val="Box"/>
              <w:spacing w:before="0" w:line="120" w:lineRule="exact"/>
            </w:pPr>
          </w:p>
        </w:tc>
      </w:tr>
      <w:tr w:rsidR="00FC14FC" w:rsidRPr="000863A5" w14:paraId="7EC81B47" w14:textId="77777777" w:rsidTr="00D11B9D">
        <w:tc>
          <w:tcPr>
            <w:tcW w:w="5000" w:type="pct"/>
            <w:tcBorders>
              <w:top w:val="single" w:sz="6" w:space="0" w:color="78A22F"/>
              <w:left w:val="nil"/>
              <w:bottom w:val="nil"/>
              <w:right w:val="nil"/>
            </w:tcBorders>
          </w:tcPr>
          <w:p w14:paraId="05E6B55B" w14:textId="77777777" w:rsidR="00FC14FC" w:rsidRPr="00626D32" w:rsidRDefault="00FC14FC" w:rsidP="00D11B9D">
            <w:pPr>
              <w:pStyle w:val="BoxSpaceBelow"/>
            </w:pPr>
          </w:p>
        </w:tc>
      </w:tr>
    </w:tbl>
    <w:p w14:paraId="5DCB6DF9" w14:textId="77777777" w:rsidR="00FC14FC" w:rsidRDefault="00FC14FC" w:rsidP="00FC14FC">
      <w:pPr>
        <w:pStyle w:val="ListBullet"/>
        <w:numPr>
          <w:ilvl w:val="0"/>
          <w:numId w:val="0"/>
        </w:numPr>
        <w:ind w:left="340" w:hanging="340"/>
      </w:pPr>
    </w:p>
    <w:p w14:paraId="6046DAF9"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19F96C29" w14:textId="77777777" w:rsidTr="00D11B9D">
        <w:trPr>
          <w:tblHeader/>
        </w:trPr>
        <w:tc>
          <w:tcPr>
            <w:tcW w:w="5000" w:type="pct"/>
            <w:tcBorders>
              <w:top w:val="single" w:sz="6" w:space="0" w:color="78A22F"/>
              <w:left w:val="nil"/>
              <w:bottom w:val="nil"/>
              <w:right w:val="nil"/>
            </w:tcBorders>
            <w:shd w:val="clear" w:color="auto" w:fill="auto"/>
          </w:tcPr>
          <w:p w14:paraId="194B636B" w14:textId="77777777" w:rsidR="00FC14FC" w:rsidRDefault="00FC14FC" w:rsidP="00D11B9D">
            <w:pPr>
              <w:pStyle w:val="FigureTitle"/>
            </w:pPr>
            <w:r w:rsidRPr="00784A05">
              <w:rPr>
                <w:b w:val="0"/>
              </w:rPr>
              <w:t xml:space="preserve">Figure </w:t>
            </w:r>
            <w:r>
              <w:rPr>
                <w:b w:val="0"/>
              </w:rPr>
              <w:t>4.7</w:t>
            </w:r>
            <w:r>
              <w:tab/>
              <w:t>Returns to indexes</w:t>
            </w:r>
          </w:p>
          <w:p w14:paraId="7C31B4FE" w14:textId="77777777" w:rsidR="00FC14FC" w:rsidRPr="00176D3F" w:rsidRDefault="00FC14FC" w:rsidP="00D11B9D">
            <w:pPr>
              <w:pStyle w:val="Subtitle"/>
            </w:pPr>
            <w:r>
              <w:t>Nominal returns, 2005–2017</w:t>
            </w:r>
          </w:p>
        </w:tc>
      </w:tr>
      <w:tr w:rsidR="00FC14FC" w14:paraId="0F5C1A58"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5E2D28CC" w14:textId="77777777" w:rsidTr="00D11B9D">
              <w:trPr>
                <w:tblHeader/>
                <w:jc w:val="center"/>
              </w:trPr>
              <w:tc>
                <w:tcPr>
                  <w:tcW w:w="5000" w:type="pct"/>
                  <w:tcBorders>
                    <w:top w:val="nil"/>
                    <w:bottom w:val="nil"/>
                  </w:tcBorders>
                </w:tcPr>
                <w:p w14:paraId="10B72C5A" w14:textId="77777777" w:rsidR="00FC14FC" w:rsidRPr="00B1465D" w:rsidRDefault="00FC14FC" w:rsidP="00D11B9D">
                  <w:pPr>
                    <w:pStyle w:val="Figure"/>
                    <w:spacing w:before="60" w:after="60"/>
                    <w:rPr>
                      <w:rFonts w:ascii="Arial" w:hAnsi="Arial" w:cs="Arial"/>
                      <w:sz w:val="18"/>
                      <w:szCs w:val="18"/>
                    </w:rPr>
                  </w:pPr>
                  <w:r w:rsidRPr="00F70DC4">
                    <w:rPr>
                      <w:rFonts w:ascii="Arial" w:hAnsi="Arial" w:cs="Arial"/>
                      <w:sz w:val="18"/>
                      <w:szCs w:val="18"/>
                    </w:rPr>
                    <w:t xml:space="preserve"> </w:t>
                  </w:r>
                  <w:r w:rsidRPr="00E8751E">
                    <w:rPr>
                      <w:rFonts w:ascii="Arial" w:hAnsi="Arial" w:cs="Arial"/>
                      <w:noProof/>
                      <w:sz w:val="18"/>
                      <w:szCs w:val="18"/>
                    </w:rPr>
                    <w:drawing>
                      <wp:inline distT="0" distB="0" distL="0" distR="0" wp14:anchorId="7D667C18" wp14:editId="5FB3B1F5">
                        <wp:extent cx="4899660" cy="6858000"/>
                        <wp:effectExtent l="0" t="0" r="0" b="0"/>
                        <wp:docPr id="13" name="Picture 13" descr="Fig 4.7. This figure shows the compound average returns to the indexes used. Unlisted and other growth asset classes produced higher long-term net returns. " title="Returns to inde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99660" cy="6858000"/>
                                </a:xfrm>
                                <a:prstGeom prst="rect">
                                  <a:avLst/>
                                </a:prstGeom>
                                <a:noFill/>
                                <a:ln>
                                  <a:noFill/>
                                </a:ln>
                              </pic:spPr>
                            </pic:pic>
                          </a:graphicData>
                        </a:graphic>
                      </wp:inline>
                    </w:drawing>
                  </w:r>
                </w:p>
              </w:tc>
            </w:tr>
          </w:tbl>
          <w:p w14:paraId="05830B7B" w14:textId="77777777" w:rsidR="00FC14FC" w:rsidRDefault="00FC14FC" w:rsidP="00D11B9D">
            <w:pPr>
              <w:pStyle w:val="Figure"/>
            </w:pPr>
          </w:p>
        </w:tc>
      </w:tr>
      <w:tr w:rsidR="00FC14FC" w:rsidRPr="00176D3F" w14:paraId="41353704" w14:textId="77777777" w:rsidTr="00D11B9D">
        <w:tc>
          <w:tcPr>
            <w:tcW w:w="5000" w:type="pct"/>
            <w:tcBorders>
              <w:top w:val="nil"/>
              <w:left w:val="nil"/>
              <w:bottom w:val="nil"/>
              <w:right w:val="nil"/>
            </w:tcBorders>
            <w:shd w:val="clear" w:color="auto" w:fill="auto"/>
          </w:tcPr>
          <w:p w14:paraId="5B6B5F55" w14:textId="77777777" w:rsidR="00FC14FC" w:rsidRPr="00176D3F" w:rsidRDefault="00FC14FC" w:rsidP="00D11B9D">
            <w:pPr>
              <w:pStyle w:val="Source"/>
            </w:pPr>
            <w:r>
              <w:rPr>
                <w:i/>
              </w:rPr>
              <w:t>S</w:t>
            </w:r>
            <w:r w:rsidRPr="00784A05">
              <w:rPr>
                <w:i/>
              </w:rPr>
              <w:t>ource</w:t>
            </w:r>
            <w:r w:rsidRPr="00176D3F">
              <w:t xml:space="preserve">: </w:t>
            </w:r>
            <w:r>
              <w:t xml:space="preserve">PC analysis of </w:t>
            </w:r>
            <w:r>
              <w:rPr>
                <w:rFonts w:eastAsia="+mn-ea" w:cs="Arial"/>
                <w:color w:val="000000" w:themeColor="text1"/>
                <w:kern w:val="24"/>
                <w:szCs w:val="18"/>
              </w:rPr>
              <w:t>financial market index data (various providers).</w:t>
            </w:r>
          </w:p>
        </w:tc>
      </w:tr>
      <w:tr w:rsidR="00FC14FC" w14:paraId="72565197" w14:textId="77777777" w:rsidTr="00D11B9D">
        <w:tc>
          <w:tcPr>
            <w:tcW w:w="5000" w:type="pct"/>
            <w:tcBorders>
              <w:top w:val="nil"/>
              <w:left w:val="nil"/>
              <w:bottom w:val="single" w:sz="6" w:space="0" w:color="78A22F"/>
              <w:right w:val="nil"/>
            </w:tcBorders>
            <w:shd w:val="clear" w:color="auto" w:fill="auto"/>
          </w:tcPr>
          <w:p w14:paraId="318C66F3" w14:textId="77777777" w:rsidR="00FC14FC" w:rsidRDefault="00FC14FC" w:rsidP="00D11B9D">
            <w:pPr>
              <w:pStyle w:val="Figurespace"/>
            </w:pPr>
          </w:p>
        </w:tc>
      </w:tr>
      <w:tr w:rsidR="00FC14FC" w:rsidRPr="000863A5" w14:paraId="2CB04745" w14:textId="77777777" w:rsidTr="00D11B9D">
        <w:tc>
          <w:tcPr>
            <w:tcW w:w="5000" w:type="pct"/>
            <w:tcBorders>
              <w:top w:val="single" w:sz="6" w:space="0" w:color="78A22F"/>
              <w:left w:val="nil"/>
              <w:bottom w:val="nil"/>
              <w:right w:val="nil"/>
            </w:tcBorders>
          </w:tcPr>
          <w:p w14:paraId="7484FB79" w14:textId="77777777" w:rsidR="00FC14FC" w:rsidRPr="00626D32" w:rsidRDefault="00FC14FC" w:rsidP="00D11B9D">
            <w:pPr>
              <w:pStyle w:val="BoxSpaceBelow"/>
            </w:pPr>
          </w:p>
        </w:tc>
      </w:tr>
    </w:tbl>
    <w:p w14:paraId="01AAF4B7" w14:textId="77777777" w:rsidR="00FC14FC" w:rsidRDefault="00FC14FC" w:rsidP="00FC14FC">
      <w:pPr>
        <w:pStyle w:val="BoxSpaceAbove"/>
        <w:sectPr w:rsidR="00FC14FC" w:rsidSect="00825F04">
          <w:headerReference w:type="even" r:id="rId53"/>
          <w:headerReference w:type="default" r:id="rId54"/>
          <w:footerReference w:type="even" r:id="rId55"/>
          <w:footerReference w:type="default" r:id="rId56"/>
          <w:pgSz w:w="11907" w:h="16840" w:code="9"/>
          <w:pgMar w:top="1985" w:right="1304" w:bottom="1418" w:left="1814" w:header="1701" w:footer="567" w:gutter="0"/>
          <w:pgNumType w:chapSep="period"/>
          <w:cols w:space="720"/>
          <w:docGrid w:linePitch="326"/>
        </w:sectPr>
      </w:pPr>
    </w:p>
    <w:p w14:paraId="167AD15F"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13437"/>
      </w:tblGrid>
      <w:tr w:rsidR="00FC14FC" w14:paraId="006803FC" w14:textId="77777777" w:rsidTr="00D11B9D">
        <w:trPr>
          <w:tblHeader/>
        </w:trPr>
        <w:tc>
          <w:tcPr>
            <w:tcW w:w="5000" w:type="pct"/>
            <w:tcBorders>
              <w:top w:val="single" w:sz="6" w:space="0" w:color="78A22F"/>
              <w:left w:val="nil"/>
              <w:bottom w:val="nil"/>
              <w:right w:val="nil"/>
            </w:tcBorders>
            <w:shd w:val="clear" w:color="auto" w:fill="auto"/>
          </w:tcPr>
          <w:p w14:paraId="00BEE888" w14:textId="77777777" w:rsidR="00FC14FC" w:rsidRDefault="00FC14FC" w:rsidP="00D11B9D">
            <w:pPr>
              <w:pStyle w:val="FigureTitle"/>
            </w:pPr>
            <w:r w:rsidRPr="00784A05">
              <w:rPr>
                <w:b w:val="0"/>
              </w:rPr>
              <w:t xml:space="preserve">Figure </w:t>
            </w:r>
            <w:r>
              <w:rPr>
                <w:b w:val="0"/>
              </w:rPr>
              <w:t>4.8</w:t>
            </w:r>
            <w:r>
              <w:tab/>
              <w:t>Simulated BP returns</w:t>
            </w:r>
          </w:p>
          <w:p w14:paraId="36EB6AAB" w14:textId="77777777" w:rsidR="00FC14FC" w:rsidRPr="00176D3F" w:rsidRDefault="00FC14FC" w:rsidP="00D11B9D">
            <w:pPr>
              <w:pStyle w:val="Subtitle"/>
            </w:pPr>
            <w:r>
              <w:t>2005–2017</w:t>
            </w:r>
          </w:p>
        </w:tc>
      </w:tr>
      <w:tr w:rsidR="00FC14FC" w14:paraId="1556D736" w14:textId="77777777" w:rsidTr="00D11B9D">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3153"/>
            </w:tblGrid>
            <w:tr w:rsidR="00FC14FC" w:rsidRPr="00B1465D" w14:paraId="502E0D8A" w14:textId="77777777" w:rsidTr="00D11B9D">
              <w:trPr>
                <w:tblHeader/>
                <w:jc w:val="center"/>
              </w:trPr>
              <w:tc>
                <w:tcPr>
                  <w:tcW w:w="5000" w:type="pct"/>
                  <w:tcBorders>
                    <w:top w:val="nil"/>
                    <w:bottom w:val="nil"/>
                  </w:tcBorders>
                </w:tcPr>
                <w:p w14:paraId="316D7BAB" w14:textId="77777777" w:rsidR="00FC14FC" w:rsidRPr="00B1465D" w:rsidRDefault="00FC14FC" w:rsidP="00D11B9D">
                  <w:pPr>
                    <w:pStyle w:val="Figure"/>
                    <w:spacing w:before="60" w:after="60"/>
                    <w:rPr>
                      <w:rFonts w:ascii="Arial" w:hAnsi="Arial" w:cs="Arial"/>
                      <w:sz w:val="18"/>
                      <w:szCs w:val="18"/>
                    </w:rPr>
                  </w:pPr>
                  <w:r w:rsidRPr="00F70DC4">
                    <w:rPr>
                      <w:rFonts w:ascii="Arial" w:hAnsi="Arial" w:cs="Arial"/>
                      <w:sz w:val="18"/>
                      <w:szCs w:val="18"/>
                    </w:rPr>
                    <w:t xml:space="preserve"> </w:t>
                  </w:r>
                  <w:r w:rsidRPr="00EE3F84">
                    <w:rPr>
                      <w:rFonts w:ascii="Arial" w:hAnsi="Arial" w:cs="Arial"/>
                      <w:noProof/>
                      <w:sz w:val="18"/>
                      <w:szCs w:val="18"/>
                    </w:rPr>
                    <w:drawing>
                      <wp:inline distT="0" distB="0" distL="0" distR="0" wp14:anchorId="0BBEECFB" wp14:editId="36961F05">
                        <wp:extent cx="8100060" cy="3604260"/>
                        <wp:effectExtent l="0" t="0" r="0" b="0"/>
                        <wp:docPr id="2" name="Picture 2" descr="Fig 4.8. This figure shows the results to the simulations detailed above. The distributions widen as the proportion of growth assets increases. The mean return of each distribution increases as well, but not at such a high rate. It starts just below 6 and finishes just above 6. " title="Simulated BP retu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100060" cy="3604260"/>
                                </a:xfrm>
                                <a:prstGeom prst="rect">
                                  <a:avLst/>
                                </a:prstGeom>
                                <a:noFill/>
                                <a:ln>
                                  <a:noFill/>
                                </a:ln>
                              </pic:spPr>
                            </pic:pic>
                          </a:graphicData>
                        </a:graphic>
                      </wp:inline>
                    </w:drawing>
                  </w:r>
                </w:p>
              </w:tc>
            </w:tr>
          </w:tbl>
          <w:p w14:paraId="11CA34C3" w14:textId="77777777" w:rsidR="00FC14FC" w:rsidRDefault="00FC14FC" w:rsidP="00D11B9D">
            <w:pPr>
              <w:pStyle w:val="Figure"/>
            </w:pPr>
          </w:p>
        </w:tc>
      </w:tr>
      <w:tr w:rsidR="00FC14FC" w:rsidRPr="00176D3F" w14:paraId="5186F769" w14:textId="77777777" w:rsidTr="00D11B9D">
        <w:tc>
          <w:tcPr>
            <w:tcW w:w="5000" w:type="pct"/>
            <w:tcBorders>
              <w:top w:val="nil"/>
              <w:left w:val="nil"/>
              <w:bottom w:val="nil"/>
              <w:right w:val="nil"/>
            </w:tcBorders>
            <w:shd w:val="clear" w:color="auto" w:fill="auto"/>
          </w:tcPr>
          <w:p w14:paraId="3F8AF933" w14:textId="77777777" w:rsidR="00FC14FC" w:rsidRPr="00176D3F" w:rsidRDefault="00FC14FC" w:rsidP="00D11B9D">
            <w:pPr>
              <w:pStyle w:val="Source"/>
            </w:pPr>
            <w:r>
              <w:rPr>
                <w:i/>
              </w:rPr>
              <w:t>S</w:t>
            </w:r>
            <w:r w:rsidRPr="00784A05">
              <w:rPr>
                <w:i/>
              </w:rPr>
              <w:t>ource</w:t>
            </w:r>
            <w:r w:rsidRPr="00176D3F">
              <w:t xml:space="preserve">: </w:t>
            </w:r>
            <w:r>
              <w:t xml:space="preserve">PC analysis of unpublished APRA data and </w:t>
            </w:r>
            <w:r>
              <w:rPr>
                <w:rFonts w:eastAsia="+mn-ea" w:cs="Arial"/>
                <w:color w:val="000000" w:themeColor="text1"/>
                <w:kern w:val="24"/>
                <w:szCs w:val="18"/>
              </w:rPr>
              <w:t>financial market index data (various providers).</w:t>
            </w:r>
          </w:p>
        </w:tc>
      </w:tr>
      <w:tr w:rsidR="00FC14FC" w14:paraId="26725DC7" w14:textId="77777777" w:rsidTr="00D11B9D">
        <w:tc>
          <w:tcPr>
            <w:tcW w:w="5000" w:type="pct"/>
            <w:tcBorders>
              <w:top w:val="nil"/>
              <w:left w:val="nil"/>
              <w:bottom w:val="single" w:sz="6" w:space="0" w:color="78A22F"/>
              <w:right w:val="nil"/>
            </w:tcBorders>
            <w:shd w:val="clear" w:color="auto" w:fill="auto"/>
          </w:tcPr>
          <w:p w14:paraId="41CE67D6" w14:textId="77777777" w:rsidR="00FC14FC" w:rsidRDefault="00FC14FC" w:rsidP="00D11B9D">
            <w:pPr>
              <w:pStyle w:val="Figurespace"/>
            </w:pPr>
          </w:p>
        </w:tc>
      </w:tr>
      <w:tr w:rsidR="00FC14FC" w:rsidRPr="000863A5" w14:paraId="4C193E5E" w14:textId="77777777" w:rsidTr="00D11B9D">
        <w:tc>
          <w:tcPr>
            <w:tcW w:w="5000" w:type="pct"/>
            <w:tcBorders>
              <w:top w:val="single" w:sz="6" w:space="0" w:color="78A22F"/>
              <w:left w:val="nil"/>
              <w:bottom w:val="nil"/>
              <w:right w:val="nil"/>
            </w:tcBorders>
          </w:tcPr>
          <w:p w14:paraId="0C845764" w14:textId="77777777" w:rsidR="00FC14FC" w:rsidRPr="00626D32" w:rsidRDefault="00FC14FC" w:rsidP="00D11B9D">
            <w:pPr>
              <w:pStyle w:val="BoxSpaceBelow"/>
            </w:pPr>
          </w:p>
        </w:tc>
      </w:tr>
    </w:tbl>
    <w:p w14:paraId="7F7A67F9" w14:textId="77777777" w:rsidR="00FC14FC" w:rsidRDefault="00FC14FC" w:rsidP="00FC14FC">
      <w:pPr>
        <w:pStyle w:val="BodyText"/>
        <w:sectPr w:rsidR="00FC14FC" w:rsidSect="00C26ECE">
          <w:headerReference w:type="even" r:id="rId58"/>
          <w:headerReference w:type="default" r:id="rId59"/>
          <w:footerReference w:type="even" r:id="rId60"/>
          <w:footerReference w:type="default" r:id="rId61"/>
          <w:pgSz w:w="16840" w:h="11907" w:orient="landscape" w:code="9"/>
          <w:pgMar w:top="1814" w:right="1985" w:bottom="1304" w:left="1418" w:header="1701" w:footer="567" w:gutter="0"/>
          <w:pgNumType w:chapSep="period"/>
          <w:cols w:space="720"/>
          <w:docGrid w:linePitch="326"/>
        </w:sectPr>
      </w:pPr>
    </w:p>
    <w:p w14:paraId="15F3B4C5" w14:textId="77777777" w:rsidR="00FC14FC" w:rsidRDefault="00FC14FC" w:rsidP="00FC14FC">
      <w:pPr>
        <w:pStyle w:val="BodyText"/>
        <w:spacing w:before="0"/>
      </w:pPr>
      <w:r>
        <w:lastRenderedPageBreak/>
        <w:t>Figure 4.8 presents the results for groups of BPs, based on the proportion of growth assets in each BP. There is one ‘band’ for each of the possible 5 per cent increments of growth assets (as defined in section 4.2). Each band represents the distribution of the BP returns for the group of BPs with the same proportion of growth assets. For example, the first band at 0 per cent growth assets represents all BPs with only defensive assets. The second band represents all BPs with 5 per cent of growth assets and so on. The vertical axis represents the proportion of simulations delivering a given investment return. Accordingly, by construction, the figure shows the change in average asset returns and volatility as the riskiness of the portfolios increases.</w:t>
      </w:r>
    </w:p>
    <w:p w14:paraId="416AA00A" w14:textId="77777777" w:rsidR="00FC14FC" w:rsidRDefault="00FC14FC" w:rsidP="00FC14FC">
      <w:pPr>
        <w:pStyle w:val="BodyText"/>
      </w:pPr>
      <w:r>
        <w:t>The results are most starkly revealed through comparisons of the least risky (the 0 band) and the most risky portfolio groups (the 100 band).The minimum return for the first band is 5.15 per cent</w:t>
      </w:r>
      <w:r w:rsidDel="00230E23">
        <w:t xml:space="preserve"> </w:t>
      </w:r>
      <w:r>
        <w:t xml:space="preserve">and the maximum 5.66 per cent (figure 4.8). The range in results is modest, as shown by the narrow bounds on asset returns. In contrast, the highest risk portfolios have a higher average return, but also a larger range of outcomes. </w:t>
      </w:r>
    </w:p>
    <w:p w14:paraId="328A7B7F" w14:textId="77777777" w:rsidR="00FC14FC" w:rsidRDefault="00FC14FC" w:rsidP="00FC14FC">
      <w:pPr>
        <w:pStyle w:val="BodyText"/>
      </w:pPr>
      <w:r>
        <w:t>Figure 4.8 also shows that over the specific 13</w:t>
      </w:r>
      <w:r>
        <w:noBreakHyphen/>
        <w:t>year period under analysis:</w:t>
      </w:r>
    </w:p>
    <w:p w14:paraId="05B08524" w14:textId="77777777" w:rsidR="00FC14FC" w:rsidRDefault="00FC14FC" w:rsidP="00FC14FC">
      <w:pPr>
        <w:pStyle w:val="ListBullet"/>
      </w:pPr>
      <w:r>
        <w:t>most BPs irrespective of their asset allocation would have achieved investment returns of at least 5.5 per cent</w:t>
      </w:r>
    </w:p>
    <w:p w14:paraId="5FF06CED" w14:textId="77777777" w:rsidR="00FC14FC" w:rsidRDefault="00FC14FC" w:rsidP="00FC14FC">
      <w:pPr>
        <w:pStyle w:val="ListBullet"/>
      </w:pPr>
      <w:r>
        <w:t>more conservative asset allocations would not necessarily have delivered lower investment returns compared with asset allocations with more growth assets over the time period of analysis. Even a BP with 0 per cent growth assets could have achieved investment returns commensurate with a large proportion of BPs with 100 per cent growth assets, in part, this appears to be driven by relatively strong performance by international fixed income</w:t>
      </w:r>
    </w:p>
    <w:p w14:paraId="258F9871" w14:textId="77777777" w:rsidR="00FC14FC" w:rsidRDefault="00FC14FC" w:rsidP="00FC14FC">
      <w:pPr>
        <w:pStyle w:val="ListBullet2"/>
      </w:pPr>
      <w:r>
        <w:t>it should be noted, however, that this result is for a particular 13 year horizon, which includes the GFC. The representativeness of these results depend on how representative the 2005–2017 period is in terms of the frequency and fluctuations of the business cycle, of the longer term (for example, 40 years)</w:t>
      </w:r>
    </w:p>
    <w:p w14:paraId="10D7E073" w14:textId="77777777" w:rsidR="00FC14FC" w:rsidRDefault="00FC14FC" w:rsidP="00FC14FC">
      <w:pPr>
        <w:pStyle w:val="ListBullet"/>
      </w:pPr>
      <w:r>
        <w:t>to the extent that the mean portfolio return varies by no more than 0.5 per cent</w:t>
      </w:r>
      <w:r w:rsidDel="00230E23">
        <w:t xml:space="preserve"> </w:t>
      </w:r>
      <w:r>
        <w:t>over the spectrum of allocations to growth assets, the Commission’s results and BPs are likely to be relatively insensitive to the Commission’s assumptions about asset allocation over the time period (particularly, relative to other inputs such as indexes and fees).</w:t>
      </w:r>
    </w:p>
    <w:p w14:paraId="44CA5480" w14:textId="77777777" w:rsidR="00FC14FC" w:rsidRDefault="00FC14FC" w:rsidP="00FC14FC">
      <w:pPr>
        <w:pStyle w:val="BodyText"/>
      </w:pPr>
      <w:r>
        <w:t>However, several caveats should be noted. First, these simulations were constructed on the basis of static asset allocations over the 13 years to 2017. It is possible that funds may achieve higher or lower returns than these simulations suggest by dynamically managing asset allocation with the aim of achieving better returns. Second, returns over longer periods will be different from those over a 13</w:t>
      </w:r>
      <w:r>
        <w:noBreakHyphen/>
        <w:t>year horizon, and so what may appear to be a poor asset choice over one period may not be so over a different one. Finally, the simulations are non</w:t>
      </w:r>
      <w:r>
        <w:noBreakHyphen/>
        <w:t>probabilistic in that they act as if any given allocation of assets is equally probable. Funds will generally be less likely to have asset weightings at the extremes shown in table 4.27.</w:t>
      </w:r>
    </w:p>
    <w:p w14:paraId="2118793C" w14:textId="77777777" w:rsidR="00FC14FC" w:rsidRDefault="00FC14FC" w:rsidP="00FC14FC">
      <w:pPr>
        <w:pStyle w:val="Heading3"/>
      </w:pPr>
      <w:r>
        <w:lastRenderedPageBreak/>
        <w:t>System</w:t>
      </w:r>
      <w:r>
        <w:noBreakHyphen/>
        <w:t>level analysis</w:t>
      </w:r>
    </w:p>
    <w:p w14:paraId="42EFB841" w14:textId="77777777" w:rsidR="00FC14FC" w:rsidRDefault="00FC14FC" w:rsidP="00FC14FC">
      <w:pPr>
        <w:pStyle w:val="BodyText"/>
      </w:pPr>
      <w:r>
        <w:t>Analysis in chapter 2 shows that APRA</w:t>
      </w:r>
      <w:r>
        <w:noBreakHyphen/>
        <w:t>regulated funds delivered returns below both BP1 and BP2 over the long term (13 years). This result is robust to most alternative tests, including when returns are measured net of investment expenses, but gross of administration expenses. Exceptions include benchmarking over a 10</w:t>
      </w:r>
      <w:r>
        <w:noBreakHyphen/>
        <w:t>year time frame and with a 5 per cent tax rate applied to the BPs — in both cases, APRA</w:t>
      </w:r>
      <w:r>
        <w:noBreakHyphen/>
        <w:t>regulated funds perform above BP1, but still below BP2 (table 4.28).</w:t>
      </w:r>
    </w:p>
    <w:p w14:paraId="017C7E11" w14:textId="77777777" w:rsidR="00FC14FC" w:rsidRDefault="00FC14FC" w:rsidP="00FC14FC">
      <w:pPr>
        <w:pStyle w:val="BodyText"/>
      </w:pPr>
      <w:r>
        <w:t>It should be noted that the benchmarks used in chapter 2 for the system</w:t>
      </w:r>
      <w:r>
        <w:noBreakHyphen/>
        <w:t>level analysis are based on system</w:t>
      </w:r>
      <w:r>
        <w:noBreakHyphen/>
        <w:t>level asset allocation data from APRA, which appear to have irreconcilable differences with fund</w:t>
      </w:r>
      <w:r>
        <w:noBreakHyphen/>
        <w:t>level asset allocation data. The system</w:t>
      </w:r>
      <w:r>
        <w:noBreakHyphen/>
        <w:t>level asset allocation data are preferred as they appear to be of better quality and have a better representation of other assets.</w:t>
      </w:r>
    </w:p>
    <w:p w14:paraId="1FFD0D99"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7E80418A" w14:textId="77777777" w:rsidTr="00D11B9D">
        <w:trPr>
          <w:tblHeader/>
        </w:trPr>
        <w:tc>
          <w:tcPr>
            <w:tcW w:w="5000" w:type="pct"/>
            <w:tcBorders>
              <w:top w:val="single" w:sz="6" w:space="0" w:color="78A22F"/>
              <w:left w:val="nil"/>
              <w:bottom w:val="nil"/>
              <w:right w:val="nil"/>
            </w:tcBorders>
            <w:shd w:val="clear" w:color="auto" w:fill="auto"/>
          </w:tcPr>
          <w:p w14:paraId="49FF5BA2" w14:textId="77777777" w:rsidR="00FC14FC" w:rsidRDefault="00FC14FC" w:rsidP="00D11B9D">
            <w:pPr>
              <w:pStyle w:val="TableTitle"/>
            </w:pPr>
            <w:r>
              <w:rPr>
                <w:b w:val="0"/>
              </w:rPr>
              <w:t>Table 4.28</w:t>
            </w:r>
            <w:r>
              <w:tab/>
              <w:t>APRA</w:t>
            </w:r>
            <w:r>
              <w:noBreakHyphen/>
              <w:t>regulated system analysis</w:t>
            </w:r>
            <w:r w:rsidRPr="00556F51">
              <w:rPr>
                <w:rStyle w:val="NoteLabel"/>
              </w:rPr>
              <w:t>a</w:t>
            </w:r>
            <w:r>
              <w:rPr>
                <w:rStyle w:val="NoteLabel"/>
              </w:rPr>
              <w:t>,b,c,d</w:t>
            </w:r>
          </w:p>
          <w:p w14:paraId="646B2BE8" w14:textId="77777777" w:rsidR="00FC14FC" w:rsidRPr="00784A05" w:rsidRDefault="00FC14FC" w:rsidP="00D11B9D">
            <w:pPr>
              <w:pStyle w:val="Subtitle"/>
            </w:pPr>
            <w:r>
              <w:t>Alternative approaches</w:t>
            </w:r>
          </w:p>
        </w:tc>
      </w:tr>
      <w:tr w:rsidR="00FC14FC" w14:paraId="451FA17E" w14:textId="77777777" w:rsidTr="00D11B9D">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2553"/>
              <w:gridCol w:w="870"/>
              <w:gridCol w:w="830"/>
              <w:gridCol w:w="992"/>
              <w:gridCol w:w="3280"/>
            </w:tblGrid>
            <w:tr w:rsidR="00FC14FC" w14:paraId="118650C2" w14:textId="77777777" w:rsidTr="00D11B9D">
              <w:trPr>
                <w:tblHeader/>
              </w:trPr>
              <w:tc>
                <w:tcPr>
                  <w:tcW w:w="1497" w:type="pct"/>
                  <w:tcBorders>
                    <w:top w:val="single" w:sz="6" w:space="0" w:color="BFBFBF"/>
                    <w:bottom w:val="single" w:sz="6" w:space="0" w:color="BFBFBF"/>
                  </w:tcBorders>
                  <w:shd w:val="clear" w:color="auto" w:fill="auto"/>
                  <w:tcMar>
                    <w:top w:w="28" w:type="dxa"/>
                  </w:tcMar>
                  <w:vAlign w:val="bottom"/>
                </w:tcPr>
                <w:p w14:paraId="195F384E" w14:textId="77777777" w:rsidR="00FC14FC" w:rsidRDefault="00FC14FC" w:rsidP="00D11B9D">
                  <w:pPr>
                    <w:pStyle w:val="TableColumnHeading"/>
                    <w:jc w:val="left"/>
                  </w:pPr>
                  <w:r>
                    <w:t>Benchmark type</w:t>
                  </w:r>
                </w:p>
              </w:tc>
              <w:tc>
                <w:tcPr>
                  <w:tcW w:w="510" w:type="pct"/>
                  <w:tcBorders>
                    <w:top w:val="single" w:sz="6" w:space="0" w:color="BFBFBF"/>
                    <w:bottom w:val="single" w:sz="6" w:space="0" w:color="BFBFBF"/>
                  </w:tcBorders>
                  <w:shd w:val="clear" w:color="auto" w:fill="auto"/>
                  <w:vAlign w:val="bottom"/>
                </w:tcPr>
                <w:p w14:paraId="74FFD4D6" w14:textId="77777777" w:rsidR="00FC14FC" w:rsidRDefault="00FC14FC" w:rsidP="00D11B9D">
                  <w:pPr>
                    <w:pStyle w:val="TableColumnHeading"/>
                  </w:pPr>
                  <w:r>
                    <w:t>BP1 (%)</w:t>
                  </w:r>
                </w:p>
              </w:tc>
              <w:tc>
                <w:tcPr>
                  <w:tcW w:w="487" w:type="pct"/>
                  <w:tcBorders>
                    <w:top w:val="single" w:sz="6" w:space="0" w:color="BFBFBF"/>
                    <w:bottom w:val="single" w:sz="6" w:space="0" w:color="BFBFBF"/>
                  </w:tcBorders>
                  <w:shd w:val="clear" w:color="auto" w:fill="auto"/>
                  <w:vAlign w:val="bottom"/>
                </w:tcPr>
                <w:p w14:paraId="1595010B" w14:textId="77777777" w:rsidR="00FC14FC" w:rsidRDefault="00FC14FC" w:rsidP="00D11B9D">
                  <w:pPr>
                    <w:pStyle w:val="TableColumnHeading"/>
                  </w:pPr>
                  <w:r>
                    <w:t>BP2 (%)</w:t>
                  </w:r>
                </w:p>
              </w:tc>
              <w:tc>
                <w:tcPr>
                  <w:tcW w:w="582" w:type="pct"/>
                  <w:tcBorders>
                    <w:top w:val="single" w:sz="6" w:space="0" w:color="BFBFBF"/>
                    <w:bottom w:val="single" w:sz="6" w:space="0" w:color="BFBFBF"/>
                  </w:tcBorders>
                  <w:shd w:val="clear" w:color="auto" w:fill="auto"/>
                  <w:vAlign w:val="bottom"/>
                </w:tcPr>
                <w:p w14:paraId="1055BAAC" w14:textId="77777777" w:rsidR="00FC14FC" w:rsidRDefault="00FC14FC" w:rsidP="00D11B9D">
                  <w:pPr>
                    <w:pStyle w:val="TableColumnHeading"/>
                  </w:pPr>
                  <w:r>
                    <w:t>Actual return (%)</w:t>
                  </w:r>
                </w:p>
              </w:tc>
              <w:tc>
                <w:tcPr>
                  <w:tcW w:w="1924" w:type="pct"/>
                  <w:tcBorders>
                    <w:top w:val="single" w:sz="6" w:space="0" w:color="BFBFBF"/>
                    <w:bottom w:val="single" w:sz="6" w:space="0" w:color="BFBFBF"/>
                  </w:tcBorders>
                  <w:shd w:val="clear" w:color="auto" w:fill="auto"/>
                  <w:tcMar>
                    <w:top w:w="28" w:type="dxa"/>
                  </w:tcMar>
                  <w:vAlign w:val="bottom"/>
                </w:tcPr>
                <w:p w14:paraId="43E70A63" w14:textId="77777777" w:rsidR="00FC14FC" w:rsidRDefault="00FC14FC" w:rsidP="00D11B9D">
                  <w:pPr>
                    <w:pStyle w:val="TableColumnHeading"/>
                    <w:ind w:right="28"/>
                    <w:jc w:val="left"/>
                  </w:pPr>
                  <w:r>
                    <w:t>Result</w:t>
                  </w:r>
                </w:p>
              </w:tc>
            </w:tr>
            <w:tr w:rsidR="00FC14FC" w14:paraId="714BE333" w14:textId="77777777" w:rsidTr="00D11B9D">
              <w:trPr>
                <w:tblHeader/>
              </w:trPr>
              <w:tc>
                <w:tcPr>
                  <w:tcW w:w="1497" w:type="pct"/>
                  <w:tcBorders>
                    <w:top w:val="single" w:sz="6" w:space="0" w:color="BFBFBF"/>
                  </w:tcBorders>
                  <w:shd w:val="clear" w:color="auto" w:fill="auto"/>
                  <w:tcMar>
                    <w:top w:w="28" w:type="dxa"/>
                  </w:tcMar>
                  <w:vAlign w:val="bottom"/>
                </w:tcPr>
                <w:p w14:paraId="68D4DF51" w14:textId="77777777" w:rsidR="00FC14FC" w:rsidRDefault="00FC14FC" w:rsidP="00D11B9D">
                  <w:pPr>
                    <w:pStyle w:val="TableBodyText"/>
                    <w:spacing w:before="40"/>
                    <w:jc w:val="left"/>
                  </w:pPr>
                  <w:r>
                    <w:t>System</w:t>
                  </w:r>
                  <w:r>
                    <w:noBreakHyphen/>
                    <w:t xml:space="preserve">tailored (chapter 2) </w:t>
                  </w:r>
                </w:p>
              </w:tc>
              <w:tc>
                <w:tcPr>
                  <w:tcW w:w="510" w:type="pct"/>
                  <w:tcBorders>
                    <w:top w:val="single" w:sz="6" w:space="0" w:color="BFBFBF"/>
                  </w:tcBorders>
                  <w:shd w:val="clear" w:color="auto" w:fill="auto"/>
                  <w:vAlign w:val="bottom"/>
                </w:tcPr>
                <w:p w14:paraId="49881325" w14:textId="77777777" w:rsidR="00FC14FC" w:rsidRPr="0032605D" w:rsidRDefault="00FC14FC" w:rsidP="00D11B9D">
                  <w:pPr>
                    <w:pStyle w:val="TableBodyText"/>
                    <w:spacing w:before="40"/>
                  </w:pPr>
                  <w:r>
                    <w:t>6.15</w:t>
                  </w:r>
                </w:p>
              </w:tc>
              <w:tc>
                <w:tcPr>
                  <w:tcW w:w="487" w:type="pct"/>
                  <w:tcBorders>
                    <w:top w:val="single" w:sz="6" w:space="0" w:color="BFBFBF"/>
                  </w:tcBorders>
                  <w:shd w:val="clear" w:color="auto" w:fill="auto"/>
                  <w:vAlign w:val="bottom"/>
                </w:tcPr>
                <w:p w14:paraId="045361CA" w14:textId="77777777" w:rsidR="00FC14FC" w:rsidRPr="0032605D" w:rsidRDefault="00FC14FC" w:rsidP="00D11B9D">
                  <w:pPr>
                    <w:pStyle w:val="TableBodyText"/>
                    <w:spacing w:before="40"/>
                  </w:pPr>
                  <w:r w:rsidRPr="0032605D">
                    <w:t>6.</w:t>
                  </w:r>
                  <w:r>
                    <w:t>86</w:t>
                  </w:r>
                </w:p>
              </w:tc>
              <w:tc>
                <w:tcPr>
                  <w:tcW w:w="582" w:type="pct"/>
                  <w:tcBorders>
                    <w:top w:val="single" w:sz="6" w:space="0" w:color="BFBFBF"/>
                  </w:tcBorders>
                  <w:shd w:val="clear" w:color="auto" w:fill="auto"/>
                  <w:tcMar>
                    <w:top w:w="28" w:type="dxa"/>
                  </w:tcMar>
                  <w:vAlign w:val="bottom"/>
                </w:tcPr>
                <w:p w14:paraId="0DDB32B7" w14:textId="77777777" w:rsidR="00FC14FC" w:rsidRPr="0032605D" w:rsidRDefault="00FC14FC" w:rsidP="00D11B9D">
                  <w:pPr>
                    <w:pStyle w:val="TableBodyText"/>
                    <w:spacing w:before="40"/>
                  </w:pPr>
                  <w:r>
                    <w:t>6.11</w:t>
                  </w:r>
                </w:p>
              </w:tc>
              <w:tc>
                <w:tcPr>
                  <w:tcW w:w="1924" w:type="pct"/>
                  <w:tcBorders>
                    <w:top w:val="single" w:sz="6" w:space="0" w:color="BFBFBF"/>
                  </w:tcBorders>
                  <w:shd w:val="clear" w:color="auto" w:fill="auto"/>
                  <w:tcMar>
                    <w:top w:w="28" w:type="dxa"/>
                  </w:tcMar>
                  <w:vAlign w:val="bottom"/>
                </w:tcPr>
                <w:p w14:paraId="2D355007" w14:textId="77777777" w:rsidR="00FC14FC" w:rsidRDefault="00FC14FC" w:rsidP="00D11B9D">
                  <w:pPr>
                    <w:pStyle w:val="TableBodyText"/>
                    <w:spacing w:before="40"/>
                    <w:jc w:val="left"/>
                  </w:pPr>
                  <w:r>
                    <w:t>Performance below both benchmarks</w:t>
                  </w:r>
                </w:p>
              </w:tc>
            </w:tr>
            <w:tr w:rsidR="00FC14FC" w14:paraId="05D93F04" w14:textId="77777777" w:rsidTr="00D11B9D">
              <w:trPr>
                <w:tblHeader/>
              </w:trPr>
              <w:tc>
                <w:tcPr>
                  <w:tcW w:w="1497" w:type="pct"/>
                  <w:shd w:val="pct5" w:color="auto" w:fill="auto"/>
                  <w:tcMar>
                    <w:top w:w="28" w:type="dxa"/>
                  </w:tcMar>
                  <w:vAlign w:val="bottom"/>
                </w:tcPr>
                <w:p w14:paraId="07580062" w14:textId="77777777" w:rsidR="00FC14FC" w:rsidRDefault="00FC14FC" w:rsidP="00D11B9D">
                  <w:pPr>
                    <w:pStyle w:val="TableBodyText"/>
                    <w:jc w:val="left"/>
                  </w:pPr>
                  <w:r>
                    <w:t>System</w:t>
                  </w:r>
                  <w:r>
                    <w:noBreakHyphen/>
                    <w:t>tailored, net investment returns</w:t>
                  </w:r>
                  <w:r>
                    <w:rPr>
                      <w:rStyle w:val="NoteLabel"/>
                    </w:rPr>
                    <w:t>a</w:t>
                  </w:r>
                </w:p>
              </w:tc>
              <w:tc>
                <w:tcPr>
                  <w:tcW w:w="510" w:type="pct"/>
                  <w:shd w:val="pct5" w:color="auto" w:fill="auto"/>
                  <w:vAlign w:val="bottom"/>
                </w:tcPr>
                <w:p w14:paraId="561375F5" w14:textId="77777777" w:rsidR="00FC14FC" w:rsidRPr="0032605D" w:rsidRDefault="00FC14FC" w:rsidP="00D11B9D">
                  <w:pPr>
                    <w:pStyle w:val="TableBodyText"/>
                  </w:pPr>
                  <w:r>
                    <w:t>6.81</w:t>
                  </w:r>
                </w:p>
              </w:tc>
              <w:tc>
                <w:tcPr>
                  <w:tcW w:w="487" w:type="pct"/>
                  <w:shd w:val="pct5" w:color="auto" w:fill="auto"/>
                  <w:vAlign w:val="bottom"/>
                </w:tcPr>
                <w:p w14:paraId="43A12759" w14:textId="77777777" w:rsidR="00FC14FC" w:rsidRPr="0032605D" w:rsidRDefault="00FC14FC" w:rsidP="00D11B9D">
                  <w:pPr>
                    <w:pStyle w:val="TableBodyText"/>
                  </w:pPr>
                  <w:r>
                    <w:t>7.52</w:t>
                  </w:r>
                </w:p>
              </w:tc>
              <w:tc>
                <w:tcPr>
                  <w:tcW w:w="582" w:type="pct"/>
                  <w:shd w:val="pct5" w:color="auto" w:fill="auto"/>
                  <w:tcMar>
                    <w:top w:w="28" w:type="dxa"/>
                  </w:tcMar>
                  <w:vAlign w:val="bottom"/>
                </w:tcPr>
                <w:p w14:paraId="186F5807" w14:textId="77777777" w:rsidR="00FC14FC" w:rsidRPr="0032605D" w:rsidRDefault="00FC14FC" w:rsidP="00D11B9D">
                  <w:pPr>
                    <w:pStyle w:val="TableBodyText"/>
                  </w:pPr>
                  <w:r w:rsidRPr="0032605D">
                    <w:t>6.</w:t>
                  </w:r>
                  <w:r>
                    <w:t>72</w:t>
                  </w:r>
                </w:p>
              </w:tc>
              <w:tc>
                <w:tcPr>
                  <w:tcW w:w="1924" w:type="pct"/>
                  <w:shd w:val="pct5" w:color="auto" w:fill="auto"/>
                  <w:tcMar>
                    <w:top w:w="28" w:type="dxa"/>
                  </w:tcMar>
                  <w:vAlign w:val="bottom"/>
                </w:tcPr>
                <w:p w14:paraId="0290BE18" w14:textId="77777777" w:rsidR="00FC14FC" w:rsidRDefault="00FC14FC" w:rsidP="00D11B9D">
                  <w:pPr>
                    <w:pStyle w:val="TableBodyText"/>
                    <w:jc w:val="left"/>
                  </w:pPr>
                  <w:r>
                    <w:t>Performance below both benchmarks</w:t>
                  </w:r>
                </w:p>
              </w:tc>
            </w:tr>
            <w:tr w:rsidR="00FC14FC" w14:paraId="6F78B55A" w14:textId="77777777" w:rsidTr="00D11B9D">
              <w:trPr>
                <w:tblHeader/>
              </w:trPr>
              <w:tc>
                <w:tcPr>
                  <w:tcW w:w="1497" w:type="pct"/>
                  <w:shd w:val="clear" w:color="auto" w:fill="auto"/>
                  <w:tcMar>
                    <w:top w:w="28" w:type="dxa"/>
                  </w:tcMar>
                  <w:vAlign w:val="bottom"/>
                </w:tcPr>
                <w:p w14:paraId="7A533AF1" w14:textId="77777777" w:rsidR="00FC14FC" w:rsidRDefault="00FC14FC" w:rsidP="00D11B9D">
                  <w:pPr>
                    <w:pStyle w:val="TableBodyText"/>
                    <w:jc w:val="left"/>
                  </w:pPr>
                  <w:r>
                    <w:t>System</w:t>
                  </w:r>
                  <w:r>
                    <w:noBreakHyphen/>
                    <w:t>tailored, 10 years, 2008–2017</w:t>
                  </w:r>
                </w:p>
              </w:tc>
              <w:tc>
                <w:tcPr>
                  <w:tcW w:w="510" w:type="pct"/>
                  <w:shd w:val="clear" w:color="auto" w:fill="auto"/>
                  <w:vAlign w:val="bottom"/>
                </w:tcPr>
                <w:p w14:paraId="6609331D" w14:textId="77777777" w:rsidR="00FC14FC" w:rsidRPr="0032605D" w:rsidRDefault="00FC14FC" w:rsidP="00D11B9D">
                  <w:pPr>
                    <w:pStyle w:val="TableBodyText"/>
                  </w:pPr>
                  <w:r w:rsidRPr="0032605D">
                    <w:t>3.</w:t>
                  </w:r>
                  <w:r>
                    <w:t>85</w:t>
                  </w:r>
                </w:p>
              </w:tc>
              <w:tc>
                <w:tcPr>
                  <w:tcW w:w="487" w:type="pct"/>
                  <w:shd w:val="clear" w:color="auto" w:fill="auto"/>
                  <w:vAlign w:val="bottom"/>
                </w:tcPr>
                <w:p w14:paraId="09FACF1B" w14:textId="77777777" w:rsidR="00FC14FC" w:rsidRPr="0032605D" w:rsidRDefault="00FC14FC" w:rsidP="00D11B9D">
                  <w:pPr>
                    <w:pStyle w:val="TableBodyText"/>
                  </w:pPr>
                  <w:r>
                    <w:t>4.88</w:t>
                  </w:r>
                </w:p>
              </w:tc>
              <w:tc>
                <w:tcPr>
                  <w:tcW w:w="582" w:type="pct"/>
                  <w:shd w:val="clear" w:color="auto" w:fill="auto"/>
                  <w:tcMar>
                    <w:top w:w="28" w:type="dxa"/>
                  </w:tcMar>
                  <w:vAlign w:val="bottom"/>
                </w:tcPr>
                <w:p w14:paraId="75E8040A" w14:textId="77777777" w:rsidR="00FC14FC" w:rsidRPr="0032605D" w:rsidRDefault="00FC14FC" w:rsidP="00D11B9D">
                  <w:pPr>
                    <w:pStyle w:val="TableBodyText"/>
                  </w:pPr>
                  <w:r>
                    <w:t>4.01</w:t>
                  </w:r>
                </w:p>
              </w:tc>
              <w:tc>
                <w:tcPr>
                  <w:tcW w:w="1924" w:type="pct"/>
                  <w:shd w:val="clear" w:color="auto" w:fill="auto"/>
                  <w:tcMar>
                    <w:top w:w="28" w:type="dxa"/>
                  </w:tcMar>
                  <w:vAlign w:val="bottom"/>
                </w:tcPr>
                <w:p w14:paraId="60EFED8A" w14:textId="77777777" w:rsidR="00FC14FC" w:rsidRDefault="00FC14FC" w:rsidP="00D11B9D">
                  <w:pPr>
                    <w:pStyle w:val="TableBodyText"/>
                    <w:jc w:val="left"/>
                  </w:pPr>
                  <w:r>
                    <w:t>Performance above BP1 but not BP2</w:t>
                  </w:r>
                </w:p>
              </w:tc>
            </w:tr>
            <w:tr w:rsidR="00FC14FC" w14:paraId="720FE94F" w14:textId="77777777" w:rsidTr="00D11B9D">
              <w:trPr>
                <w:tblHeader/>
              </w:trPr>
              <w:tc>
                <w:tcPr>
                  <w:tcW w:w="1497" w:type="pct"/>
                  <w:shd w:val="pct5" w:color="auto" w:fill="auto"/>
                  <w:tcMar>
                    <w:top w:w="28" w:type="dxa"/>
                  </w:tcMar>
                  <w:vAlign w:val="bottom"/>
                </w:tcPr>
                <w:p w14:paraId="04D21EF5" w14:textId="77777777" w:rsidR="00FC14FC" w:rsidRDefault="00FC14FC" w:rsidP="00D11B9D">
                  <w:pPr>
                    <w:pStyle w:val="TableBodyText"/>
                    <w:jc w:val="left"/>
                  </w:pPr>
                  <w:r>
                    <w:t>System</w:t>
                  </w:r>
                  <w:r>
                    <w:noBreakHyphen/>
                    <w:t>tailored, 5 years, 2013–2017</w:t>
                  </w:r>
                </w:p>
              </w:tc>
              <w:tc>
                <w:tcPr>
                  <w:tcW w:w="510" w:type="pct"/>
                  <w:shd w:val="pct5" w:color="auto" w:fill="auto"/>
                  <w:vAlign w:val="bottom"/>
                </w:tcPr>
                <w:p w14:paraId="0BFA47CB" w14:textId="77777777" w:rsidR="00FC14FC" w:rsidRPr="0032605D" w:rsidRDefault="00FC14FC" w:rsidP="00D11B9D">
                  <w:pPr>
                    <w:pStyle w:val="TableBodyText"/>
                  </w:pPr>
                  <w:r>
                    <w:t>9.29</w:t>
                  </w:r>
                </w:p>
              </w:tc>
              <w:tc>
                <w:tcPr>
                  <w:tcW w:w="487" w:type="pct"/>
                  <w:shd w:val="pct5" w:color="auto" w:fill="auto"/>
                  <w:vAlign w:val="bottom"/>
                </w:tcPr>
                <w:p w14:paraId="1BA0DF5C" w14:textId="77777777" w:rsidR="00FC14FC" w:rsidRPr="0032605D" w:rsidRDefault="00FC14FC" w:rsidP="00D11B9D">
                  <w:pPr>
                    <w:pStyle w:val="TableBodyText"/>
                  </w:pPr>
                  <w:r w:rsidRPr="0032605D">
                    <w:t>9.</w:t>
                  </w:r>
                  <w:r>
                    <w:t>51</w:t>
                  </w:r>
                </w:p>
              </w:tc>
              <w:tc>
                <w:tcPr>
                  <w:tcW w:w="582" w:type="pct"/>
                  <w:shd w:val="pct5" w:color="auto" w:fill="auto"/>
                  <w:tcMar>
                    <w:top w:w="28" w:type="dxa"/>
                  </w:tcMar>
                  <w:vAlign w:val="bottom"/>
                </w:tcPr>
                <w:p w14:paraId="05A59123" w14:textId="77777777" w:rsidR="00FC14FC" w:rsidRPr="0032605D" w:rsidRDefault="00FC14FC" w:rsidP="00D11B9D">
                  <w:pPr>
                    <w:pStyle w:val="TableBodyText"/>
                  </w:pPr>
                  <w:r>
                    <w:t>9.14</w:t>
                  </w:r>
                </w:p>
              </w:tc>
              <w:tc>
                <w:tcPr>
                  <w:tcW w:w="1924" w:type="pct"/>
                  <w:shd w:val="pct5" w:color="auto" w:fill="auto"/>
                  <w:tcMar>
                    <w:top w:w="28" w:type="dxa"/>
                  </w:tcMar>
                  <w:vAlign w:val="bottom"/>
                </w:tcPr>
                <w:p w14:paraId="3BBD8E7B" w14:textId="77777777" w:rsidR="00FC14FC" w:rsidRDefault="00FC14FC" w:rsidP="00D11B9D">
                  <w:pPr>
                    <w:pStyle w:val="TableBodyText"/>
                    <w:jc w:val="left"/>
                  </w:pPr>
                  <w:r>
                    <w:t>Performance below both benchmarks</w:t>
                  </w:r>
                </w:p>
              </w:tc>
            </w:tr>
            <w:tr w:rsidR="00FC14FC" w14:paraId="60B87F50" w14:textId="77777777" w:rsidTr="00D11B9D">
              <w:trPr>
                <w:tblHeader/>
              </w:trPr>
              <w:tc>
                <w:tcPr>
                  <w:tcW w:w="1497" w:type="pct"/>
                  <w:shd w:val="clear" w:color="auto" w:fill="auto"/>
                  <w:tcMar>
                    <w:top w:w="28" w:type="dxa"/>
                  </w:tcMar>
                  <w:vAlign w:val="bottom"/>
                </w:tcPr>
                <w:p w14:paraId="677679BA" w14:textId="77777777" w:rsidR="00FC14FC" w:rsidRDefault="00FC14FC" w:rsidP="00D11B9D">
                  <w:pPr>
                    <w:pStyle w:val="TableBodyText"/>
                    <w:jc w:val="left"/>
                  </w:pPr>
                  <w:r>
                    <w:t xml:space="preserve">70/30 (growth/defensive) </w:t>
                  </w:r>
                </w:p>
              </w:tc>
              <w:tc>
                <w:tcPr>
                  <w:tcW w:w="510" w:type="pct"/>
                  <w:shd w:val="clear" w:color="auto" w:fill="auto"/>
                  <w:vAlign w:val="bottom"/>
                </w:tcPr>
                <w:p w14:paraId="4728C27D" w14:textId="77777777" w:rsidR="00FC14FC" w:rsidRPr="0032605D" w:rsidRDefault="00FC14FC" w:rsidP="00D11B9D">
                  <w:pPr>
                    <w:pStyle w:val="TableBodyText"/>
                  </w:pPr>
                  <w:r>
                    <w:t>6.17</w:t>
                  </w:r>
                </w:p>
              </w:tc>
              <w:tc>
                <w:tcPr>
                  <w:tcW w:w="487" w:type="pct"/>
                  <w:shd w:val="clear" w:color="auto" w:fill="auto"/>
                  <w:vAlign w:val="bottom"/>
                </w:tcPr>
                <w:p w14:paraId="01BA2129" w14:textId="77777777" w:rsidR="00FC14FC" w:rsidRPr="0032605D" w:rsidRDefault="00FC14FC" w:rsidP="00D11B9D">
                  <w:pPr>
                    <w:pStyle w:val="TableBodyText"/>
                  </w:pPr>
                  <w:r>
                    <w:t>7.00</w:t>
                  </w:r>
                </w:p>
              </w:tc>
              <w:tc>
                <w:tcPr>
                  <w:tcW w:w="582" w:type="pct"/>
                  <w:shd w:val="clear" w:color="auto" w:fill="auto"/>
                  <w:tcMar>
                    <w:top w:w="28" w:type="dxa"/>
                  </w:tcMar>
                  <w:vAlign w:val="bottom"/>
                </w:tcPr>
                <w:p w14:paraId="5C96DD03" w14:textId="77777777" w:rsidR="00FC14FC" w:rsidRPr="0032605D" w:rsidRDefault="00FC14FC" w:rsidP="00D11B9D">
                  <w:pPr>
                    <w:pStyle w:val="TableBodyText"/>
                  </w:pPr>
                  <w:r>
                    <w:t>6.11</w:t>
                  </w:r>
                </w:p>
              </w:tc>
              <w:tc>
                <w:tcPr>
                  <w:tcW w:w="1924" w:type="pct"/>
                  <w:shd w:val="clear" w:color="auto" w:fill="auto"/>
                  <w:tcMar>
                    <w:top w:w="28" w:type="dxa"/>
                  </w:tcMar>
                  <w:vAlign w:val="bottom"/>
                </w:tcPr>
                <w:p w14:paraId="22A9A1FF" w14:textId="77777777" w:rsidR="00FC14FC" w:rsidRDefault="00FC14FC" w:rsidP="00D11B9D">
                  <w:pPr>
                    <w:pStyle w:val="TableBodyText"/>
                    <w:jc w:val="left"/>
                  </w:pPr>
                  <w:r>
                    <w:t>Performance below both benchmarks</w:t>
                  </w:r>
                </w:p>
              </w:tc>
            </w:tr>
            <w:tr w:rsidR="00FC14FC" w14:paraId="6ADC1BF7" w14:textId="77777777" w:rsidTr="00D11B9D">
              <w:tc>
                <w:tcPr>
                  <w:tcW w:w="1497" w:type="pct"/>
                  <w:shd w:val="pct5" w:color="auto" w:fill="auto"/>
                  <w:vAlign w:val="bottom"/>
                </w:tcPr>
                <w:p w14:paraId="20F90B70" w14:textId="77777777" w:rsidR="00FC14FC" w:rsidRDefault="00FC14FC" w:rsidP="00D11B9D">
                  <w:pPr>
                    <w:pStyle w:val="TableBodyText"/>
                    <w:jc w:val="left"/>
                  </w:pPr>
                  <w:r>
                    <w:t>System</w:t>
                  </w:r>
                  <w:r>
                    <w:noBreakHyphen/>
                    <w:t>tailored, 5% tax rate</w:t>
                  </w:r>
                </w:p>
              </w:tc>
              <w:tc>
                <w:tcPr>
                  <w:tcW w:w="510" w:type="pct"/>
                  <w:shd w:val="pct5" w:color="auto" w:fill="auto"/>
                  <w:vAlign w:val="bottom"/>
                </w:tcPr>
                <w:p w14:paraId="0D388655" w14:textId="77777777" w:rsidR="00FC14FC" w:rsidRPr="0032605D" w:rsidRDefault="00FC14FC" w:rsidP="00D11B9D">
                  <w:pPr>
                    <w:pStyle w:val="TableBodyText"/>
                  </w:pPr>
                  <w:r w:rsidRPr="0032605D">
                    <w:t>5.</w:t>
                  </w:r>
                  <w:r>
                    <w:t>79</w:t>
                  </w:r>
                </w:p>
              </w:tc>
              <w:tc>
                <w:tcPr>
                  <w:tcW w:w="487" w:type="pct"/>
                  <w:shd w:val="pct5" w:color="auto" w:fill="auto"/>
                  <w:vAlign w:val="bottom"/>
                </w:tcPr>
                <w:p w14:paraId="4C8618A9" w14:textId="77777777" w:rsidR="00FC14FC" w:rsidRPr="0032605D" w:rsidRDefault="00FC14FC" w:rsidP="00D11B9D">
                  <w:pPr>
                    <w:pStyle w:val="TableBodyText"/>
                  </w:pPr>
                  <w:r>
                    <w:t>6.35</w:t>
                  </w:r>
                </w:p>
              </w:tc>
              <w:tc>
                <w:tcPr>
                  <w:tcW w:w="582" w:type="pct"/>
                  <w:shd w:val="pct5" w:color="auto" w:fill="auto"/>
                  <w:vAlign w:val="bottom"/>
                </w:tcPr>
                <w:p w14:paraId="4F6CE48F" w14:textId="77777777" w:rsidR="00FC14FC" w:rsidRPr="0032605D" w:rsidRDefault="00FC14FC" w:rsidP="00D11B9D">
                  <w:pPr>
                    <w:pStyle w:val="TableBodyText"/>
                  </w:pPr>
                  <w:r>
                    <w:t>6.11</w:t>
                  </w:r>
                </w:p>
              </w:tc>
              <w:tc>
                <w:tcPr>
                  <w:tcW w:w="1924" w:type="pct"/>
                  <w:shd w:val="pct5" w:color="auto" w:fill="auto"/>
                  <w:vAlign w:val="bottom"/>
                </w:tcPr>
                <w:p w14:paraId="1F8921A3" w14:textId="77777777" w:rsidR="00FC14FC" w:rsidRDefault="00FC14FC" w:rsidP="00D11B9D">
                  <w:pPr>
                    <w:pStyle w:val="TableUnitsRow"/>
                    <w:ind w:right="28"/>
                    <w:jc w:val="left"/>
                  </w:pPr>
                  <w:r>
                    <w:t>Performance above BP1 but not BP2</w:t>
                  </w:r>
                </w:p>
              </w:tc>
            </w:tr>
            <w:tr w:rsidR="00FC14FC" w14:paraId="40B72621" w14:textId="77777777" w:rsidTr="00D11B9D">
              <w:tc>
                <w:tcPr>
                  <w:tcW w:w="1497" w:type="pct"/>
                  <w:shd w:val="clear" w:color="auto" w:fill="auto"/>
                  <w:vAlign w:val="bottom"/>
                </w:tcPr>
                <w:p w14:paraId="1929C3F3" w14:textId="77777777" w:rsidR="00FC14FC" w:rsidRDefault="00FC14FC" w:rsidP="00D11B9D">
                  <w:pPr>
                    <w:pStyle w:val="TableBodyText"/>
                    <w:jc w:val="left"/>
                  </w:pPr>
                  <w:r>
                    <w:t>System</w:t>
                  </w:r>
                  <w:r>
                    <w:noBreakHyphen/>
                    <w:t>tailored no international equities hedging</w:t>
                  </w:r>
                </w:p>
              </w:tc>
              <w:tc>
                <w:tcPr>
                  <w:tcW w:w="510" w:type="pct"/>
                  <w:shd w:val="clear" w:color="auto" w:fill="auto"/>
                  <w:vAlign w:val="bottom"/>
                </w:tcPr>
                <w:p w14:paraId="724F066F" w14:textId="77777777" w:rsidR="00FC14FC" w:rsidRPr="0032605D" w:rsidDel="00DA6F79" w:rsidRDefault="00FC14FC" w:rsidP="00D11B9D">
                  <w:pPr>
                    <w:pStyle w:val="TableBodyText"/>
                  </w:pPr>
                  <w:r>
                    <w:t>6.65</w:t>
                  </w:r>
                </w:p>
              </w:tc>
              <w:tc>
                <w:tcPr>
                  <w:tcW w:w="487" w:type="pct"/>
                  <w:shd w:val="clear" w:color="auto" w:fill="auto"/>
                  <w:vAlign w:val="bottom"/>
                </w:tcPr>
                <w:p w14:paraId="5CB6C343" w14:textId="77777777" w:rsidR="00FC14FC" w:rsidRPr="0032605D" w:rsidDel="00DA6F79" w:rsidRDefault="00FC14FC" w:rsidP="00D11B9D">
                  <w:pPr>
                    <w:pStyle w:val="TableBodyText"/>
                  </w:pPr>
                  <w:r>
                    <w:t>7.34</w:t>
                  </w:r>
                </w:p>
              </w:tc>
              <w:tc>
                <w:tcPr>
                  <w:tcW w:w="582" w:type="pct"/>
                  <w:shd w:val="clear" w:color="auto" w:fill="auto"/>
                  <w:vAlign w:val="bottom"/>
                </w:tcPr>
                <w:p w14:paraId="6A6DD3C1" w14:textId="77777777" w:rsidR="00FC14FC" w:rsidRPr="0032605D" w:rsidDel="00A9088F" w:rsidRDefault="00FC14FC" w:rsidP="00D11B9D">
                  <w:pPr>
                    <w:pStyle w:val="TableBodyText"/>
                  </w:pPr>
                  <w:r>
                    <w:t>6.11</w:t>
                  </w:r>
                </w:p>
              </w:tc>
              <w:tc>
                <w:tcPr>
                  <w:tcW w:w="1924" w:type="pct"/>
                  <w:shd w:val="clear" w:color="auto" w:fill="auto"/>
                  <w:vAlign w:val="bottom"/>
                </w:tcPr>
                <w:p w14:paraId="12617AF8" w14:textId="77777777" w:rsidR="00FC14FC" w:rsidRDefault="00FC14FC" w:rsidP="00D11B9D">
                  <w:pPr>
                    <w:pStyle w:val="TableUnitsRow"/>
                    <w:ind w:right="28"/>
                    <w:jc w:val="left"/>
                  </w:pPr>
                  <w:r>
                    <w:t>Performance below both benchmarks</w:t>
                  </w:r>
                </w:p>
              </w:tc>
            </w:tr>
            <w:tr w:rsidR="00FC14FC" w14:paraId="2B8D8DD3" w14:textId="77777777" w:rsidTr="00D11B9D">
              <w:tc>
                <w:tcPr>
                  <w:tcW w:w="1497" w:type="pct"/>
                  <w:shd w:val="pct5" w:color="auto" w:fill="auto"/>
                  <w:vAlign w:val="bottom"/>
                </w:tcPr>
                <w:p w14:paraId="4D3E9601" w14:textId="77777777" w:rsidR="00FC14FC" w:rsidRDefault="00FC14FC" w:rsidP="00D11B9D">
                  <w:pPr>
                    <w:pStyle w:val="TableBodyText"/>
                    <w:jc w:val="left"/>
                  </w:pPr>
                  <w:r>
                    <w:t>System</w:t>
                  </w:r>
                  <w:r>
                    <w:noBreakHyphen/>
                    <w:t>tailored full international equities hedging</w:t>
                  </w:r>
                </w:p>
              </w:tc>
              <w:tc>
                <w:tcPr>
                  <w:tcW w:w="510" w:type="pct"/>
                  <w:shd w:val="pct5" w:color="auto" w:fill="auto"/>
                  <w:vAlign w:val="bottom"/>
                </w:tcPr>
                <w:p w14:paraId="750D9248" w14:textId="77777777" w:rsidR="00FC14FC" w:rsidRPr="0032605D" w:rsidDel="00DA6F79" w:rsidRDefault="00FC14FC" w:rsidP="00D11B9D">
                  <w:pPr>
                    <w:pStyle w:val="TableBodyText"/>
                  </w:pPr>
                  <w:r>
                    <w:t>6.58</w:t>
                  </w:r>
                </w:p>
              </w:tc>
              <w:tc>
                <w:tcPr>
                  <w:tcW w:w="487" w:type="pct"/>
                  <w:shd w:val="pct5" w:color="auto" w:fill="auto"/>
                  <w:vAlign w:val="bottom"/>
                </w:tcPr>
                <w:p w14:paraId="24B1BFE8" w14:textId="77777777" w:rsidR="00FC14FC" w:rsidRPr="0032605D" w:rsidDel="00DA6F79" w:rsidRDefault="00FC14FC" w:rsidP="00D11B9D">
                  <w:pPr>
                    <w:pStyle w:val="TableBodyText"/>
                  </w:pPr>
                  <w:r>
                    <w:t>7.30</w:t>
                  </w:r>
                </w:p>
              </w:tc>
              <w:tc>
                <w:tcPr>
                  <w:tcW w:w="582" w:type="pct"/>
                  <w:shd w:val="pct5" w:color="auto" w:fill="auto"/>
                  <w:vAlign w:val="bottom"/>
                </w:tcPr>
                <w:p w14:paraId="521BE28C" w14:textId="77777777" w:rsidR="00FC14FC" w:rsidRPr="0032605D" w:rsidDel="00A9088F" w:rsidRDefault="00FC14FC" w:rsidP="00D11B9D">
                  <w:pPr>
                    <w:pStyle w:val="TableBodyText"/>
                  </w:pPr>
                  <w:r>
                    <w:t>6.11</w:t>
                  </w:r>
                </w:p>
              </w:tc>
              <w:tc>
                <w:tcPr>
                  <w:tcW w:w="1924" w:type="pct"/>
                  <w:shd w:val="pct5" w:color="auto" w:fill="auto"/>
                  <w:vAlign w:val="bottom"/>
                </w:tcPr>
                <w:p w14:paraId="12CF08B4" w14:textId="77777777" w:rsidR="00FC14FC" w:rsidRDefault="00FC14FC" w:rsidP="00D11B9D">
                  <w:pPr>
                    <w:pStyle w:val="TableUnitsRow"/>
                    <w:ind w:right="28"/>
                    <w:jc w:val="left"/>
                  </w:pPr>
                  <w:r>
                    <w:t>Performance below both benchmarks</w:t>
                  </w:r>
                </w:p>
              </w:tc>
            </w:tr>
            <w:tr w:rsidR="00FC14FC" w14:paraId="74E51D7F" w14:textId="77777777" w:rsidTr="00D11B9D">
              <w:tc>
                <w:tcPr>
                  <w:tcW w:w="1497" w:type="pct"/>
                  <w:shd w:val="clear" w:color="auto" w:fill="auto"/>
                  <w:vAlign w:val="bottom"/>
                </w:tcPr>
                <w:p w14:paraId="7086A679" w14:textId="77777777" w:rsidR="00FC14FC" w:rsidRDefault="00FC14FC" w:rsidP="00D11B9D">
                  <w:pPr>
                    <w:pStyle w:val="TableBodyText"/>
                    <w:jc w:val="left"/>
                  </w:pPr>
                  <w:r>
                    <w:t>Static 2017 asset allocation</w:t>
                  </w:r>
                </w:p>
              </w:tc>
              <w:tc>
                <w:tcPr>
                  <w:tcW w:w="510" w:type="pct"/>
                  <w:shd w:val="clear" w:color="auto" w:fill="auto"/>
                  <w:vAlign w:val="bottom"/>
                </w:tcPr>
                <w:p w14:paraId="78AD7374" w14:textId="77777777" w:rsidR="00FC14FC" w:rsidRDefault="00FC14FC" w:rsidP="00D11B9D">
                  <w:pPr>
                    <w:pStyle w:val="TableBodyText"/>
                  </w:pPr>
                  <w:r>
                    <w:t>6.38</w:t>
                  </w:r>
                </w:p>
              </w:tc>
              <w:tc>
                <w:tcPr>
                  <w:tcW w:w="487" w:type="pct"/>
                  <w:shd w:val="clear" w:color="auto" w:fill="auto"/>
                  <w:vAlign w:val="bottom"/>
                </w:tcPr>
                <w:p w14:paraId="313320F4" w14:textId="77777777" w:rsidR="00FC14FC" w:rsidRDefault="00FC14FC" w:rsidP="00D11B9D">
                  <w:pPr>
                    <w:pStyle w:val="TableBodyText"/>
                  </w:pPr>
                  <w:r>
                    <w:t>6.86</w:t>
                  </w:r>
                </w:p>
              </w:tc>
              <w:tc>
                <w:tcPr>
                  <w:tcW w:w="582" w:type="pct"/>
                  <w:shd w:val="clear" w:color="auto" w:fill="auto"/>
                  <w:vAlign w:val="bottom"/>
                </w:tcPr>
                <w:p w14:paraId="1183F534" w14:textId="77777777" w:rsidR="00FC14FC" w:rsidRDefault="00FC14FC" w:rsidP="00D11B9D">
                  <w:pPr>
                    <w:pStyle w:val="TableBodyText"/>
                  </w:pPr>
                  <w:r>
                    <w:t>5.87</w:t>
                  </w:r>
                </w:p>
              </w:tc>
              <w:tc>
                <w:tcPr>
                  <w:tcW w:w="1924" w:type="pct"/>
                  <w:shd w:val="clear" w:color="auto" w:fill="auto"/>
                  <w:vAlign w:val="bottom"/>
                </w:tcPr>
                <w:p w14:paraId="0E628716" w14:textId="77777777" w:rsidR="00FC14FC" w:rsidRDefault="00FC14FC" w:rsidP="00D11B9D">
                  <w:pPr>
                    <w:pStyle w:val="TableUnitsRow"/>
                    <w:ind w:right="28"/>
                    <w:jc w:val="left"/>
                  </w:pPr>
                  <w:r>
                    <w:t>Performance below both benchmarks</w:t>
                  </w:r>
                </w:p>
              </w:tc>
            </w:tr>
            <w:tr w:rsidR="00FC14FC" w14:paraId="5DA13532" w14:textId="77777777" w:rsidTr="00D11B9D">
              <w:tc>
                <w:tcPr>
                  <w:tcW w:w="1497" w:type="pct"/>
                  <w:shd w:val="pct5" w:color="auto" w:fill="auto"/>
                  <w:vAlign w:val="bottom"/>
                </w:tcPr>
                <w:p w14:paraId="14A98E6B" w14:textId="77777777" w:rsidR="00FC14FC" w:rsidRDefault="00FC14FC" w:rsidP="00D11B9D">
                  <w:pPr>
                    <w:pStyle w:val="TableBodyText"/>
                    <w:jc w:val="left"/>
                  </w:pPr>
                  <w:r>
                    <w:t>Only current funds</w:t>
                  </w:r>
                  <w:r>
                    <w:rPr>
                      <w:rStyle w:val="NoteLabel"/>
                    </w:rPr>
                    <w:t>b</w:t>
                  </w:r>
                </w:p>
              </w:tc>
              <w:tc>
                <w:tcPr>
                  <w:tcW w:w="510" w:type="pct"/>
                  <w:shd w:val="pct5" w:color="auto" w:fill="auto"/>
                  <w:vAlign w:val="bottom"/>
                </w:tcPr>
                <w:p w14:paraId="47C96D52" w14:textId="77777777" w:rsidR="00FC14FC" w:rsidRDefault="00FC14FC" w:rsidP="00D11B9D">
                  <w:pPr>
                    <w:pStyle w:val="TableBodyText"/>
                  </w:pPr>
                  <w:r>
                    <w:t>6.15</w:t>
                  </w:r>
                </w:p>
              </w:tc>
              <w:tc>
                <w:tcPr>
                  <w:tcW w:w="487" w:type="pct"/>
                  <w:shd w:val="pct5" w:color="auto" w:fill="auto"/>
                  <w:vAlign w:val="bottom"/>
                </w:tcPr>
                <w:p w14:paraId="1573C373" w14:textId="77777777" w:rsidR="00FC14FC" w:rsidRDefault="00FC14FC" w:rsidP="00D11B9D">
                  <w:pPr>
                    <w:pStyle w:val="TableBodyText"/>
                  </w:pPr>
                  <w:r>
                    <w:t>6.86</w:t>
                  </w:r>
                </w:p>
              </w:tc>
              <w:tc>
                <w:tcPr>
                  <w:tcW w:w="582" w:type="pct"/>
                  <w:shd w:val="pct5" w:color="auto" w:fill="auto"/>
                  <w:vAlign w:val="bottom"/>
                </w:tcPr>
                <w:p w14:paraId="151DD265" w14:textId="77777777" w:rsidR="00FC14FC" w:rsidRDefault="00FC14FC" w:rsidP="00D11B9D">
                  <w:pPr>
                    <w:pStyle w:val="TableBodyText"/>
                  </w:pPr>
                  <w:r>
                    <w:t>5.65</w:t>
                  </w:r>
                </w:p>
              </w:tc>
              <w:tc>
                <w:tcPr>
                  <w:tcW w:w="1924" w:type="pct"/>
                  <w:shd w:val="pct5" w:color="auto" w:fill="auto"/>
                  <w:vAlign w:val="bottom"/>
                </w:tcPr>
                <w:p w14:paraId="341D2856" w14:textId="77777777" w:rsidR="00FC14FC" w:rsidRDefault="00FC14FC" w:rsidP="00D11B9D">
                  <w:pPr>
                    <w:pStyle w:val="TableUnitsRow"/>
                    <w:ind w:right="28"/>
                    <w:jc w:val="left"/>
                  </w:pPr>
                  <w:r>
                    <w:t>Performance below both benchmarks</w:t>
                  </w:r>
                </w:p>
              </w:tc>
            </w:tr>
            <w:tr w:rsidR="00FC14FC" w14:paraId="0B6DB68E" w14:textId="77777777" w:rsidTr="00D11B9D">
              <w:tc>
                <w:tcPr>
                  <w:tcW w:w="1497" w:type="pct"/>
                  <w:tcBorders>
                    <w:bottom w:val="single" w:sz="6" w:space="0" w:color="BFBFBF"/>
                  </w:tcBorders>
                  <w:shd w:val="clear" w:color="auto" w:fill="auto"/>
                  <w:vAlign w:val="bottom"/>
                </w:tcPr>
                <w:p w14:paraId="0C82A3B9" w14:textId="77777777" w:rsidR="00FC14FC" w:rsidRDefault="00FC14FC" w:rsidP="00D11B9D">
                  <w:pPr>
                    <w:pStyle w:val="TableBodyText"/>
                    <w:jc w:val="left"/>
                  </w:pPr>
                  <w:r>
                    <w:t>Member</w:t>
                  </w:r>
                  <w:r>
                    <w:noBreakHyphen/>
                    <w:t>weighted returns</w:t>
                  </w:r>
                  <w:r>
                    <w:rPr>
                      <w:rStyle w:val="NoteLabel"/>
                    </w:rPr>
                    <w:t>c</w:t>
                  </w:r>
                </w:p>
              </w:tc>
              <w:tc>
                <w:tcPr>
                  <w:tcW w:w="510" w:type="pct"/>
                  <w:tcBorders>
                    <w:bottom w:val="single" w:sz="6" w:space="0" w:color="BFBFBF"/>
                  </w:tcBorders>
                  <w:shd w:val="clear" w:color="auto" w:fill="auto"/>
                  <w:vAlign w:val="bottom"/>
                </w:tcPr>
                <w:p w14:paraId="0ACF9A8C" w14:textId="77777777" w:rsidR="00FC14FC" w:rsidRDefault="00FC14FC" w:rsidP="00D11B9D">
                  <w:pPr>
                    <w:pStyle w:val="TableBodyText"/>
                  </w:pPr>
                  <w:r>
                    <w:t>6.15</w:t>
                  </w:r>
                </w:p>
              </w:tc>
              <w:tc>
                <w:tcPr>
                  <w:tcW w:w="487" w:type="pct"/>
                  <w:tcBorders>
                    <w:bottom w:val="single" w:sz="6" w:space="0" w:color="BFBFBF"/>
                  </w:tcBorders>
                  <w:shd w:val="clear" w:color="auto" w:fill="auto"/>
                  <w:vAlign w:val="bottom"/>
                </w:tcPr>
                <w:p w14:paraId="59689206" w14:textId="77777777" w:rsidR="00FC14FC" w:rsidRDefault="00FC14FC" w:rsidP="00D11B9D">
                  <w:pPr>
                    <w:pStyle w:val="TableBodyText"/>
                  </w:pPr>
                  <w:r>
                    <w:t>6.86</w:t>
                  </w:r>
                </w:p>
              </w:tc>
              <w:tc>
                <w:tcPr>
                  <w:tcW w:w="582" w:type="pct"/>
                  <w:tcBorders>
                    <w:bottom w:val="single" w:sz="6" w:space="0" w:color="BFBFBF"/>
                  </w:tcBorders>
                  <w:shd w:val="clear" w:color="auto" w:fill="auto"/>
                  <w:vAlign w:val="bottom"/>
                </w:tcPr>
                <w:p w14:paraId="1BB6CD9E" w14:textId="77777777" w:rsidR="00FC14FC" w:rsidRDefault="00FC14FC" w:rsidP="00D11B9D">
                  <w:pPr>
                    <w:pStyle w:val="TableBodyText"/>
                  </w:pPr>
                  <w:r>
                    <w:t>6.07</w:t>
                  </w:r>
                </w:p>
              </w:tc>
              <w:tc>
                <w:tcPr>
                  <w:tcW w:w="1924" w:type="pct"/>
                  <w:tcBorders>
                    <w:bottom w:val="single" w:sz="6" w:space="0" w:color="BFBFBF"/>
                  </w:tcBorders>
                  <w:shd w:val="clear" w:color="auto" w:fill="auto"/>
                  <w:vAlign w:val="bottom"/>
                </w:tcPr>
                <w:p w14:paraId="4EFAED48" w14:textId="77777777" w:rsidR="00FC14FC" w:rsidRDefault="00FC14FC" w:rsidP="00D11B9D">
                  <w:pPr>
                    <w:pStyle w:val="TableUnitsRow"/>
                    <w:ind w:right="28"/>
                    <w:jc w:val="left"/>
                  </w:pPr>
                  <w:r>
                    <w:t>Performance below both benchmarks</w:t>
                  </w:r>
                </w:p>
              </w:tc>
            </w:tr>
          </w:tbl>
          <w:p w14:paraId="0B011F6F" w14:textId="77777777" w:rsidR="00FC14FC" w:rsidRDefault="00FC14FC" w:rsidP="00D11B9D">
            <w:pPr>
              <w:pStyle w:val="Box"/>
            </w:pPr>
          </w:p>
        </w:tc>
      </w:tr>
      <w:tr w:rsidR="00FC14FC" w14:paraId="694DDA25" w14:textId="77777777" w:rsidTr="00D11B9D">
        <w:tc>
          <w:tcPr>
            <w:tcW w:w="5000" w:type="pct"/>
            <w:tcBorders>
              <w:top w:val="nil"/>
              <w:left w:val="nil"/>
              <w:bottom w:val="nil"/>
              <w:right w:val="nil"/>
            </w:tcBorders>
            <w:shd w:val="clear" w:color="auto" w:fill="auto"/>
          </w:tcPr>
          <w:p w14:paraId="69833324" w14:textId="77777777" w:rsidR="00FC14FC" w:rsidRPr="003474B8" w:rsidRDefault="00FC14FC" w:rsidP="00D11B9D">
            <w:pPr>
              <w:pStyle w:val="Note"/>
            </w:pPr>
            <w:r>
              <w:rPr>
                <w:rStyle w:val="NoteLabel"/>
              </w:rPr>
              <w:t>a</w:t>
            </w:r>
            <w:r>
              <w:t xml:space="preserve"> Net investment returns are returns measured net of investment fees but gross of administration fees. </w:t>
            </w:r>
            <w:r>
              <w:rPr>
                <w:rStyle w:val="NoteLabel"/>
              </w:rPr>
              <w:t>b</w:t>
            </w:r>
            <w:r>
              <w:t xml:space="preserve"> Benchmarks are still based on all funds (meaning they are the same as in chapter 2). </w:t>
            </w:r>
            <w:r>
              <w:rPr>
                <w:rStyle w:val="NoteLabel"/>
              </w:rPr>
              <w:t>c</w:t>
            </w:r>
            <w:r>
              <w:t xml:space="preserve"> Benchmarks are the same as in chapter 2, meaning they are not member</w:t>
            </w:r>
            <w:r>
              <w:noBreakHyphen/>
              <w:t xml:space="preserve">weighted. </w:t>
            </w:r>
            <w:r>
              <w:rPr>
                <w:rStyle w:val="NoteLabel"/>
              </w:rPr>
              <w:t>d</w:t>
            </w:r>
            <w:r>
              <w:t xml:space="preserve"> </w:t>
            </w:r>
            <w:r w:rsidRPr="002D557A">
              <w:rPr>
                <w:rFonts w:eastAsia="+mn-ea" w:cs="Arial"/>
                <w:color w:val="000000" w:themeColor="text1"/>
                <w:kern w:val="24"/>
                <w:szCs w:val="18"/>
              </w:rPr>
              <w:t>Excludes exempt public sector superannuation schemes, eligible rollover funds, insurance</w:t>
            </w:r>
            <w:r w:rsidRPr="002D557A">
              <w:rPr>
                <w:rFonts w:eastAsia="+mn-ea" w:cs="Arial"/>
                <w:color w:val="000000" w:themeColor="text1"/>
                <w:kern w:val="24"/>
                <w:szCs w:val="18"/>
              </w:rPr>
              <w:noBreakHyphen/>
              <w:t>only superannuation funds and small APRA funds.</w:t>
            </w:r>
          </w:p>
        </w:tc>
      </w:tr>
      <w:tr w:rsidR="00FC14FC" w14:paraId="7E9C1FDC" w14:textId="77777777" w:rsidTr="00D11B9D">
        <w:tc>
          <w:tcPr>
            <w:tcW w:w="5000" w:type="pct"/>
            <w:tcBorders>
              <w:top w:val="nil"/>
              <w:left w:val="nil"/>
              <w:bottom w:val="nil"/>
              <w:right w:val="nil"/>
            </w:tcBorders>
            <w:shd w:val="clear" w:color="auto" w:fill="auto"/>
          </w:tcPr>
          <w:p w14:paraId="6AB6B71F" w14:textId="77777777" w:rsidR="00FC14FC" w:rsidRDefault="00FC14FC" w:rsidP="00D11B9D">
            <w:pPr>
              <w:pStyle w:val="Source"/>
            </w:pPr>
            <w:r>
              <w:rPr>
                <w:i/>
              </w:rPr>
              <w:t>Sources</w:t>
            </w:r>
            <w:r w:rsidRPr="00167F06">
              <w:t>:</w:t>
            </w:r>
            <w:r>
              <w:t xml:space="preserve"> PC analysis of unpublished APRA </w:t>
            </w:r>
            <w:r w:rsidDel="00DF46E2">
              <w:t>data</w:t>
            </w:r>
            <w:r>
              <w:t>, ATO confidential data and financial market index data (various providers).</w:t>
            </w:r>
          </w:p>
        </w:tc>
      </w:tr>
      <w:tr w:rsidR="00FC14FC" w14:paraId="1BF79656" w14:textId="77777777" w:rsidTr="00D11B9D">
        <w:tc>
          <w:tcPr>
            <w:tcW w:w="5000" w:type="pct"/>
            <w:tcBorders>
              <w:top w:val="nil"/>
              <w:left w:val="nil"/>
              <w:bottom w:val="single" w:sz="6" w:space="0" w:color="78A22F"/>
              <w:right w:val="nil"/>
            </w:tcBorders>
            <w:shd w:val="clear" w:color="auto" w:fill="auto"/>
          </w:tcPr>
          <w:p w14:paraId="467F47F0" w14:textId="77777777" w:rsidR="00FC14FC" w:rsidRDefault="00FC14FC" w:rsidP="00D11B9D">
            <w:pPr>
              <w:pStyle w:val="Box"/>
              <w:spacing w:before="0" w:line="120" w:lineRule="exact"/>
            </w:pPr>
          </w:p>
        </w:tc>
      </w:tr>
      <w:tr w:rsidR="00FC14FC" w:rsidRPr="000863A5" w14:paraId="68C0C9AD" w14:textId="77777777" w:rsidTr="00D11B9D">
        <w:tc>
          <w:tcPr>
            <w:tcW w:w="5000" w:type="pct"/>
            <w:tcBorders>
              <w:top w:val="single" w:sz="6" w:space="0" w:color="78A22F"/>
              <w:left w:val="nil"/>
              <w:bottom w:val="nil"/>
              <w:right w:val="nil"/>
            </w:tcBorders>
          </w:tcPr>
          <w:p w14:paraId="044F140C" w14:textId="77777777" w:rsidR="00FC14FC" w:rsidRPr="00626D32" w:rsidRDefault="00FC14FC" w:rsidP="00D11B9D">
            <w:pPr>
              <w:pStyle w:val="BoxSpaceBelow"/>
            </w:pPr>
          </w:p>
        </w:tc>
      </w:tr>
    </w:tbl>
    <w:p w14:paraId="4705F054" w14:textId="77777777" w:rsidR="00FC14FC" w:rsidRPr="00481B35" w:rsidRDefault="00FC14FC" w:rsidP="00FC14FC">
      <w:pPr>
        <w:pStyle w:val="BodyText"/>
      </w:pPr>
      <w:r>
        <w:t>APRA</w:t>
      </w:r>
      <w:r>
        <w:noBreakHyphen/>
        <w:t>regulated funds delivered lower long</w:t>
      </w:r>
      <w:r>
        <w:noBreakHyphen/>
        <w:t>term volatility than all BPs. The standard deviation of net returns for APRA</w:t>
      </w:r>
      <w:r>
        <w:noBreakHyphen/>
        <w:t xml:space="preserve">regulated funds over the 13 year period to 2017 was </w:t>
      </w:r>
      <w:r>
        <w:lastRenderedPageBreak/>
        <w:t xml:space="preserve">8.29 per cent, while the standard deviation of BP1 and BP2 respectively were 9.77 per cent and 8.59 per cent. The higher volatility exhibited by the 70:30 benchmarks of 9.53 per cent for BP1 and 8.83 per cent for BP2 suggests that the system has altered strategic asset allocation across time to ‘smooth’ out returns. </w:t>
      </w:r>
    </w:p>
    <w:p w14:paraId="49E1915E" w14:textId="77777777" w:rsidR="00FC14FC" w:rsidRPr="00481B35" w:rsidRDefault="00FC14FC" w:rsidP="00FC14FC">
      <w:pPr>
        <w:pStyle w:val="BodyText"/>
      </w:pPr>
      <w:r>
        <w:t>This could be seen as a positive given that abnormally low annual returns for even a single year can, through compounding over time, substantially reduce long</w:t>
      </w:r>
      <w:r>
        <w:noBreakHyphen/>
        <w:t>term net returns and thus members’ balances on retirement. Volatility in returns also matters to members who are nearing retirement age and plan to withdraw some or all of their balance (sequencing risk, as examined in chapter 4).</w:t>
      </w:r>
    </w:p>
    <w:p w14:paraId="6D92AE98" w14:textId="77777777" w:rsidR="00FC14FC" w:rsidRDefault="00FC14FC" w:rsidP="00FC14FC">
      <w:pPr>
        <w:pStyle w:val="Heading3"/>
      </w:pPr>
      <w:r>
        <w:t>Option</w:t>
      </w:r>
      <w:r>
        <w:noBreakHyphen/>
        <w:t>type analysis</w:t>
      </w:r>
    </w:p>
    <w:p w14:paraId="2F40E931" w14:textId="77777777" w:rsidR="00FC14FC" w:rsidRDefault="00FC14FC" w:rsidP="00FC14FC">
      <w:pPr>
        <w:pStyle w:val="BodyText"/>
      </w:pPr>
      <w:r>
        <w:t>In chapter 2, the Commission analyses the performance of ‘option</w:t>
      </w:r>
      <w:r>
        <w:noBreakHyphen/>
        <w:t>type’ segments. That is, options are bundled together based on their percentage allocation to growth assets. Broadly, more growth</w:t>
      </w:r>
      <w:r>
        <w:noBreakHyphen/>
        <w:t>oriented options tended to perform better against their segment</w:t>
      </w:r>
      <w:r>
        <w:noBreakHyphen/>
        <w:t>tailored benchmarks compared with more conservative ones. However, this result is sensitive to the time period considered. Over a 5</w:t>
      </w:r>
      <w:r>
        <w:noBreakHyphen/>
        <w:t>year period, several option types fall below their benchmarks (figure 4.9). The relationship between returns and the proportion of growth assets is also more noticeable over a 5</w:t>
      </w:r>
      <w:r>
        <w:noBreakHyphen/>
        <w:t>year period. This contrasts with the result in chapter 2, that balanced, growth and high</w:t>
      </w:r>
      <w:r>
        <w:noBreakHyphen/>
        <w:t>growth options delivered similar returns, which might reflect the impact the GFC had on returns from growth assets in previous years and the relatively strong performance of fixed income assets.</w:t>
      </w:r>
    </w:p>
    <w:p w14:paraId="683ECCE6"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6382D271" w14:textId="77777777" w:rsidTr="00D11B9D">
        <w:trPr>
          <w:tblHeader/>
        </w:trPr>
        <w:tc>
          <w:tcPr>
            <w:tcW w:w="5000" w:type="pct"/>
            <w:tcBorders>
              <w:top w:val="single" w:sz="6" w:space="0" w:color="78A22F"/>
              <w:left w:val="nil"/>
              <w:bottom w:val="nil"/>
              <w:right w:val="nil"/>
            </w:tcBorders>
            <w:shd w:val="clear" w:color="auto" w:fill="auto"/>
          </w:tcPr>
          <w:p w14:paraId="4C477410" w14:textId="77777777" w:rsidR="00FC14FC" w:rsidRDefault="00FC14FC" w:rsidP="00D11B9D">
            <w:pPr>
              <w:pStyle w:val="FigureTitle"/>
            </w:pPr>
            <w:r w:rsidRPr="00784A05">
              <w:rPr>
                <w:b w:val="0"/>
              </w:rPr>
              <w:t xml:space="preserve">Figure </w:t>
            </w:r>
            <w:r>
              <w:rPr>
                <w:b w:val="0"/>
              </w:rPr>
              <w:t>4.9</w:t>
            </w:r>
            <w:r w:rsidDel="006A2745">
              <w:rPr>
                <w:b w:val="0"/>
              </w:rPr>
              <w:t xml:space="preserve"> </w:t>
            </w:r>
            <w:r>
              <w:tab/>
              <w:t>Option</w:t>
            </w:r>
            <w:r>
              <w:noBreakHyphen/>
              <w:t>type analysis</w:t>
            </w:r>
            <w:r>
              <w:rPr>
                <w:rStyle w:val="NoteLabel"/>
              </w:rPr>
              <w:t>a,b</w:t>
            </w:r>
          </w:p>
          <w:p w14:paraId="6C3C61DA" w14:textId="77777777" w:rsidR="00FC14FC" w:rsidRPr="00176D3F" w:rsidRDefault="00FC14FC" w:rsidP="00D11B9D">
            <w:pPr>
              <w:pStyle w:val="Subtitle"/>
            </w:pPr>
            <w:r>
              <w:t>Benchmark adjusted for asset allocation, 2012–2017</w:t>
            </w:r>
          </w:p>
        </w:tc>
      </w:tr>
      <w:tr w:rsidR="00FC14FC" w14:paraId="756378D5" w14:textId="77777777" w:rsidTr="00D11B9D">
        <w:trPr>
          <w:hidden w:val="0"/>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C14FC" w:rsidRPr="00B1465D" w14:paraId="149011B0" w14:textId="77777777" w:rsidTr="00D11B9D">
              <w:trPr>
                <w:tblHeader/>
                <w:jc w:val="center"/>
                <w:hidden w:val="0"/>
              </w:trPr>
              <w:tc>
                <w:tcPr>
                  <w:tcW w:w="5000" w:type="pct"/>
                  <w:tcBorders>
                    <w:top w:val="nil"/>
                    <w:bottom w:val="nil"/>
                  </w:tcBorders>
                </w:tcPr>
                <w:p w14:paraId="2CD028C5" w14:textId="77777777" w:rsidR="00FC14FC" w:rsidRDefault="00FC14FC" w:rsidP="00D11B9D">
                  <w:pPr>
                    <w:pStyle w:val="Figure"/>
                    <w:spacing w:before="60" w:after="60"/>
                    <w:rPr>
                      <w:rFonts w:ascii="Arial" w:hAnsi="Arial" w:cs="Arial"/>
                      <w:sz w:val="18"/>
                      <w:szCs w:val="18"/>
                    </w:rPr>
                  </w:pPr>
                  <w:r w:rsidRPr="00C843B9">
                    <w:rPr>
                      <w:rStyle w:val="CommentReference"/>
                      <w:rFonts w:ascii="Arial" w:hAnsi="Arial" w:cs="Arial"/>
                      <w:b w:val="0"/>
                      <w:noProof/>
                      <w:vanish w:val="0"/>
                      <w:sz w:val="18"/>
                      <w:szCs w:val="18"/>
                    </w:rPr>
                    <w:drawing>
                      <wp:inline distT="0" distB="0" distL="0" distR="0" wp14:anchorId="3830C162" wp14:editId="417799C7">
                        <wp:extent cx="5402580" cy="2880360"/>
                        <wp:effectExtent l="0" t="0" r="0" b="0"/>
                        <wp:docPr id="3" name="Picture 3" descr="Fig 4.9. This bar chart shows the benchmarked performance of option-type segments over 5 years. More aggressive products achieve better returns. Capital Stable, Conservative Balanced and Growth fall below both benchmarks, while the other product types are above both benchmarks. " title="Option-typ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02580" cy="2880360"/>
                                </a:xfrm>
                                <a:prstGeom prst="rect">
                                  <a:avLst/>
                                </a:prstGeom>
                                <a:noFill/>
                                <a:ln>
                                  <a:noFill/>
                                </a:ln>
                              </pic:spPr>
                            </pic:pic>
                          </a:graphicData>
                        </a:graphic>
                      </wp:inline>
                    </w:drawing>
                  </w:r>
                  <w:r w:rsidRPr="00E25647">
                    <w:rPr>
                      <w:rStyle w:val="CommentReference"/>
                      <w:rFonts w:ascii="Arial" w:hAnsi="Arial" w:cs="Arial"/>
                      <w:sz w:val="18"/>
                      <w:szCs w:val="18"/>
                    </w:rPr>
                    <w:t xml:space="preserve"> </w:t>
                  </w:r>
                </w:p>
                <w:tbl>
                  <w:tblPr>
                    <w:tblW w:w="0" w:type="auto"/>
                    <w:tblLook w:val="04A0" w:firstRow="1" w:lastRow="0" w:firstColumn="1" w:lastColumn="0" w:noHBand="0" w:noVBand="1"/>
                  </w:tblPr>
                  <w:tblGrid>
                    <w:gridCol w:w="1559"/>
                    <w:gridCol w:w="2311"/>
                    <w:gridCol w:w="1658"/>
                    <w:gridCol w:w="2966"/>
                  </w:tblGrid>
                  <w:tr w:rsidR="00FC14FC" w14:paraId="49F73543" w14:textId="77777777" w:rsidTr="00D11B9D">
                    <w:tc>
                      <w:tcPr>
                        <w:tcW w:w="1559" w:type="dxa"/>
                        <w:shd w:val="clear" w:color="auto" w:fill="F2F2F2" w:themeFill="background1" w:themeFillShade="F2"/>
                      </w:tcPr>
                      <w:p w14:paraId="48B8E0BD"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77927DF6"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unpublished </w:t>
                        </w:r>
                        <w:r w:rsidRPr="002B579E">
                          <w:rPr>
                            <w:rFonts w:asciiTheme="minorHAnsi" w:hAnsi="Arial" w:cstheme="minorBidi"/>
                            <w:color w:val="000000" w:themeColor="text1"/>
                            <w:kern w:val="24"/>
                            <w:sz w:val="18"/>
                            <w:szCs w:val="18"/>
                          </w:rPr>
                          <w:t>APRA</w:t>
                        </w:r>
                        <w:r w:rsidDel="000D56BB">
                          <w:rPr>
                            <w:rFonts w:asciiTheme="minorHAnsi" w:hAnsi="Arial" w:cstheme="minorBidi"/>
                            <w:color w:val="000000" w:themeColor="text1"/>
                            <w:kern w:val="24"/>
                            <w:sz w:val="18"/>
                            <w:szCs w:val="18"/>
                          </w:rPr>
                          <w:t xml:space="preserve"> </w:t>
                        </w:r>
                        <w:r w:rsidRPr="002B579E">
                          <w:rPr>
                            <w:rFonts w:asciiTheme="minorHAnsi" w:hAnsi="Arial" w:cstheme="minorBidi"/>
                            <w:color w:val="000000" w:themeColor="text1"/>
                            <w:kern w:val="24"/>
                            <w:sz w:val="18"/>
                            <w:szCs w:val="18"/>
                          </w:rPr>
                          <w:t>data</w:t>
                        </w:r>
                        <w:r>
                          <w:rPr>
                            <w:rFonts w:asciiTheme="minorHAnsi" w:hAnsi="Arial" w:cstheme="minorBidi"/>
                            <w:color w:val="000000" w:themeColor="text1"/>
                            <w:kern w:val="24"/>
                            <w:sz w:val="18"/>
                            <w:szCs w:val="18"/>
                          </w:rPr>
                          <w:t xml:space="preserve">, financial market index data (various providers) and </w:t>
                        </w:r>
                        <w:r w:rsidRPr="002B579E">
                          <w:rPr>
                            <w:rFonts w:asciiTheme="minorHAnsi" w:hAnsi="Arial" w:cstheme="minorBidi"/>
                            <w:color w:val="000000" w:themeColor="text1"/>
                            <w:kern w:val="24"/>
                            <w:sz w:val="18"/>
                            <w:szCs w:val="18"/>
                          </w:rPr>
                          <w:t>SuperRatings data</w:t>
                        </w:r>
                        <w:r>
                          <w:rPr>
                            <w:rFonts w:asciiTheme="minorHAnsi" w:hAnsi="Arial" w:cstheme="minorBidi"/>
                            <w:color w:val="000000" w:themeColor="text1"/>
                            <w:kern w:val="24"/>
                            <w:sz w:val="18"/>
                            <w:szCs w:val="18"/>
                          </w:rPr>
                          <w:t>.</w:t>
                        </w:r>
                      </w:p>
                    </w:tc>
                  </w:tr>
                  <w:tr w:rsidR="00FC14FC" w14:paraId="7F9D4D9C" w14:textId="77777777" w:rsidTr="00D11B9D">
                    <w:tc>
                      <w:tcPr>
                        <w:tcW w:w="1559" w:type="dxa"/>
                        <w:shd w:val="clear" w:color="auto" w:fill="F2F2F2" w:themeFill="background1" w:themeFillShade="F2"/>
                      </w:tcPr>
                      <w:p w14:paraId="2BC31E96"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777932C3"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Option</w:t>
                        </w:r>
                        <w:r>
                          <w:rPr>
                            <w:rFonts w:asciiTheme="minorHAnsi" w:hAnsi="Arial" w:cstheme="minorBidi"/>
                            <w:color w:val="000000" w:themeColor="text1"/>
                            <w:kern w:val="24"/>
                            <w:sz w:val="18"/>
                            <w:szCs w:val="18"/>
                          </w:rPr>
                          <w:noBreakHyphen/>
                          <w:t>type</w:t>
                        </w:r>
                        <w:r w:rsidRPr="002B579E">
                          <w:rPr>
                            <w:rFonts w:asciiTheme="minorHAnsi" w:hAnsi="Arial" w:cstheme="minorBidi"/>
                            <w:color w:val="000000" w:themeColor="text1"/>
                            <w:kern w:val="24"/>
                            <w:sz w:val="18"/>
                            <w:szCs w:val="18"/>
                          </w:rPr>
                          <w:t xml:space="preserve"> tailored BP1, BP2</w:t>
                        </w:r>
                        <w:r>
                          <w:rPr>
                            <w:rFonts w:asciiTheme="minorHAnsi" w:hAnsi="Arial" w:cstheme="minorBidi"/>
                            <w:color w:val="000000" w:themeColor="text1"/>
                            <w:kern w:val="24"/>
                            <w:sz w:val="18"/>
                            <w:szCs w:val="18"/>
                          </w:rPr>
                          <w:t>.</w:t>
                        </w:r>
                      </w:p>
                    </w:tc>
                  </w:tr>
                  <w:tr w:rsidR="00FC14FC" w14:paraId="1B6DB63E" w14:textId="77777777" w:rsidTr="00D11B9D">
                    <w:tc>
                      <w:tcPr>
                        <w:tcW w:w="1559" w:type="dxa"/>
                        <w:shd w:val="clear" w:color="auto" w:fill="F2F2F2" w:themeFill="background1" w:themeFillShade="F2"/>
                      </w:tcPr>
                      <w:p w14:paraId="50B753BB"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r>
                          <w:rPr>
                            <w:rStyle w:val="NoteLabel"/>
                          </w:rPr>
                          <w:t>c</w:t>
                        </w:r>
                      </w:p>
                    </w:tc>
                    <w:tc>
                      <w:tcPr>
                        <w:tcW w:w="6935" w:type="dxa"/>
                        <w:gridSpan w:val="3"/>
                        <w:shd w:val="clear" w:color="auto" w:fill="F2F2F2" w:themeFill="background1" w:themeFillShade="F2"/>
                      </w:tcPr>
                      <w:p w14:paraId="241402BB"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This chart shows accumulation options from APRA</w:t>
                        </w:r>
                        <w:r>
                          <w:rPr>
                            <w:rFonts w:asciiTheme="minorHAnsi" w:hAnsi="Arial" w:cstheme="minorBidi"/>
                            <w:color w:val="000000" w:themeColor="text1"/>
                            <w:kern w:val="24"/>
                            <w:sz w:val="18"/>
                            <w:szCs w:val="18"/>
                          </w:rPr>
                          <w:noBreakHyphen/>
                          <w:t>regulated funds.</w:t>
                        </w:r>
                      </w:p>
                      <w:p w14:paraId="2EB97296" w14:textId="77777777" w:rsidR="00FC14FC" w:rsidRPr="001F53B0" w:rsidRDefault="00FC14FC" w:rsidP="00D11B9D">
                        <w:pPr>
                          <w:pStyle w:val="NormalWeb"/>
                          <w:spacing w:before="0" w:beforeAutospacing="0" w:after="0" w:afterAutospacing="0"/>
                          <w:rPr>
                            <w:color w:val="000000" w:themeColor="text1"/>
                          </w:rPr>
                        </w:pPr>
                        <w:r>
                          <w:rPr>
                            <w:rFonts w:asciiTheme="minorHAnsi" w:hAnsi="Arial" w:cstheme="minorBidi"/>
                            <w:color w:val="000000" w:themeColor="text1"/>
                            <w:kern w:val="24"/>
                            <w:sz w:val="18"/>
                            <w:szCs w:val="18"/>
                          </w:rPr>
                          <w:t>In 2017, funds in the dataset represented up to 85% of total assets and 82% of member accounts of APRA</w:t>
                        </w:r>
                        <w:r>
                          <w:rPr>
                            <w:rFonts w:asciiTheme="minorHAnsi" w:hAnsi="Arial" w:cstheme="minorBidi"/>
                            <w:color w:val="000000" w:themeColor="text1"/>
                            <w:kern w:val="24"/>
                            <w:sz w:val="18"/>
                            <w:szCs w:val="18"/>
                          </w:rPr>
                          <w:noBreakHyphen/>
                          <w:t>regulated funds.</w:t>
                        </w:r>
                      </w:p>
                    </w:tc>
                  </w:tr>
                  <w:tr w:rsidR="00FC14FC" w14:paraId="415D5BCD" w14:textId="77777777" w:rsidTr="00D11B9D">
                    <w:tc>
                      <w:tcPr>
                        <w:tcW w:w="1559" w:type="dxa"/>
                        <w:shd w:val="clear" w:color="auto" w:fill="F2F2F2" w:themeFill="background1" w:themeFillShade="F2"/>
                      </w:tcPr>
                      <w:p w14:paraId="5AF52284"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093A126D"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1658" w:type="dxa"/>
                        <w:shd w:val="clear" w:color="auto" w:fill="F2F2F2" w:themeFill="background1" w:themeFillShade="F2"/>
                      </w:tcPr>
                      <w:p w14:paraId="13E1855D"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4DC6093E"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35979DDE" w14:textId="77777777" w:rsidR="00FC14FC" w:rsidRPr="00B1465D" w:rsidRDefault="00FC14FC" w:rsidP="00D11B9D">
                  <w:pPr>
                    <w:pStyle w:val="Figure"/>
                    <w:spacing w:before="60" w:after="60"/>
                    <w:rPr>
                      <w:rFonts w:ascii="Arial" w:hAnsi="Arial" w:cs="Arial"/>
                      <w:sz w:val="18"/>
                      <w:szCs w:val="18"/>
                    </w:rPr>
                  </w:pPr>
                </w:p>
              </w:tc>
            </w:tr>
          </w:tbl>
          <w:p w14:paraId="76033DB6" w14:textId="77777777" w:rsidR="00FC14FC" w:rsidRDefault="00FC14FC" w:rsidP="00D11B9D">
            <w:pPr>
              <w:pStyle w:val="Figure"/>
            </w:pPr>
          </w:p>
        </w:tc>
      </w:tr>
      <w:tr w:rsidR="00FC14FC" w:rsidRPr="00176D3F" w14:paraId="4738C630" w14:textId="77777777" w:rsidTr="00D11B9D">
        <w:tc>
          <w:tcPr>
            <w:tcW w:w="5000" w:type="pct"/>
            <w:tcBorders>
              <w:top w:val="nil"/>
              <w:left w:val="nil"/>
              <w:bottom w:val="nil"/>
              <w:right w:val="nil"/>
            </w:tcBorders>
            <w:shd w:val="clear" w:color="auto" w:fill="auto"/>
          </w:tcPr>
          <w:p w14:paraId="041F7E31" w14:textId="77777777" w:rsidR="00FC14FC" w:rsidRPr="00247263" w:rsidRDefault="00FC14FC" w:rsidP="00D11B9D">
            <w:pPr>
              <w:pStyle w:val="Note"/>
            </w:pPr>
            <w:r>
              <w:rPr>
                <w:rStyle w:val="NoteLabel"/>
              </w:rPr>
              <w:t>a</w:t>
            </w:r>
            <w:r>
              <w:t xml:space="preserve"> </w:t>
            </w:r>
            <w:r w:rsidRPr="00247263">
              <w:t>Net returns are estimated less investment fees, taxes and implicit asset</w:t>
            </w:r>
            <w:r>
              <w:noBreakHyphen/>
            </w:r>
            <w:r w:rsidRPr="00247263">
              <w:t>based administration fees. This means that some options may be reported gross of</w:t>
            </w:r>
            <w:r>
              <w:t xml:space="preserve"> </w:t>
            </w:r>
            <w:r w:rsidRPr="00247263">
              <w:t>asset</w:t>
            </w:r>
            <w:r>
              <w:noBreakHyphen/>
            </w:r>
            <w:r w:rsidRPr="00247263">
              <w:t>based administration fees..</w:t>
            </w:r>
            <w:r>
              <w:rPr>
                <w:b/>
                <w:bCs/>
              </w:rPr>
              <w:t xml:space="preserve"> </w:t>
            </w:r>
            <w:r>
              <w:rPr>
                <w:rStyle w:val="NoteLabel"/>
              </w:rPr>
              <w:t>b</w:t>
            </w:r>
            <w:r>
              <w:rPr>
                <w:b/>
                <w:bCs/>
              </w:rPr>
              <w:t xml:space="preserve"> </w:t>
            </w:r>
            <w:r>
              <w:t xml:space="preserve">The option type categories have been taken as given from SuperRatings data. </w:t>
            </w:r>
            <w:r>
              <w:rPr>
                <w:rStyle w:val="NoteLabel"/>
              </w:rPr>
              <w:t>c</w:t>
            </w:r>
            <w:r>
              <w:t xml:space="preserve"> These coverage estimates are likely to be overestimates due to the estimation method (section 4.1).</w:t>
            </w:r>
            <w:r w:rsidRPr="002D557A">
              <w:t xml:space="preserve"> The analysis excludes legacy products.</w:t>
            </w:r>
          </w:p>
        </w:tc>
      </w:tr>
      <w:tr w:rsidR="00FC14FC" w14:paraId="7A3610CC" w14:textId="77777777" w:rsidTr="00D11B9D">
        <w:tc>
          <w:tcPr>
            <w:tcW w:w="5000" w:type="pct"/>
            <w:tcBorders>
              <w:top w:val="nil"/>
              <w:left w:val="nil"/>
              <w:bottom w:val="single" w:sz="6" w:space="0" w:color="78A22F"/>
              <w:right w:val="nil"/>
            </w:tcBorders>
            <w:shd w:val="clear" w:color="auto" w:fill="auto"/>
          </w:tcPr>
          <w:p w14:paraId="6817F59A" w14:textId="77777777" w:rsidR="00FC14FC" w:rsidRDefault="00FC14FC" w:rsidP="00D11B9D">
            <w:pPr>
              <w:pStyle w:val="Figurespace"/>
            </w:pPr>
          </w:p>
        </w:tc>
      </w:tr>
      <w:tr w:rsidR="00FC14FC" w:rsidRPr="000863A5" w14:paraId="414E380D" w14:textId="77777777" w:rsidTr="00D11B9D">
        <w:tc>
          <w:tcPr>
            <w:tcW w:w="5000" w:type="pct"/>
            <w:tcBorders>
              <w:top w:val="single" w:sz="6" w:space="0" w:color="78A22F"/>
              <w:left w:val="nil"/>
              <w:bottom w:val="nil"/>
              <w:right w:val="nil"/>
            </w:tcBorders>
          </w:tcPr>
          <w:p w14:paraId="072F6BFB" w14:textId="77777777" w:rsidR="00FC14FC" w:rsidRPr="00626D32" w:rsidRDefault="00FC14FC" w:rsidP="00D11B9D">
            <w:pPr>
              <w:pStyle w:val="BoxSpaceBelow"/>
            </w:pPr>
          </w:p>
        </w:tc>
      </w:tr>
    </w:tbl>
    <w:p w14:paraId="70C92994" w14:textId="77777777" w:rsidR="00FC14FC" w:rsidRDefault="00FC14FC" w:rsidP="00FC14FC">
      <w:pPr>
        <w:pStyle w:val="BodyText"/>
      </w:pPr>
      <w:r>
        <w:t>A different tax rate assumption for the BPs (from option</w:t>
      </w:r>
      <w:r>
        <w:noBreakHyphen/>
        <w:t>type tailored to 5 per cent) leads to improvements in the relative performance of option types, with capital</w:t>
      </w:r>
      <w:r>
        <w:noBreakHyphen/>
        <w:t>stable options outperforming their BPs, but conservative</w:t>
      </w:r>
      <w:r>
        <w:noBreakHyphen/>
        <w:t>balanced options remaining under both their BPs (table 4.29). And as expected, there is a clear correlation between the percentage allocation to growth assets and the volatility of returns (figure 4.10).</w:t>
      </w:r>
    </w:p>
    <w:p w14:paraId="704D1151"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26A2BFBF" w14:textId="77777777" w:rsidTr="00D11B9D">
        <w:trPr>
          <w:tblHeader/>
        </w:trPr>
        <w:tc>
          <w:tcPr>
            <w:tcW w:w="5000" w:type="pct"/>
            <w:tcBorders>
              <w:top w:val="single" w:sz="6" w:space="0" w:color="78A22F"/>
              <w:left w:val="nil"/>
              <w:bottom w:val="nil"/>
              <w:right w:val="nil"/>
            </w:tcBorders>
            <w:shd w:val="clear" w:color="auto" w:fill="auto"/>
          </w:tcPr>
          <w:p w14:paraId="579E48AF" w14:textId="77777777" w:rsidR="00FC14FC" w:rsidRDefault="00FC14FC" w:rsidP="00D11B9D">
            <w:pPr>
              <w:pStyle w:val="TableTitle"/>
            </w:pPr>
            <w:r>
              <w:rPr>
                <w:b w:val="0"/>
              </w:rPr>
              <w:t>Table 4.29</w:t>
            </w:r>
            <w:r>
              <w:tab/>
              <w:t>Option</w:t>
            </w:r>
            <w:r>
              <w:noBreakHyphen/>
              <w:t>type analysis</w:t>
            </w:r>
            <w:r>
              <w:rPr>
                <w:rStyle w:val="NoteLabel"/>
              </w:rPr>
              <w:t>a,b,c</w:t>
            </w:r>
          </w:p>
          <w:p w14:paraId="6E574FF1" w14:textId="77777777" w:rsidR="00FC14FC" w:rsidRPr="00784A05" w:rsidRDefault="00FC14FC" w:rsidP="00D11B9D">
            <w:pPr>
              <w:pStyle w:val="Subtitle"/>
            </w:pPr>
            <w:r>
              <w:t>Alternative BP tax rates, 2005–2017</w:t>
            </w:r>
          </w:p>
        </w:tc>
      </w:tr>
      <w:tr w:rsidR="00FC14FC" w14:paraId="70AE25D2"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6"/>
              <w:gridCol w:w="733"/>
              <w:gridCol w:w="709"/>
              <w:gridCol w:w="966"/>
              <w:gridCol w:w="3261"/>
            </w:tblGrid>
            <w:tr w:rsidR="00FC14FC" w14:paraId="5834D808" w14:textId="77777777" w:rsidTr="00D11B9D">
              <w:trPr>
                <w:tblHeader/>
              </w:trPr>
              <w:tc>
                <w:tcPr>
                  <w:tcW w:w="1667" w:type="pct"/>
                  <w:tcBorders>
                    <w:top w:val="single" w:sz="6" w:space="0" w:color="BFBFBF"/>
                    <w:bottom w:val="single" w:sz="6" w:space="0" w:color="BFBFBF"/>
                  </w:tcBorders>
                  <w:shd w:val="clear" w:color="auto" w:fill="auto"/>
                  <w:tcMar>
                    <w:top w:w="28" w:type="dxa"/>
                  </w:tcMar>
                  <w:vAlign w:val="bottom"/>
                </w:tcPr>
                <w:p w14:paraId="4CA2CB24" w14:textId="77777777" w:rsidR="00FC14FC" w:rsidRDefault="00FC14FC" w:rsidP="00D11B9D">
                  <w:pPr>
                    <w:pStyle w:val="TableColumnHeading"/>
                    <w:jc w:val="left"/>
                  </w:pPr>
                  <w:r>
                    <w:t xml:space="preserve">Benchmark type </w:t>
                  </w:r>
                  <w:r>
                    <w:br/>
                    <w:t>(% growth assets)</w:t>
                  </w:r>
                </w:p>
              </w:tc>
              <w:tc>
                <w:tcPr>
                  <w:tcW w:w="431" w:type="pct"/>
                  <w:tcBorders>
                    <w:top w:val="single" w:sz="6" w:space="0" w:color="BFBFBF"/>
                    <w:bottom w:val="single" w:sz="6" w:space="0" w:color="BFBFBF"/>
                  </w:tcBorders>
                  <w:shd w:val="clear" w:color="auto" w:fill="auto"/>
                  <w:vAlign w:val="bottom"/>
                </w:tcPr>
                <w:p w14:paraId="1C580C3B" w14:textId="77777777" w:rsidR="00FC14FC" w:rsidRDefault="00FC14FC" w:rsidP="00D11B9D">
                  <w:pPr>
                    <w:pStyle w:val="TableColumnHeading"/>
                  </w:pPr>
                  <w:r>
                    <w:t>BP1 (%)</w:t>
                  </w:r>
                </w:p>
              </w:tc>
              <w:tc>
                <w:tcPr>
                  <w:tcW w:w="417" w:type="pct"/>
                  <w:tcBorders>
                    <w:top w:val="single" w:sz="6" w:space="0" w:color="BFBFBF"/>
                    <w:bottom w:val="single" w:sz="6" w:space="0" w:color="BFBFBF"/>
                  </w:tcBorders>
                  <w:shd w:val="clear" w:color="auto" w:fill="auto"/>
                  <w:vAlign w:val="bottom"/>
                </w:tcPr>
                <w:p w14:paraId="78D9F957" w14:textId="77777777" w:rsidR="00FC14FC" w:rsidRDefault="00FC14FC" w:rsidP="00D11B9D">
                  <w:pPr>
                    <w:pStyle w:val="TableColumnHeading"/>
                  </w:pPr>
                  <w:r>
                    <w:t>BP2 (%)</w:t>
                  </w:r>
                </w:p>
              </w:tc>
              <w:tc>
                <w:tcPr>
                  <w:tcW w:w="568" w:type="pct"/>
                  <w:tcBorders>
                    <w:top w:val="single" w:sz="6" w:space="0" w:color="BFBFBF"/>
                    <w:bottom w:val="single" w:sz="6" w:space="0" w:color="BFBFBF"/>
                  </w:tcBorders>
                  <w:shd w:val="clear" w:color="auto" w:fill="auto"/>
                  <w:tcMar>
                    <w:top w:w="28" w:type="dxa"/>
                  </w:tcMar>
                  <w:vAlign w:val="bottom"/>
                </w:tcPr>
                <w:p w14:paraId="5D3F6A80" w14:textId="77777777" w:rsidR="00FC14FC" w:rsidRDefault="00FC14FC" w:rsidP="00D11B9D">
                  <w:pPr>
                    <w:pStyle w:val="TableColumnHeading"/>
                  </w:pPr>
                  <w:r>
                    <w:t>Actual return (%)</w:t>
                  </w:r>
                </w:p>
              </w:tc>
              <w:tc>
                <w:tcPr>
                  <w:tcW w:w="1917" w:type="pct"/>
                  <w:tcBorders>
                    <w:top w:val="single" w:sz="6" w:space="0" w:color="BFBFBF"/>
                    <w:bottom w:val="single" w:sz="6" w:space="0" w:color="BFBFBF"/>
                  </w:tcBorders>
                  <w:shd w:val="clear" w:color="auto" w:fill="auto"/>
                  <w:tcMar>
                    <w:top w:w="28" w:type="dxa"/>
                  </w:tcMar>
                  <w:vAlign w:val="bottom"/>
                </w:tcPr>
                <w:p w14:paraId="64E59FEB" w14:textId="77777777" w:rsidR="00FC14FC" w:rsidRDefault="00FC14FC" w:rsidP="00D11B9D">
                  <w:pPr>
                    <w:pStyle w:val="TableColumnHeading"/>
                    <w:ind w:right="28"/>
                    <w:jc w:val="left"/>
                  </w:pPr>
                  <w:r>
                    <w:t>Result</w:t>
                  </w:r>
                </w:p>
              </w:tc>
            </w:tr>
            <w:tr w:rsidR="00FC14FC" w14:paraId="70E13328" w14:textId="77777777" w:rsidTr="00D11B9D">
              <w:trPr>
                <w:tblHeader/>
              </w:trPr>
              <w:tc>
                <w:tcPr>
                  <w:tcW w:w="1667" w:type="pct"/>
                  <w:tcBorders>
                    <w:top w:val="single" w:sz="6" w:space="0" w:color="BFBFBF"/>
                  </w:tcBorders>
                  <w:shd w:val="clear" w:color="auto" w:fill="auto"/>
                  <w:tcMar>
                    <w:top w:w="28" w:type="dxa"/>
                  </w:tcMar>
                </w:tcPr>
                <w:p w14:paraId="7E5086B1" w14:textId="77777777" w:rsidR="00FC14FC" w:rsidRPr="00563B23" w:rsidRDefault="00FC14FC" w:rsidP="00D11B9D">
                  <w:pPr>
                    <w:pStyle w:val="TableUnitsRow"/>
                    <w:jc w:val="left"/>
                    <w:rPr>
                      <w:b/>
                    </w:rPr>
                  </w:pPr>
                  <w:r>
                    <w:rPr>
                      <w:b/>
                    </w:rPr>
                    <w:t>Secure (0–19)</w:t>
                  </w:r>
                </w:p>
              </w:tc>
              <w:tc>
                <w:tcPr>
                  <w:tcW w:w="431" w:type="pct"/>
                  <w:tcBorders>
                    <w:top w:val="single" w:sz="6" w:space="0" w:color="BFBFBF"/>
                  </w:tcBorders>
                </w:tcPr>
                <w:p w14:paraId="724C21B1" w14:textId="77777777" w:rsidR="00FC14FC" w:rsidRDefault="00FC14FC" w:rsidP="00D11B9D">
                  <w:pPr>
                    <w:pStyle w:val="TableBodyText"/>
                    <w:jc w:val="left"/>
                  </w:pPr>
                </w:p>
              </w:tc>
              <w:tc>
                <w:tcPr>
                  <w:tcW w:w="417" w:type="pct"/>
                  <w:tcBorders>
                    <w:top w:val="single" w:sz="6" w:space="0" w:color="BFBFBF"/>
                  </w:tcBorders>
                </w:tcPr>
                <w:p w14:paraId="6DB58AFE" w14:textId="77777777" w:rsidR="00FC14FC" w:rsidRDefault="00FC14FC" w:rsidP="00D11B9D">
                  <w:pPr>
                    <w:pStyle w:val="TableBodyText"/>
                    <w:jc w:val="left"/>
                  </w:pPr>
                </w:p>
              </w:tc>
              <w:tc>
                <w:tcPr>
                  <w:tcW w:w="568" w:type="pct"/>
                  <w:tcBorders>
                    <w:top w:val="single" w:sz="6" w:space="0" w:color="BFBFBF"/>
                  </w:tcBorders>
                  <w:shd w:val="clear" w:color="auto" w:fill="auto"/>
                  <w:tcMar>
                    <w:top w:w="28" w:type="dxa"/>
                  </w:tcMar>
                </w:tcPr>
                <w:p w14:paraId="68A230AD" w14:textId="77777777" w:rsidR="00FC14FC" w:rsidRDefault="00FC14FC" w:rsidP="00D11B9D">
                  <w:pPr>
                    <w:pStyle w:val="TableBodyText"/>
                    <w:jc w:val="left"/>
                  </w:pPr>
                </w:p>
              </w:tc>
              <w:tc>
                <w:tcPr>
                  <w:tcW w:w="1917" w:type="pct"/>
                  <w:tcBorders>
                    <w:top w:val="single" w:sz="6" w:space="0" w:color="BFBFBF"/>
                  </w:tcBorders>
                  <w:shd w:val="clear" w:color="auto" w:fill="auto"/>
                  <w:tcMar>
                    <w:top w:w="28" w:type="dxa"/>
                  </w:tcMar>
                </w:tcPr>
                <w:p w14:paraId="3132472C" w14:textId="77777777" w:rsidR="00FC14FC" w:rsidRDefault="00FC14FC" w:rsidP="00D11B9D">
                  <w:pPr>
                    <w:pStyle w:val="TableBodyText"/>
                    <w:jc w:val="left"/>
                  </w:pPr>
                </w:p>
              </w:tc>
            </w:tr>
            <w:tr w:rsidR="00FC14FC" w14:paraId="72086C4B" w14:textId="77777777" w:rsidTr="00D11B9D">
              <w:trPr>
                <w:tblHeader/>
              </w:trPr>
              <w:tc>
                <w:tcPr>
                  <w:tcW w:w="1667" w:type="pct"/>
                  <w:shd w:val="clear" w:color="auto" w:fill="auto"/>
                  <w:tcMar>
                    <w:top w:w="28" w:type="dxa"/>
                  </w:tcMar>
                </w:tcPr>
                <w:p w14:paraId="0A746D03" w14:textId="77777777" w:rsidR="00FC14FC" w:rsidRDefault="00FC14FC" w:rsidP="00D11B9D">
                  <w:pPr>
                    <w:pStyle w:val="TableBodyText"/>
                    <w:jc w:val="left"/>
                  </w:pPr>
                  <w:r>
                    <w:t>Option</w:t>
                  </w:r>
                  <w:r>
                    <w:noBreakHyphen/>
                    <w:t>type tailored tax (chapter 2)</w:t>
                  </w:r>
                </w:p>
              </w:tc>
              <w:tc>
                <w:tcPr>
                  <w:tcW w:w="431" w:type="pct"/>
                </w:tcPr>
                <w:p w14:paraId="2F86B9B9" w14:textId="77777777" w:rsidR="00FC14FC" w:rsidRDefault="00FC14FC" w:rsidP="00D11B9D">
                  <w:pPr>
                    <w:pStyle w:val="TableBodyText"/>
                  </w:pPr>
                  <w:r>
                    <w:t>4.37</w:t>
                  </w:r>
                </w:p>
              </w:tc>
              <w:tc>
                <w:tcPr>
                  <w:tcW w:w="417" w:type="pct"/>
                </w:tcPr>
                <w:p w14:paraId="5E8FB96F" w14:textId="77777777" w:rsidR="00FC14FC" w:rsidRDefault="00FC14FC" w:rsidP="00D11B9D">
                  <w:pPr>
                    <w:pStyle w:val="TableBodyText"/>
                  </w:pPr>
                  <w:r>
                    <w:t>4.38</w:t>
                  </w:r>
                </w:p>
              </w:tc>
              <w:tc>
                <w:tcPr>
                  <w:tcW w:w="568" w:type="pct"/>
                  <w:shd w:val="clear" w:color="auto" w:fill="auto"/>
                  <w:tcMar>
                    <w:top w:w="28" w:type="dxa"/>
                  </w:tcMar>
                </w:tcPr>
                <w:p w14:paraId="4AC9BF40" w14:textId="77777777" w:rsidR="00FC14FC" w:rsidRDefault="00FC14FC" w:rsidP="00D11B9D">
                  <w:pPr>
                    <w:pStyle w:val="TableBodyText"/>
                  </w:pPr>
                  <w:r>
                    <w:t>4.52</w:t>
                  </w:r>
                </w:p>
              </w:tc>
              <w:tc>
                <w:tcPr>
                  <w:tcW w:w="1917" w:type="pct"/>
                  <w:shd w:val="clear" w:color="auto" w:fill="auto"/>
                  <w:tcMar>
                    <w:top w:w="28" w:type="dxa"/>
                  </w:tcMar>
                </w:tcPr>
                <w:p w14:paraId="38BAD19E" w14:textId="77777777" w:rsidR="00FC14FC" w:rsidRDefault="00FC14FC" w:rsidP="00D11B9D">
                  <w:pPr>
                    <w:pStyle w:val="TableBodyText"/>
                    <w:jc w:val="left"/>
                  </w:pPr>
                  <w:r>
                    <w:t xml:space="preserve">Performance above </w:t>
                  </w:r>
                  <w:r w:rsidRPr="0052403B">
                    <w:t>both benchmarks</w:t>
                  </w:r>
                </w:p>
              </w:tc>
            </w:tr>
            <w:tr w:rsidR="00FC14FC" w14:paraId="363441B4" w14:textId="77777777" w:rsidTr="00D11B9D">
              <w:trPr>
                <w:tblHeader/>
              </w:trPr>
              <w:tc>
                <w:tcPr>
                  <w:tcW w:w="1667" w:type="pct"/>
                  <w:shd w:val="clear" w:color="auto" w:fill="auto"/>
                  <w:tcMar>
                    <w:top w:w="28" w:type="dxa"/>
                  </w:tcMar>
                </w:tcPr>
                <w:p w14:paraId="482F678A" w14:textId="77777777" w:rsidR="00FC14FC" w:rsidRDefault="00FC14FC" w:rsidP="00D11B9D">
                  <w:pPr>
                    <w:pStyle w:val="TableBodyText"/>
                    <w:jc w:val="left"/>
                  </w:pPr>
                  <w:r>
                    <w:t>5% tax rate</w:t>
                  </w:r>
                </w:p>
              </w:tc>
              <w:tc>
                <w:tcPr>
                  <w:tcW w:w="431" w:type="pct"/>
                </w:tcPr>
                <w:p w14:paraId="5DA4015B" w14:textId="77777777" w:rsidR="00FC14FC" w:rsidRDefault="00FC14FC" w:rsidP="00D11B9D">
                  <w:pPr>
                    <w:pStyle w:val="TableBodyText"/>
                  </w:pPr>
                  <w:r>
                    <w:t xml:space="preserve">4.10 </w:t>
                  </w:r>
                </w:p>
              </w:tc>
              <w:tc>
                <w:tcPr>
                  <w:tcW w:w="417" w:type="pct"/>
                </w:tcPr>
                <w:p w14:paraId="77D4F34C" w14:textId="77777777" w:rsidR="00FC14FC" w:rsidRDefault="00FC14FC" w:rsidP="00D11B9D">
                  <w:pPr>
                    <w:pStyle w:val="TableBodyText"/>
                  </w:pPr>
                  <w:r>
                    <w:t>4.11</w:t>
                  </w:r>
                </w:p>
              </w:tc>
              <w:tc>
                <w:tcPr>
                  <w:tcW w:w="568" w:type="pct"/>
                  <w:shd w:val="clear" w:color="auto" w:fill="auto"/>
                  <w:tcMar>
                    <w:top w:w="28" w:type="dxa"/>
                  </w:tcMar>
                </w:tcPr>
                <w:p w14:paraId="3F869263" w14:textId="77777777" w:rsidR="00FC14FC" w:rsidRDefault="00FC14FC" w:rsidP="00D11B9D">
                  <w:pPr>
                    <w:pStyle w:val="TableBodyText"/>
                  </w:pPr>
                  <w:r>
                    <w:t>4.52</w:t>
                  </w:r>
                </w:p>
              </w:tc>
              <w:tc>
                <w:tcPr>
                  <w:tcW w:w="1917" w:type="pct"/>
                  <w:shd w:val="clear" w:color="auto" w:fill="auto"/>
                  <w:tcMar>
                    <w:top w:w="28" w:type="dxa"/>
                  </w:tcMar>
                </w:tcPr>
                <w:p w14:paraId="28AAA979" w14:textId="77777777" w:rsidR="00FC14FC" w:rsidRDefault="00FC14FC" w:rsidP="00D11B9D">
                  <w:pPr>
                    <w:pStyle w:val="TableBodyText"/>
                    <w:jc w:val="left"/>
                  </w:pPr>
                  <w:r>
                    <w:t>Performance above</w:t>
                  </w:r>
                  <w:r w:rsidRPr="0052403B">
                    <w:t xml:space="preserve"> both benchmarks</w:t>
                  </w:r>
                </w:p>
              </w:tc>
            </w:tr>
            <w:tr w:rsidR="00FC14FC" w14:paraId="5AA68848" w14:textId="77777777" w:rsidTr="00D11B9D">
              <w:trPr>
                <w:tblHeader/>
              </w:trPr>
              <w:tc>
                <w:tcPr>
                  <w:tcW w:w="1667" w:type="pct"/>
                  <w:shd w:val="clear" w:color="auto" w:fill="F2F2F2" w:themeFill="background1" w:themeFillShade="F2"/>
                  <w:tcMar>
                    <w:top w:w="28" w:type="dxa"/>
                  </w:tcMar>
                </w:tcPr>
                <w:p w14:paraId="0DC95974" w14:textId="77777777" w:rsidR="00FC14FC" w:rsidRPr="00563B23" w:rsidRDefault="00FC14FC" w:rsidP="00D11B9D">
                  <w:pPr>
                    <w:pStyle w:val="TableUnitsRow"/>
                    <w:jc w:val="left"/>
                    <w:rPr>
                      <w:b/>
                    </w:rPr>
                  </w:pPr>
                  <w:r w:rsidRPr="00563B23">
                    <w:rPr>
                      <w:b/>
                    </w:rPr>
                    <w:t>Capital stable</w:t>
                  </w:r>
                  <w:r>
                    <w:rPr>
                      <w:b/>
                    </w:rPr>
                    <w:t xml:space="preserve"> (20–40)</w:t>
                  </w:r>
                </w:p>
              </w:tc>
              <w:tc>
                <w:tcPr>
                  <w:tcW w:w="431" w:type="pct"/>
                  <w:shd w:val="clear" w:color="auto" w:fill="F2F2F2" w:themeFill="background1" w:themeFillShade="F2"/>
                </w:tcPr>
                <w:p w14:paraId="0079806D" w14:textId="77777777" w:rsidR="00FC14FC" w:rsidRDefault="00FC14FC" w:rsidP="00D11B9D">
                  <w:pPr>
                    <w:pStyle w:val="TableBodyText"/>
                  </w:pPr>
                </w:p>
              </w:tc>
              <w:tc>
                <w:tcPr>
                  <w:tcW w:w="417" w:type="pct"/>
                  <w:shd w:val="clear" w:color="auto" w:fill="F2F2F2" w:themeFill="background1" w:themeFillShade="F2"/>
                </w:tcPr>
                <w:p w14:paraId="50407B70" w14:textId="77777777" w:rsidR="00FC14FC" w:rsidRDefault="00FC14FC" w:rsidP="00D11B9D">
                  <w:pPr>
                    <w:pStyle w:val="TableBodyText"/>
                  </w:pPr>
                </w:p>
              </w:tc>
              <w:tc>
                <w:tcPr>
                  <w:tcW w:w="568" w:type="pct"/>
                  <w:shd w:val="clear" w:color="auto" w:fill="F2F2F2" w:themeFill="background1" w:themeFillShade="F2"/>
                  <w:tcMar>
                    <w:top w:w="28" w:type="dxa"/>
                  </w:tcMar>
                </w:tcPr>
                <w:p w14:paraId="54CC471D" w14:textId="77777777" w:rsidR="00FC14FC" w:rsidRDefault="00FC14FC" w:rsidP="00D11B9D">
                  <w:pPr>
                    <w:pStyle w:val="TableBodyText"/>
                  </w:pPr>
                </w:p>
              </w:tc>
              <w:tc>
                <w:tcPr>
                  <w:tcW w:w="1917" w:type="pct"/>
                  <w:shd w:val="clear" w:color="auto" w:fill="F2F2F2" w:themeFill="background1" w:themeFillShade="F2"/>
                  <w:tcMar>
                    <w:top w:w="28" w:type="dxa"/>
                  </w:tcMar>
                </w:tcPr>
                <w:p w14:paraId="3BD0F728" w14:textId="77777777" w:rsidR="00FC14FC" w:rsidRDefault="00FC14FC" w:rsidP="00D11B9D">
                  <w:pPr>
                    <w:pStyle w:val="TableBodyText"/>
                    <w:jc w:val="left"/>
                  </w:pPr>
                </w:p>
              </w:tc>
            </w:tr>
            <w:tr w:rsidR="00FC14FC" w14:paraId="7A3085A9" w14:textId="77777777" w:rsidTr="00D11B9D">
              <w:trPr>
                <w:tblHeader/>
              </w:trPr>
              <w:tc>
                <w:tcPr>
                  <w:tcW w:w="1667" w:type="pct"/>
                  <w:shd w:val="clear" w:color="auto" w:fill="F2F2F2" w:themeFill="background1" w:themeFillShade="F2"/>
                  <w:tcMar>
                    <w:top w:w="28" w:type="dxa"/>
                  </w:tcMar>
                </w:tcPr>
                <w:p w14:paraId="41C70853" w14:textId="77777777" w:rsidR="00FC14FC" w:rsidRDefault="00FC14FC" w:rsidP="00D11B9D">
                  <w:pPr>
                    <w:pStyle w:val="TableBodyText"/>
                    <w:jc w:val="left"/>
                  </w:pPr>
                  <w:r>
                    <w:t>Option</w:t>
                  </w:r>
                  <w:r>
                    <w:noBreakHyphen/>
                    <w:t>type tailored tax (chapter 2)</w:t>
                  </w:r>
                </w:p>
              </w:tc>
              <w:tc>
                <w:tcPr>
                  <w:tcW w:w="431" w:type="pct"/>
                  <w:shd w:val="clear" w:color="auto" w:fill="F2F2F2" w:themeFill="background1" w:themeFillShade="F2"/>
                </w:tcPr>
                <w:p w14:paraId="0B972DA6" w14:textId="77777777" w:rsidR="00FC14FC" w:rsidRDefault="00FC14FC" w:rsidP="00D11B9D">
                  <w:pPr>
                    <w:pStyle w:val="TableBodyText"/>
                  </w:pPr>
                  <w:r>
                    <w:t>5.51</w:t>
                  </w:r>
                </w:p>
              </w:tc>
              <w:tc>
                <w:tcPr>
                  <w:tcW w:w="417" w:type="pct"/>
                  <w:shd w:val="clear" w:color="auto" w:fill="F2F2F2" w:themeFill="background1" w:themeFillShade="F2"/>
                </w:tcPr>
                <w:p w14:paraId="41BEF672" w14:textId="77777777" w:rsidR="00FC14FC" w:rsidRDefault="00FC14FC" w:rsidP="00D11B9D">
                  <w:pPr>
                    <w:pStyle w:val="TableBodyText"/>
                  </w:pPr>
                  <w:r>
                    <w:t>5.57</w:t>
                  </w:r>
                </w:p>
              </w:tc>
              <w:tc>
                <w:tcPr>
                  <w:tcW w:w="568" w:type="pct"/>
                  <w:shd w:val="clear" w:color="auto" w:fill="F2F2F2" w:themeFill="background1" w:themeFillShade="F2"/>
                  <w:tcMar>
                    <w:top w:w="28" w:type="dxa"/>
                  </w:tcMar>
                </w:tcPr>
                <w:p w14:paraId="560155A5" w14:textId="77777777" w:rsidR="00FC14FC" w:rsidRDefault="00FC14FC" w:rsidP="00D11B9D">
                  <w:pPr>
                    <w:pStyle w:val="TableBodyText"/>
                  </w:pPr>
                  <w:r>
                    <w:t>5.28</w:t>
                  </w:r>
                </w:p>
              </w:tc>
              <w:tc>
                <w:tcPr>
                  <w:tcW w:w="1917" w:type="pct"/>
                  <w:shd w:val="clear" w:color="auto" w:fill="F2F2F2" w:themeFill="background1" w:themeFillShade="F2"/>
                  <w:tcMar>
                    <w:top w:w="28" w:type="dxa"/>
                  </w:tcMar>
                </w:tcPr>
                <w:p w14:paraId="0C3F79CE" w14:textId="77777777" w:rsidR="00FC14FC" w:rsidRDefault="00FC14FC" w:rsidP="00D11B9D">
                  <w:pPr>
                    <w:pStyle w:val="TableBodyText"/>
                    <w:jc w:val="left"/>
                  </w:pPr>
                  <w:r>
                    <w:t>Performance below both benchmarks</w:t>
                  </w:r>
                </w:p>
              </w:tc>
            </w:tr>
            <w:tr w:rsidR="00FC14FC" w14:paraId="0148BBAA" w14:textId="77777777" w:rsidTr="00D11B9D">
              <w:trPr>
                <w:tblHeader/>
              </w:trPr>
              <w:tc>
                <w:tcPr>
                  <w:tcW w:w="1667" w:type="pct"/>
                  <w:shd w:val="clear" w:color="auto" w:fill="F2F2F2" w:themeFill="background1" w:themeFillShade="F2"/>
                  <w:tcMar>
                    <w:top w:w="28" w:type="dxa"/>
                  </w:tcMar>
                </w:tcPr>
                <w:p w14:paraId="32849C95" w14:textId="77777777" w:rsidR="00FC14FC" w:rsidRDefault="00FC14FC" w:rsidP="00D11B9D">
                  <w:pPr>
                    <w:pStyle w:val="TableBodyText"/>
                    <w:jc w:val="left"/>
                  </w:pPr>
                  <w:r>
                    <w:t>5% tax rate</w:t>
                  </w:r>
                </w:p>
              </w:tc>
              <w:tc>
                <w:tcPr>
                  <w:tcW w:w="431" w:type="pct"/>
                  <w:shd w:val="clear" w:color="auto" w:fill="F2F2F2" w:themeFill="background1" w:themeFillShade="F2"/>
                </w:tcPr>
                <w:p w14:paraId="2477C118" w14:textId="77777777" w:rsidR="00FC14FC" w:rsidRDefault="00FC14FC" w:rsidP="00D11B9D">
                  <w:pPr>
                    <w:pStyle w:val="TableBodyText"/>
                  </w:pPr>
                  <w:r>
                    <w:t>5.20</w:t>
                  </w:r>
                </w:p>
              </w:tc>
              <w:tc>
                <w:tcPr>
                  <w:tcW w:w="417" w:type="pct"/>
                  <w:shd w:val="clear" w:color="auto" w:fill="F2F2F2" w:themeFill="background1" w:themeFillShade="F2"/>
                </w:tcPr>
                <w:p w14:paraId="21377BB4" w14:textId="77777777" w:rsidR="00FC14FC" w:rsidRDefault="00FC14FC" w:rsidP="00D11B9D">
                  <w:pPr>
                    <w:pStyle w:val="TableBodyText"/>
                  </w:pPr>
                  <w:r>
                    <w:t>5.26</w:t>
                  </w:r>
                </w:p>
              </w:tc>
              <w:tc>
                <w:tcPr>
                  <w:tcW w:w="568" w:type="pct"/>
                  <w:shd w:val="clear" w:color="auto" w:fill="F2F2F2" w:themeFill="background1" w:themeFillShade="F2"/>
                  <w:tcMar>
                    <w:top w:w="28" w:type="dxa"/>
                  </w:tcMar>
                </w:tcPr>
                <w:p w14:paraId="689174E4" w14:textId="77777777" w:rsidR="00FC14FC" w:rsidRDefault="00FC14FC" w:rsidP="00D11B9D">
                  <w:pPr>
                    <w:pStyle w:val="TableBodyText"/>
                  </w:pPr>
                  <w:r>
                    <w:t>5.28</w:t>
                  </w:r>
                </w:p>
              </w:tc>
              <w:tc>
                <w:tcPr>
                  <w:tcW w:w="1917" w:type="pct"/>
                  <w:shd w:val="clear" w:color="auto" w:fill="F2F2F2" w:themeFill="background1" w:themeFillShade="F2"/>
                  <w:tcMar>
                    <w:top w:w="28" w:type="dxa"/>
                  </w:tcMar>
                </w:tcPr>
                <w:p w14:paraId="2F3E3A20" w14:textId="77777777" w:rsidR="00FC14FC" w:rsidRDefault="00FC14FC" w:rsidP="00D11B9D">
                  <w:pPr>
                    <w:pStyle w:val="TableBodyText"/>
                    <w:jc w:val="left"/>
                  </w:pPr>
                  <w:r>
                    <w:t>Performance above both benchmarks</w:t>
                  </w:r>
                </w:p>
              </w:tc>
            </w:tr>
            <w:tr w:rsidR="00FC14FC" w14:paraId="6AF69A8A" w14:textId="77777777" w:rsidTr="00D11B9D">
              <w:trPr>
                <w:tblHeader/>
              </w:trPr>
              <w:tc>
                <w:tcPr>
                  <w:tcW w:w="1667" w:type="pct"/>
                  <w:shd w:val="clear" w:color="auto" w:fill="auto"/>
                  <w:tcMar>
                    <w:top w:w="28" w:type="dxa"/>
                  </w:tcMar>
                </w:tcPr>
                <w:p w14:paraId="5E541AA9" w14:textId="77777777" w:rsidR="00FC14FC" w:rsidRPr="00563B23" w:rsidRDefault="00FC14FC" w:rsidP="00D11B9D">
                  <w:pPr>
                    <w:pStyle w:val="TableUnitsRow"/>
                    <w:jc w:val="left"/>
                    <w:rPr>
                      <w:b/>
                    </w:rPr>
                  </w:pPr>
                  <w:r w:rsidRPr="00563B23">
                    <w:rPr>
                      <w:b/>
                    </w:rPr>
                    <w:t>Conservative balanced</w:t>
                  </w:r>
                  <w:r>
                    <w:rPr>
                      <w:b/>
                    </w:rPr>
                    <w:t xml:space="preserve"> (41–59)</w:t>
                  </w:r>
                </w:p>
              </w:tc>
              <w:tc>
                <w:tcPr>
                  <w:tcW w:w="431" w:type="pct"/>
                </w:tcPr>
                <w:p w14:paraId="5B8F9E2F" w14:textId="77777777" w:rsidR="00FC14FC" w:rsidRPr="00563B23" w:rsidRDefault="00FC14FC" w:rsidP="00D11B9D">
                  <w:pPr>
                    <w:pStyle w:val="TableBodyText"/>
                    <w:rPr>
                      <w:b/>
                    </w:rPr>
                  </w:pPr>
                </w:p>
              </w:tc>
              <w:tc>
                <w:tcPr>
                  <w:tcW w:w="417" w:type="pct"/>
                </w:tcPr>
                <w:p w14:paraId="2FB45FBF" w14:textId="77777777" w:rsidR="00FC14FC" w:rsidRDefault="00FC14FC" w:rsidP="00D11B9D">
                  <w:pPr>
                    <w:pStyle w:val="TableBodyText"/>
                  </w:pPr>
                </w:p>
              </w:tc>
              <w:tc>
                <w:tcPr>
                  <w:tcW w:w="568" w:type="pct"/>
                  <w:shd w:val="clear" w:color="auto" w:fill="auto"/>
                  <w:tcMar>
                    <w:top w:w="28" w:type="dxa"/>
                  </w:tcMar>
                </w:tcPr>
                <w:p w14:paraId="35C9E0BA" w14:textId="77777777" w:rsidR="00FC14FC" w:rsidRDefault="00FC14FC" w:rsidP="00D11B9D">
                  <w:pPr>
                    <w:pStyle w:val="TableBodyText"/>
                  </w:pPr>
                </w:p>
              </w:tc>
              <w:tc>
                <w:tcPr>
                  <w:tcW w:w="1917" w:type="pct"/>
                  <w:shd w:val="clear" w:color="auto" w:fill="auto"/>
                  <w:tcMar>
                    <w:top w:w="28" w:type="dxa"/>
                  </w:tcMar>
                </w:tcPr>
                <w:p w14:paraId="1CBF1E35" w14:textId="77777777" w:rsidR="00FC14FC" w:rsidRDefault="00FC14FC" w:rsidP="00D11B9D">
                  <w:pPr>
                    <w:pStyle w:val="TableBodyText"/>
                    <w:jc w:val="left"/>
                  </w:pPr>
                </w:p>
              </w:tc>
            </w:tr>
            <w:tr w:rsidR="00FC14FC" w14:paraId="7E80BC77" w14:textId="77777777" w:rsidTr="00D11B9D">
              <w:trPr>
                <w:tblHeader/>
              </w:trPr>
              <w:tc>
                <w:tcPr>
                  <w:tcW w:w="1667" w:type="pct"/>
                  <w:shd w:val="clear" w:color="auto" w:fill="auto"/>
                  <w:tcMar>
                    <w:top w:w="28" w:type="dxa"/>
                  </w:tcMar>
                </w:tcPr>
                <w:p w14:paraId="11937E52" w14:textId="77777777" w:rsidR="00FC14FC" w:rsidRDefault="00FC14FC" w:rsidP="00D11B9D">
                  <w:pPr>
                    <w:pStyle w:val="TableBodyText"/>
                    <w:jc w:val="left"/>
                  </w:pPr>
                  <w:r>
                    <w:t>Option</w:t>
                  </w:r>
                  <w:r>
                    <w:noBreakHyphen/>
                    <w:t>type tailored tax (chapter 2)</w:t>
                  </w:r>
                </w:p>
              </w:tc>
              <w:tc>
                <w:tcPr>
                  <w:tcW w:w="431" w:type="pct"/>
                </w:tcPr>
                <w:p w14:paraId="6261CFB3" w14:textId="77777777" w:rsidR="00FC14FC" w:rsidRDefault="00FC14FC" w:rsidP="00D11B9D">
                  <w:pPr>
                    <w:pStyle w:val="TableBodyText"/>
                  </w:pPr>
                  <w:r>
                    <w:t>6.19</w:t>
                  </w:r>
                </w:p>
              </w:tc>
              <w:tc>
                <w:tcPr>
                  <w:tcW w:w="417" w:type="pct"/>
                </w:tcPr>
                <w:p w14:paraId="5D6A03E8" w14:textId="77777777" w:rsidR="00FC14FC" w:rsidRDefault="00FC14FC" w:rsidP="00D11B9D">
                  <w:pPr>
                    <w:pStyle w:val="TableBodyText"/>
                  </w:pPr>
                  <w:r>
                    <w:t>6.25</w:t>
                  </w:r>
                </w:p>
              </w:tc>
              <w:tc>
                <w:tcPr>
                  <w:tcW w:w="568" w:type="pct"/>
                  <w:shd w:val="clear" w:color="auto" w:fill="auto"/>
                  <w:tcMar>
                    <w:top w:w="28" w:type="dxa"/>
                  </w:tcMar>
                </w:tcPr>
                <w:p w14:paraId="4724BB1D" w14:textId="77777777" w:rsidR="00FC14FC" w:rsidRDefault="00FC14FC" w:rsidP="00D11B9D">
                  <w:pPr>
                    <w:pStyle w:val="TableBodyText"/>
                  </w:pPr>
                  <w:r>
                    <w:t>5.81</w:t>
                  </w:r>
                </w:p>
              </w:tc>
              <w:tc>
                <w:tcPr>
                  <w:tcW w:w="1917" w:type="pct"/>
                  <w:shd w:val="clear" w:color="auto" w:fill="auto"/>
                  <w:tcMar>
                    <w:top w:w="28" w:type="dxa"/>
                  </w:tcMar>
                </w:tcPr>
                <w:p w14:paraId="672B2D96" w14:textId="77777777" w:rsidR="00FC14FC" w:rsidRDefault="00FC14FC" w:rsidP="00D11B9D">
                  <w:pPr>
                    <w:pStyle w:val="TableBodyText"/>
                    <w:jc w:val="left"/>
                  </w:pPr>
                  <w:r>
                    <w:t>Performance below both benchmarks</w:t>
                  </w:r>
                </w:p>
              </w:tc>
            </w:tr>
            <w:tr w:rsidR="00FC14FC" w14:paraId="7AC1A4BE" w14:textId="77777777" w:rsidTr="00D11B9D">
              <w:trPr>
                <w:tblHeader/>
              </w:trPr>
              <w:tc>
                <w:tcPr>
                  <w:tcW w:w="1667" w:type="pct"/>
                  <w:shd w:val="clear" w:color="auto" w:fill="auto"/>
                  <w:tcMar>
                    <w:top w:w="28" w:type="dxa"/>
                  </w:tcMar>
                </w:tcPr>
                <w:p w14:paraId="2BCB0D6E" w14:textId="77777777" w:rsidR="00FC14FC" w:rsidRDefault="00FC14FC" w:rsidP="00D11B9D">
                  <w:pPr>
                    <w:pStyle w:val="TableBodyText"/>
                    <w:jc w:val="left"/>
                  </w:pPr>
                  <w:r>
                    <w:t>5% tax rate</w:t>
                  </w:r>
                </w:p>
              </w:tc>
              <w:tc>
                <w:tcPr>
                  <w:tcW w:w="431" w:type="pct"/>
                </w:tcPr>
                <w:p w14:paraId="27CEF387" w14:textId="77777777" w:rsidR="00FC14FC" w:rsidRDefault="00FC14FC" w:rsidP="00D11B9D">
                  <w:pPr>
                    <w:pStyle w:val="TableBodyText"/>
                  </w:pPr>
                  <w:r>
                    <w:t>5.93</w:t>
                  </w:r>
                </w:p>
              </w:tc>
              <w:tc>
                <w:tcPr>
                  <w:tcW w:w="417" w:type="pct"/>
                </w:tcPr>
                <w:p w14:paraId="49614F38" w14:textId="77777777" w:rsidR="00FC14FC" w:rsidRDefault="00FC14FC" w:rsidP="00D11B9D">
                  <w:pPr>
                    <w:pStyle w:val="TableBodyText"/>
                  </w:pPr>
                  <w:r>
                    <w:t>6.01</w:t>
                  </w:r>
                </w:p>
              </w:tc>
              <w:tc>
                <w:tcPr>
                  <w:tcW w:w="568" w:type="pct"/>
                  <w:shd w:val="clear" w:color="auto" w:fill="auto"/>
                  <w:tcMar>
                    <w:top w:w="28" w:type="dxa"/>
                  </w:tcMar>
                </w:tcPr>
                <w:p w14:paraId="3528F4A1" w14:textId="77777777" w:rsidR="00FC14FC" w:rsidRDefault="00FC14FC" w:rsidP="00D11B9D">
                  <w:pPr>
                    <w:pStyle w:val="TableBodyText"/>
                  </w:pPr>
                  <w:r>
                    <w:t>5.81</w:t>
                  </w:r>
                </w:p>
              </w:tc>
              <w:tc>
                <w:tcPr>
                  <w:tcW w:w="1917" w:type="pct"/>
                  <w:shd w:val="clear" w:color="auto" w:fill="auto"/>
                  <w:tcMar>
                    <w:top w:w="28" w:type="dxa"/>
                  </w:tcMar>
                </w:tcPr>
                <w:p w14:paraId="7F3DA3CB" w14:textId="77777777" w:rsidR="00FC14FC" w:rsidRDefault="00FC14FC" w:rsidP="00D11B9D">
                  <w:pPr>
                    <w:pStyle w:val="TableBodyText"/>
                    <w:jc w:val="left"/>
                  </w:pPr>
                  <w:r>
                    <w:t>Performance below both benchmarks</w:t>
                  </w:r>
                </w:p>
              </w:tc>
            </w:tr>
            <w:tr w:rsidR="00FC14FC" w14:paraId="25AB8FFB" w14:textId="77777777" w:rsidTr="00D11B9D">
              <w:trPr>
                <w:tblHeader/>
              </w:trPr>
              <w:tc>
                <w:tcPr>
                  <w:tcW w:w="1667" w:type="pct"/>
                  <w:shd w:val="clear" w:color="auto" w:fill="F2F2F2" w:themeFill="background1" w:themeFillShade="F2"/>
                  <w:tcMar>
                    <w:top w:w="28" w:type="dxa"/>
                  </w:tcMar>
                </w:tcPr>
                <w:p w14:paraId="71DA12EB" w14:textId="77777777" w:rsidR="00FC14FC" w:rsidRPr="00563B23" w:rsidRDefault="00FC14FC" w:rsidP="00D11B9D">
                  <w:pPr>
                    <w:pStyle w:val="TableUnitsRow"/>
                    <w:jc w:val="left"/>
                    <w:rPr>
                      <w:b/>
                    </w:rPr>
                  </w:pPr>
                  <w:r w:rsidRPr="00563B23">
                    <w:rPr>
                      <w:b/>
                    </w:rPr>
                    <w:t>Balanced</w:t>
                  </w:r>
                  <w:r>
                    <w:rPr>
                      <w:b/>
                    </w:rPr>
                    <w:t xml:space="preserve"> (60–76)</w:t>
                  </w:r>
                </w:p>
              </w:tc>
              <w:tc>
                <w:tcPr>
                  <w:tcW w:w="431" w:type="pct"/>
                  <w:shd w:val="clear" w:color="auto" w:fill="F2F2F2" w:themeFill="background1" w:themeFillShade="F2"/>
                </w:tcPr>
                <w:p w14:paraId="5614B1FD" w14:textId="77777777" w:rsidR="00FC14FC" w:rsidRDefault="00FC14FC" w:rsidP="00D11B9D">
                  <w:pPr>
                    <w:pStyle w:val="TableBodyText"/>
                  </w:pPr>
                </w:p>
              </w:tc>
              <w:tc>
                <w:tcPr>
                  <w:tcW w:w="417" w:type="pct"/>
                  <w:shd w:val="clear" w:color="auto" w:fill="F2F2F2" w:themeFill="background1" w:themeFillShade="F2"/>
                </w:tcPr>
                <w:p w14:paraId="72FD110C" w14:textId="77777777" w:rsidR="00FC14FC" w:rsidRDefault="00FC14FC" w:rsidP="00D11B9D">
                  <w:pPr>
                    <w:pStyle w:val="TableBodyText"/>
                  </w:pPr>
                </w:p>
              </w:tc>
              <w:tc>
                <w:tcPr>
                  <w:tcW w:w="568" w:type="pct"/>
                  <w:shd w:val="clear" w:color="auto" w:fill="F2F2F2" w:themeFill="background1" w:themeFillShade="F2"/>
                  <w:tcMar>
                    <w:top w:w="28" w:type="dxa"/>
                  </w:tcMar>
                </w:tcPr>
                <w:p w14:paraId="7183E6E7" w14:textId="77777777" w:rsidR="00FC14FC" w:rsidRDefault="00FC14FC" w:rsidP="00D11B9D">
                  <w:pPr>
                    <w:pStyle w:val="TableBodyText"/>
                  </w:pPr>
                </w:p>
              </w:tc>
              <w:tc>
                <w:tcPr>
                  <w:tcW w:w="1917" w:type="pct"/>
                  <w:shd w:val="clear" w:color="auto" w:fill="F2F2F2" w:themeFill="background1" w:themeFillShade="F2"/>
                  <w:tcMar>
                    <w:top w:w="28" w:type="dxa"/>
                  </w:tcMar>
                </w:tcPr>
                <w:p w14:paraId="6C3E1B55" w14:textId="77777777" w:rsidR="00FC14FC" w:rsidRDefault="00FC14FC" w:rsidP="00D11B9D">
                  <w:pPr>
                    <w:pStyle w:val="TableBodyText"/>
                    <w:jc w:val="left"/>
                  </w:pPr>
                </w:p>
              </w:tc>
            </w:tr>
            <w:tr w:rsidR="00FC14FC" w14:paraId="06EB113D" w14:textId="77777777" w:rsidTr="00D11B9D">
              <w:trPr>
                <w:tblHeader/>
              </w:trPr>
              <w:tc>
                <w:tcPr>
                  <w:tcW w:w="1667" w:type="pct"/>
                  <w:shd w:val="clear" w:color="auto" w:fill="F2F2F2" w:themeFill="background1" w:themeFillShade="F2"/>
                  <w:tcMar>
                    <w:top w:w="28" w:type="dxa"/>
                  </w:tcMar>
                </w:tcPr>
                <w:p w14:paraId="41BF4CA7" w14:textId="77777777" w:rsidR="00FC14FC" w:rsidRDefault="00FC14FC" w:rsidP="00D11B9D">
                  <w:pPr>
                    <w:pStyle w:val="TableBodyText"/>
                    <w:jc w:val="left"/>
                  </w:pPr>
                  <w:r>
                    <w:t>Option</w:t>
                  </w:r>
                  <w:r>
                    <w:noBreakHyphen/>
                    <w:t>type tailored tax (chapter 2)</w:t>
                  </w:r>
                </w:p>
              </w:tc>
              <w:tc>
                <w:tcPr>
                  <w:tcW w:w="431" w:type="pct"/>
                  <w:shd w:val="clear" w:color="auto" w:fill="F2F2F2" w:themeFill="background1" w:themeFillShade="F2"/>
                </w:tcPr>
                <w:p w14:paraId="62EC6C8C" w14:textId="77777777" w:rsidR="00FC14FC" w:rsidRDefault="00FC14FC" w:rsidP="00D11B9D">
                  <w:pPr>
                    <w:pStyle w:val="TableBodyText"/>
                  </w:pPr>
                  <w:r>
                    <w:t>6.28</w:t>
                  </w:r>
                </w:p>
              </w:tc>
              <w:tc>
                <w:tcPr>
                  <w:tcW w:w="417" w:type="pct"/>
                  <w:shd w:val="clear" w:color="auto" w:fill="F2F2F2" w:themeFill="background1" w:themeFillShade="F2"/>
                </w:tcPr>
                <w:p w14:paraId="230D1472" w14:textId="77777777" w:rsidR="00FC14FC" w:rsidRDefault="00FC14FC" w:rsidP="00D11B9D">
                  <w:pPr>
                    <w:pStyle w:val="TableBodyText"/>
                  </w:pPr>
                  <w:r>
                    <w:t>6.56</w:t>
                  </w:r>
                </w:p>
              </w:tc>
              <w:tc>
                <w:tcPr>
                  <w:tcW w:w="568" w:type="pct"/>
                  <w:shd w:val="clear" w:color="auto" w:fill="F2F2F2" w:themeFill="background1" w:themeFillShade="F2"/>
                  <w:tcMar>
                    <w:top w:w="28" w:type="dxa"/>
                  </w:tcMar>
                </w:tcPr>
                <w:p w14:paraId="47D62E3C" w14:textId="77777777" w:rsidR="00FC14FC" w:rsidRDefault="00FC14FC" w:rsidP="00D11B9D">
                  <w:pPr>
                    <w:pStyle w:val="TableBodyText"/>
                  </w:pPr>
                  <w:r>
                    <w:t>7.11</w:t>
                  </w:r>
                </w:p>
              </w:tc>
              <w:tc>
                <w:tcPr>
                  <w:tcW w:w="1917" w:type="pct"/>
                  <w:shd w:val="clear" w:color="auto" w:fill="F2F2F2" w:themeFill="background1" w:themeFillShade="F2"/>
                  <w:tcMar>
                    <w:top w:w="28" w:type="dxa"/>
                  </w:tcMar>
                </w:tcPr>
                <w:p w14:paraId="7EB87EF2" w14:textId="77777777" w:rsidR="00FC14FC" w:rsidRDefault="00FC14FC" w:rsidP="00D11B9D">
                  <w:pPr>
                    <w:pStyle w:val="TableBodyText"/>
                    <w:jc w:val="left"/>
                  </w:pPr>
                  <w:r>
                    <w:t>Performance above both benchmarks</w:t>
                  </w:r>
                </w:p>
              </w:tc>
            </w:tr>
            <w:tr w:rsidR="00FC14FC" w14:paraId="7689160A" w14:textId="77777777" w:rsidTr="00D11B9D">
              <w:trPr>
                <w:tblHeader/>
              </w:trPr>
              <w:tc>
                <w:tcPr>
                  <w:tcW w:w="1667" w:type="pct"/>
                  <w:shd w:val="clear" w:color="auto" w:fill="F2F2F2" w:themeFill="background1" w:themeFillShade="F2"/>
                  <w:tcMar>
                    <w:top w:w="28" w:type="dxa"/>
                  </w:tcMar>
                </w:tcPr>
                <w:p w14:paraId="03010670" w14:textId="77777777" w:rsidR="00FC14FC" w:rsidRDefault="00FC14FC" w:rsidP="00D11B9D">
                  <w:pPr>
                    <w:pStyle w:val="TableBodyText"/>
                    <w:jc w:val="left"/>
                  </w:pPr>
                  <w:r>
                    <w:t>5% tax rate</w:t>
                  </w:r>
                </w:p>
              </w:tc>
              <w:tc>
                <w:tcPr>
                  <w:tcW w:w="431" w:type="pct"/>
                  <w:shd w:val="clear" w:color="auto" w:fill="F2F2F2" w:themeFill="background1" w:themeFillShade="F2"/>
                </w:tcPr>
                <w:p w14:paraId="5960AFC8" w14:textId="77777777" w:rsidR="00FC14FC" w:rsidRDefault="00FC14FC" w:rsidP="00D11B9D">
                  <w:pPr>
                    <w:pStyle w:val="TableBodyText"/>
                  </w:pPr>
                  <w:r>
                    <w:t>5.89</w:t>
                  </w:r>
                </w:p>
              </w:tc>
              <w:tc>
                <w:tcPr>
                  <w:tcW w:w="417" w:type="pct"/>
                  <w:shd w:val="clear" w:color="auto" w:fill="F2F2F2" w:themeFill="background1" w:themeFillShade="F2"/>
                </w:tcPr>
                <w:p w14:paraId="6D44753B" w14:textId="77777777" w:rsidR="00FC14FC" w:rsidRDefault="00FC14FC" w:rsidP="00D11B9D">
                  <w:pPr>
                    <w:pStyle w:val="TableBodyText"/>
                  </w:pPr>
                  <w:r>
                    <w:t>6.20</w:t>
                  </w:r>
                </w:p>
              </w:tc>
              <w:tc>
                <w:tcPr>
                  <w:tcW w:w="568" w:type="pct"/>
                  <w:shd w:val="clear" w:color="auto" w:fill="F2F2F2" w:themeFill="background1" w:themeFillShade="F2"/>
                  <w:tcMar>
                    <w:top w:w="28" w:type="dxa"/>
                  </w:tcMar>
                </w:tcPr>
                <w:p w14:paraId="765246A6" w14:textId="77777777" w:rsidR="00FC14FC" w:rsidRDefault="00FC14FC" w:rsidP="00D11B9D">
                  <w:pPr>
                    <w:pStyle w:val="TableBodyText"/>
                  </w:pPr>
                  <w:r>
                    <w:t>7.11</w:t>
                  </w:r>
                </w:p>
              </w:tc>
              <w:tc>
                <w:tcPr>
                  <w:tcW w:w="1917" w:type="pct"/>
                  <w:shd w:val="clear" w:color="auto" w:fill="F2F2F2" w:themeFill="background1" w:themeFillShade="F2"/>
                  <w:tcMar>
                    <w:top w:w="28" w:type="dxa"/>
                  </w:tcMar>
                </w:tcPr>
                <w:p w14:paraId="4D6D5600" w14:textId="77777777" w:rsidR="00FC14FC" w:rsidRDefault="00FC14FC" w:rsidP="00D11B9D">
                  <w:pPr>
                    <w:pStyle w:val="TableBodyText"/>
                    <w:jc w:val="left"/>
                  </w:pPr>
                  <w:r>
                    <w:t>Performance above both benchmarks</w:t>
                  </w:r>
                </w:p>
              </w:tc>
            </w:tr>
            <w:tr w:rsidR="00FC14FC" w14:paraId="5C97B745" w14:textId="77777777" w:rsidTr="00D11B9D">
              <w:trPr>
                <w:tblHeader/>
              </w:trPr>
              <w:tc>
                <w:tcPr>
                  <w:tcW w:w="1667" w:type="pct"/>
                  <w:shd w:val="clear" w:color="auto" w:fill="auto"/>
                  <w:tcMar>
                    <w:top w:w="28" w:type="dxa"/>
                  </w:tcMar>
                </w:tcPr>
                <w:p w14:paraId="041F67E3" w14:textId="77777777" w:rsidR="00FC14FC" w:rsidRPr="00B04ECF" w:rsidRDefault="00FC14FC" w:rsidP="00D11B9D">
                  <w:pPr>
                    <w:pStyle w:val="TableUnitsRow"/>
                    <w:jc w:val="left"/>
                    <w:rPr>
                      <w:b/>
                    </w:rPr>
                  </w:pPr>
                  <w:r w:rsidRPr="00B04ECF">
                    <w:rPr>
                      <w:b/>
                    </w:rPr>
                    <w:t>Growth (77</w:t>
                  </w:r>
                  <w:r>
                    <w:rPr>
                      <w:b/>
                    </w:rPr>
                    <w:t>–</w:t>
                  </w:r>
                  <w:r w:rsidRPr="00B04ECF">
                    <w:rPr>
                      <w:b/>
                    </w:rPr>
                    <w:t>90)</w:t>
                  </w:r>
                </w:p>
              </w:tc>
              <w:tc>
                <w:tcPr>
                  <w:tcW w:w="431" w:type="pct"/>
                </w:tcPr>
                <w:p w14:paraId="43E11275" w14:textId="77777777" w:rsidR="00FC14FC" w:rsidRDefault="00FC14FC" w:rsidP="00D11B9D">
                  <w:pPr>
                    <w:pStyle w:val="TableBodyText"/>
                  </w:pPr>
                </w:p>
              </w:tc>
              <w:tc>
                <w:tcPr>
                  <w:tcW w:w="417" w:type="pct"/>
                </w:tcPr>
                <w:p w14:paraId="2C8DE5AD" w14:textId="77777777" w:rsidR="00FC14FC" w:rsidRDefault="00FC14FC" w:rsidP="00D11B9D">
                  <w:pPr>
                    <w:pStyle w:val="TableBodyText"/>
                  </w:pPr>
                </w:p>
              </w:tc>
              <w:tc>
                <w:tcPr>
                  <w:tcW w:w="568" w:type="pct"/>
                  <w:shd w:val="clear" w:color="auto" w:fill="auto"/>
                  <w:tcMar>
                    <w:top w:w="28" w:type="dxa"/>
                  </w:tcMar>
                </w:tcPr>
                <w:p w14:paraId="5AB0E926" w14:textId="77777777" w:rsidR="00FC14FC" w:rsidRDefault="00FC14FC" w:rsidP="00D11B9D">
                  <w:pPr>
                    <w:pStyle w:val="TableBodyText"/>
                  </w:pPr>
                </w:p>
              </w:tc>
              <w:tc>
                <w:tcPr>
                  <w:tcW w:w="1917" w:type="pct"/>
                  <w:shd w:val="clear" w:color="auto" w:fill="auto"/>
                  <w:tcMar>
                    <w:top w:w="28" w:type="dxa"/>
                  </w:tcMar>
                </w:tcPr>
                <w:p w14:paraId="4FED45B3" w14:textId="77777777" w:rsidR="00FC14FC" w:rsidRDefault="00FC14FC" w:rsidP="00D11B9D">
                  <w:pPr>
                    <w:pStyle w:val="TableBodyText"/>
                    <w:jc w:val="left"/>
                  </w:pPr>
                </w:p>
              </w:tc>
            </w:tr>
            <w:tr w:rsidR="00FC14FC" w14:paraId="3E1FC547" w14:textId="77777777" w:rsidTr="00D11B9D">
              <w:trPr>
                <w:tblHeader/>
              </w:trPr>
              <w:tc>
                <w:tcPr>
                  <w:tcW w:w="1667" w:type="pct"/>
                  <w:shd w:val="clear" w:color="auto" w:fill="auto"/>
                  <w:tcMar>
                    <w:top w:w="28" w:type="dxa"/>
                  </w:tcMar>
                </w:tcPr>
                <w:p w14:paraId="435ECAB3" w14:textId="77777777" w:rsidR="00FC14FC" w:rsidRDefault="00FC14FC" w:rsidP="00D11B9D">
                  <w:pPr>
                    <w:pStyle w:val="TableBodyText"/>
                    <w:jc w:val="left"/>
                  </w:pPr>
                  <w:r>
                    <w:t>Option</w:t>
                  </w:r>
                  <w:r>
                    <w:noBreakHyphen/>
                    <w:t>type tailored tax (chapter 2)</w:t>
                  </w:r>
                </w:p>
              </w:tc>
              <w:tc>
                <w:tcPr>
                  <w:tcW w:w="431" w:type="pct"/>
                </w:tcPr>
                <w:p w14:paraId="26931FCD" w14:textId="77777777" w:rsidR="00FC14FC" w:rsidRDefault="00FC14FC" w:rsidP="00D11B9D">
                  <w:pPr>
                    <w:pStyle w:val="TableBodyText"/>
                  </w:pPr>
                  <w:r>
                    <w:t>6.32</w:t>
                  </w:r>
                </w:p>
              </w:tc>
              <w:tc>
                <w:tcPr>
                  <w:tcW w:w="417" w:type="pct"/>
                </w:tcPr>
                <w:p w14:paraId="7537CF17" w14:textId="77777777" w:rsidR="00FC14FC" w:rsidRDefault="00FC14FC" w:rsidP="00D11B9D">
                  <w:pPr>
                    <w:pStyle w:val="TableBodyText"/>
                  </w:pPr>
                  <w:r>
                    <w:t>6.75</w:t>
                  </w:r>
                </w:p>
              </w:tc>
              <w:tc>
                <w:tcPr>
                  <w:tcW w:w="568" w:type="pct"/>
                  <w:shd w:val="clear" w:color="auto" w:fill="auto"/>
                  <w:tcMar>
                    <w:top w:w="28" w:type="dxa"/>
                  </w:tcMar>
                </w:tcPr>
                <w:p w14:paraId="79109A77" w14:textId="77777777" w:rsidR="00FC14FC" w:rsidRDefault="00FC14FC" w:rsidP="00D11B9D">
                  <w:pPr>
                    <w:pStyle w:val="TableBodyText"/>
                  </w:pPr>
                  <w:r>
                    <w:t>7.20</w:t>
                  </w:r>
                </w:p>
              </w:tc>
              <w:tc>
                <w:tcPr>
                  <w:tcW w:w="1917" w:type="pct"/>
                  <w:shd w:val="clear" w:color="auto" w:fill="auto"/>
                  <w:tcMar>
                    <w:top w:w="28" w:type="dxa"/>
                  </w:tcMar>
                </w:tcPr>
                <w:p w14:paraId="0D02C3D7" w14:textId="77777777" w:rsidR="00FC14FC" w:rsidRDefault="00FC14FC" w:rsidP="00D11B9D">
                  <w:pPr>
                    <w:pStyle w:val="TableBodyText"/>
                    <w:jc w:val="left"/>
                  </w:pPr>
                  <w:r>
                    <w:t>Performance above both benchmarks</w:t>
                  </w:r>
                </w:p>
              </w:tc>
            </w:tr>
            <w:tr w:rsidR="00FC14FC" w14:paraId="2D5A1E5C" w14:textId="77777777" w:rsidTr="00D11B9D">
              <w:trPr>
                <w:tblHeader/>
              </w:trPr>
              <w:tc>
                <w:tcPr>
                  <w:tcW w:w="1667" w:type="pct"/>
                  <w:shd w:val="clear" w:color="auto" w:fill="auto"/>
                  <w:tcMar>
                    <w:top w:w="28" w:type="dxa"/>
                  </w:tcMar>
                </w:tcPr>
                <w:p w14:paraId="63E01B25" w14:textId="77777777" w:rsidR="00FC14FC" w:rsidRDefault="00FC14FC" w:rsidP="00D11B9D">
                  <w:pPr>
                    <w:pStyle w:val="TableBodyText"/>
                    <w:jc w:val="left"/>
                  </w:pPr>
                  <w:r>
                    <w:t>5% tax rate</w:t>
                  </w:r>
                </w:p>
              </w:tc>
              <w:tc>
                <w:tcPr>
                  <w:tcW w:w="431" w:type="pct"/>
                </w:tcPr>
                <w:p w14:paraId="277E38EE" w14:textId="77777777" w:rsidR="00FC14FC" w:rsidRDefault="00FC14FC" w:rsidP="00D11B9D">
                  <w:pPr>
                    <w:pStyle w:val="TableBodyText"/>
                  </w:pPr>
                  <w:r>
                    <w:t>6.11</w:t>
                  </w:r>
                </w:p>
              </w:tc>
              <w:tc>
                <w:tcPr>
                  <w:tcW w:w="417" w:type="pct"/>
                </w:tcPr>
                <w:p w14:paraId="305AB7D0" w14:textId="77777777" w:rsidR="00FC14FC" w:rsidRDefault="00FC14FC" w:rsidP="00D11B9D">
                  <w:pPr>
                    <w:pStyle w:val="TableBodyText"/>
                  </w:pPr>
                  <w:r>
                    <w:t>6.55</w:t>
                  </w:r>
                </w:p>
              </w:tc>
              <w:tc>
                <w:tcPr>
                  <w:tcW w:w="568" w:type="pct"/>
                  <w:shd w:val="clear" w:color="auto" w:fill="auto"/>
                  <w:tcMar>
                    <w:top w:w="28" w:type="dxa"/>
                  </w:tcMar>
                </w:tcPr>
                <w:p w14:paraId="234A66A1" w14:textId="77777777" w:rsidR="00FC14FC" w:rsidRDefault="00FC14FC" w:rsidP="00D11B9D">
                  <w:pPr>
                    <w:pStyle w:val="TableBodyText"/>
                  </w:pPr>
                  <w:r>
                    <w:t>7.20</w:t>
                  </w:r>
                </w:p>
              </w:tc>
              <w:tc>
                <w:tcPr>
                  <w:tcW w:w="1917" w:type="pct"/>
                  <w:shd w:val="clear" w:color="auto" w:fill="auto"/>
                  <w:tcMar>
                    <w:top w:w="28" w:type="dxa"/>
                  </w:tcMar>
                </w:tcPr>
                <w:p w14:paraId="784FED93" w14:textId="77777777" w:rsidR="00FC14FC" w:rsidRDefault="00FC14FC" w:rsidP="00D11B9D">
                  <w:pPr>
                    <w:pStyle w:val="TableBodyText"/>
                    <w:jc w:val="left"/>
                  </w:pPr>
                  <w:r>
                    <w:t>Performance above both benchmarks</w:t>
                  </w:r>
                </w:p>
              </w:tc>
            </w:tr>
            <w:tr w:rsidR="00FC14FC" w14:paraId="249CE5A8" w14:textId="77777777" w:rsidTr="00D11B9D">
              <w:trPr>
                <w:tblHeader/>
              </w:trPr>
              <w:tc>
                <w:tcPr>
                  <w:tcW w:w="1667" w:type="pct"/>
                  <w:shd w:val="clear" w:color="auto" w:fill="F2F2F2" w:themeFill="background1" w:themeFillShade="F2"/>
                  <w:tcMar>
                    <w:top w:w="28" w:type="dxa"/>
                  </w:tcMar>
                </w:tcPr>
                <w:p w14:paraId="754B6FEF" w14:textId="77777777" w:rsidR="00FC14FC" w:rsidRPr="00B04ECF" w:rsidRDefault="00FC14FC" w:rsidP="00D11B9D">
                  <w:pPr>
                    <w:pStyle w:val="TableUnitsRow"/>
                    <w:jc w:val="left"/>
                    <w:rPr>
                      <w:b/>
                    </w:rPr>
                  </w:pPr>
                  <w:r w:rsidRPr="00B04ECF">
                    <w:rPr>
                      <w:b/>
                    </w:rPr>
                    <w:t>High growth (91</w:t>
                  </w:r>
                  <w:r>
                    <w:rPr>
                      <w:b/>
                    </w:rPr>
                    <w:t>–</w:t>
                  </w:r>
                  <w:r w:rsidRPr="00B04ECF">
                    <w:rPr>
                      <w:b/>
                    </w:rPr>
                    <w:t>100)</w:t>
                  </w:r>
                </w:p>
              </w:tc>
              <w:tc>
                <w:tcPr>
                  <w:tcW w:w="431" w:type="pct"/>
                  <w:shd w:val="clear" w:color="auto" w:fill="F2F2F2" w:themeFill="background1" w:themeFillShade="F2"/>
                </w:tcPr>
                <w:p w14:paraId="6A120CB9" w14:textId="77777777" w:rsidR="00FC14FC" w:rsidRDefault="00FC14FC" w:rsidP="00D11B9D">
                  <w:pPr>
                    <w:pStyle w:val="TableBodyText"/>
                  </w:pPr>
                </w:p>
              </w:tc>
              <w:tc>
                <w:tcPr>
                  <w:tcW w:w="417" w:type="pct"/>
                  <w:shd w:val="clear" w:color="auto" w:fill="F2F2F2" w:themeFill="background1" w:themeFillShade="F2"/>
                </w:tcPr>
                <w:p w14:paraId="517EFA6F" w14:textId="77777777" w:rsidR="00FC14FC" w:rsidRDefault="00FC14FC" w:rsidP="00D11B9D">
                  <w:pPr>
                    <w:pStyle w:val="TableBodyText"/>
                  </w:pPr>
                </w:p>
              </w:tc>
              <w:tc>
                <w:tcPr>
                  <w:tcW w:w="568" w:type="pct"/>
                  <w:shd w:val="clear" w:color="auto" w:fill="F2F2F2" w:themeFill="background1" w:themeFillShade="F2"/>
                  <w:tcMar>
                    <w:top w:w="28" w:type="dxa"/>
                  </w:tcMar>
                </w:tcPr>
                <w:p w14:paraId="0F5A5D61" w14:textId="77777777" w:rsidR="00FC14FC" w:rsidRDefault="00FC14FC" w:rsidP="00D11B9D">
                  <w:pPr>
                    <w:pStyle w:val="TableBodyText"/>
                  </w:pPr>
                </w:p>
              </w:tc>
              <w:tc>
                <w:tcPr>
                  <w:tcW w:w="1917" w:type="pct"/>
                  <w:shd w:val="clear" w:color="auto" w:fill="F2F2F2" w:themeFill="background1" w:themeFillShade="F2"/>
                  <w:tcMar>
                    <w:top w:w="28" w:type="dxa"/>
                  </w:tcMar>
                </w:tcPr>
                <w:p w14:paraId="18BCF8AE" w14:textId="77777777" w:rsidR="00FC14FC" w:rsidRDefault="00FC14FC" w:rsidP="00D11B9D">
                  <w:pPr>
                    <w:pStyle w:val="TableBodyText"/>
                    <w:jc w:val="left"/>
                  </w:pPr>
                </w:p>
              </w:tc>
            </w:tr>
            <w:tr w:rsidR="00FC14FC" w14:paraId="5C0D95CC" w14:textId="77777777" w:rsidTr="00D11B9D">
              <w:trPr>
                <w:tblHeader/>
              </w:trPr>
              <w:tc>
                <w:tcPr>
                  <w:tcW w:w="1667" w:type="pct"/>
                  <w:shd w:val="clear" w:color="auto" w:fill="F2F2F2" w:themeFill="background1" w:themeFillShade="F2"/>
                  <w:tcMar>
                    <w:top w:w="28" w:type="dxa"/>
                  </w:tcMar>
                </w:tcPr>
                <w:p w14:paraId="32232B95" w14:textId="77777777" w:rsidR="00FC14FC" w:rsidRDefault="00FC14FC" w:rsidP="00D11B9D">
                  <w:pPr>
                    <w:pStyle w:val="TableBodyText"/>
                    <w:jc w:val="left"/>
                  </w:pPr>
                  <w:r>
                    <w:t>Option</w:t>
                  </w:r>
                  <w:r>
                    <w:noBreakHyphen/>
                    <w:t>type tailored tax (chapter 2)</w:t>
                  </w:r>
                </w:p>
              </w:tc>
              <w:tc>
                <w:tcPr>
                  <w:tcW w:w="431" w:type="pct"/>
                  <w:shd w:val="clear" w:color="auto" w:fill="F2F2F2" w:themeFill="background1" w:themeFillShade="F2"/>
                </w:tcPr>
                <w:p w14:paraId="0A4BCCE6" w14:textId="77777777" w:rsidR="00FC14FC" w:rsidRDefault="00FC14FC" w:rsidP="00D11B9D">
                  <w:pPr>
                    <w:pStyle w:val="TableBodyText"/>
                  </w:pPr>
                  <w:r>
                    <w:t>6.10</w:t>
                  </w:r>
                </w:p>
              </w:tc>
              <w:tc>
                <w:tcPr>
                  <w:tcW w:w="417" w:type="pct"/>
                  <w:shd w:val="clear" w:color="auto" w:fill="F2F2F2" w:themeFill="background1" w:themeFillShade="F2"/>
                </w:tcPr>
                <w:p w14:paraId="190037E6" w14:textId="77777777" w:rsidR="00FC14FC" w:rsidRDefault="00FC14FC" w:rsidP="00D11B9D">
                  <w:pPr>
                    <w:pStyle w:val="TableBodyText"/>
                  </w:pPr>
                  <w:r>
                    <w:t>6.57</w:t>
                  </w:r>
                </w:p>
              </w:tc>
              <w:tc>
                <w:tcPr>
                  <w:tcW w:w="568" w:type="pct"/>
                  <w:shd w:val="clear" w:color="auto" w:fill="F2F2F2" w:themeFill="background1" w:themeFillShade="F2"/>
                  <w:tcMar>
                    <w:top w:w="28" w:type="dxa"/>
                  </w:tcMar>
                </w:tcPr>
                <w:p w14:paraId="386D29B4" w14:textId="77777777" w:rsidR="00FC14FC" w:rsidRDefault="00FC14FC" w:rsidP="00D11B9D">
                  <w:pPr>
                    <w:pStyle w:val="TableBodyText"/>
                  </w:pPr>
                  <w:r>
                    <w:t>7.32</w:t>
                  </w:r>
                </w:p>
              </w:tc>
              <w:tc>
                <w:tcPr>
                  <w:tcW w:w="1917" w:type="pct"/>
                  <w:shd w:val="clear" w:color="auto" w:fill="F2F2F2" w:themeFill="background1" w:themeFillShade="F2"/>
                  <w:tcMar>
                    <w:top w:w="28" w:type="dxa"/>
                  </w:tcMar>
                </w:tcPr>
                <w:p w14:paraId="4EE5AC3E" w14:textId="77777777" w:rsidR="00FC14FC" w:rsidRDefault="00FC14FC" w:rsidP="00D11B9D">
                  <w:pPr>
                    <w:pStyle w:val="TableBodyText"/>
                    <w:jc w:val="left"/>
                  </w:pPr>
                  <w:r>
                    <w:t>Performance above both benchmarks</w:t>
                  </w:r>
                </w:p>
              </w:tc>
            </w:tr>
            <w:tr w:rsidR="00FC14FC" w14:paraId="5D5C2B4A" w14:textId="77777777" w:rsidTr="00D11B9D">
              <w:trPr>
                <w:tblHeader/>
              </w:trPr>
              <w:tc>
                <w:tcPr>
                  <w:tcW w:w="1667" w:type="pct"/>
                  <w:tcBorders>
                    <w:bottom w:val="single" w:sz="6" w:space="0" w:color="BFBFBF"/>
                  </w:tcBorders>
                  <w:shd w:val="clear" w:color="auto" w:fill="F2F2F2" w:themeFill="background1" w:themeFillShade="F2"/>
                  <w:tcMar>
                    <w:top w:w="28" w:type="dxa"/>
                  </w:tcMar>
                </w:tcPr>
                <w:p w14:paraId="103893B2" w14:textId="77777777" w:rsidR="00FC14FC" w:rsidRDefault="00FC14FC" w:rsidP="00D11B9D">
                  <w:pPr>
                    <w:pStyle w:val="TableBodyText"/>
                    <w:jc w:val="left"/>
                  </w:pPr>
                  <w:r>
                    <w:t>5% tax rate</w:t>
                  </w:r>
                </w:p>
              </w:tc>
              <w:tc>
                <w:tcPr>
                  <w:tcW w:w="431" w:type="pct"/>
                  <w:tcBorders>
                    <w:bottom w:val="single" w:sz="6" w:space="0" w:color="BFBFBF"/>
                  </w:tcBorders>
                  <w:shd w:val="clear" w:color="auto" w:fill="F2F2F2" w:themeFill="background1" w:themeFillShade="F2"/>
                </w:tcPr>
                <w:p w14:paraId="6586CC4F" w14:textId="77777777" w:rsidR="00FC14FC" w:rsidRDefault="00FC14FC" w:rsidP="00D11B9D">
                  <w:pPr>
                    <w:pStyle w:val="TableBodyText"/>
                  </w:pPr>
                  <w:r>
                    <w:t>5.60</w:t>
                  </w:r>
                </w:p>
              </w:tc>
              <w:tc>
                <w:tcPr>
                  <w:tcW w:w="417" w:type="pct"/>
                  <w:tcBorders>
                    <w:bottom w:val="single" w:sz="6" w:space="0" w:color="BFBFBF"/>
                  </w:tcBorders>
                  <w:shd w:val="clear" w:color="auto" w:fill="F2F2F2" w:themeFill="background1" w:themeFillShade="F2"/>
                </w:tcPr>
                <w:p w14:paraId="7F58D8D3" w14:textId="77777777" w:rsidR="00FC14FC" w:rsidRDefault="00FC14FC" w:rsidP="00D11B9D">
                  <w:pPr>
                    <w:pStyle w:val="TableBodyText"/>
                  </w:pPr>
                  <w:r>
                    <w:t>6.13</w:t>
                  </w:r>
                </w:p>
              </w:tc>
              <w:tc>
                <w:tcPr>
                  <w:tcW w:w="568" w:type="pct"/>
                  <w:tcBorders>
                    <w:bottom w:val="single" w:sz="6" w:space="0" w:color="BFBFBF"/>
                  </w:tcBorders>
                  <w:shd w:val="clear" w:color="auto" w:fill="F2F2F2" w:themeFill="background1" w:themeFillShade="F2"/>
                  <w:tcMar>
                    <w:top w:w="28" w:type="dxa"/>
                  </w:tcMar>
                </w:tcPr>
                <w:p w14:paraId="0E830699" w14:textId="77777777" w:rsidR="00FC14FC" w:rsidRDefault="00FC14FC" w:rsidP="00D11B9D">
                  <w:pPr>
                    <w:pStyle w:val="TableBodyText"/>
                  </w:pPr>
                  <w:r>
                    <w:t>7.32</w:t>
                  </w:r>
                </w:p>
              </w:tc>
              <w:tc>
                <w:tcPr>
                  <w:tcW w:w="1917" w:type="pct"/>
                  <w:tcBorders>
                    <w:bottom w:val="single" w:sz="6" w:space="0" w:color="BFBFBF"/>
                  </w:tcBorders>
                  <w:shd w:val="clear" w:color="auto" w:fill="F2F2F2" w:themeFill="background1" w:themeFillShade="F2"/>
                  <w:tcMar>
                    <w:top w:w="28" w:type="dxa"/>
                  </w:tcMar>
                </w:tcPr>
                <w:p w14:paraId="53A0DD71" w14:textId="77777777" w:rsidR="00FC14FC" w:rsidRDefault="00FC14FC" w:rsidP="00D11B9D">
                  <w:pPr>
                    <w:pStyle w:val="TableBodyText"/>
                    <w:jc w:val="left"/>
                  </w:pPr>
                  <w:r>
                    <w:t>Performance above both benchmarks</w:t>
                  </w:r>
                </w:p>
              </w:tc>
            </w:tr>
          </w:tbl>
          <w:p w14:paraId="33F59DA9" w14:textId="77777777" w:rsidR="00FC14FC" w:rsidRDefault="00FC14FC" w:rsidP="00D11B9D">
            <w:pPr>
              <w:pStyle w:val="Box"/>
            </w:pPr>
          </w:p>
        </w:tc>
      </w:tr>
      <w:tr w:rsidR="00FC14FC" w14:paraId="392ED801" w14:textId="77777777" w:rsidTr="00D11B9D">
        <w:tc>
          <w:tcPr>
            <w:tcW w:w="5000" w:type="pct"/>
            <w:tcBorders>
              <w:top w:val="nil"/>
              <w:left w:val="nil"/>
              <w:bottom w:val="nil"/>
              <w:right w:val="nil"/>
            </w:tcBorders>
            <w:shd w:val="clear" w:color="auto" w:fill="auto"/>
          </w:tcPr>
          <w:p w14:paraId="63EDE9CA" w14:textId="77777777" w:rsidR="00FC14FC" w:rsidRDefault="00FC14FC" w:rsidP="00D11B9D">
            <w:pPr>
              <w:pStyle w:val="Source"/>
              <w:rPr>
                <w:i/>
              </w:rPr>
            </w:pPr>
            <w:r>
              <w:rPr>
                <w:rStyle w:val="NoteLabel"/>
              </w:rPr>
              <w:t>a</w:t>
            </w:r>
            <w:r>
              <w:t xml:space="preserve"> </w:t>
            </w:r>
            <w:r w:rsidRPr="00247263">
              <w:t>Net returns are estimated less investment fees, taxes and implicit asset</w:t>
            </w:r>
            <w:r>
              <w:noBreakHyphen/>
            </w:r>
            <w:r w:rsidRPr="00247263">
              <w:t>based administration fees. This means that some options may be reported gross of</w:t>
            </w:r>
            <w:r>
              <w:t xml:space="preserve"> </w:t>
            </w:r>
            <w:r w:rsidRPr="00247263">
              <w:t>asset</w:t>
            </w:r>
            <w:r>
              <w:t>-</w:t>
            </w:r>
            <w:r w:rsidRPr="00247263">
              <w:t>based administration fees.</w:t>
            </w:r>
            <w:r>
              <w:rPr>
                <w:b/>
                <w:bCs/>
              </w:rPr>
              <w:t xml:space="preserve"> </w:t>
            </w:r>
            <w:r>
              <w:rPr>
                <w:rStyle w:val="NoteLabel"/>
              </w:rPr>
              <w:t>b</w:t>
            </w:r>
            <w:r>
              <w:rPr>
                <w:b/>
                <w:bCs/>
              </w:rPr>
              <w:t xml:space="preserve"> </w:t>
            </w:r>
            <w:r>
              <w:t xml:space="preserve">The option type categories have been taken as given from SuperRatings data. </w:t>
            </w:r>
            <w:r>
              <w:rPr>
                <w:rStyle w:val="NoteLabel"/>
              </w:rPr>
              <w:t>c</w:t>
            </w:r>
            <w:r>
              <w:t xml:space="preserve"> </w:t>
            </w:r>
            <w:r w:rsidRPr="002D557A">
              <w:t>Th</w:t>
            </w:r>
            <w:r>
              <w:t>e</w:t>
            </w:r>
            <w:r w:rsidRPr="002D557A">
              <w:t xml:space="preserve"> analysis excludes legacy products.</w:t>
            </w:r>
          </w:p>
        </w:tc>
      </w:tr>
      <w:tr w:rsidR="00FC14FC" w14:paraId="7E8EE5C2" w14:textId="77777777" w:rsidTr="00D11B9D">
        <w:tc>
          <w:tcPr>
            <w:tcW w:w="5000" w:type="pct"/>
            <w:tcBorders>
              <w:top w:val="nil"/>
              <w:left w:val="nil"/>
              <w:bottom w:val="nil"/>
              <w:right w:val="nil"/>
            </w:tcBorders>
            <w:shd w:val="clear" w:color="auto" w:fill="auto"/>
          </w:tcPr>
          <w:p w14:paraId="55216E3C" w14:textId="77777777" w:rsidR="00FC14FC" w:rsidRDefault="00FC14FC" w:rsidP="00D11B9D">
            <w:pPr>
              <w:pStyle w:val="Source"/>
            </w:pPr>
            <w:r>
              <w:rPr>
                <w:i/>
              </w:rPr>
              <w:t>Source</w:t>
            </w:r>
            <w:r w:rsidRPr="00167F06">
              <w:t>:</w:t>
            </w:r>
            <w:r>
              <w:t xml:space="preserve"> PC analysis of unpublished APRA data and financial market index data (various providers).</w:t>
            </w:r>
          </w:p>
        </w:tc>
      </w:tr>
      <w:tr w:rsidR="00FC14FC" w14:paraId="71F389A5" w14:textId="77777777" w:rsidTr="00D11B9D">
        <w:tc>
          <w:tcPr>
            <w:tcW w:w="5000" w:type="pct"/>
            <w:tcBorders>
              <w:top w:val="nil"/>
              <w:left w:val="nil"/>
              <w:bottom w:val="single" w:sz="6" w:space="0" w:color="78A22F"/>
              <w:right w:val="nil"/>
            </w:tcBorders>
            <w:shd w:val="clear" w:color="auto" w:fill="auto"/>
          </w:tcPr>
          <w:p w14:paraId="4B114E3E" w14:textId="77777777" w:rsidR="00FC14FC" w:rsidRDefault="00FC14FC" w:rsidP="00D11B9D">
            <w:pPr>
              <w:pStyle w:val="Box"/>
              <w:spacing w:before="0" w:line="120" w:lineRule="exact"/>
            </w:pPr>
          </w:p>
        </w:tc>
      </w:tr>
      <w:tr w:rsidR="00FC14FC" w:rsidRPr="000863A5" w14:paraId="0BD5AABE" w14:textId="77777777" w:rsidTr="00D11B9D">
        <w:trPr>
          <w:hidden/>
        </w:trPr>
        <w:tc>
          <w:tcPr>
            <w:tcW w:w="5000" w:type="pct"/>
            <w:tcBorders>
              <w:top w:val="single" w:sz="6" w:space="0" w:color="78A22F"/>
              <w:left w:val="nil"/>
              <w:bottom w:val="nil"/>
              <w:right w:val="nil"/>
            </w:tcBorders>
          </w:tcPr>
          <w:p w14:paraId="26F47914" w14:textId="77777777" w:rsidR="00FC14FC" w:rsidRPr="00626D32" w:rsidRDefault="00FC14FC" w:rsidP="00D11B9D">
            <w:pPr>
              <w:pStyle w:val="BoxSpaceBelow"/>
              <w:rPr>
                <w:rFonts w:ascii="Times New Roman" w:hAnsi="Times New Roman"/>
                <w:b/>
                <w:vanish/>
                <w:color w:val="FF00FF"/>
              </w:rPr>
            </w:pPr>
          </w:p>
        </w:tc>
      </w:tr>
    </w:tbl>
    <w:p w14:paraId="1F03F086"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70215992" w14:textId="77777777" w:rsidTr="00D11B9D">
        <w:trPr>
          <w:tblHeader/>
        </w:trPr>
        <w:tc>
          <w:tcPr>
            <w:tcW w:w="5000" w:type="pct"/>
            <w:tcBorders>
              <w:top w:val="single" w:sz="6" w:space="0" w:color="78A22F"/>
              <w:left w:val="nil"/>
              <w:bottom w:val="nil"/>
              <w:right w:val="nil"/>
            </w:tcBorders>
            <w:shd w:val="clear" w:color="auto" w:fill="auto"/>
          </w:tcPr>
          <w:p w14:paraId="752F12AD" w14:textId="77777777" w:rsidR="00FC14FC" w:rsidRDefault="00FC14FC" w:rsidP="00D11B9D">
            <w:pPr>
              <w:pStyle w:val="FigureTitle"/>
            </w:pPr>
            <w:r w:rsidRPr="00784A05">
              <w:rPr>
                <w:b w:val="0"/>
              </w:rPr>
              <w:t xml:space="preserve">Figure </w:t>
            </w:r>
            <w:r>
              <w:rPr>
                <w:b w:val="0"/>
              </w:rPr>
              <w:t>4.10</w:t>
            </w:r>
            <w:r>
              <w:tab/>
              <w:t>Option</w:t>
            </w:r>
            <w:r>
              <w:noBreakHyphen/>
              <w:t>type analysis</w:t>
            </w:r>
            <w:r>
              <w:rPr>
                <w:rStyle w:val="NoteLabel"/>
              </w:rPr>
              <w:t>a,b</w:t>
            </w:r>
          </w:p>
          <w:p w14:paraId="29EC7A6C" w14:textId="77777777" w:rsidR="00FC14FC" w:rsidRPr="00176D3F" w:rsidRDefault="00FC14FC" w:rsidP="00D11B9D">
            <w:pPr>
              <w:pStyle w:val="Subtitle"/>
            </w:pPr>
            <w:r>
              <w:t>Volatility of returns, 2005</w:t>
            </w:r>
            <w:r>
              <w:noBreakHyphen/>
              <w:t>2017</w:t>
            </w:r>
          </w:p>
        </w:tc>
      </w:tr>
      <w:tr w:rsidR="00FC14FC" w14:paraId="3AFE37B5" w14:textId="77777777" w:rsidTr="00D11B9D">
        <w:trPr>
          <w:hidden w:val="0"/>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C14FC" w:rsidRPr="00B1465D" w14:paraId="06DEE03C" w14:textId="77777777" w:rsidTr="00D11B9D">
              <w:trPr>
                <w:tblHeader/>
                <w:jc w:val="center"/>
                <w:hidden w:val="0"/>
              </w:trPr>
              <w:tc>
                <w:tcPr>
                  <w:tcW w:w="5000" w:type="pct"/>
                  <w:tcBorders>
                    <w:top w:val="nil"/>
                    <w:bottom w:val="nil"/>
                  </w:tcBorders>
                </w:tcPr>
                <w:p w14:paraId="4A763C29" w14:textId="77777777" w:rsidR="00FC14FC" w:rsidRDefault="00FC14FC" w:rsidP="00D11B9D">
                  <w:pPr>
                    <w:pStyle w:val="Figure"/>
                    <w:spacing w:before="60" w:after="60"/>
                    <w:rPr>
                      <w:rFonts w:ascii="Arial" w:hAnsi="Arial" w:cs="Arial"/>
                      <w:sz w:val="18"/>
                      <w:szCs w:val="18"/>
                    </w:rPr>
                  </w:pPr>
                  <w:r w:rsidRPr="00B87AF5">
                    <w:rPr>
                      <w:rStyle w:val="CommentReference"/>
                      <w:rFonts w:ascii="Arial" w:hAnsi="Arial" w:cs="Arial"/>
                      <w:b w:val="0"/>
                      <w:noProof/>
                      <w:vanish w:val="0"/>
                      <w:sz w:val="18"/>
                      <w:szCs w:val="18"/>
                    </w:rPr>
                    <w:drawing>
                      <wp:inline distT="0" distB="0" distL="0" distR="0" wp14:anchorId="24534495" wp14:editId="297AC113">
                        <wp:extent cx="5402580" cy="2880360"/>
                        <wp:effectExtent l="0" t="0" r="0" b="0"/>
                        <wp:docPr id="8" name="Picture 8" descr="Fig 4.10. This bar chart shows the volatility over 12 years for asset-band segments. There is a roughly linear positive relationship between how aggressive the portfolio is and how volatile returns were. " title="Option-typ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402580" cy="2880360"/>
                                </a:xfrm>
                                <a:prstGeom prst="rect">
                                  <a:avLst/>
                                </a:prstGeom>
                                <a:noFill/>
                                <a:ln>
                                  <a:noFill/>
                                </a:ln>
                              </pic:spPr>
                            </pic:pic>
                          </a:graphicData>
                        </a:graphic>
                      </wp:inline>
                    </w:drawing>
                  </w:r>
                  <w:r w:rsidRPr="00E25647">
                    <w:rPr>
                      <w:rStyle w:val="CommentReference"/>
                      <w:rFonts w:ascii="Arial" w:hAnsi="Arial" w:cs="Arial"/>
                      <w:sz w:val="18"/>
                      <w:szCs w:val="18"/>
                    </w:rPr>
                    <w:t xml:space="preserve"> </w:t>
                  </w:r>
                </w:p>
                <w:tbl>
                  <w:tblPr>
                    <w:tblW w:w="0" w:type="auto"/>
                    <w:tblLook w:val="04A0" w:firstRow="1" w:lastRow="0" w:firstColumn="1" w:lastColumn="0" w:noHBand="0" w:noVBand="1"/>
                  </w:tblPr>
                  <w:tblGrid>
                    <w:gridCol w:w="1559"/>
                    <w:gridCol w:w="2311"/>
                    <w:gridCol w:w="1658"/>
                    <w:gridCol w:w="2966"/>
                  </w:tblGrid>
                  <w:tr w:rsidR="00FC14FC" w14:paraId="23104E9D" w14:textId="77777777" w:rsidTr="00D11B9D">
                    <w:tc>
                      <w:tcPr>
                        <w:tcW w:w="1559" w:type="dxa"/>
                        <w:shd w:val="clear" w:color="auto" w:fill="F2F2F2" w:themeFill="background1" w:themeFillShade="F2"/>
                      </w:tcPr>
                      <w:p w14:paraId="34EED021"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48B356A8"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unpublished </w:t>
                        </w:r>
                        <w:r w:rsidRPr="002B579E">
                          <w:rPr>
                            <w:rFonts w:asciiTheme="minorHAnsi" w:hAnsi="Arial" w:cstheme="minorBidi"/>
                            <w:color w:val="000000" w:themeColor="text1"/>
                            <w:kern w:val="24"/>
                            <w:sz w:val="18"/>
                            <w:szCs w:val="18"/>
                          </w:rPr>
                          <w:t>APRA</w:t>
                        </w:r>
                        <w:r w:rsidDel="000D56BB">
                          <w:rPr>
                            <w:rFonts w:asciiTheme="minorHAnsi" w:hAnsi="Arial" w:cstheme="minorBidi"/>
                            <w:color w:val="000000" w:themeColor="text1"/>
                            <w:kern w:val="24"/>
                            <w:sz w:val="18"/>
                            <w:szCs w:val="18"/>
                          </w:rPr>
                          <w:t xml:space="preserve"> </w:t>
                        </w:r>
                        <w:r w:rsidRPr="002B579E">
                          <w:rPr>
                            <w:rFonts w:asciiTheme="minorHAnsi" w:hAnsi="Arial" w:cstheme="minorBidi"/>
                            <w:color w:val="000000" w:themeColor="text1"/>
                            <w:kern w:val="24"/>
                            <w:sz w:val="18"/>
                            <w:szCs w:val="18"/>
                          </w:rPr>
                          <w:t>data</w:t>
                        </w:r>
                        <w:r>
                          <w:rPr>
                            <w:rFonts w:asciiTheme="minorHAnsi" w:hAnsi="Arial" w:cstheme="minorBidi"/>
                            <w:color w:val="000000" w:themeColor="text1"/>
                            <w:kern w:val="24"/>
                            <w:sz w:val="18"/>
                            <w:szCs w:val="18"/>
                          </w:rPr>
                          <w:t xml:space="preserve">, financial market index data (various providers) and </w:t>
                        </w:r>
                        <w:r w:rsidRPr="002B579E">
                          <w:rPr>
                            <w:rFonts w:asciiTheme="minorHAnsi" w:hAnsi="Arial" w:cstheme="minorBidi"/>
                            <w:color w:val="000000" w:themeColor="text1"/>
                            <w:kern w:val="24"/>
                            <w:sz w:val="18"/>
                            <w:szCs w:val="18"/>
                          </w:rPr>
                          <w:t>SuperRatings data</w:t>
                        </w:r>
                        <w:r>
                          <w:rPr>
                            <w:rFonts w:asciiTheme="minorHAnsi" w:hAnsi="Arial" w:cstheme="minorBidi"/>
                            <w:color w:val="000000" w:themeColor="text1"/>
                            <w:kern w:val="24"/>
                            <w:sz w:val="18"/>
                            <w:szCs w:val="18"/>
                          </w:rPr>
                          <w:t>.</w:t>
                        </w:r>
                      </w:p>
                    </w:tc>
                  </w:tr>
                  <w:tr w:rsidR="00FC14FC" w14:paraId="787F754A" w14:textId="77777777" w:rsidTr="00D11B9D">
                    <w:tc>
                      <w:tcPr>
                        <w:tcW w:w="1559" w:type="dxa"/>
                        <w:shd w:val="clear" w:color="auto" w:fill="F2F2F2" w:themeFill="background1" w:themeFillShade="F2"/>
                      </w:tcPr>
                      <w:p w14:paraId="43A49FDF"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r>
                          <w:rPr>
                            <w:rStyle w:val="NoteLabel"/>
                          </w:rPr>
                          <w:t>c</w:t>
                        </w:r>
                      </w:p>
                    </w:tc>
                    <w:tc>
                      <w:tcPr>
                        <w:tcW w:w="6935" w:type="dxa"/>
                        <w:gridSpan w:val="3"/>
                        <w:shd w:val="clear" w:color="auto" w:fill="F2F2F2" w:themeFill="background1" w:themeFillShade="F2"/>
                      </w:tcPr>
                      <w:p w14:paraId="1D9608C1"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This chart shows accumulation options from APRA</w:t>
                        </w:r>
                        <w:r>
                          <w:rPr>
                            <w:rFonts w:asciiTheme="minorHAnsi" w:hAnsi="Arial" w:cstheme="minorBidi"/>
                            <w:color w:val="000000" w:themeColor="text1"/>
                            <w:kern w:val="24"/>
                            <w:sz w:val="18"/>
                            <w:szCs w:val="18"/>
                          </w:rPr>
                          <w:noBreakHyphen/>
                          <w:t>regulated funds.</w:t>
                        </w:r>
                      </w:p>
                      <w:p w14:paraId="1FDA8651"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In 2005, funds in the dataset represented up to 61% of total assets and 64% of member accounts of APRA</w:t>
                        </w:r>
                        <w:r>
                          <w:rPr>
                            <w:rFonts w:asciiTheme="minorHAnsi" w:hAnsi="Arial" w:cstheme="minorBidi"/>
                            <w:color w:val="000000" w:themeColor="text1"/>
                            <w:kern w:val="24"/>
                            <w:sz w:val="18"/>
                            <w:szCs w:val="18"/>
                          </w:rPr>
                          <w:noBreakHyphen/>
                          <w:t>regulated funds.</w:t>
                        </w:r>
                      </w:p>
                      <w:p w14:paraId="1D5F9FBA" w14:textId="77777777" w:rsidR="00FC14FC" w:rsidRPr="001F53B0" w:rsidRDefault="00FC14FC" w:rsidP="00D11B9D">
                        <w:pPr>
                          <w:pStyle w:val="NormalWeb"/>
                          <w:spacing w:before="0" w:beforeAutospacing="0" w:after="0" w:afterAutospacing="0"/>
                          <w:rPr>
                            <w:color w:val="000000" w:themeColor="text1"/>
                          </w:rPr>
                        </w:pPr>
                        <w:r>
                          <w:rPr>
                            <w:rFonts w:asciiTheme="minorHAnsi" w:hAnsi="Arial" w:cstheme="minorBidi"/>
                            <w:color w:val="000000" w:themeColor="text1"/>
                            <w:kern w:val="24"/>
                            <w:sz w:val="18"/>
                            <w:szCs w:val="18"/>
                          </w:rPr>
                          <w:t>In 2017, funds in the dataset represented up to 85% of total assets and 82% of member accounts of APRA</w:t>
                        </w:r>
                        <w:r>
                          <w:rPr>
                            <w:rFonts w:asciiTheme="minorHAnsi" w:hAnsi="Arial" w:cstheme="minorBidi"/>
                            <w:color w:val="000000" w:themeColor="text1"/>
                            <w:kern w:val="24"/>
                            <w:sz w:val="18"/>
                            <w:szCs w:val="18"/>
                          </w:rPr>
                          <w:noBreakHyphen/>
                          <w:t>regulated funds.</w:t>
                        </w:r>
                      </w:p>
                    </w:tc>
                  </w:tr>
                  <w:tr w:rsidR="00FC14FC" w14:paraId="6876BA4D" w14:textId="77777777" w:rsidTr="00D11B9D">
                    <w:tc>
                      <w:tcPr>
                        <w:tcW w:w="1559" w:type="dxa"/>
                        <w:shd w:val="clear" w:color="auto" w:fill="F2F2F2" w:themeFill="background1" w:themeFillShade="F2"/>
                      </w:tcPr>
                      <w:p w14:paraId="4CC3861A"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03FC74C8"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1658" w:type="dxa"/>
                        <w:shd w:val="clear" w:color="auto" w:fill="F2F2F2" w:themeFill="background1" w:themeFillShade="F2"/>
                      </w:tcPr>
                      <w:p w14:paraId="0718CE43"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5DAD9D41"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2DD60732" w14:textId="77777777" w:rsidR="00FC14FC" w:rsidRPr="00B1465D" w:rsidRDefault="00FC14FC" w:rsidP="00D11B9D">
                  <w:pPr>
                    <w:pStyle w:val="Figure"/>
                    <w:spacing w:before="60" w:after="60"/>
                    <w:rPr>
                      <w:rFonts w:ascii="Arial" w:hAnsi="Arial" w:cs="Arial"/>
                      <w:sz w:val="18"/>
                      <w:szCs w:val="18"/>
                    </w:rPr>
                  </w:pPr>
                </w:p>
              </w:tc>
            </w:tr>
          </w:tbl>
          <w:p w14:paraId="2F4D13D2" w14:textId="77777777" w:rsidR="00FC14FC" w:rsidRDefault="00FC14FC" w:rsidP="00D11B9D">
            <w:pPr>
              <w:pStyle w:val="Figure"/>
            </w:pPr>
          </w:p>
        </w:tc>
      </w:tr>
      <w:tr w:rsidR="00FC14FC" w:rsidRPr="00176D3F" w14:paraId="6D01E8DC" w14:textId="77777777" w:rsidTr="00D11B9D">
        <w:tc>
          <w:tcPr>
            <w:tcW w:w="5000" w:type="pct"/>
            <w:tcBorders>
              <w:top w:val="nil"/>
              <w:left w:val="nil"/>
              <w:bottom w:val="nil"/>
              <w:right w:val="nil"/>
            </w:tcBorders>
            <w:shd w:val="clear" w:color="auto" w:fill="auto"/>
          </w:tcPr>
          <w:p w14:paraId="45ABDB1E" w14:textId="77777777" w:rsidR="00FC14FC" w:rsidRPr="00176D3F" w:rsidRDefault="00FC14FC" w:rsidP="00D11B9D">
            <w:pPr>
              <w:pStyle w:val="Note"/>
            </w:pPr>
            <w:r>
              <w:rPr>
                <w:rStyle w:val="NoteLabel"/>
              </w:rPr>
              <w:t>a</w:t>
            </w:r>
            <w:r>
              <w:t xml:space="preserve"> </w:t>
            </w:r>
            <w:r w:rsidRPr="00247263">
              <w:t>Net returns are estimated less investment fees, taxes and implicit asset</w:t>
            </w:r>
            <w:r>
              <w:t>-</w:t>
            </w:r>
            <w:r w:rsidRPr="00247263">
              <w:t>based administration fees. This means that some options may be reported gross of asset</w:t>
            </w:r>
            <w:r>
              <w:t>-</w:t>
            </w:r>
            <w:r w:rsidRPr="00247263">
              <w:t>based administration fees.</w:t>
            </w:r>
            <w:r w:rsidRPr="00247263" w:rsidDel="00D00059">
              <w:t xml:space="preserve"> </w:t>
            </w:r>
            <w:r>
              <w:rPr>
                <w:rStyle w:val="NoteLabel"/>
              </w:rPr>
              <w:t>b</w:t>
            </w:r>
            <w:r>
              <w:rPr>
                <w:b/>
                <w:bCs/>
              </w:rPr>
              <w:t xml:space="preserve"> </w:t>
            </w:r>
            <w:r>
              <w:t>The option</w:t>
            </w:r>
            <w:r>
              <w:noBreakHyphen/>
              <w:t xml:space="preserve">type categories have been taken as given from SuperRatings data. </w:t>
            </w:r>
            <w:r>
              <w:rPr>
                <w:rStyle w:val="NoteLabel"/>
              </w:rPr>
              <w:t>c</w:t>
            </w:r>
            <w:r>
              <w:t xml:space="preserve"> These coverage estimates are likely to be overestimates due to the estimation method (section 4.1). </w:t>
            </w:r>
            <w:r w:rsidRPr="002D557A">
              <w:t>Th</w:t>
            </w:r>
            <w:r>
              <w:t>e</w:t>
            </w:r>
            <w:r w:rsidRPr="002D557A">
              <w:t xml:space="preserve"> analysis excludes legacy products.</w:t>
            </w:r>
          </w:p>
        </w:tc>
      </w:tr>
      <w:tr w:rsidR="00FC14FC" w14:paraId="618D3DB4" w14:textId="77777777" w:rsidTr="00D11B9D">
        <w:tc>
          <w:tcPr>
            <w:tcW w:w="5000" w:type="pct"/>
            <w:tcBorders>
              <w:top w:val="nil"/>
              <w:left w:val="nil"/>
              <w:bottom w:val="single" w:sz="6" w:space="0" w:color="78A22F"/>
              <w:right w:val="nil"/>
            </w:tcBorders>
            <w:shd w:val="clear" w:color="auto" w:fill="auto"/>
          </w:tcPr>
          <w:p w14:paraId="7D4F2D64" w14:textId="77777777" w:rsidR="00FC14FC" w:rsidRDefault="00FC14FC" w:rsidP="00D11B9D">
            <w:pPr>
              <w:pStyle w:val="Figurespace"/>
            </w:pPr>
          </w:p>
        </w:tc>
      </w:tr>
      <w:tr w:rsidR="00FC14FC" w:rsidRPr="000863A5" w14:paraId="42F5734C" w14:textId="77777777" w:rsidTr="00D11B9D">
        <w:tc>
          <w:tcPr>
            <w:tcW w:w="5000" w:type="pct"/>
            <w:tcBorders>
              <w:top w:val="single" w:sz="6" w:space="0" w:color="78A22F"/>
              <w:left w:val="nil"/>
              <w:bottom w:val="nil"/>
              <w:right w:val="nil"/>
            </w:tcBorders>
          </w:tcPr>
          <w:p w14:paraId="0284FD48" w14:textId="77777777" w:rsidR="00FC14FC" w:rsidRPr="00626D32" w:rsidRDefault="00FC14FC" w:rsidP="00D11B9D">
            <w:pPr>
              <w:pStyle w:val="BoxSpaceBelow"/>
            </w:pPr>
          </w:p>
        </w:tc>
      </w:tr>
    </w:tbl>
    <w:p w14:paraId="5D54F0AB" w14:textId="77777777" w:rsidR="00FC14FC" w:rsidRDefault="00FC14FC" w:rsidP="00FC14FC">
      <w:pPr>
        <w:rPr>
          <w:szCs w:val="20"/>
        </w:rPr>
      </w:pPr>
      <w:r>
        <w:rPr>
          <w:b/>
        </w:rPr>
        <w:br w:type="page"/>
      </w:r>
    </w:p>
    <w:p w14:paraId="1EA1BA99" w14:textId="77777777" w:rsidR="00FC14FC" w:rsidRDefault="00FC14FC" w:rsidP="00FC14FC">
      <w:pPr>
        <w:pStyle w:val="Heading3"/>
      </w:pPr>
      <w:r>
        <w:lastRenderedPageBreak/>
        <w:t>Asset</w:t>
      </w:r>
      <w:r>
        <w:noBreakHyphen/>
        <w:t>class returns</w:t>
      </w:r>
    </w:p>
    <w:p w14:paraId="3D803754" w14:textId="77777777" w:rsidR="00FC14FC" w:rsidRDefault="00FC14FC" w:rsidP="00FC14FC">
      <w:pPr>
        <w:pStyle w:val="BodyText"/>
      </w:pPr>
      <w:r>
        <w:t>The Commission sought to benchmark returns to individual asset classes using data from its supplementary funds survey. Performance at the system and segment level and a comparison with international pension funds are presented in chapter 2. Additionally, an analysis of fund</w:t>
      </w:r>
      <w:r>
        <w:noBreakHyphen/>
        <w:t>level returns was conducted using survey data from 2011 to 2017 along with the corresponding asset class benchmarks over this time period.</w:t>
      </w:r>
    </w:p>
    <w:p w14:paraId="7AD770BF" w14:textId="77777777" w:rsidR="00FC14FC" w:rsidRDefault="00FC14FC" w:rsidP="00FC14FC">
      <w:pPr>
        <w:pStyle w:val="BodyText"/>
      </w:pPr>
      <w:r>
        <w:t>The distribution of reported returns for cash and fixed income (both Australian and international) exhibits relatively low variance across funds, while listed infrastructure and private equity display a higher variance over the period (figure 4.11). A significant percentage of assets were held in funds that performed below the benchmark for international equity (77 per cent of assets below the benchmark), unlisted infrastructure (78 per cent) and both listed and unlisted property (95 per cent and 52 per cent respectively) (figure 4.12).</w:t>
      </w:r>
    </w:p>
    <w:p w14:paraId="360D4A6B" w14:textId="77777777" w:rsidR="00FC14FC" w:rsidRPr="00E924F4"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35BEBAB8" w14:textId="77777777" w:rsidTr="00D11B9D">
        <w:trPr>
          <w:tblHeader/>
        </w:trPr>
        <w:tc>
          <w:tcPr>
            <w:tcW w:w="5000" w:type="pct"/>
            <w:tcBorders>
              <w:top w:val="single" w:sz="6" w:space="0" w:color="78A22F"/>
              <w:left w:val="nil"/>
              <w:bottom w:val="nil"/>
              <w:right w:val="nil"/>
            </w:tcBorders>
            <w:shd w:val="clear" w:color="auto" w:fill="auto"/>
          </w:tcPr>
          <w:p w14:paraId="36ECCE9A" w14:textId="77777777" w:rsidR="00FC14FC" w:rsidRPr="00176D3F" w:rsidRDefault="00FC14FC" w:rsidP="00D11B9D">
            <w:pPr>
              <w:pStyle w:val="FigureTitle"/>
            </w:pPr>
            <w:r>
              <w:rPr>
                <w:b w:val="0"/>
              </w:rPr>
              <w:t xml:space="preserve">Figure </w:t>
            </w:r>
            <w:r>
              <w:rPr>
                <w:b w:val="0"/>
                <w:noProof/>
              </w:rPr>
              <w:t>4.11</w:t>
            </w:r>
            <w:r>
              <w:tab/>
              <w:t>Variation in returns by asset class, 2011–2017</w:t>
            </w:r>
            <w:r w:rsidRPr="00BF73CE">
              <w:rPr>
                <w:rStyle w:val="NoteLabel"/>
              </w:rPr>
              <w:t>a</w:t>
            </w:r>
          </w:p>
        </w:tc>
      </w:tr>
      <w:tr w:rsidR="00FC14FC" w14:paraId="28D55E59" w14:textId="77777777" w:rsidTr="00D11B9D">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566"/>
              <w:gridCol w:w="2313"/>
              <w:gridCol w:w="2312"/>
              <w:gridCol w:w="2314"/>
            </w:tblGrid>
            <w:tr w:rsidR="00FC14FC" w:rsidRPr="00B1465D" w14:paraId="3FD69DEC" w14:textId="77777777" w:rsidTr="00D11B9D">
              <w:trPr>
                <w:tblHeader/>
                <w:jc w:val="center"/>
              </w:trPr>
              <w:tc>
                <w:tcPr>
                  <w:tcW w:w="5000" w:type="pct"/>
                  <w:gridSpan w:val="4"/>
                  <w:tcBorders>
                    <w:top w:val="nil"/>
                    <w:bottom w:val="nil"/>
                  </w:tcBorders>
                </w:tcPr>
                <w:p w14:paraId="710DF756" w14:textId="77777777" w:rsidR="00FC14FC" w:rsidRPr="00B1465D" w:rsidRDefault="00FC14FC" w:rsidP="00D11B9D">
                  <w:pPr>
                    <w:pStyle w:val="Figure"/>
                    <w:spacing w:before="60" w:after="60"/>
                    <w:rPr>
                      <w:rFonts w:ascii="Arial" w:hAnsi="Arial" w:cs="Arial"/>
                      <w:noProof/>
                      <w:sz w:val="18"/>
                      <w:szCs w:val="18"/>
                    </w:rPr>
                  </w:pPr>
                  <w:r>
                    <w:rPr>
                      <w:rFonts w:ascii="Arial" w:hAnsi="Arial" w:cs="Arial"/>
                      <w:noProof/>
                      <w:sz w:val="18"/>
                      <w:szCs w:val="18"/>
                    </w:rPr>
                    <w:drawing>
                      <wp:inline distT="0" distB="0" distL="0" distR="0" wp14:anchorId="654DD18A" wp14:editId="756C7A97">
                        <wp:extent cx="5581015" cy="2233295"/>
                        <wp:effectExtent l="0" t="0" r="0" b="0"/>
                        <wp:docPr id="12" name="Picture 12" descr="Fig 4.11. The chart shows system net returns to individual asset classes. Each asset class is represented as a line with the median, mean, highest and lowest return marked. Growth assets tend to have higher returns than defensive assets, as well as wider distributions. " title="Variation in returns by asse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rt_2_errorbar_system.emf"/>
                                <pic:cNvPicPr/>
                              </pic:nvPicPr>
                              <pic:blipFill>
                                <a:blip r:embed="rId64" cstate="print">
                                  <a:extLst>
                                    <a:ext uri="{28A0092B-C50C-407E-A947-70E740481C1C}">
                                      <a14:useLocalDpi xmlns:a14="http://schemas.microsoft.com/office/drawing/2010/main" val="0"/>
                                    </a:ext>
                                  </a:extLst>
                                </a:blip>
                                <a:stretch>
                                  <a:fillRect/>
                                </a:stretch>
                              </pic:blipFill>
                              <pic:spPr>
                                <a:xfrm>
                                  <a:off x="0" y="0"/>
                                  <a:ext cx="5581015" cy="2233295"/>
                                </a:xfrm>
                                <a:prstGeom prst="rect">
                                  <a:avLst/>
                                </a:prstGeom>
                              </pic:spPr>
                            </pic:pic>
                          </a:graphicData>
                        </a:graphic>
                      </wp:inline>
                    </w:drawing>
                  </w:r>
                </w:p>
              </w:tc>
            </w:tr>
            <w:tr w:rsidR="00FC14FC" w14:paraId="1A073269" w14:textId="77777777" w:rsidTr="00D11B9D">
              <w:tblPrEx>
                <w:jc w:val="left"/>
                <w:tblBorders>
                  <w:top w:val="none" w:sz="0" w:space="0" w:color="auto"/>
                  <w:bottom w:val="none" w:sz="0" w:space="0" w:color="auto"/>
                </w:tblBorders>
                <w:tblCellMar>
                  <w:top w:w="0" w:type="dxa"/>
                  <w:left w:w="108" w:type="dxa"/>
                  <w:right w:w="108" w:type="dxa"/>
                </w:tblCellMar>
                <w:tblLook w:val="04A0" w:firstRow="1" w:lastRow="0" w:firstColumn="1" w:lastColumn="0" w:noHBand="0" w:noVBand="1"/>
              </w:tblPrEx>
              <w:trPr>
                <w:tblHeader/>
              </w:trPr>
              <w:tc>
                <w:tcPr>
                  <w:tcW w:w="919" w:type="pct"/>
                  <w:shd w:val="clear" w:color="auto" w:fill="F2F2F2" w:themeFill="background1" w:themeFillShade="F2"/>
                </w:tcPr>
                <w:p w14:paraId="27752DFE"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4081" w:type="pct"/>
                  <w:gridSpan w:val="3"/>
                  <w:shd w:val="clear" w:color="auto" w:fill="F2F2F2" w:themeFill="background1" w:themeFillShade="F2"/>
                </w:tcPr>
                <w:p w14:paraId="55723925" w14:textId="77777777" w:rsidR="00FC14FC" w:rsidRDefault="00FC14FC" w:rsidP="00D11B9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Supplementary funds survey and financial market index data (various providers).</w:t>
                  </w:r>
                </w:p>
              </w:tc>
            </w:tr>
            <w:tr w:rsidR="00FC14FC" w:rsidRPr="001F53B0" w14:paraId="142DE04D" w14:textId="77777777" w:rsidTr="00D11B9D">
              <w:tblPrEx>
                <w:jc w:val="left"/>
                <w:tblBorders>
                  <w:top w:val="none" w:sz="0" w:space="0" w:color="auto"/>
                  <w:bottom w:val="none" w:sz="0" w:space="0" w:color="auto"/>
                </w:tblBorders>
                <w:tblCellMar>
                  <w:top w:w="0" w:type="dxa"/>
                  <w:left w:w="108" w:type="dxa"/>
                  <w:right w:w="108" w:type="dxa"/>
                </w:tblCellMar>
                <w:tblLook w:val="04A0" w:firstRow="1" w:lastRow="0" w:firstColumn="1" w:lastColumn="0" w:noHBand="0" w:noVBand="1"/>
              </w:tblPrEx>
              <w:tc>
                <w:tcPr>
                  <w:tcW w:w="919" w:type="pct"/>
                  <w:shd w:val="clear" w:color="auto" w:fill="F2F2F2" w:themeFill="background1" w:themeFillShade="F2"/>
                </w:tcPr>
                <w:p w14:paraId="2125A430"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81" w:type="pct"/>
                  <w:gridSpan w:val="3"/>
                  <w:shd w:val="clear" w:color="auto" w:fill="F2F2F2" w:themeFill="background1" w:themeFillShade="F2"/>
                </w:tcPr>
                <w:p w14:paraId="3C188833" w14:textId="77777777" w:rsidR="00FC14FC" w:rsidRPr="001F53B0" w:rsidRDefault="00FC14FC" w:rsidP="00D11B9D">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In 2017, the funds in this figure represent up to 66% of total assets and 62% of member accounts of APRA</w:t>
                  </w:r>
                  <w:r>
                    <w:rPr>
                      <w:rFonts w:ascii="Arial" w:eastAsia="+mn-ea" w:hAnsi="Arial" w:cs="Arial"/>
                      <w:color w:val="000000" w:themeColor="text1"/>
                      <w:kern w:val="24"/>
                      <w:sz w:val="18"/>
                      <w:szCs w:val="18"/>
                    </w:rPr>
                    <w:noBreakHyphen/>
                    <w:t>regulated funds.</w:t>
                  </w:r>
                </w:p>
              </w:tc>
            </w:tr>
            <w:tr w:rsidR="00FC14FC" w:rsidRPr="00A95597" w14:paraId="4A90169B" w14:textId="77777777" w:rsidTr="00D11B9D">
              <w:tblPrEx>
                <w:jc w:val="left"/>
                <w:tblBorders>
                  <w:top w:val="none" w:sz="0" w:space="0" w:color="auto"/>
                  <w:bottom w:val="none" w:sz="0" w:space="0" w:color="auto"/>
                </w:tblBorders>
                <w:tblCellMar>
                  <w:top w:w="0" w:type="dxa"/>
                  <w:left w:w="108" w:type="dxa"/>
                  <w:right w:w="108" w:type="dxa"/>
                </w:tblCellMar>
                <w:tblLook w:val="04A0" w:firstRow="1" w:lastRow="0" w:firstColumn="1" w:lastColumn="0" w:noHBand="0" w:noVBand="1"/>
              </w:tblPrEx>
              <w:tc>
                <w:tcPr>
                  <w:tcW w:w="919" w:type="pct"/>
                  <w:shd w:val="clear" w:color="auto" w:fill="F2F2F2" w:themeFill="background1" w:themeFillShade="F2"/>
                </w:tcPr>
                <w:p w14:paraId="3F02A04C"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1360" w:type="pct"/>
                  <w:shd w:val="clear" w:color="auto" w:fill="F2F2F2" w:themeFill="background1" w:themeFillShade="F2"/>
                </w:tcPr>
                <w:p w14:paraId="62CC5188"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c>
                <w:tcPr>
                  <w:tcW w:w="1360" w:type="pct"/>
                  <w:shd w:val="clear" w:color="auto" w:fill="F2F2F2" w:themeFill="background1" w:themeFillShade="F2"/>
                </w:tcPr>
                <w:p w14:paraId="5360CB03"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1360" w:type="pct"/>
                  <w:shd w:val="clear" w:color="auto" w:fill="F2F2F2" w:themeFill="background1" w:themeFillShade="F2"/>
                </w:tcPr>
                <w:p w14:paraId="43590E8D"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14C01AEB" w14:textId="77777777" w:rsidR="00FC14FC" w:rsidRDefault="00FC14FC" w:rsidP="00D11B9D">
            <w:pPr>
              <w:pStyle w:val="Figure"/>
            </w:pPr>
          </w:p>
        </w:tc>
      </w:tr>
      <w:tr w:rsidR="00FC14FC" w:rsidRPr="00176D3F" w14:paraId="0B4DEE12" w14:textId="77777777" w:rsidTr="00D11B9D">
        <w:tc>
          <w:tcPr>
            <w:tcW w:w="5000" w:type="pct"/>
            <w:tcBorders>
              <w:top w:val="nil"/>
              <w:left w:val="nil"/>
              <w:bottom w:val="nil"/>
              <w:right w:val="nil"/>
            </w:tcBorders>
            <w:shd w:val="clear" w:color="auto" w:fill="auto"/>
          </w:tcPr>
          <w:p w14:paraId="1C913FEB" w14:textId="77777777" w:rsidR="00FC14FC" w:rsidRPr="00176D3F" w:rsidRDefault="00FC14FC" w:rsidP="00D11B9D">
            <w:pPr>
              <w:pStyle w:val="Note"/>
            </w:pPr>
            <w:r>
              <w:rPr>
                <w:rStyle w:val="NoteLabel"/>
              </w:rPr>
              <w:t>a</w:t>
            </w:r>
            <w:r>
              <w:t xml:space="preserve"> Annualised returns are calculated by calculating the geometric mean over the period for each fund. Only asset classes with a sufficient number of observations were used for the comparison between retail and not</w:t>
            </w:r>
            <w:r>
              <w:noBreakHyphen/>
              <w:t>for</w:t>
            </w:r>
            <w:r>
              <w:noBreakHyphen/>
              <w:t>profit funds. Observations where funds did not split fixed income into Australian and international categories have been excluded.</w:t>
            </w:r>
          </w:p>
        </w:tc>
      </w:tr>
      <w:tr w:rsidR="00FC14FC" w14:paraId="33113E3D" w14:textId="77777777" w:rsidTr="00D11B9D">
        <w:tc>
          <w:tcPr>
            <w:tcW w:w="5000" w:type="pct"/>
            <w:tcBorders>
              <w:top w:val="nil"/>
              <w:left w:val="nil"/>
              <w:bottom w:val="single" w:sz="6" w:space="0" w:color="78A22F"/>
              <w:right w:val="nil"/>
            </w:tcBorders>
            <w:shd w:val="clear" w:color="auto" w:fill="auto"/>
          </w:tcPr>
          <w:p w14:paraId="47B2D7E5" w14:textId="77777777" w:rsidR="00FC14FC" w:rsidRDefault="00FC14FC" w:rsidP="00D11B9D">
            <w:pPr>
              <w:pStyle w:val="Figurespace"/>
            </w:pPr>
          </w:p>
        </w:tc>
      </w:tr>
      <w:tr w:rsidR="00FC14FC" w:rsidRPr="000863A5" w14:paraId="4A756C87" w14:textId="77777777" w:rsidTr="00D11B9D">
        <w:tc>
          <w:tcPr>
            <w:tcW w:w="5000" w:type="pct"/>
            <w:tcBorders>
              <w:top w:val="single" w:sz="6" w:space="0" w:color="78A22F"/>
              <w:left w:val="nil"/>
              <w:bottom w:val="nil"/>
              <w:right w:val="nil"/>
            </w:tcBorders>
          </w:tcPr>
          <w:p w14:paraId="378D8007" w14:textId="77777777" w:rsidR="00FC14FC" w:rsidRPr="00626D32" w:rsidRDefault="00FC14FC" w:rsidP="00D11B9D">
            <w:pPr>
              <w:pStyle w:val="BoxSpaceBelow"/>
            </w:pPr>
          </w:p>
        </w:tc>
      </w:tr>
    </w:tbl>
    <w:p w14:paraId="15D144AC"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0BAC7C25" w14:textId="77777777" w:rsidTr="00D11B9D">
        <w:trPr>
          <w:tblHeader/>
        </w:trPr>
        <w:tc>
          <w:tcPr>
            <w:tcW w:w="5000" w:type="pct"/>
            <w:tcBorders>
              <w:top w:val="single" w:sz="6" w:space="0" w:color="78A22F"/>
              <w:left w:val="nil"/>
              <w:bottom w:val="nil"/>
              <w:right w:val="nil"/>
            </w:tcBorders>
            <w:shd w:val="clear" w:color="auto" w:fill="auto"/>
          </w:tcPr>
          <w:p w14:paraId="184434DB" w14:textId="77777777" w:rsidR="00FC14FC" w:rsidRPr="00176D3F" w:rsidRDefault="00FC14FC" w:rsidP="00D11B9D">
            <w:pPr>
              <w:pStyle w:val="FigureTitle"/>
            </w:pPr>
            <w:r w:rsidRPr="00784A05">
              <w:rPr>
                <w:b w:val="0"/>
              </w:rPr>
              <w:t xml:space="preserve">Figure </w:t>
            </w:r>
            <w:r>
              <w:rPr>
                <w:b w:val="0"/>
                <w:noProof/>
              </w:rPr>
              <w:t>4.12</w:t>
            </w:r>
            <w:r>
              <w:tab/>
              <w:t>Distribution of returns by asset class, 2011–2017</w:t>
            </w:r>
            <w:r w:rsidRPr="00BF73CE">
              <w:rPr>
                <w:rStyle w:val="NoteLabel"/>
              </w:rPr>
              <w:t>a</w:t>
            </w:r>
          </w:p>
        </w:tc>
      </w:tr>
      <w:tr w:rsidR="00FC14FC" w14:paraId="1CDB7D8B" w14:textId="77777777" w:rsidTr="00D11B9D">
        <w:tc>
          <w:tcPr>
            <w:tcW w:w="5000" w:type="pct"/>
            <w:tcBorders>
              <w:top w:val="nil"/>
              <w:left w:val="nil"/>
              <w:bottom w:val="nil"/>
              <w:right w:val="nil"/>
            </w:tcBorders>
            <w:shd w:val="clear" w:color="auto" w:fill="auto"/>
            <w:tcMar>
              <w:top w:w="28" w:type="dxa"/>
              <w:bottom w:w="28" w:type="dxa"/>
            </w:tcMar>
          </w:tcPr>
          <w:p w14:paraId="73234EF6" w14:textId="77777777" w:rsidR="00FC14FC" w:rsidRDefault="00FC14FC" w:rsidP="00D11B9D">
            <w:pPr>
              <w:pStyle w:val="Figure"/>
            </w:pPr>
            <w:r w:rsidRPr="00154CA0">
              <w:rPr>
                <w:noProof/>
              </w:rPr>
              <w:drawing>
                <wp:inline distT="0" distB="0" distL="0" distR="0" wp14:anchorId="5DA7DC6E" wp14:editId="0BC03F42">
                  <wp:extent cx="5044440" cy="5692140"/>
                  <wp:effectExtent l="0" t="0" r="0" b="3810"/>
                  <wp:docPr id="16" name="Picture 16" descr="Fig 4.12. The figure contains the distribution of returns for each individual asset class, as well as the relevant benchmark. As above, growth asset classes have higher averages and wider distributions. " title="Distribution of returns by asset class, 2011-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044440" cy="5692140"/>
                          </a:xfrm>
                          <a:prstGeom prst="rect">
                            <a:avLst/>
                          </a:prstGeom>
                          <a:noFill/>
                          <a:ln>
                            <a:noFill/>
                          </a:ln>
                        </pic:spPr>
                      </pic:pic>
                    </a:graphicData>
                  </a:graphic>
                </wp:inline>
              </w:drawing>
            </w:r>
          </w:p>
          <w:tbl>
            <w:tblPr>
              <w:tblW w:w="8505" w:type="dxa"/>
              <w:tblLook w:val="04A0" w:firstRow="1" w:lastRow="0" w:firstColumn="1" w:lastColumn="0" w:noHBand="0" w:noVBand="1"/>
            </w:tblPr>
            <w:tblGrid>
              <w:gridCol w:w="1561"/>
              <w:gridCol w:w="2314"/>
              <w:gridCol w:w="2315"/>
              <w:gridCol w:w="2315"/>
            </w:tblGrid>
            <w:tr w:rsidR="00FC14FC" w14:paraId="1E2F3524" w14:textId="77777777" w:rsidTr="00D11B9D">
              <w:trPr>
                <w:tblHeader/>
              </w:trPr>
              <w:tc>
                <w:tcPr>
                  <w:tcW w:w="917" w:type="pct"/>
                  <w:shd w:val="clear" w:color="auto" w:fill="F2F2F2" w:themeFill="background1" w:themeFillShade="F2"/>
                </w:tcPr>
                <w:p w14:paraId="2C992410"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4077" w:type="pct"/>
                  <w:gridSpan w:val="3"/>
                  <w:shd w:val="clear" w:color="auto" w:fill="F2F2F2" w:themeFill="background1" w:themeFillShade="F2"/>
                </w:tcPr>
                <w:p w14:paraId="0A09347C" w14:textId="77777777" w:rsidR="00FC14FC" w:rsidRDefault="00FC14FC" w:rsidP="00D11B9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Supplementary funds survey and financial market index data (various providers).</w:t>
                  </w:r>
                </w:p>
              </w:tc>
            </w:tr>
            <w:tr w:rsidR="00FC14FC" w14:paraId="3D9BD189" w14:textId="77777777" w:rsidTr="00D11B9D">
              <w:tc>
                <w:tcPr>
                  <w:tcW w:w="917" w:type="pct"/>
                  <w:shd w:val="clear" w:color="auto" w:fill="F2F2F2" w:themeFill="background1" w:themeFillShade="F2"/>
                </w:tcPr>
                <w:p w14:paraId="1416737B"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4077" w:type="pct"/>
                  <w:gridSpan w:val="3"/>
                  <w:shd w:val="clear" w:color="auto" w:fill="F2F2F2" w:themeFill="background1" w:themeFillShade="F2"/>
                </w:tcPr>
                <w:p w14:paraId="3C590183" w14:textId="77777777" w:rsidR="00FC14FC" w:rsidRDefault="00FC14FC" w:rsidP="00D11B9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Asset</w:t>
                  </w:r>
                  <w:r>
                    <w:rPr>
                      <w:rFonts w:ascii="Arial" w:eastAsia="+mn-ea" w:hAnsi="Arial" w:cs="Arial"/>
                      <w:color w:val="000000" w:themeColor="text1"/>
                      <w:kern w:val="24"/>
                      <w:sz w:val="18"/>
                      <w:szCs w:val="18"/>
                    </w:rPr>
                    <w:noBreakHyphen/>
                    <w:t>class benchmarks as per BP2.</w:t>
                  </w:r>
                </w:p>
              </w:tc>
            </w:tr>
            <w:tr w:rsidR="00FC14FC" w:rsidRPr="001F53B0" w14:paraId="268B9319" w14:textId="77777777" w:rsidTr="00D11B9D">
              <w:tc>
                <w:tcPr>
                  <w:tcW w:w="917" w:type="pct"/>
                  <w:shd w:val="clear" w:color="auto" w:fill="F2F2F2" w:themeFill="background1" w:themeFillShade="F2"/>
                </w:tcPr>
                <w:p w14:paraId="1DC25188"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77" w:type="pct"/>
                  <w:gridSpan w:val="3"/>
                  <w:shd w:val="clear" w:color="auto" w:fill="F2F2F2" w:themeFill="background1" w:themeFillShade="F2"/>
                </w:tcPr>
                <w:p w14:paraId="42BEA34D" w14:textId="77777777" w:rsidR="00FC14FC" w:rsidRPr="001F53B0" w:rsidRDefault="00FC14FC" w:rsidP="00D11B9D">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In 2017, the funds in this figure represent up to 66% of total assets and 62% of member accounts of APRA</w:t>
                  </w:r>
                  <w:r>
                    <w:rPr>
                      <w:rFonts w:ascii="Arial" w:eastAsia="+mn-ea" w:hAnsi="Arial" w:cs="Arial"/>
                      <w:color w:val="000000" w:themeColor="text1"/>
                      <w:kern w:val="24"/>
                      <w:sz w:val="18"/>
                      <w:szCs w:val="18"/>
                    </w:rPr>
                    <w:noBreakHyphen/>
                    <w:t>regulated funds.</w:t>
                  </w:r>
                </w:p>
              </w:tc>
            </w:tr>
            <w:tr w:rsidR="00FC14FC" w:rsidRPr="00A95597" w14:paraId="7A861C33" w14:textId="77777777" w:rsidTr="00D11B9D">
              <w:tc>
                <w:tcPr>
                  <w:tcW w:w="917" w:type="pct"/>
                  <w:shd w:val="clear" w:color="auto" w:fill="F2F2F2" w:themeFill="background1" w:themeFillShade="F2"/>
                </w:tcPr>
                <w:p w14:paraId="5396DC8E"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1359" w:type="pct"/>
                  <w:shd w:val="clear" w:color="auto" w:fill="F2F2F2" w:themeFill="background1" w:themeFillShade="F2"/>
                </w:tcPr>
                <w:p w14:paraId="5D980F72"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c>
                <w:tcPr>
                  <w:tcW w:w="1359" w:type="pct"/>
                  <w:shd w:val="clear" w:color="auto" w:fill="F2F2F2" w:themeFill="background1" w:themeFillShade="F2"/>
                </w:tcPr>
                <w:p w14:paraId="2D957CC7"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1359" w:type="pct"/>
                  <w:shd w:val="clear" w:color="auto" w:fill="F2F2F2" w:themeFill="background1" w:themeFillShade="F2"/>
                </w:tcPr>
                <w:p w14:paraId="5AE0BB81"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05F4D6A7" w14:textId="77777777" w:rsidR="00FC14FC" w:rsidRDefault="00FC14FC" w:rsidP="00D11B9D">
            <w:pPr>
              <w:pStyle w:val="Figure"/>
            </w:pPr>
          </w:p>
        </w:tc>
      </w:tr>
      <w:tr w:rsidR="00FC14FC" w:rsidRPr="00176D3F" w14:paraId="6641FB0D" w14:textId="77777777" w:rsidTr="00D11B9D">
        <w:tc>
          <w:tcPr>
            <w:tcW w:w="5000" w:type="pct"/>
            <w:tcBorders>
              <w:top w:val="nil"/>
              <w:left w:val="nil"/>
              <w:bottom w:val="nil"/>
              <w:right w:val="nil"/>
            </w:tcBorders>
            <w:shd w:val="clear" w:color="auto" w:fill="auto"/>
          </w:tcPr>
          <w:p w14:paraId="2B6BEBCE" w14:textId="77777777" w:rsidR="00FC14FC" w:rsidRPr="00176D3F" w:rsidRDefault="00FC14FC" w:rsidP="00D11B9D">
            <w:pPr>
              <w:pStyle w:val="Note"/>
            </w:pPr>
            <w:r>
              <w:rPr>
                <w:rStyle w:val="NoteLabel"/>
              </w:rPr>
              <w:t>a</w:t>
            </w:r>
            <w:r>
              <w:t xml:space="preserve"> The dashed line is the asset class index over the period. The density plots are a measure of the distribution of returns at the fund level — they are not weighted by assets. The height of the plots indicate the number of funds that obtained a return of that value (a similar interpretation to a histogram). The percentage of assets that are below the benchmark is calculated by dividing the assets from funds below the benchmark by the total assets invested in an asset class. Observations where funds did not split fixed income into Australian and international categories have been excluded.</w:t>
            </w:r>
          </w:p>
        </w:tc>
      </w:tr>
      <w:tr w:rsidR="00FC14FC" w14:paraId="6934DA78" w14:textId="77777777" w:rsidTr="00D11B9D">
        <w:tc>
          <w:tcPr>
            <w:tcW w:w="5000" w:type="pct"/>
            <w:tcBorders>
              <w:top w:val="nil"/>
              <w:left w:val="nil"/>
              <w:bottom w:val="single" w:sz="6" w:space="0" w:color="78A22F"/>
              <w:right w:val="nil"/>
            </w:tcBorders>
            <w:shd w:val="clear" w:color="auto" w:fill="auto"/>
          </w:tcPr>
          <w:p w14:paraId="0C490AED" w14:textId="77777777" w:rsidR="00FC14FC" w:rsidRDefault="00FC14FC" w:rsidP="00D11B9D">
            <w:pPr>
              <w:pStyle w:val="Figurespace"/>
            </w:pPr>
          </w:p>
        </w:tc>
      </w:tr>
      <w:tr w:rsidR="00FC14FC" w:rsidRPr="000863A5" w14:paraId="53EEDEFB" w14:textId="77777777" w:rsidTr="00D11B9D">
        <w:tc>
          <w:tcPr>
            <w:tcW w:w="5000" w:type="pct"/>
            <w:tcBorders>
              <w:top w:val="single" w:sz="6" w:space="0" w:color="78A22F"/>
              <w:left w:val="nil"/>
              <w:bottom w:val="nil"/>
              <w:right w:val="nil"/>
            </w:tcBorders>
          </w:tcPr>
          <w:p w14:paraId="2BAE2C86" w14:textId="77777777" w:rsidR="00FC14FC" w:rsidRPr="00626D32" w:rsidRDefault="00FC14FC" w:rsidP="00D11B9D">
            <w:pPr>
              <w:pStyle w:val="BoxSpaceBelow"/>
            </w:pPr>
          </w:p>
        </w:tc>
      </w:tr>
    </w:tbl>
    <w:p w14:paraId="0DED15E8" w14:textId="77777777" w:rsidR="00FC14FC" w:rsidRDefault="00FC14FC" w:rsidP="00FC14FC">
      <w:pPr>
        <w:pStyle w:val="BodyText"/>
      </w:pPr>
      <w:r w:rsidRPr="00E7770B">
        <w:lastRenderedPageBreak/>
        <w:t>Within segments, a l</w:t>
      </w:r>
      <w:r>
        <w:t>arger proportion of retail fund assets</w:t>
      </w:r>
      <w:r w:rsidRPr="00E7770B">
        <w:t xml:space="preserve"> f</w:t>
      </w:r>
      <w:r>
        <w:t>e</w:t>
      </w:r>
      <w:r w:rsidRPr="00E7770B">
        <w:t xml:space="preserve">ll below the benchmark </w:t>
      </w:r>
      <w:r>
        <w:t>compared with</w:t>
      </w:r>
      <w:r w:rsidRPr="00E7770B">
        <w:t xml:space="preserve"> not</w:t>
      </w:r>
      <w:r>
        <w:noBreakHyphen/>
      </w:r>
      <w:r w:rsidRPr="00E7770B">
        <w:t>for</w:t>
      </w:r>
      <w:r>
        <w:noBreakHyphen/>
      </w:r>
      <w:r w:rsidRPr="00E7770B">
        <w:t>profit fund</w:t>
      </w:r>
      <w:r>
        <w:t xml:space="preserve"> assets,</w:t>
      </w:r>
      <w:r w:rsidRPr="00E7770B">
        <w:t xml:space="preserve"> in all asset classes excluding listed infrastructure and private equity (table</w:t>
      </w:r>
      <w:r>
        <w:t> 4.30</w:t>
      </w:r>
      <w:r w:rsidRPr="00E7770B">
        <w:t>). However, a caveat is that some asset classes have a</w:t>
      </w:r>
      <w:r>
        <w:t xml:space="preserve"> very</w:t>
      </w:r>
      <w:r w:rsidRPr="00E7770B">
        <w:t xml:space="preserve"> small number of retail funds reporting their returns over the period 2011</w:t>
      </w:r>
      <w:r>
        <w:t xml:space="preserve"> to </w:t>
      </w:r>
      <w:r w:rsidRPr="00E7770B">
        <w:t>2017</w:t>
      </w:r>
      <w:r>
        <w:t>, and thus the data may not be fully representative of all retail funds in the system.</w:t>
      </w:r>
    </w:p>
    <w:p w14:paraId="5B6E2D23"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551BB974" w14:textId="77777777" w:rsidTr="00D11B9D">
        <w:trPr>
          <w:tblHeader/>
        </w:trPr>
        <w:tc>
          <w:tcPr>
            <w:tcW w:w="5000" w:type="pct"/>
            <w:tcBorders>
              <w:top w:val="single" w:sz="6" w:space="0" w:color="78A22F"/>
              <w:left w:val="nil"/>
              <w:bottom w:val="nil"/>
              <w:right w:val="nil"/>
            </w:tcBorders>
            <w:shd w:val="clear" w:color="auto" w:fill="auto"/>
          </w:tcPr>
          <w:p w14:paraId="2CC678F9" w14:textId="77777777" w:rsidR="00FC14FC" w:rsidRPr="005B0A16" w:rsidRDefault="00FC14FC" w:rsidP="00D11B9D">
            <w:pPr>
              <w:pStyle w:val="TableTitle"/>
              <w:rPr>
                <w:rStyle w:val="NoteLabel"/>
              </w:rPr>
            </w:pPr>
            <w:r>
              <w:rPr>
                <w:b w:val="0"/>
              </w:rPr>
              <w:t xml:space="preserve">Table </w:t>
            </w:r>
            <w:r>
              <w:rPr>
                <w:b w:val="0"/>
                <w:noProof/>
              </w:rPr>
              <w:t>4.30</w:t>
            </w:r>
            <w:r>
              <w:tab/>
              <w:t>Distribution of returns by asset class, 2011–2017</w:t>
            </w:r>
            <w:r w:rsidRPr="005B0A16">
              <w:rPr>
                <w:rStyle w:val="NoteLabel"/>
              </w:rPr>
              <w:t>a</w:t>
            </w:r>
          </w:p>
        </w:tc>
      </w:tr>
      <w:tr w:rsidR="00FC14FC" w14:paraId="0E8AE6CA"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59"/>
              <w:gridCol w:w="3848"/>
              <w:gridCol w:w="1798"/>
            </w:tblGrid>
            <w:tr w:rsidR="00FC14FC" w14:paraId="5EFA6F28" w14:textId="77777777" w:rsidTr="00D11B9D">
              <w:trPr>
                <w:tblHeader/>
              </w:trPr>
              <w:tc>
                <w:tcPr>
                  <w:tcW w:w="1681" w:type="pct"/>
                  <w:tcBorders>
                    <w:top w:val="single" w:sz="6" w:space="0" w:color="BFBFBF"/>
                  </w:tcBorders>
                  <w:shd w:val="clear" w:color="auto" w:fill="auto"/>
                  <w:tcMar>
                    <w:top w:w="28" w:type="dxa"/>
                  </w:tcMar>
                </w:tcPr>
                <w:p w14:paraId="23A67E8B" w14:textId="77777777" w:rsidR="00FC14FC" w:rsidRDefault="00FC14FC" w:rsidP="00D11B9D">
                  <w:pPr>
                    <w:pStyle w:val="TableColumnHeading"/>
                    <w:jc w:val="left"/>
                  </w:pPr>
                </w:p>
              </w:tc>
              <w:tc>
                <w:tcPr>
                  <w:tcW w:w="3319" w:type="pct"/>
                  <w:gridSpan w:val="2"/>
                  <w:tcBorders>
                    <w:top w:val="single" w:sz="6" w:space="0" w:color="BFBFBF"/>
                  </w:tcBorders>
                </w:tcPr>
                <w:p w14:paraId="45516773" w14:textId="77777777" w:rsidR="00FC14FC" w:rsidRDefault="00FC14FC" w:rsidP="00D11B9D">
                  <w:pPr>
                    <w:pStyle w:val="TableColumnHeading"/>
                    <w:ind w:right="28"/>
                  </w:pPr>
                  <w:r>
                    <w:t>Share of assets below benchmark (within the segment)</w:t>
                  </w:r>
                </w:p>
              </w:tc>
            </w:tr>
            <w:tr w:rsidR="00FC14FC" w14:paraId="1EF2DCB7" w14:textId="77777777" w:rsidTr="00D11B9D">
              <w:trPr>
                <w:tblHeader/>
              </w:trPr>
              <w:tc>
                <w:tcPr>
                  <w:tcW w:w="1681" w:type="pct"/>
                  <w:tcBorders>
                    <w:bottom w:val="single" w:sz="6" w:space="0" w:color="BFBFBF"/>
                  </w:tcBorders>
                  <w:shd w:val="clear" w:color="auto" w:fill="auto"/>
                  <w:tcMar>
                    <w:top w:w="28" w:type="dxa"/>
                  </w:tcMar>
                </w:tcPr>
                <w:p w14:paraId="48873D34" w14:textId="77777777" w:rsidR="00FC14FC" w:rsidRDefault="00FC14FC" w:rsidP="00D11B9D">
                  <w:pPr>
                    <w:pStyle w:val="TableColumnHeading"/>
                    <w:jc w:val="left"/>
                  </w:pPr>
                  <w:r>
                    <w:t>Asset class</w:t>
                  </w:r>
                </w:p>
              </w:tc>
              <w:tc>
                <w:tcPr>
                  <w:tcW w:w="2262" w:type="pct"/>
                  <w:tcBorders>
                    <w:bottom w:val="single" w:sz="6" w:space="0" w:color="BFBFBF"/>
                  </w:tcBorders>
                </w:tcPr>
                <w:p w14:paraId="0743CE68" w14:textId="77777777" w:rsidR="00FC14FC" w:rsidRDefault="00FC14FC" w:rsidP="00D11B9D">
                  <w:pPr>
                    <w:pStyle w:val="TableColumnHeading"/>
                  </w:pPr>
                  <w:r>
                    <w:t>Retail</w:t>
                  </w:r>
                </w:p>
              </w:tc>
              <w:tc>
                <w:tcPr>
                  <w:tcW w:w="1057" w:type="pct"/>
                  <w:tcBorders>
                    <w:bottom w:val="single" w:sz="6" w:space="0" w:color="BFBFBF"/>
                  </w:tcBorders>
                </w:tcPr>
                <w:p w14:paraId="4F522F71" w14:textId="77777777" w:rsidR="00FC14FC" w:rsidRDefault="00FC14FC" w:rsidP="00D11B9D">
                  <w:pPr>
                    <w:pStyle w:val="TableColumnHeading"/>
                    <w:ind w:right="28"/>
                  </w:pPr>
                  <w:r>
                    <w:t>Not</w:t>
                  </w:r>
                  <w:r>
                    <w:noBreakHyphen/>
                    <w:t>for</w:t>
                  </w:r>
                  <w:r>
                    <w:noBreakHyphen/>
                    <w:t>profit</w:t>
                  </w:r>
                </w:p>
              </w:tc>
            </w:tr>
            <w:tr w:rsidR="00FC14FC" w14:paraId="327BD0E6" w14:textId="77777777" w:rsidTr="00D11B9D">
              <w:tc>
                <w:tcPr>
                  <w:tcW w:w="1681" w:type="pct"/>
                  <w:tcBorders>
                    <w:top w:val="single" w:sz="6" w:space="0" w:color="BFBFBF"/>
                  </w:tcBorders>
                </w:tcPr>
                <w:p w14:paraId="660A2A13" w14:textId="77777777" w:rsidR="00FC14FC" w:rsidRPr="005745A4" w:rsidRDefault="00FC14FC" w:rsidP="00D11B9D">
                  <w:pPr>
                    <w:pStyle w:val="TableUnitsRow"/>
                  </w:pPr>
                </w:p>
              </w:tc>
              <w:tc>
                <w:tcPr>
                  <w:tcW w:w="2262" w:type="pct"/>
                  <w:tcBorders>
                    <w:top w:val="single" w:sz="6" w:space="0" w:color="BFBFBF"/>
                  </w:tcBorders>
                  <w:vAlign w:val="bottom"/>
                </w:tcPr>
                <w:p w14:paraId="2EFD13B0" w14:textId="77777777" w:rsidR="00FC14FC" w:rsidRPr="005745A4" w:rsidRDefault="00FC14FC" w:rsidP="00D11B9D">
                  <w:pPr>
                    <w:pStyle w:val="TableUnitsRow"/>
                  </w:pPr>
                  <w:r w:rsidRPr="005745A4">
                    <w:t>%</w:t>
                  </w:r>
                </w:p>
              </w:tc>
              <w:tc>
                <w:tcPr>
                  <w:tcW w:w="1057" w:type="pct"/>
                  <w:tcBorders>
                    <w:top w:val="single" w:sz="6" w:space="0" w:color="BFBFBF"/>
                  </w:tcBorders>
                  <w:vAlign w:val="bottom"/>
                </w:tcPr>
                <w:p w14:paraId="3DE91949" w14:textId="77777777" w:rsidR="00FC14FC" w:rsidRPr="005745A4" w:rsidRDefault="00FC14FC" w:rsidP="00D11B9D">
                  <w:pPr>
                    <w:pStyle w:val="TableUnitsRow"/>
                    <w:ind w:right="28"/>
                  </w:pPr>
                  <w:r w:rsidRPr="005745A4">
                    <w:t>%</w:t>
                  </w:r>
                </w:p>
              </w:tc>
            </w:tr>
            <w:tr w:rsidR="00FC14FC" w14:paraId="68914E97" w14:textId="77777777" w:rsidTr="00D11B9D">
              <w:tc>
                <w:tcPr>
                  <w:tcW w:w="1681" w:type="pct"/>
                </w:tcPr>
                <w:p w14:paraId="5309D70E" w14:textId="77777777" w:rsidR="00FC14FC" w:rsidRDefault="00FC14FC" w:rsidP="00D11B9D">
                  <w:pPr>
                    <w:pStyle w:val="TableUnitsRow"/>
                    <w:spacing w:before="0"/>
                    <w:jc w:val="left"/>
                  </w:pPr>
                  <w:r>
                    <w:t>Cash</w:t>
                  </w:r>
                </w:p>
              </w:tc>
              <w:tc>
                <w:tcPr>
                  <w:tcW w:w="2262" w:type="pct"/>
                  <w:vAlign w:val="bottom"/>
                </w:tcPr>
                <w:p w14:paraId="3B8C0336" w14:textId="77777777" w:rsidR="00FC14FC" w:rsidRDefault="00FC14FC" w:rsidP="00D11B9D">
                  <w:pPr>
                    <w:pStyle w:val="TableUnitsRow"/>
                    <w:spacing w:before="0"/>
                  </w:pPr>
                  <w:r>
                    <w:t>3</w:t>
                  </w:r>
                </w:p>
              </w:tc>
              <w:tc>
                <w:tcPr>
                  <w:tcW w:w="1057" w:type="pct"/>
                  <w:vAlign w:val="bottom"/>
                </w:tcPr>
                <w:p w14:paraId="05640144" w14:textId="77777777" w:rsidR="00FC14FC" w:rsidRDefault="00FC14FC" w:rsidP="00D11B9D">
                  <w:pPr>
                    <w:pStyle w:val="TableUnitsRow"/>
                    <w:spacing w:before="0"/>
                    <w:ind w:right="28"/>
                  </w:pPr>
                  <w:r>
                    <w:t>3</w:t>
                  </w:r>
                </w:p>
              </w:tc>
            </w:tr>
            <w:tr w:rsidR="00FC14FC" w14:paraId="1F5A9E4E" w14:textId="77777777" w:rsidTr="00D11B9D">
              <w:tc>
                <w:tcPr>
                  <w:tcW w:w="1681" w:type="pct"/>
                  <w:shd w:val="pct5" w:color="auto" w:fill="auto"/>
                </w:tcPr>
                <w:p w14:paraId="2980DC3C" w14:textId="77777777" w:rsidR="00FC14FC" w:rsidRDefault="00FC14FC" w:rsidP="00D11B9D">
                  <w:pPr>
                    <w:pStyle w:val="TableBodyText"/>
                    <w:jc w:val="left"/>
                  </w:pPr>
                  <w:r>
                    <w:t>Australian listed equity</w:t>
                  </w:r>
                </w:p>
              </w:tc>
              <w:tc>
                <w:tcPr>
                  <w:tcW w:w="2262" w:type="pct"/>
                  <w:shd w:val="pct5" w:color="auto" w:fill="auto"/>
                  <w:vAlign w:val="bottom"/>
                </w:tcPr>
                <w:p w14:paraId="4F8DBA6B" w14:textId="77777777" w:rsidR="00FC14FC" w:rsidRDefault="00FC14FC" w:rsidP="00D11B9D">
                  <w:pPr>
                    <w:pStyle w:val="TableBodyText"/>
                  </w:pPr>
                  <w:r>
                    <w:t>45</w:t>
                  </w:r>
                </w:p>
              </w:tc>
              <w:tc>
                <w:tcPr>
                  <w:tcW w:w="1057" w:type="pct"/>
                  <w:shd w:val="pct5" w:color="auto" w:fill="auto"/>
                  <w:vAlign w:val="bottom"/>
                </w:tcPr>
                <w:p w14:paraId="0B3585CC" w14:textId="77777777" w:rsidR="00FC14FC" w:rsidRDefault="00FC14FC" w:rsidP="00D11B9D">
                  <w:pPr>
                    <w:pStyle w:val="TableBodyText"/>
                    <w:ind w:right="28"/>
                  </w:pPr>
                  <w:r>
                    <w:t>11</w:t>
                  </w:r>
                </w:p>
              </w:tc>
            </w:tr>
            <w:tr w:rsidR="00FC14FC" w14:paraId="0456403F" w14:textId="77777777" w:rsidTr="00D11B9D">
              <w:tc>
                <w:tcPr>
                  <w:tcW w:w="1681" w:type="pct"/>
                  <w:shd w:val="clear" w:color="auto" w:fill="auto"/>
                </w:tcPr>
                <w:p w14:paraId="7277DCD7" w14:textId="77777777" w:rsidR="00FC14FC" w:rsidRDefault="00FC14FC" w:rsidP="00D11B9D">
                  <w:pPr>
                    <w:pStyle w:val="TableBodyText"/>
                    <w:jc w:val="left"/>
                  </w:pPr>
                  <w:r>
                    <w:t>International listed equity</w:t>
                  </w:r>
                </w:p>
              </w:tc>
              <w:tc>
                <w:tcPr>
                  <w:tcW w:w="2262" w:type="pct"/>
                  <w:vAlign w:val="bottom"/>
                </w:tcPr>
                <w:p w14:paraId="7B602162" w14:textId="77777777" w:rsidR="00FC14FC" w:rsidRDefault="00FC14FC" w:rsidP="00D11B9D">
                  <w:pPr>
                    <w:pStyle w:val="TableBodyText"/>
                  </w:pPr>
                  <w:r>
                    <w:t>96</w:t>
                  </w:r>
                </w:p>
              </w:tc>
              <w:tc>
                <w:tcPr>
                  <w:tcW w:w="1057" w:type="pct"/>
                  <w:vAlign w:val="bottom"/>
                </w:tcPr>
                <w:p w14:paraId="31EDA16A" w14:textId="77777777" w:rsidR="00FC14FC" w:rsidRDefault="00FC14FC" w:rsidP="00D11B9D">
                  <w:pPr>
                    <w:pStyle w:val="TableBodyText"/>
                    <w:ind w:right="28"/>
                  </w:pPr>
                  <w:r>
                    <w:t>62</w:t>
                  </w:r>
                </w:p>
              </w:tc>
            </w:tr>
            <w:tr w:rsidR="00FC14FC" w14:paraId="6D3C352C" w14:textId="77777777" w:rsidTr="00D11B9D">
              <w:tc>
                <w:tcPr>
                  <w:tcW w:w="1681" w:type="pct"/>
                  <w:shd w:val="pct5" w:color="auto" w:fill="auto"/>
                </w:tcPr>
                <w:p w14:paraId="7BEB511A" w14:textId="77777777" w:rsidR="00FC14FC" w:rsidRPr="00A178F7" w:rsidRDefault="00FC14FC" w:rsidP="00D11B9D">
                  <w:pPr>
                    <w:pStyle w:val="TableBodyText"/>
                    <w:jc w:val="left"/>
                  </w:pPr>
                  <w:r w:rsidRPr="00A178F7">
                    <w:t>Australian fixed in</w:t>
                  </w:r>
                  <w:r>
                    <w:t>come</w:t>
                  </w:r>
                </w:p>
              </w:tc>
              <w:tc>
                <w:tcPr>
                  <w:tcW w:w="2262" w:type="pct"/>
                  <w:shd w:val="pct5" w:color="auto" w:fill="auto"/>
                  <w:vAlign w:val="bottom"/>
                </w:tcPr>
                <w:p w14:paraId="0D9356B2" w14:textId="77777777" w:rsidR="00FC14FC" w:rsidRPr="00A178F7" w:rsidRDefault="00FC14FC" w:rsidP="00D11B9D">
                  <w:pPr>
                    <w:pStyle w:val="TableBodyText"/>
                  </w:pPr>
                  <w:r w:rsidRPr="00A178F7">
                    <w:t>61</w:t>
                  </w:r>
                </w:p>
              </w:tc>
              <w:tc>
                <w:tcPr>
                  <w:tcW w:w="1057" w:type="pct"/>
                  <w:shd w:val="pct5" w:color="auto" w:fill="auto"/>
                  <w:vAlign w:val="bottom"/>
                </w:tcPr>
                <w:p w14:paraId="6871B511" w14:textId="77777777" w:rsidR="00FC14FC" w:rsidRPr="00A178F7" w:rsidRDefault="00FC14FC" w:rsidP="00D11B9D">
                  <w:pPr>
                    <w:pStyle w:val="TableBodyText"/>
                    <w:ind w:right="28"/>
                  </w:pPr>
                  <w:r w:rsidRPr="00A178F7">
                    <w:t>12</w:t>
                  </w:r>
                </w:p>
              </w:tc>
            </w:tr>
            <w:tr w:rsidR="00FC14FC" w14:paraId="17A82F99" w14:textId="77777777" w:rsidTr="00D11B9D">
              <w:tc>
                <w:tcPr>
                  <w:tcW w:w="1681" w:type="pct"/>
                  <w:shd w:val="clear" w:color="auto" w:fill="auto"/>
                </w:tcPr>
                <w:p w14:paraId="39D0DDAF" w14:textId="77777777" w:rsidR="00FC14FC" w:rsidRPr="00A178F7" w:rsidRDefault="00FC14FC" w:rsidP="00D11B9D">
                  <w:pPr>
                    <w:pStyle w:val="TableBodyText"/>
                    <w:jc w:val="left"/>
                  </w:pPr>
                  <w:r w:rsidRPr="00A178F7">
                    <w:t>International fixed in</w:t>
                  </w:r>
                  <w:r>
                    <w:t>come</w:t>
                  </w:r>
                </w:p>
              </w:tc>
              <w:tc>
                <w:tcPr>
                  <w:tcW w:w="2262" w:type="pct"/>
                  <w:vAlign w:val="bottom"/>
                </w:tcPr>
                <w:p w14:paraId="1CD5506D" w14:textId="77777777" w:rsidR="00FC14FC" w:rsidRPr="00A178F7" w:rsidRDefault="00FC14FC" w:rsidP="00D11B9D">
                  <w:pPr>
                    <w:pStyle w:val="TableBodyText"/>
                  </w:pPr>
                  <w:r w:rsidRPr="00A178F7">
                    <w:t>61</w:t>
                  </w:r>
                </w:p>
              </w:tc>
              <w:tc>
                <w:tcPr>
                  <w:tcW w:w="1057" w:type="pct"/>
                  <w:vAlign w:val="bottom"/>
                </w:tcPr>
                <w:p w14:paraId="3E7B34DF" w14:textId="77777777" w:rsidR="00FC14FC" w:rsidRPr="00A178F7" w:rsidRDefault="00FC14FC" w:rsidP="00D11B9D">
                  <w:pPr>
                    <w:pStyle w:val="TableBodyText"/>
                    <w:ind w:right="28"/>
                  </w:pPr>
                  <w:r w:rsidRPr="00A178F7">
                    <w:t>11</w:t>
                  </w:r>
                </w:p>
              </w:tc>
            </w:tr>
            <w:tr w:rsidR="00FC14FC" w14:paraId="65D915E2" w14:textId="77777777" w:rsidTr="00D11B9D">
              <w:tc>
                <w:tcPr>
                  <w:tcW w:w="1681" w:type="pct"/>
                  <w:shd w:val="pct5" w:color="auto" w:fill="auto"/>
                </w:tcPr>
                <w:p w14:paraId="2A36B93B" w14:textId="77777777" w:rsidR="00FC14FC" w:rsidRPr="00A178F7" w:rsidRDefault="00FC14FC" w:rsidP="00D11B9D">
                  <w:pPr>
                    <w:pStyle w:val="TableBodyText"/>
                    <w:jc w:val="left"/>
                  </w:pPr>
                  <w:r w:rsidRPr="00A178F7">
                    <w:t>Listed infrastructure</w:t>
                  </w:r>
                </w:p>
              </w:tc>
              <w:tc>
                <w:tcPr>
                  <w:tcW w:w="2262" w:type="pct"/>
                  <w:shd w:val="pct5" w:color="auto" w:fill="auto"/>
                  <w:vAlign w:val="bottom"/>
                </w:tcPr>
                <w:p w14:paraId="106CCC33" w14:textId="77777777" w:rsidR="00FC14FC" w:rsidRPr="00A178F7" w:rsidRDefault="00FC14FC" w:rsidP="00D11B9D">
                  <w:pPr>
                    <w:pStyle w:val="TableBodyText"/>
                  </w:pPr>
                  <w:r w:rsidRPr="00A178F7">
                    <w:t>10</w:t>
                  </w:r>
                </w:p>
              </w:tc>
              <w:tc>
                <w:tcPr>
                  <w:tcW w:w="1057" w:type="pct"/>
                  <w:shd w:val="pct5" w:color="auto" w:fill="auto"/>
                  <w:vAlign w:val="bottom"/>
                </w:tcPr>
                <w:p w14:paraId="38E28A1C" w14:textId="77777777" w:rsidR="00FC14FC" w:rsidRPr="00A178F7" w:rsidRDefault="00FC14FC" w:rsidP="00D11B9D">
                  <w:pPr>
                    <w:pStyle w:val="TableBodyText"/>
                    <w:ind w:right="28"/>
                  </w:pPr>
                  <w:r w:rsidRPr="00A178F7">
                    <w:t>50</w:t>
                  </w:r>
                </w:p>
              </w:tc>
            </w:tr>
            <w:tr w:rsidR="00FC14FC" w14:paraId="5BB72F54" w14:textId="77777777" w:rsidTr="00D11B9D">
              <w:tc>
                <w:tcPr>
                  <w:tcW w:w="1681" w:type="pct"/>
                  <w:shd w:val="clear" w:color="auto" w:fill="auto"/>
                </w:tcPr>
                <w:p w14:paraId="54296467" w14:textId="77777777" w:rsidR="00FC14FC" w:rsidRPr="00A178F7" w:rsidRDefault="00FC14FC" w:rsidP="00D11B9D">
                  <w:pPr>
                    <w:pStyle w:val="TableBodyText"/>
                    <w:jc w:val="left"/>
                  </w:pPr>
                  <w:r w:rsidRPr="00A178F7">
                    <w:t>Unlisted infrastructure</w:t>
                  </w:r>
                </w:p>
              </w:tc>
              <w:tc>
                <w:tcPr>
                  <w:tcW w:w="2262" w:type="pct"/>
                  <w:vAlign w:val="bottom"/>
                </w:tcPr>
                <w:p w14:paraId="52FDB36F" w14:textId="77777777" w:rsidR="00FC14FC" w:rsidRPr="00A178F7" w:rsidRDefault="00FC14FC" w:rsidP="00D11B9D">
                  <w:pPr>
                    <w:pStyle w:val="TableBodyText"/>
                  </w:pPr>
                  <w:r w:rsidRPr="00A178F7">
                    <w:t>100</w:t>
                  </w:r>
                </w:p>
              </w:tc>
              <w:tc>
                <w:tcPr>
                  <w:tcW w:w="1057" w:type="pct"/>
                  <w:vAlign w:val="bottom"/>
                </w:tcPr>
                <w:p w14:paraId="69D9985E" w14:textId="77777777" w:rsidR="00FC14FC" w:rsidRPr="00A178F7" w:rsidRDefault="00FC14FC" w:rsidP="00D11B9D">
                  <w:pPr>
                    <w:pStyle w:val="TableBodyText"/>
                    <w:ind w:right="28"/>
                  </w:pPr>
                  <w:r w:rsidRPr="00A178F7">
                    <w:t>77</w:t>
                  </w:r>
                </w:p>
              </w:tc>
            </w:tr>
            <w:tr w:rsidR="00FC14FC" w14:paraId="71A53168" w14:textId="77777777" w:rsidTr="00D11B9D">
              <w:tc>
                <w:tcPr>
                  <w:tcW w:w="1681" w:type="pct"/>
                  <w:shd w:val="pct5" w:color="auto" w:fill="auto"/>
                </w:tcPr>
                <w:p w14:paraId="1D9F99E9" w14:textId="77777777" w:rsidR="00FC14FC" w:rsidRPr="00A178F7" w:rsidRDefault="00FC14FC" w:rsidP="00D11B9D">
                  <w:pPr>
                    <w:pStyle w:val="TableBodyText"/>
                    <w:jc w:val="left"/>
                  </w:pPr>
                  <w:r w:rsidRPr="00A178F7">
                    <w:t>Private equity</w:t>
                  </w:r>
                </w:p>
              </w:tc>
              <w:tc>
                <w:tcPr>
                  <w:tcW w:w="2262" w:type="pct"/>
                  <w:shd w:val="pct5" w:color="auto" w:fill="auto"/>
                  <w:vAlign w:val="bottom"/>
                </w:tcPr>
                <w:p w14:paraId="0EE044CF" w14:textId="77777777" w:rsidR="00FC14FC" w:rsidRPr="00A178F7" w:rsidRDefault="00FC14FC" w:rsidP="00D11B9D">
                  <w:pPr>
                    <w:pStyle w:val="TableBodyText"/>
                  </w:pPr>
                  <w:r w:rsidRPr="00A178F7">
                    <w:t>1</w:t>
                  </w:r>
                </w:p>
              </w:tc>
              <w:tc>
                <w:tcPr>
                  <w:tcW w:w="1057" w:type="pct"/>
                  <w:shd w:val="pct5" w:color="auto" w:fill="auto"/>
                  <w:vAlign w:val="bottom"/>
                </w:tcPr>
                <w:p w14:paraId="4CBC5F6A" w14:textId="77777777" w:rsidR="00FC14FC" w:rsidRPr="00A178F7" w:rsidRDefault="00FC14FC" w:rsidP="00D11B9D">
                  <w:pPr>
                    <w:pStyle w:val="TableBodyText"/>
                    <w:ind w:right="28"/>
                  </w:pPr>
                  <w:r w:rsidRPr="00A178F7">
                    <w:t>25</w:t>
                  </w:r>
                </w:p>
              </w:tc>
            </w:tr>
            <w:tr w:rsidR="00FC14FC" w14:paraId="037D5AE1" w14:textId="77777777" w:rsidTr="00D11B9D">
              <w:tc>
                <w:tcPr>
                  <w:tcW w:w="1681" w:type="pct"/>
                  <w:shd w:val="clear" w:color="auto" w:fill="auto"/>
                </w:tcPr>
                <w:p w14:paraId="6965630E" w14:textId="77777777" w:rsidR="00FC14FC" w:rsidRPr="00A178F7" w:rsidRDefault="00FC14FC" w:rsidP="00D11B9D">
                  <w:pPr>
                    <w:pStyle w:val="TableBodyText"/>
                    <w:jc w:val="left"/>
                  </w:pPr>
                  <w:r w:rsidRPr="00A178F7">
                    <w:t>Listed property</w:t>
                  </w:r>
                </w:p>
              </w:tc>
              <w:tc>
                <w:tcPr>
                  <w:tcW w:w="2262" w:type="pct"/>
                  <w:vAlign w:val="bottom"/>
                </w:tcPr>
                <w:p w14:paraId="71960F16" w14:textId="77777777" w:rsidR="00FC14FC" w:rsidRPr="00A178F7" w:rsidRDefault="00FC14FC" w:rsidP="00D11B9D">
                  <w:pPr>
                    <w:pStyle w:val="TableBodyText"/>
                  </w:pPr>
                  <w:r w:rsidRPr="00A178F7">
                    <w:t>100</w:t>
                  </w:r>
                </w:p>
              </w:tc>
              <w:tc>
                <w:tcPr>
                  <w:tcW w:w="1057" w:type="pct"/>
                  <w:vAlign w:val="bottom"/>
                </w:tcPr>
                <w:p w14:paraId="24CDBAA0" w14:textId="77777777" w:rsidR="00FC14FC" w:rsidRPr="00A178F7" w:rsidRDefault="00FC14FC" w:rsidP="00D11B9D">
                  <w:pPr>
                    <w:pStyle w:val="TableBodyText"/>
                    <w:ind w:right="28"/>
                  </w:pPr>
                  <w:r w:rsidRPr="00A178F7">
                    <w:t>28</w:t>
                  </w:r>
                </w:p>
              </w:tc>
            </w:tr>
            <w:tr w:rsidR="00FC14FC" w14:paraId="7B214B9B" w14:textId="77777777" w:rsidTr="00D11B9D">
              <w:tc>
                <w:tcPr>
                  <w:tcW w:w="1681" w:type="pct"/>
                  <w:tcBorders>
                    <w:bottom w:val="single" w:sz="6" w:space="0" w:color="BFBFBF"/>
                  </w:tcBorders>
                  <w:shd w:val="pct5" w:color="auto" w:fill="auto"/>
                </w:tcPr>
                <w:p w14:paraId="7B14198A" w14:textId="77777777" w:rsidR="00FC14FC" w:rsidRPr="00A178F7" w:rsidRDefault="00FC14FC" w:rsidP="00D11B9D">
                  <w:pPr>
                    <w:pStyle w:val="TableBodyText"/>
                    <w:jc w:val="left"/>
                  </w:pPr>
                  <w:r w:rsidRPr="00A178F7">
                    <w:t>Unlisted property</w:t>
                  </w:r>
                </w:p>
              </w:tc>
              <w:tc>
                <w:tcPr>
                  <w:tcW w:w="2262" w:type="pct"/>
                  <w:tcBorders>
                    <w:bottom w:val="single" w:sz="6" w:space="0" w:color="BFBFBF"/>
                  </w:tcBorders>
                  <w:shd w:val="pct5" w:color="auto" w:fill="auto"/>
                </w:tcPr>
                <w:p w14:paraId="4D24BEFD" w14:textId="77777777" w:rsidR="00FC14FC" w:rsidRPr="00A178F7" w:rsidRDefault="00FC14FC" w:rsidP="00D11B9D">
                  <w:pPr>
                    <w:pStyle w:val="TableBodyText"/>
                  </w:pPr>
                  <w:r w:rsidRPr="00A178F7">
                    <w:t>100</w:t>
                  </w:r>
                </w:p>
              </w:tc>
              <w:tc>
                <w:tcPr>
                  <w:tcW w:w="1057" w:type="pct"/>
                  <w:tcBorders>
                    <w:bottom w:val="single" w:sz="6" w:space="0" w:color="BFBFBF"/>
                  </w:tcBorders>
                  <w:shd w:val="pct5" w:color="auto" w:fill="auto"/>
                </w:tcPr>
                <w:p w14:paraId="15BFD37E" w14:textId="77777777" w:rsidR="00FC14FC" w:rsidRPr="00A178F7" w:rsidRDefault="00FC14FC" w:rsidP="00D11B9D">
                  <w:pPr>
                    <w:pStyle w:val="TableBodyText"/>
                    <w:ind w:right="28"/>
                  </w:pPr>
                  <w:r w:rsidRPr="00A178F7">
                    <w:t>50</w:t>
                  </w:r>
                </w:p>
              </w:tc>
            </w:tr>
          </w:tbl>
          <w:p w14:paraId="475E7A69" w14:textId="77777777" w:rsidR="00FC14FC" w:rsidRDefault="00FC14FC" w:rsidP="00D11B9D">
            <w:pPr>
              <w:pStyle w:val="Box"/>
            </w:pPr>
          </w:p>
        </w:tc>
      </w:tr>
      <w:tr w:rsidR="00FC14FC" w14:paraId="6AC71F7B" w14:textId="77777777" w:rsidTr="00D11B9D">
        <w:tc>
          <w:tcPr>
            <w:tcW w:w="5000" w:type="pct"/>
            <w:tcBorders>
              <w:top w:val="nil"/>
              <w:left w:val="nil"/>
              <w:bottom w:val="nil"/>
              <w:right w:val="nil"/>
            </w:tcBorders>
            <w:shd w:val="clear" w:color="auto" w:fill="auto"/>
          </w:tcPr>
          <w:p w14:paraId="01C4824B" w14:textId="77777777" w:rsidR="00FC14FC" w:rsidRDefault="00FC14FC" w:rsidP="00D11B9D">
            <w:pPr>
              <w:pStyle w:val="Note"/>
              <w:rPr>
                <w:i/>
              </w:rPr>
            </w:pPr>
            <w:r w:rsidRPr="008E77FE">
              <w:rPr>
                <w:rStyle w:val="NoteLabel"/>
              </w:rPr>
              <w:t>a</w:t>
            </w:r>
            <w:r>
              <w:t xml:space="preserve"> </w:t>
            </w:r>
            <w:r>
              <w:rPr>
                <w:rFonts w:eastAsia="+mn-ea" w:cs="Arial"/>
                <w:color w:val="000000" w:themeColor="text1"/>
                <w:kern w:val="24"/>
                <w:szCs w:val="18"/>
              </w:rPr>
              <w:t>In 2017, the funds in this table represent up to 66% of total assets and 62% of member accounts of APRA</w:t>
            </w:r>
            <w:r>
              <w:rPr>
                <w:rFonts w:eastAsia="+mn-ea" w:cs="Arial"/>
                <w:color w:val="000000" w:themeColor="text1"/>
                <w:kern w:val="24"/>
                <w:szCs w:val="18"/>
              </w:rPr>
              <w:noBreakHyphen/>
              <w:t>regulated funds. The asset</w:t>
            </w:r>
            <w:r>
              <w:rPr>
                <w:rFonts w:eastAsia="+mn-ea" w:cs="Arial"/>
                <w:color w:val="000000" w:themeColor="text1"/>
                <w:kern w:val="24"/>
                <w:szCs w:val="18"/>
              </w:rPr>
              <w:noBreakHyphen/>
              <w:t xml:space="preserve">class benchmarks are as per BP2. </w:t>
            </w:r>
            <w:r w:rsidRPr="00570DA6">
              <w:t xml:space="preserve">Observations where funds did not split fixed </w:t>
            </w:r>
            <w:r>
              <w:t>income</w:t>
            </w:r>
            <w:r w:rsidRPr="00570DA6">
              <w:t xml:space="preserve"> into Australian and international categories have</w:t>
            </w:r>
            <w:r>
              <w:t xml:space="preserve"> been excluded. The total survey coverage indicates the number of retail and not</w:t>
            </w:r>
            <w:r>
              <w:noBreakHyphen/>
              <w:t>for</w:t>
            </w:r>
            <w:r>
              <w:noBreakHyphen/>
              <w:t>profit funds providing usable data on returns by asset class, but not all of these funds are represented in this table. Only funds that provided returns data for all years between 2011 and 2017 for an asset class are included in this analysis.</w:t>
            </w:r>
          </w:p>
        </w:tc>
      </w:tr>
      <w:tr w:rsidR="00FC14FC" w14:paraId="1684B89C" w14:textId="77777777" w:rsidTr="00D11B9D">
        <w:tc>
          <w:tcPr>
            <w:tcW w:w="5000" w:type="pct"/>
            <w:tcBorders>
              <w:top w:val="nil"/>
              <w:left w:val="nil"/>
              <w:bottom w:val="nil"/>
              <w:right w:val="nil"/>
            </w:tcBorders>
            <w:shd w:val="clear" w:color="auto" w:fill="auto"/>
          </w:tcPr>
          <w:p w14:paraId="740FA047" w14:textId="77777777" w:rsidR="00FC14FC" w:rsidRDefault="00FC14FC" w:rsidP="00D11B9D">
            <w:pPr>
              <w:pStyle w:val="Source"/>
            </w:pPr>
            <w:r>
              <w:rPr>
                <w:i/>
              </w:rPr>
              <w:t>Sources</w:t>
            </w:r>
            <w:r w:rsidRPr="00167F06">
              <w:t xml:space="preserve">: </w:t>
            </w:r>
            <w:r>
              <w:rPr>
                <w:rFonts w:eastAsia="+mn-ea" w:cs="Arial"/>
                <w:color w:val="000000" w:themeColor="text1"/>
                <w:kern w:val="24"/>
                <w:szCs w:val="18"/>
              </w:rPr>
              <w:t>Supplementary funds survey and financial market index data (various providers).</w:t>
            </w:r>
          </w:p>
        </w:tc>
      </w:tr>
      <w:tr w:rsidR="00FC14FC" w14:paraId="453AB394" w14:textId="77777777" w:rsidTr="00D11B9D">
        <w:tc>
          <w:tcPr>
            <w:tcW w:w="5000" w:type="pct"/>
            <w:tcBorders>
              <w:top w:val="nil"/>
              <w:left w:val="nil"/>
              <w:bottom w:val="single" w:sz="6" w:space="0" w:color="78A22F"/>
              <w:right w:val="nil"/>
            </w:tcBorders>
            <w:shd w:val="clear" w:color="auto" w:fill="auto"/>
          </w:tcPr>
          <w:p w14:paraId="7CAAF30A" w14:textId="77777777" w:rsidR="00FC14FC" w:rsidRDefault="00FC14FC" w:rsidP="00D11B9D">
            <w:pPr>
              <w:pStyle w:val="Box"/>
              <w:spacing w:before="0" w:line="120" w:lineRule="exact"/>
            </w:pPr>
          </w:p>
        </w:tc>
      </w:tr>
      <w:tr w:rsidR="00FC14FC" w:rsidRPr="000863A5" w14:paraId="68C61ABC" w14:textId="77777777" w:rsidTr="00D11B9D">
        <w:tc>
          <w:tcPr>
            <w:tcW w:w="5000" w:type="pct"/>
            <w:tcBorders>
              <w:top w:val="single" w:sz="6" w:space="0" w:color="78A22F"/>
              <w:left w:val="nil"/>
              <w:bottom w:val="nil"/>
              <w:right w:val="nil"/>
            </w:tcBorders>
          </w:tcPr>
          <w:p w14:paraId="780812CC" w14:textId="77777777" w:rsidR="00FC14FC" w:rsidRPr="00626D32" w:rsidRDefault="00FC14FC" w:rsidP="00D11B9D">
            <w:pPr>
              <w:pStyle w:val="BoxSpaceBelow"/>
            </w:pPr>
          </w:p>
        </w:tc>
      </w:tr>
    </w:tbl>
    <w:p w14:paraId="12FC9D9A" w14:textId="77777777" w:rsidR="00FC14FC" w:rsidRDefault="00FC14FC" w:rsidP="00FC14FC">
      <w:pPr>
        <w:pStyle w:val="Heading3"/>
        <w:spacing w:before="360"/>
      </w:pPr>
      <w:r>
        <w:t>The default and choice segments</w:t>
      </w:r>
    </w:p>
    <w:p w14:paraId="0036E7BA" w14:textId="77777777" w:rsidR="00FC14FC" w:rsidRDefault="00FC14FC" w:rsidP="00FC14FC">
      <w:pPr>
        <w:pStyle w:val="BodyText"/>
      </w:pPr>
      <w:r>
        <w:t>Analysis presented in chapter 2 shows that both the default and choice segments outperformed their BPs. However, this result is (marginally) sensitive to changes to the time period under analysis and the tax rate. Shortening the time frame to 2013–2017 sees the choice segment underperform, regardless of the tax rate applied to the BPs. Similarly, applying a 7.5 per cent tax rate (instead of the accumulation</w:t>
      </w:r>
      <w:r>
        <w:noBreakHyphen/>
        <w:t>segment tax rate) over 2008–2017 sees the choice segment perform below both BPs (table 4.31).</w:t>
      </w:r>
    </w:p>
    <w:p w14:paraId="556488AF" w14:textId="77777777" w:rsidR="00FC14FC" w:rsidRDefault="00FC14FC" w:rsidP="00FC14FC">
      <w:pPr>
        <w:pStyle w:val="BodyText"/>
      </w:pPr>
      <w:r w:rsidRPr="00B61BE2">
        <w:t xml:space="preserve">The default segment can be defined in multiple ways. The analysis in chapter 2 is based on current MySuper products and their predecessors. This is the Commission’s preferred definition throughout the draft report as it best captures those disengaged individuals not </w:t>
      </w:r>
      <w:r w:rsidRPr="00B61BE2">
        <w:lastRenderedPageBreak/>
        <w:t>making an active choice.</w:t>
      </w:r>
      <w:r w:rsidRPr="00B10729">
        <w:rPr>
          <w:rStyle w:val="FootnoteReference"/>
        </w:rPr>
        <w:footnoteReference w:id="18"/>
      </w:r>
      <w:r w:rsidRPr="00B61BE2">
        <w:t xml:space="preserve"> For the same reason, throughout this supplement unless otherwise stated, the default segment refers to current MySuper products and their predecessors. An alternative definition involves counting all default investment options. These are the investment options applied to new fund members, whether they join through an employer default or voluntarily, who do not actively choose their own investment option within the fund. Therefore, it captures those actively choosing a fund, but not a product. This was recommended by A</w:t>
      </w:r>
      <w:r>
        <w:t xml:space="preserve">ustralian Institute of Superannuation Trustees </w:t>
      </w:r>
      <w:r w:rsidRPr="00B61BE2">
        <w:t>(sub. 39). On this definition, default investment options on average outperform BP1 but not BP2 (figure 4.13).</w:t>
      </w:r>
    </w:p>
    <w:p w14:paraId="0CDC91AC" w14:textId="77777777" w:rsidR="00FC14FC" w:rsidRPr="005A1F5B" w:rsidRDefault="00FC14FC" w:rsidP="00FC14FC">
      <w:pPr>
        <w:pStyle w:val="BodyText"/>
        <w:rPr>
          <w:b/>
        </w:rPr>
      </w:pPr>
      <w:r>
        <w:t xml:space="preserve">As noted in chapter 2, similar results to those reported in figure 2.7 are obtained when conducting this analysis using the Rainmaker dataset (rather than SuperRatings), although the performance of the choice segment falls under BP2. </w:t>
      </w:r>
    </w:p>
    <w:p w14:paraId="04CD2B29" w14:textId="77777777" w:rsidR="00FC14FC" w:rsidRDefault="00FC14FC" w:rsidP="00FC14FC">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1212B9C3" w14:textId="77777777" w:rsidTr="00D11B9D">
        <w:trPr>
          <w:tblHeader/>
        </w:trPr>
        <w:tc>
          <w:tcPr>
            <w:tcW w:w="5000" w:type="pct"/>
            <w:tcBorders>
              <w:top w:val="single" w:sz="6" w:space="0" w:color="78A22F"/>
              <w:left w:val="nil"/>
              <w:bottom w:val="nil"/>
              <w:right w:val="nil"/>
            </w:tcBorders>
            <w:shd w:val="clear" w:color="auto" w:fill="auto"/>
          </w:tcPr>
          <w:p w14:paraId="4DFD75CC" w14:textId="77777777" w:rsidR="00FC14FC" w:rsidRDefault="00FC14FC" w:rsidP="00D11B9D">
            <w:pPr>
              <w:pStyle w:val="TableTitle"/>
            </w:pPr>
            <w:r>
              <w:rPr>
                <w:b w:val="0"/>
              </w:rPr>
              <w:t>Table 4.31</w:t>
            </w:r>
            <w:r>
              <w:tab/>
              <w:t>Choice and default (MySuper) segment</w:t>
            </w:r>
            <w:r w:rsidRPr="002F1DA8">
              <w:rPr>
                <w:rStyle w:val="NoteLabel"/>
              </w:rPr>
              <w:t>a</w:t>
            </w:r>
            <w:r>
              <w:rPr>
                <w:rStyle w:val="NoteLabel"/>
              </w:rPr>
              <w:t>,b,c</w:t>
            </w:r>
          </w:p>
          <w:p w14:paraId="0F9CEBE7" w14:textId="77777777" w:rsidR="00FC14FC" w:rsidRPr="00784A05" w:rsidRDefault="00FC14FC" w:rsidP="00D11B9D">
            <w:pPr>
              <w:pStyle w:val="Subtitle"/>
            </w:pPr>
            <w:r>
              <w:t xml:space="preserve">Tax and time period sensitivity </w:t>
            </w:r>
          </w:p>
        </w:tc>
      </w:tr>
      <w:tr w:rsidR="00FC14FC" w14:paraId="2D4641C2"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3"/>
              <w:gridCol w:w="851"/>
              <w:gridCol w:w="851"/>
              <w:gridCol w:w="968"/>
              <w:gridCol w:w="3402"/>
            </w:tblGrid>
            <w:tr w:rsidR="00FC14FC" w14:paraId="5F2BC5D2" w14:textId="77777777" w:rsidTr="00D11B9D">
              <w:trPr>
                <w:tblHeader/>
              </w:trPr>
              <w:tc>
                <w:tcPr>
                  <w:tcW w:w="1430" w:type="pct"/>
                  <w:tcBorders>
                    <w:top w:val="single" w:sz="6" w:space="0" w:color="BFBFBF"/>
                    <w:bottom w:val="single" w:sz="6" w:space="0" w:color="BFBFBF"/>
                  </w:tcBorders>
                  <w:shd w:val="clear" w:color="auto" w:fill="auto"/>
                  <w:tcMar>
                    <w:top w:w="28" w:type="dxa"/>
                  </w:tcMar>
                  <w:vAlign w:val="bottom"/>
                </w:tcPr>
                <w:p w14:paraId="736D3432" w14:textId="77777777" w:rsidR="00FC14FC" w:rsidRDefault="00FC14FC" w:rsidP="00D11B9D">
                  <w:pPr>
                    <w:pStyle w:val="TableColumnHeading"/>
                    <w:jc w:val="left"/>
                  </w:pPr>
                  <w:r>
                    <w:t>Benchmark type</w:t>
                  </w:r>
                </w:p>
              </w:tc>
              <w:tc>
                <w:tcPr>
                  <w:tcW w:w="500" w:type="pct"/>
                  <w:tcBorders>
                    <w:top w:val="single" w:sz="6" w:space="0" w:color="BFBFBF"/>
                    <w:bottom w:val="single" w:sz="6" w:space="0" w:color="BFBFBF"/>
                  </w:tcBorders>
                  <w:shd w:val="clear" w:color="auto" w:fill="auto"/>
                  <w:vAlign w:val="bottom"/>
                </w:tcPr>
                <w:p w14:paraId="3F785182" w14:textId="77777777" w:rsidR="00FC14FC" w:rsidRDefault="00FC14FC" w:rsidP="00D11B9D">
                  <w:pPr>
                    <w:pStyle w:val="TableColumnHeading"/>
                  </w:pPr>
                  <w:r>
                    <w:t>BP1 (%)</w:t>
                  </w:r>
                </w:p>
              </w:tc>
              <w:tc>
                <w:tcPr>
                  <w:tcW w:w="500" w:type="pct"/>
                  <w:tcBorders>
                    <w:top w:val="single" w:sz="6" w:space="0" w:color="BFBFBF"/>
                    <w:bottom w:val="single" w:sz="6" w:space="0" w:color="BFBFBF"/>
                  </w:tcBorders>
                  <w:shd w:val="clear" w:color="auto" w:fill="auto"/>
                  <w:vAlign w:val="bottom"/>
                </w:tcPr>
                <w:p w14:paraId="05DBBF13" w14:textId="77777777" w:rsidR="00FC14FC" w:rsidRDefault="00FC14FC" w:rsidP="00D11B9D">
                  <w:pPr>
                    <w:pStyle w:val="TableColumnHeading"/>
                  </w:pPr>
                  <w:r>
                    <w:t>BP2 (%)</w:t>
                  </w:r>
                </w:p>
              </w:tc>
              <w:tc>
                <w:tcPr>
                  <w:tcW w:w="569" w:type="pct"/>
                  <w:tcBorders>
                    <w:top w:val="single" w:sz="6" w:space="0" w:color="BFBFBF"/>
                    <w:bottom w:val="single" w:sz="6" w:space="0" w:color="BFBFBF"/>
                  </w:tcBorders>
                  <w:shd w:val="clear" w:color="auto" w:fill="auto"/>
                  <w:tcMar>
                    <w:top w:w="28" w:type="dxa"/>
                  </w:tcMar>
                  <w:vAlign w:val="bottom"/>
                </w:tcPr>
                <w:p w14:paraId="5A3DDD05" w14:textId="77777777" w:rsidR="00FC14FC" w:rsidRDefault="00FC14FC" w:rsidP="00D11B9D">
                  <w:pPr>
                    <w:pStyle w:val="TableColumnHeading"/>
                  </w:pPr>
                  <w:r>
                    <w:t>Actual return (%)</w:t>
                  </w:r>
                </w:p>
              </w:tc>
              <w:tc>
                <w:tcPr>
                  <w:tcW w:w="2000" w:type="pct"/>
                  <w:tcBorders>
                    <w:top w:val="single" w:sz="6" w:space="0" w:color="BFBFBF"/>
                    <w:bottom w:val="single" w:sz="6" w:space="0" w:color="BFBFBF"/>
                  </w:tcBorders>
                  <w:shd w:val="clear" w:color="auto" w:fill="auto"/>
                  <w:tcMar>
                    <w:top w:w="28" w:type="dxa"/>
                  </w:tcMar>
                  <w:vAlign w:val="bottom"/>
                </w:tcPr>
                <w:p w14:paraId="1254ED99" w14:textId="77777777" w:rsidR="00FC14FC" w:rsidRDefault="00FC14FC" w:rsidP="00D11B9D">
                  <w:pPr>
                    <w:pStyle w:val="TableColumnHeading"/>
                    <w:ind w:right="28"/>
                    <w:jc w:val="left"/>
                  </w:pPr>
                  <w:r>
                    <w:t>Result</w:t>
                  </w:r>
                </w:p>
              </w:tc>
            </w:tr>
            <w:tr w:rsidR="00FC14FC" w14:paraId="17C93BF7" w14:textId="77777777" w:rsidTr="00D11B9D">
              <w:tc>
                <w:tcPr>
                  <w:tcW w:w="1430" w:type="pct"/>
                  <w:tcBorders>
                    <w:top w:val="single" w:sz="6" w:space="0" w:color="BFBFBF"/>
                  </w:tcBorders>
                </w:tcPr>
                <w:p w14:paraId="2D50EED2" w14:textId="77777777" w:rsidR="00FC14FC" w:rsidRPr="0099013B" w:rsidRDefault="00FC14FC" w:rsidP="00D11B9D">
                  <w:pPr>
                    <w:pStyle w:val="TableUnitsRow"/>
                    <w:jc w:val="left"/>
                    <w:rPr>
                      <w:b/>
                    </w:rPr>
                  </w:pPr>
                  <w:r>
                    <w:rPr>
                      <w:b/>
                    </w:rPr>
                    <w:t>Choice</w:t>
                  </w:r>
                </w:p>
              </w:tc>
              <w:tc>
                <w:tcPr>
                  <w:tcW w:w="500" w:type="pct"/>
                  <w:tcBorders>
                    <w:top w:val="single" w:sz="6" w:space="0" w:color="BFBFBF"/>
                  </w:tcBorders>
                </w:tcPr>
                <w:p w14:paraId="14E6A67D" w14:textId="77777777" w:rsidR="00FC14FC" w:rsidRDefault="00FC14FC" w:rsidP="00D11B9D">
                  <w:pPr>
                    <w:pStyle w:val="TableUnitsRow"/>
                  </w:pPr>
                </w:p>
              </w:tc>
              <w:tc>
                <w:tcPr>
                  <w:tcW w:w="500" w:type="pct"/>
                  <w:tcBorders>
                    <w:top w:val="single" w:sz="6" w:space="0" w:color="BFBFBF"/>
                  </w:tcBorders>
                </w:tcPr>
                <w:p w14:paraId="6F8DC5BA" w14:textId="77777777" w:rsidR="00FC14FC" w:rsidRDefault="00FC14FC" w:rsidP="00D11B9D">
                  <w:pPr>
                    <w:pStyle w:val="TableUnitsRow"/>
                  </w:pPr>
                </w:p>
              </w:tc>
              <w:tc>
                <w:tcPr>
                  <w:tcW w:w="569" w:type="pct"/>
                  <w:tcBorders>
                    <w:top w:val="single" w:sz="6" w:space="0" w:color="BFBFBF"/>
                  </w:tcBorders>
                </w:tcPr>
                <w:p w14:paraId="2CE752E1" w14:textId="77777777" w:rsidR="00FC14FC" w:rsidRDefault="00FC14FC" w:rsidP="00D11B9D">
                  <w:pPr>
                    <w:pStyle w:val="TableUnitsRow"/>
                  </w:pPr>
                </w:p>
              </w:tc>
              <w:tc>
                <w:tcPr>
                  <w:tcW w:w="2000" w:type="pct"/>
                  <w:tcBorders>
                    <w:top w:val="single" w:sz="6" w:space="0" w:color="BFBFBF"/>
                  </w:tcBorders>
                </w:tcPr>
                <w:p w14:paraId="41634134" w14:textId="77777777" w:rsidR="00FC14FC" w:rsidRDefault="00FC14FC" w:rsidP="00D11B9D">
                  <w:pPr>
                    <w:pStyle w:val="TableUnitsRow"/>
                    <w:ind w:right="28"/>
                  </w:pPr>
                </w:p>
              </w:tc>
            </w:tr>
            <w:tr w:rsidR="00FC14FC" w14:paraId="28D1575B" w14:textId="77777777" w:rsidTr="00D11B9D">
              <w:tc>
                <w:tcPr>
                  <w:tcW w:w="1430" w:type="pct"/>
                  <w:shd w:val="clear" w:color="auto" w:fill="auto"/>
                  <w:vAlign w:val="bottom"/>
                </w:tcPr>
                <w:p w14:paraId="1E0E1E91" w14:textId="77777777" w:rsidR="00FC14FC" w:rsidRDefault="00FC14FC" w:rsidP="00D11B9D">
                  <w:pPr>
                    <w:pStyle w:val="TableUnitsRow"/>
                    <w:jc w:val="left"/>
                  </w:pPr>
                  <w:r>
                    <w:t>2005–2017 (chapter 2)</w:t>
                  </w:r>
                </w:p>
              </w:tc>
              <w:tc>
                <w:tcPr>
                  <w:tcW w:w="500" w:type="pct"/>
                  <w:shd w:val="clear" w:color="auto" w:fill="auto"/>
                  <w:vAlign w:val="bottom"/>
                </w:tcPr>
                <w:p w14:paraId="1EB75E1F" w14:textId="77777777" w:rsidR="00FC14FC" w:rsidRPr="00094A9E" w:rsidRDefault="00FC14FC" w:rsidP="00D11B9D">
                  <w:pPr>
                    <w:pStyle w:val="TableBodyText"/>
                  </w:pPr>
                  <w:r>
                    <w:t>5.98</w:t>
                  </w:r>
                </w:p>
              </w:tc>
              <w:tc>
                <w:tcPr>
                  <w:tcW w:w="500" w:type="pct"/>
                  <w:shd w:val="clear" w:color="auto" w:fill="auto"/>
                  <w:vAlign w:val="bottom"/>
                </w:tcPr>
                <w:p w14:paraId="7BA27CA3" w14:textId="77777777" w:rsidR="00FC14FC" w:rsidRPr="00094A9E" w:rsidRDefault="00FC14FC" w:rsidP="00D11B9D">
                  <w:pPr>
                    <w:pStyle w:val="TableBodyText"/>
                  </w:pPr>
                  <w:r>
                    <w:t>6.25</w:t>
                  </w:r>
                </w:p>
              </w:tc>
              <w:tc>
                <w:tcPr>
                  <w:tcW w:w="569" w:type="pct"/>
                  <w:shd w:val="clear" w:color="auto" w:fill="auto"/>
                  <w:vAlign w:val="bottom"/>
                </w:tcPr>
                <w:p w14:paraId="23946DF5" w14:textId="77777777" w:rsidR="00FC14FC" w:rsidRDefault="00FC14FC" w:rsidP="00D11B9D">
                  <w:pPr>
                    <w:pStyle w:val="TableBodyText"/>
                  </w:pPr>
                  <w:r>
                    <w:t>6.45</w:t>
                  </w:r>
                </w:p>
              </w:tc>
              <w:tc>
                <w:tcPr>
                  <w:tcW w:w="2000" w:type="pct"/>
                  <w:shd w:val="clear" w:color="auto" w:fill="auto"/>
                  <w:vAlign w:val="bottom"/>
                </w:tcPr>
                <w:p w14:paraId="104B037C" w14:textId="77777777" w:rsidR="00FC14FC" w:rsidRDefault="00FC14FC" w:rsidP="00D11B9D">
                  <w:pPr>
                    <w:pStyle w:val="TableUnitsRow"/>
                    <w:ind w:right="28"/>
                    <w:jc w:val="left"/>
                  </w:pPr>
                  <w:r>
                    <w:t>Performance above both benchmarks</w:t>
                  </w:r>
                </w:p>
              </w:tc>
            </w:tr>
            <w:tr w:rsidR="00FC14FC" w14:paraId="051B67EF" w14:textId="77777777" w:rsidTr="00D11B9D">
              <w:tc>
                <w:tcPr>
                  <w:tcW w:w="1430" w:type="pct"/>
                  <w:shd w:val="clear" w:color="auto" w:fill="F2F2F2" w:themeFill="background1" w:themeFillShade="F2"/>
                  <w:vAlign w:val="bottom"/>
                </w:tcPr>
                <w:p w14:paraId="02111774" w14:textId="77777777" w:rsidR="00FC14FC" w:rsidRDefault="00FC14FC" w:rsidP="00D11B9D">
                  <w:pPr>
                    <w:pStyle w:val="TableUnitsRow"/>
                    <w:jc w:val="left"/>
                  </w:pPr>
                  <w:r>
                    <w:t>2005–2017, 7.5% tax rate</w:t>
                  </w:r>
                </w:p>
              </w:tc>
              <w:tc>
                <w:tcPr>
                  <w:tcW w:w="500" w:type="pct"/>
                  <w:shd w:val="clear" w:color="auto" w:fill="F2F2F2" w:themeFill="background1" w:themeFillShade="F2"/>
                  <w:vAlign w:val="bottom"/>
                </w:tcPr>
                <w:p w14:paraId="64BD6500" w14:textId="77777777" w:rsidR="00FC14FC" w:rsidRPr="00094A9E" w:rsidRDefault="00FC14FC" w:rsidP="00D11B9D">
                  <w:pPr>
                    <w:pStyle w:val="TableBodyText"/>
                  </w:pPr>
                  <w:r>
                    <w:t>6.14</w:t>
                  </w:r>
                </w:p>
              </w:tc>
              <w:tc>
                <w:tcPr>
                  <w:tcW w:w="500" w:type="pct"/>
                  <w:shd w:val="clear" w:color="auto" w:fill="F2F2F2" w:themeFill="background1" w:themeFillShade="F2"/>
                  <w:vAlign w:val="bottom"/>
                </w:tcPr>
                <w:p w14:paraId="50D8A31E" w14:textId="77777777" w:rsidR="00FC14FC" w:rsidRPr="00094A9E" w:rsidRDefault="00FC14FC" w:rsidP="00D11B9D">
                  <w:pPr>
                    <w:pStyle w:val="TableBodyText"/>
                  </w:pPr>
                  <w:r>
                    <w:t>6.40</w:t>
                  </w:r>
                </w:p>
              </w:tc>
              <w:tc>
                <w:tcPr>
                  <w:tcW w:w="569" w:type="pct"/>
                  <w:shd w:val="clear" w:color="auto" w:fill="F2F2F2" w:themeFill="background1" w:themeFillShade="F2"/>
                  <w:vAlign w:val="bottom"/>
                </w:tcPr>
                <w:p w14:paraId="21F698E2" w14:textId="77777777" w:rsidR="00FC14FC" w:rsidRDefault="00FC14FC" w:rsidP="00D11B9D">
                  <w:pPr>
                    <w:pStyle w:val="TableBodyText"/>
                  </w:pPr>
                  <w:r>
                    <w:t>6.45</w:t>
                  </w:r>
                </w:p>
              </w:tc>
              <w:tc>
                <w:tcPr>
                  <w:tcW w:w="2000" w:type="pct"/>
                  <w:shd w:val="clear" w:color="auto" w:fill="F2F2F2" w:themeFill="background1" w:themeFillShade="F2"/>
                  <w:vAlign w:val="bottom"/>
                </w:tcPr>
                <w:p w14:paraId="0C53C78F" w14:textId="77777777" w:rsidR="00FC14FC" w:rsidRDefault="00FC14FC" w:rsidP="00D11B9D">
                  <w:pPr>
                    <w:pStyle w:val="TableUnitsRow"/>
                    <w:ind w:right="28"/>
                    <w:jc w:val="left"/>
                  </w:pPr>
                  <w:r>
                    <w:t>Performance above both benchmarks</w:t>
                  </w:r>
                </w:p>
              </w:tc>
            </w:tr>
            <w:tr w:rsidR="00FC14FC" w14:paraId="4B5D259F" w14:textId="77777777" w:rsidTr="00D11B9D">
              <w:tc>
                <w:tcPr>
                  <w:tcW w:w="1430" w:type="pct"/>
                  <w:shd w:val="clear" w:color="auto" w:fill="auto"/>
                  <w:vAlign w:val="bottom"/>
                </w:tcPr>
                <w:p w14:paraId="076EEB08" w14:textId="77777777" w:rsidR="00FC14FC" w:rsidRDefault="00FC14FC" w:rsidP="00D11B9D">
                  <w:pPr>
                    <w:pStyle w:val="TableBodyText"/>
                    <w:jc w:val="left"/>
                  </w:pPr>
                  <w:r>
                    <w:t>2008–2017, accumulation tax rate</w:t>
                  </w:r>
                </w:p>
              </w:tc>
              <w:tc>
                <w:tcPr>
                  <w:tcW w:w="500" w:type="pct"/>
                  <w:shd w:val="clear" w:color="auto" w:fill="auto"/>
                  <w:vAlign w:val="bottom"/>
                </w:tcPr>
                <w:p w14:paraId="453B5604" w14:textId="77777777" w:rsidR="00FC14FC" w:rsidRPr="00094A9E" w:rsidRDefault="00FC14FC" w:rsidP="00D11B9D">
                  <w:pPr>
                    <w:pStyle w:val="TableBodyText"/>
                  </w:pPr>
                  <w:r>
                    <w:t>3.70</w:t>
                  </w:r>
                </w:p>
              </w:tc>
              <w:tc>
                <w:tcPr>
                  <w:tcW w:w="500" w:type="pct"/>
                  <w:shd w:val="clear" w:color="auto" w:fill="auto"/>
                  <w:vAlign w:val="bottom"/>
                </w:tcPr>
                <w:p w14:paraId="105FB591" w14:textId="77777777" w:rsidR="00FC14FC" w:rsidRPr="00094A9E" w:rsidRDefault="00FC14FC" w:rsidP="00D11B9D">
                  <w:pPr>
                    <w:pStyle w:val="TableBodyText"/>
                  </w:pPr>
                  <w:r>
                    <w:t>4.16</w:t>
                  </w:r>
                </w:p>
              </w:tc>
              <w:tc>
                <w:tcPr>
                  <w:tcW w:w="569" w:type="pct"/>
                  <w:shd w:val="clear" w:color="auto" w:fill="auto"/>
                  <w:vAlign w:val="bottom"/>
                </w:tcPr>
                <w:p w14:paraId="42C5348C" w14:textId="77777777" w:rsidR="00FC14FC" w:rsidRDefault="00FC14FC" w:rsidP="00D11B9D">
                  <w:pPr>
                    <w:pStyle w:val="TableBodyText"/>
                  </w:pPr>
                  <w:r>
                    <w:t>4.13</w:t>
                  </w:r>
                </w:p>
              </w:tc>
              <w:tc>
                <w:tcPr>
                  <w:tcW w:w="2000" w:type="pct"/>
                  <w:shd w:val="clear" w:color="auto" w:fill="auto"/>
                  <w:vAlign w:val="bottom"/>
                </w:tcPr>
                <w:p w14:paraId="227DB388" w14:textId="77777777" w:rsidR="00FC14FC" w:rsidRDefault="00FC14FC" w:rsidP="00D11B9D">
                  <w:pPr>
                    <w:pStyle w:val="TableBodyText"/>
                    <w:ind w:right="28"/>
                    <w:jc w:val="left"/>
                  </w:pPr>
                  <w:r>
                    <w:t>Performance above BP1, but below BP2</w:t>
                  </w:r>
                </w:p>
              </w:tc>
            </w:tr>
            <w:tr w:rsidR="00FC14FC" w14:paraId="2012C92E" w14:textId="77777777" w:rsidTr="00D11B9D">
              <w:tc>
                <w:tcPr>
                  <w:tcW w:w="1430" w:type="pct"/>
                  <w:shd w:val="clear" w:color="auto" w:fill="F2F2F2" w:themeFill="background1" w:themeFillShade="F2"/>
                  <w:vAlign w:val="bottom"/>
                </w:tcPr>
                <w:p w14:paraId="4F792DF6" w14:textId="77777777" w:rsidR="00FC14FC" w:rsidRDefault="00FC14FC" w:rsidP="00D11B9D">
                  <w:pPr>
                    <w:pStyle w:val="TableBodyText"/>
                    <w:jc w:val="left"/>
                  </w:pPr>
                  <w:r>
                    <w:t xml:space="preserve">2008–2017, 7.5% tax rate </w:t>
                  </w:r>
                </w:p>
              </w:tc>
              <w:tc>
                <w:tcPr>
                  <w:tcW w:w="500" w:type="pct"/>
                  <w:shd w:val="clear" w:color="auto" w:fill="F2F2F2" w:themeFill="background1" w:themeFillShade="F2"/>
                  <w:vAlign w:val="bottom"/>
                </w:tcPr>
                <w:p w14:paraId="76E5111A" w14:textId="77777777" w:rsidR="00FC14FC" w:rsidRPr="00094A9E" w:rsidRDefault="00FC14FC" w:rsidP="00D11B9D">
                  <w:pPr>
                    <w:pStyle w:val="TableBodyText"/>
                  </w:pPr>
                  <w:r>
                    <w:t>3.84</w:t>
                  </w:r>
                </w:p>
              </w:tc>
              <w:tc>
                <w:tcPr>
                  <w:tcW w:w="500" w:type="pct"/>
                  <w:shd w:val="clear" w:color="auto" w:fill="F2F2F2" w:themeFill="background1" w:themeFillShade="F2"/>
                  <w:vAlign w:val="bottom"/>
                </w:tcPr>
                <w:p w14:paraId="4CCE1160" w14:textId="77777777" w:rsidR="00FC14FC" w:rsidRPr="00094A9E" w:rsidRDefault="00FC14FC" w:rsidP="00D11B9D">
                  <w:pPr>
                    <w:pStyle w:val="TableBodyText"/>
                  </w:pPr>
                  <w:r>
                    <w:t>4.28</w:t>
                  </w:r>
                </w:p>
              </w:tc>
              <w:tc>
                <w:tcPr>
                  <w:tcW w:w="569" w:type="pct"/>
                  <w:shd w:val="clear" w:color="auto" w:fill="F2F2F2" w:themeFill="background1" w:themeFillShade="F2"/>
                  <w:vAlign w:val="bottom"/>
                </w:tcPr>
                <w:p w14:paraId="187D5E54" w14:textId="77777777" w:rsidR="00FC14FC" w:rsidRDefault="00FC14FC" w:rsidP="00D11B9D">
                  <w:pPr>
                    <w:pStyle w:val="TableBodyText"/>
                  </w:pPr>
                  <w:r>
                    <w:t>4.13</w:t>
                  </w:r>
                </w:p>
              </w:tc>
              <w:tc>
                <w:tcPr>
                  <w:tcW w:w="2000" w:type="pct"/>
                  <w:shd w:val="clear" w:color="auto" w:fill="F2F2F2" w:themeFill="background1" w:themeFillShade="F2"/>
                  <w:vAlign w:val="bottom"/>
                </w:tcPr>
                <w:p w14:paraId="1C9876D0" w14:textId="77777777" w:rsidR="00FC14FC" w:rsidRDefault="00FC14FC" w:rsidP="00D11B9D">
                  <w:pPr>
                    <w:pStyle w:val="TableBodyText"/>
                    <w:ind w:right="28"/>
                    <w:jc w:val="left"/>
                  </w:pPr>
                  <w:r>
                    <w:t>Performance above BP1, but below BP2</w:t>
                  </w:r>
                </w:p>
              </w:tc>
            </w:tr>
            <w:tr w:rsidR="00FC14FC" w14:paraId="1896171E" w14:textId="77777777" w:rsidTr="00D11B9D">
              <w:tc>
                <w:tcPr>
                  <w:tcW w:w="1430" w:type="pct"/>
                  <w:shd w:val="clear" w:color="auto" w:fill="auto"/>
                  <w:vAlign w:val="bottom"/>
                </w:tcPr>
                <w:p w14:paraId="0BBCA55B" w14:textId="77777777" w:rsidR="00FC14FC" w:rsidRDefault="00FC14FC" w:rsidP="00D11B9D">
                  <w:pPr>
                    <w:pStyle w:val="TableBodyText"/>
                    <w:jc w:val="left"/>
                  </w:pPr>
                  <w:r>
                    <w:t>2013–2017, accumulation tax rate</w:t>
                  </w:r>
                </w:p>
              </w:tc>
              <w:tc>
                <w:tcPr>
                  <w:tcW w:w="500" w:type="pct"/>
                  <w:shd w:val="clear" w:color="auto" w:fill="auto"/>
                  <w:vAlign w:val="bottom"/>
                </w:tcPr>
                <w:p w14:paraId="5F205E03" w14:textId="77777777" w:rsidR="00FC14FC" w:rsidRPr="00094A9E" w:rsidRDefault="00FC14FC" w:rsidP="00D11B9D">
                  <w:pPr>
                    <w:pStyle w:val="TableBodyText"/>
                  </w:pPr>
                  <w:r>
                    <w:t>9.58</w:t>
                  </w:r>
                </w:p>
              </w:tc>
              <w:tc>
                <w:tcPr>
                  <w:tcW w:w="500" w:type="pct"/>
                  <w:shd w:val="clear" w:color="auto" w:fill="auto"/>
                  <w:vAlign w:val="bottom"/>
                </w:tcPr>
                <w:p w14:paraId="77C37DA4" w14:textId="77777777" w:rsidR="00FC14FC" w:rsidRPr="00094A9E" w:rsidRDefault="00FC14FC" w:rsidP="00D11B9D">
                  <w:pPr>
                    <w:pStyle w:val="TableBodyText"/>
                  </w:pPr>
                  <w:r>
                    <w:t>9.59</w:t>
                  </w:r>
                </w:p>
              </w:tc>
              <w:tc>
                <w:tcPr>
                  <w:tcW w:w="569" w:type="pct"/>
                  <w:shd w:val="clear" w:color="auto" w:fill="auto"/>
                  <w:vAlign w:val="bottom"/>
                </w:tcPr>
                <w:p w14:paraId="21B7F3A4" w14:textId="77777777" w:rsidR="00FC14FC" w:rsidRDefault="00FC14FC" w:rsidP="00D11B9D">
                  <w:pPr>
                    <w:pStyle w:val="TableBodyText"/>
                  </w:pPr>
                  <w:r>
                    <w:t>8.85</w:t>
                  </w:r>
                </w:p>
              </w:tc>
              <w:tc>
                <w:tcPr>
                  <w:tcW w:w="2000" w:type="pct"/>
                  <w:shd w:val="clear" w:color="auto" w:fill="auto"/>
                  <w:vAlign w:val="bottom"/>
                </w:tcPr>
                <w:p w14:paraId="290AA62F" w14:textId="77777777" w:rsidR="00FC14FC" w:rsidRDefault="00FC14FC" w:rsidP="00D11B9D">
                  <w:pPr>
                    <w:pStyle w:val="TableBodyText"/>
                    <w:ind w:left="720" w:right="28" w:hanging="714"/>
                    <w:jc w:val="left"/>
                  </w:pPr>
                  <w:r>
                    <w:t>Performance below both benchmarks</w:t>
                  </w:r>
                </w:p>
              </w:tc>
            </w:tr>
            <w:tr w:rsidR="00FC14FC" w14:paraId="285BA7CC" w14:textId="77777777" w:rsidTr="00D11B9D">
              <w:tc>
                <w:tcPr>
                  <w:tcW w:w="1430" w:type="pct"/>
                  <w:shd w:val="clear" w:color="auto" w:fill="F2F2F2" w:themeFill="background1" w:themeFillShade="F2"/>
                  <w:vAlign w:val="bottom"/>
                </w:tcPr>
                <w:p w14:paraId="51019CA9" w14:textId="77777777" w:rsidR="00FC14FC" w:rsidRDefault="00FC14FC" w:rsidP="00D11B9D">
                  <w:pPr>
                    <w:pStyle w:val="TableBodyText"/>
                    <w:jc w:val="left"/>
                  </w:pPr>
                  <w:r>
                    <w:t xml:space="preserve">2013–2017, 7.5% tax rate </w:t>
                  </w:r>
                </w:p>
              </w:tc>
              <w:tc>
                <w:tcPr>
                  <w:tcW w:w="500" w:type="pct"/>
                  <w:shd w:val="clear" w:color="auto" w:fill="F2F2F2" w:themeFill="background1" w:themeFillShade="F2"/>
                  <w:vAlign w:val="bottom"/>
                </w:tcPr>
                <w:p w14:paraId="45E3D32A" w14:textId="77777777" w:rsidR="00FC14FC" w:rsidRPr="00094A9E" w:rsidRDefault="00FC14FC" w:rsidP="00D11B9D">
                  <w:pPr>
                    <w:pStyle w:val="TableBodyText"/>
                  </w:pPr>
                  <w:r>
                    <w:t>9.62</w:t>
                  </w:r>
                </w:p>
              </w:tc>
              <w:tc>
                <w:tcPr>
                  <w:tcW w:w="500" w:type="pct"/>
                  <w:shd w:val="clear" w:color="auto" w:fill="F2F2F2" w:themeFill="background1" w:themeFillShade="F2"/>
                  <w:vAlign w:val="bottom"/>
                </w:tcPr>
                <w:p w14:paraId="5028CEF2" w14:textId="77777777" w:rsidR="00FC14FC" w:rsidRPr="00094A9E" w:rsidRDefault="00FC14FC" w:rsidP="00D11B9D">
                  <w:pPr>
                    <w:pStyle w:val="TableBodyText"/>
                  </w:pPr>
                  <w:r>
                    <w:t>9.63</w:t>
                  </w:r>
                </w:p>
              </w:tc>
              <w:tc>
                <w:tcPr>
                  <w:tcW w:w="569" w:type="pct"/>
                  <w:shd w:val="clear" w:color="auto" w:fill="F2F2F2" w:themeFill="background1" w:themeFillShade="F2"/>
                  <w:vAlign w:val="bottom"/>
                </w:tcPr>
                <w:p w14:paraId="4897E7D7" w14:textId="77777777" w:rsidR="00FC14FC" w:rsidRDefault="00FC14FC" w:rsidP="00D11B9D">
                  <w:pPr>
                    <w:pStyle w:val="TableBodyText"/>
                  </w:pPr>
                  <w:r>
                    <w:t>8.85</w:t>
                  </w:r>
                </w:p>
              </w:tc>
              <w:tc>
                <w:tcPr>
                  <w:tcW w:w="2000" w:type="pct"/>
                  <w:shd w:val="clear" w:color="auto" w:fill="F2F2F2" w:themeFill="background1" w:themeFillShade="F2"/>
                  <w:vAlign w:val="bottom"/>
                </w:tcPr>
                <w:p w14:paraId="06A5F95A" w14:textId="77777777" w:rsidR="00FC14FC" w:rsidRDefault="00FC14FC" w:rsidP="00D11B9D">
                  <w:pPr>
                    <w:pStyle w:val="TableBodyText"/>
                    <w:ind w:right="28"/>
                    <w:jc w:val="left"/>
                  </w:pPr>
                  <w:r>
                    <w:t>Performance below both benchmarks</w:t>
                  </w:r>
                </w:p>
              </w:tc>
            </w:tr>
            <w:tr w:rsidR="00FC14FC" w14:paraId="46AC2EF3" w14:textId="77777777" w:rsidTr="00D11B9D">
              <w:tc>
                <w:tcPr>
                  <w:tcW w:w="1430" w:type="pct"/>
                  <w:shd w:val="clear" w:color="auto" w:fill="F2F2F2" w:themeFill="background1" w:themeFillShade="F2"/>
                  <w:vAlign w:val="bottom"/>
                </w:tcPr>
                <w:p w14:paraId="5F40F621" w14:textId="77777777" w:rsidR="00FC14FC" w:rsidRDefault="00FC14FC" w:rsidP="00D11B9D">
                  <w:pPr>
                    <w:pStyle w:val="TableBodyText"/>
                    <w:jc w:val="left"/>
                  </w:pPr>
                  <w:r>
                    <w:t>2005-2017, Rainmaker sample</w:t>
                  </w:r>
                </w:p>
              </w:tc>
              <w:tc>
                <w:tcPr>
                  <w:tcW w:w="500" w:type="pct"/>
                  <w:shd w:val="clear" w:color="auto" w:fill="F2F2F2" w:themeFill="background1" w:themeFillShade="F2"/>
                  <w:vAlign w:val="bottom"/>
                </w:tcPr>
                <w:p w14:paraId="5A2F3298" w14:textId="77777777" w:rsidR="00FC14FC" w:rsidRDefault="00FC14FC" w:rsidP="00D11B9D">
                  <w:pPr>
                    <w:pStyle w:val="TableBodyText"/>
                  </w:pPr>
                  <w:r>
                    <w:t>5.98</w:t>
                  </w:r>
                </w:p>
              </w:tc>
              <w:tc>
                <w:tcPr>
                  <w:tcW w:w="500" w:type="pct"/>
                  <w:shd w:val="clear" w:color="auto" w:fill="F2F2F2" w:themeFill="background1" w:themeFillShade="F2"/>
                  <w:vAlign w:val="bottom"/>
                </w:tcPr>
                <w:p w14:paraId="5FB4CC8E" w14:textId="77777777" w:rsidR="00FC14FC" w:rsidRDefault="00FC14FC" w:rsidP="00D11B9D">
                  <w:pPr>
                    <w:pStyle w:val="TableBodyText"/>
                  </w:pPr>
                  <w:r>
                    <w:t>6.25</w:t>
                  </w:r>
                </w:p>
              </w:tc>
              <w:tc>
                <w:tcPr>
                  <w:tcW w:w="569" w:type="pct"/>
                  <w:shd w:val="clear" w:color="auto" w:fill="F2F2F2" w:themeFill="background1" w:themeFillShade="F2"/>
                  <w:vAlign w:val="bottom"/>
                </w:tcPr>
                <w:p w14:paraId="36184D89" w14:textId="77777777" w:rsidR="00FC14FC" w:rsidRDefault="00FC14FC" w:rsidP="00D11B9D">
                  <w:pPr>
                    <w:pStyle w:val="TableBodyText"/>
                  </w:pPr>
                  <w:r>
                    <w:t>6.20</w:t>
                  </w:r>
                </w:p>
              </w:tc>
              <w:tc>
                <w:tcPr>
                  <w:tcW w:w="2000" w:type="pct"/>
                  <w:shd w:val="clear" w:color="auto" w:fill="F2F2F2" w:themeFill="background1" w:themeFillShade="F2"/>
                  <w:vAlign w:val="bottom"/>
                </w:tcPr>
                <w:p w14:paraId="5D635477" w14:textId="77777777" w:rsidR="00FC14FC" w:rsidRDefault="00FC14FC" w:rsidP="00D11B9D">
                  <w:pPr>
                    <w:pStyle w:val="TableBodyText"/>
                    <w:ind w:right="28"/>
                    <w:jc w:val="left"/>
                  </w:pPr>
                  <w:r>
                    <w:t>Performance above BP1, but below BP2</w:t>
                  </w:r>
                </w:p>
              </w:tc>
            </w:tr>
            <w:tr w:rsidR="00FC14FC" w14:paraId="6B075C82" w14:textId="77777777" w:rsidTr="00D11B9D">
              <w:tc>
                <w:tcPr>
                  <w:tcW w:w="1430" w:type="pct"/>
                  <w:shd w:val="clear" w:color="auto" w:fill="auto"/>
                  <w:vAlign w:val="bottom"/>
                </w:tcPr>
                <w:p w14:paraId="5691F253" w14:textId="77777777" w:rsidR="00FC14FC" w:rsidRPr="00B17E9A" w:rsidRDefault="00FC14FC" w:rsidP="00D11B9D">
                  <w:pPr>
                    <w:pStyle w:val="TableBodyText"/>
                    <w:spacing w:before="40"/>
                    <w:jc w:val="left"/>
                    <w:rPr>
                      <w:b/>
                    </w:rPr>
                  </w:pPr>
                  <w:r>
                    <w:rPr>
                      <w:b/>
                    </w:rPr>
                    <w:t>Default (MySuper)</w:t>
                  </w:r>
                </w:p>
              </w:tc>
              <w:tc>
                <w:tcPr>
                  <w:tcW w:w="500" w:type="pct"/>
                  <w:shd w:val="clear" w:color="auto" w:fill="auto"/>
                </w:tcPr>
                <w:p w14:paraId="380A3005" w14:textId="77777777" w:rsidR="00FC14FC" w:rsidRDefault="00FC14FC" w:rsidP="00D11B9D">
                  <w:pPr>
                    <w:pStyle w:val="TableBodyText"/>
                  </w:pPr>
                </w:p>
              </w:tc>
              <w:tc>
                <w:tcPr>
                  <w:tcW w:w="500" w:type="pct"/>
                  <w:shd w:val="clear" w:color="auto" w:fill="auto"/>
                </w:tcPr>
                <w:p w14:paraId="79E10FCC" w14:textId="77777777" w:rsidR="00FC14FC" w:rsidRDefault="00FC14FC" w:rsidP="00D11B9D">
                  <w:pPr>
                    <w:pStyle w:val="TableBodyText"/>
                  </w:pPr>
                </w:p>
              </w:tc>
              <w:tc>
                <w:tcPr>
                  <w:tcW w:w="569" w:type="pct"/>
                  <w:shd w:val="clear" w:color="auto" w:fill="auto"/>
                </w:tcPr>
                <w:p w14:paraId="4A27F919" w14:textId="77777777" w:rsidR="00FC14FC" w:rsidRDefault="00FC14FC" w:rsidP="00D11B9D">
                  <w:pPr>
                    <w:pStyle w:val="TableBodyText"/>
                  </w:pPr>
                </w:p>
              </w:tc>
              <w:tc>
                <w:tcPr>
                  <w:tcW w:w="2000" w:type="pct"/>
                  <w:shd w:val="clear" w:color="auto" w:fill="auto"/>
                  <w:vAlign w:val="bottom"/>
                </w:tcPr>
                <w:p w14:paraId="7A8C14D0" w14:textId="77777777" w:rsidR="00FC14FC" w:rsidRDefault="00FC14FC" w:rsidP="00D11B9D">
                  <w:pPr>
                    <w:pStyle w:val="TableBodyText"/>
                    <w:ind w:right="28"/>
                    <w:jc w:val="left"/>
                  </w:pPr>
                </w:p>
              </w:tc>
            </w:tr>
            <w:tr w:rsidR="00FC14FC" w14:paraId="72C8A7DF" w14:textId="77777777" w:rsidTr="00D11B9D">
              <w:tc>
                <w:tcPr>
                  <w:tcW w:w="1430" w:type="pct"/>
                  <w:shd w:val="clear" w:color="auto" w:fill="auto"/>
                  <w:vAlign w:val="bottom"/>
                </w:tcPr>
                <w:p w14:paraId="1474C544" w14:textId="77777777" w:rsidR="00FC14FC" w:rsidRDefault="00FC14FC" w:rsidP="00D11B9D">
                  <w:pPr>
                    <w:pStyle w:val="TableBodyText"/>
                    <w:ind w:left="720" w:hanging="714"/>
                    <w:jc w:val="left"/>
                  </w:pPr>
                  <w:r>
                    <w:t>2005–2017 (chapter 2)</w:t>
                  </w:r>
                </w:p>
              </w:tc>
              <w:tc>
                <w:tcPr>
                  <w:tcW w:w="500" w:type="pct"/>
                  <w:shd w:val="clear" w:color="auto" w:fill="auto"/>
                  <w:vAlign w:val="bottom"/>
                </w:tcPr>
                <w:p w14:paraId="5EC073AE" w14:textId="77777777" w:rsidR="00FC14FC" w:rsidRDefault="00FC14FC" w:rsidP="00D11B9D">
                  <w:pPr>
                    <w:pStyle w:val="TableBodyText"/>
                  </w:pPr>
                  <w:r>
                    <w:rPr>
                      <w:rStyle w:val="CommentReference"/>
                    </w:rPr>
                    <w:t>5.99</w:t>
                  </w:r>
                </w:p>
              </w:tc>
              <w:tc>
                <w:tcPr>
                  <w:tcW w:w="500" w:type="pct"/>
                  <w:shd w:val="clear" w:color="auto" w:fill="auto"/>
                  <w:vAlign w:val="bottom"/>
                </w:tcPr>
                <w:p w14:paraId="1822B9F9" w14:textId="77777777" w:rsidR="00FC14FC" w:rsidRPr="00094A9E" w:rsidRDefault="00FC14FC" w:rsidP="00D11B9D">
                  <w:pPr>
                    <w:pStyle w:val="TableBodyText"/>
                  </w:pPr>
                  <w:r>
                    <w:t>6.62</w:t>
                  </w:r>
                </w:p>
              </w:tc>
              <w:tc>
                <w:tcPr>
                  <w:tcW w:w="569" w:type="pct"/>
                  <w:shd w:val="clear" w:color="auto" w:fill="auto"/>
                  <w:vAlign w:val="bottom"/>
                </w:tcPr>
                <w:p w14:paraId="07453E2E" w14:textId="77777777" w:rsidR="00FC14FC" w:rsidRDefault="00FC14FC" w:rsidP="00D11B9D">
                  <w:pPr>
                    <w:pStyle w:val="TableBodyText"/>
                  </w:pPr>
                  <w:r>
                    <w:t>7.29</w:t>
                  </w:r>
                </w:p>
              </w:tc>
              <w:tc>
                <w:tcPr>
                  <w:tcW w:w="2000" w:type="pct"/>
                  <w:shd w:val="clear" w:color="auto" w:fill="auto"/>
                  <w:vAlign w:val="bottom"/>
                </w:tcPr>
                <w:p w14:paraId="066F3172" w14:textId="77777777" w:rsidR="00FC14FC" w:rsidRDefault="00FC14FC" w:rsidP="00D11B9D">
                  <w:pPr>
                    <w:pStyle w:val="TableBodyText"/>
                    <w:ind w:left="720" w:right="28" w:hanging="714"/>
                    <w:jc w:val="left"/>
                  </w:pPr>
                  <w:r>
                    <w:t>Performance above both benchmarks</w:t>
                  </w:r>
                </w:p>
              </w:tc>
            </w:tr>
            <w:tr w:rsidR="00FC14FC" w14:paraId="5B5CBF51" w14:textId="77777777" w:rsidTr="00D11B9D">
              <w:tc>
                <w:tcPr>
                  <w:tcW w:w="1430" w:type="pct"/>
                  <w:shd w:val="clear" w:color="auto" w:fill="F2F2F2" w:themeFill="background1" w:themeFillShade="F2"/>
                  <w:vAlign w:val="bottom"/>
                </w:tcPr>
                <w:p w14:paraId="16DCFE77" w14:textId="77777777" w:rsidR="00FC14FC" w:rsidRDefault="00FC14FC" w:rsidP="00D11B9D">
                  <w:pPr>
                    <w:pStyle w:val="TableBodyText"/>
                    <w:ind w:left="720" w:hanging="714"/>
                    <w:jc w:val="left"/>
                  </w:pPr>
                  <w:r>
                    <w:t>2005–2017, 7.5% tax rate</w:t>
                  </w:r>
                </w:p>
              </w:tc>
              <w:tc>
                <w:tcPr>
                  <w:tcW w:w="500" w:type="pct"/>
                  <w:shd w:val="clear" w:color="auto" w:fill="F2F2F2" w:themeFill="background1" w:themeFillShade="F2"/>
                  <w:vAlign w:val="bottom"/>
                </w:tcPr>
                <w:p w14:paraId="371AD6CD" w14:textId="77777777" w:rsidR="00FC14FC" w:rsidRPr="00094A9E" w:rsidRDefault="00FC14FC" w:rsidP="00D11B9D">
                  <w:pPr>
                    <w:pStyle w:val="TableBodyText"/>
                    <w:rPr>
                      <w:rStyle w:val="CommentReference"/>
                      <w:rFonts w:ascii="Calibri" w:hAnsi="Calibri"/>
                      <w:b w:val="0"/>
                      <w:vanish w:val="0"/>
                      <w:color w:val="000000"/>
                      <w:sz w:val="22"/>
                      <w:szCs w:val="22"/>
                    </w:rPr>
                  </w:pPr>
                  <w:r>
                    <w:t>6.20</w:t>
                  </w:r>
                </w:p>
              </w:tc>
              <w:tc>
                <w:tcPr>
                  <w:tcW w:w="500" w:type="pct"/>
                  <w:shd w:val="clear" w:color="auto" w:fill="F2F2F2" w:themeFill="background1" w:themeFillShade="F2"/>
                  <w:vAlign w:val="bottom"/>
                </w:tcPr>
                <w:p w14:paraId="1BAF3976" w14:textId="77777777" w:rsidR="00FC14FC" w:rsidRDefault="00FC14FC" w:rsidP="00D11B9D">
                  <w:pPr>
                    <w:pStyle w:val="TableBodyText"/>
                  </w:pPr>
                  <w:r>
                    <w:t>6.78</w:t>
                  </w:r>
                </w:p>
              </w:tc>
              <w:tc>
                <w:tcPr>
                  <w:tcW w:w="569" w:type="pct"/>
                  <w:shd w:val="clear" w:color="auto" w:fill="F2F2F2" w:themeFill="background1" w:themeFillShade="F2"/>
                  <w:vAlign w:val="bottom"/>
                </w:tcPr>
                <w:p w14:paraId="2C3C262E" w14:textId="77777777" w:rsidR="00FC14FC" w:rsidRDefault="00FC14FC" w:rsidP="00D11B9D">
                  <w:pPr>
                    <w:pStyle w:val="TableBodyText"/>
                  </w:pPr>
                  <w:r>
                    <w:t>7.29</w:t>
                  </w:r>
                </w:p>
              </w:tc>
              <w:tc>
                <w:tcPr>
                  <w:tcW w:w="2000" w:type="pct"/>
                  <w:shd w:val="clear" w:color="auto" w:fill="F2F2F2" w:themeFill="background1" w:themeFillShade="F2"/>
                  <w:vAlign w:val="bottom"/>
                </w:tcPr>
                <w:p w14:paraId="1A918309" w14:textId="77777777" w:rsidR="00FC14FC" w:rsidRDefault="00FC14FC" w:rsidP="00D11B9D">
                  <w:pPr>
                    <w:pStyle w:val="TableBodyText"/>
                    <w:ind w:left="720" w:right="28" w:hanging="714"/>
                    <w:jc w:val="left"/>
                  </w:pPr>
                  <w:r>
                    <w:t>Performance above both benchmarks</w:t>
                  </w:r>
                </w:p>
              </w:tc>
            </w:tr>
            <w:tr w:rsidR="00FC14FC" w14:paraId="10F96EBE" w14:textId="77777777" w:rsidTr="00D11B9D">
              <w:tc>
                <w:tcPr>
                  <w:tcW w:w="1430" w:type="pct"/>
                  <w:shd w:val="clear" w:color="auto" w:fill="auto"/>
                  <w:vAlign w:val="bottom"/>
                </w:tcPr>
                <w:p w14:paraId="10247878" w14:textId="77777777" w:rsidR="00FC14FC" w:rsidRDefault="00FC14FC" w:rsidP="00D11B9D">
                  <w:pPr>
                    <w:pStyle w:val="TableBodyText"/>
                    <w:jc w:val="left"/>
                  </w:pPr>
                  <w:r>
                    <w:t>2008–2017, accumulation tax rate</w:t>
                  </w:r>
                </w:p>
              </w:tc>
              <w:tc>
                <w:tcPr>
                  <w:tcW w:w="500" w:type="pct"/>
                  <w:shd w:val="clear" w:color="auto" w:fill="auto"/>
                  <w:vAlign w:val="bottom"/>
                </w:tcPr>
                <w:p w14:paraId="622E589A" w14:textId="77777777" w:rsidR="00FC14FC" w:rsidRPr="00094A9E" w:rsidRDefault="00FC14FC" w:rsidP="00D11B9D">
                  <w:pPr>
                    <w:pStyle w:val="TableBodyText"/>
                  </w:pPr>
                  <w:r>
                    <w:t>3.42</w:t>
                  </w:r>
                </w:p>
              </w:tc>
              <w:tc>
                <w:tcPr>
                  <w:tcW w:w="500" w:type="pct"/>
                  <w:shd w:val="clear" w:color="auto" w:fill="auto"/>
                  <w:vAlign w:val="bottom"/>
                </w:tcPr>
                <w:p w14:paraId="2709F0F3" w14:textId="77777777" w:rsidR="00FC14FC" w:rsidRPr="00094A9E" w:rsidRDefault="00FC14FC" w:rsidP="00D11B9D">
                  <w:pPr>
                    <w:pStyle w:val="TableBodyText"/>
                  </w:pPr>
                  <w:r>
                    <w:t>4.40</w:t>
                  </w:r>
                </w:p>
              </w:tc>
              <w:tc>
                <w:tcPr>
                  <w:tcW w:w="569" w:type="pct"/>
                  <w:shd w:val="clear" w:color="auto" w:fill="auto"/>
                  <w:vAlign w:val="bottom"/>
                </w:tcPr>
                <w:p w14:paraId="436D6E6C" w14:textId="77777777" w:rsidR="00FC14FC" w:rsidRDefault="00FC14FC" w:rsidP="00D11B9D">
                  <w:pPr>
                    <w:pStyle w:val="TableBodyText"/>
                  </w:pPr>
                  <w:r>
                    <w:t>5.07</w:t>
                  </w:r>
                </w:p>
              </w:tc>
              <w:tc>
                <w:tcPr>
                  <w:tcW w:w="2000" w:type="pct"/>
                  <w:shd w:val="clear" w:color="auto" w:fill="auto"/>
                  <w:vAlign w:val="bottom"/>
                </w:tcPr>
                <w:p w14:paraId="5831FE66" w14:textId="77777777" w:rsidR="00FC14FC" w:rsidRDefault="00FC14FC" w:rsidP="00D11B9D">
                  <w:pPr>
                    <w:pStyle w:val="TableBodyText"/>
                    <w:ind w:right="28"/>
                    <w:jc w:val="left"/>
                  </w:pPr>
                  <w:r>
                    <w:t>Performance above both benchmarks</w:t>
                  </w:r>
                </w:p>
              </w:tc>
            </w:tr>
            <w:tr w:rsidR="00FC14FC" w14:paraId="74B3E2A7" w14:textId="77777777" w:rsidTr="00D11B9D">
              <w:tc>
                <w:tcPr>
                  <w:tcW w:w="1430" w:type="pct"/>
                  <w:shd w:val="clear" w:color="auto" w:fill="F2F2F2" w:themeFill="background1" w:themeFillShade="F2"/>
                  <w:vAlign w:val="bottom"/>
                </w:tcPr>
                <w:p w14:paraId="4C1A20C7" w14:textId="77777777" w:rsidR="00FC14FC" w:rsidRDefault="00FC14FC" w:rsidP="00D11B9D">
                  <w:pPr>
                    <w:pStyle w:val="TableBodyText"/>
                    <w:ind w:left="720" w:hanging="714"/>
                    <w:jc w:val="left"/>
                  </w:pPr>
                  <w:r>
                    <w:t xml:space="preserve">2008–2017, 7.5% tax rate </w:t>
                  </w:r>
                </w:p>
              </w:tc>
              <w:tc>
                <w:tcPr>
                  <w:tcW w:w="500" w:type="pct"/>
                  <w:shd w:val="clear" w:color="auto" w:fill="F2F2F2" w:themeFill="background1" w:themeFillShade="F2"/>
                  <w:vAlign w:val="bottom"/>
                </w:tcPr>
                <w:p w14:paraId="21683D26" w14:textId="77777777" w:rsidR="00FC14FC" w:rsidRPr="00094A9E" w:rsidRDefault="00FC14FC" w:rsidP="00D11B9D">
                  <w:pPr>
                    <w:pStyle w:val="TableBodyText"/>
                  </w:pPr>
                  <w:r>
                    <w:t>3.61</w:t>
                  </w:r>
                </w:p>
              </w:tc>
              <w:tc>
                <w:tcPr>
                  <w:tcW w:w="500" w:type="pct"/>
                  <w:shd w:val="clear" w:color="auto" w:fill="F2F2F2" w:themeFill="background1" w:themeFillShade="F2"/>
                  <w:vAlign w:val="bottom"/>
                </w:tcPr>
                <w:p w14:paraId="36FE9FE4" w14:textId="77777777" w:rsidR="00FC14FC" w:rsidRPr="00094A9E" w:rsidRDefault="00FC14FC" w:rsidP="00D11B9D">
                  <w:pPr>
                    <w:pStyle w:val="TableBodyText"/>
                  </w:pPr>
                  <w:r>
                    <w:t>4.54</w:t>
                  </w:r>
                </w:p>
              </w:tc>
              <w:tc>
                <w:tcPr>
                  <w:tcW w:w="569" w:type="pct"/>
                  <w:shd w:val="clear" w:color="auto" w:fill="F2F2F2" w:themeFill="background1" w:themeFillShade="F2"/>
                  <w:vAlign w:val="bottom"/>
                </w:tcPr>
                <w:p w14:paraId="6148B36F" w14:textId="77777777" w:rsidR="00FC14FC" w:rsidRDefault="00FC14FC" w:rsidP="00D11B9D">
                  <w:pPr>
                    <w:pStyle w:val="TableBodyText"/>
                  </w:pPr>
                  <w:r>
                    <w:t>5.07</w:t>
                  </w:r>
                </w:p>
              </w:tc>
              <w:tc>
                <w:tcPr>
                  <w:tcW w:w="2000" w:type="pct"/>
                  <w:shd w:val="clear" w:color="auto" w:fill="F2F2F2" w:themeFill="background1" w:themeFillShade="F2"/>
                  <w:vAlign w:val="bottom"/>
                </w:tcPr>
                <w:p w14:paraId="3D189FB6" w14:textId="77777777" w:rsidR="00FC14FC" w:rsidRDefault="00FC14FC" w:rsidP="00D11B9D">
                  <w:pPr>
                    <w:pStyle w:val="TableBodyText"/>
                    <w:ind w:left="720" w:right="28" w:hanging="714"/>
                    <w:jc w:val="left"/>
                  </w:pPr>
                  <w:r>
                    <w:t>Performance above both benchmarks</w:t>
                  </w:r>
                </w:p>
              </w:tc>
            </w:tr>
            <w:tr w:rsidR="00FC14FC" w14:paraId="0002F04C" w14:textId="77777777" w:rsidTr="00D11B9D">
              <w:tc>
                <w:tcPr>
                  <w:tcW w:w="1430" w:type="pct"/>
                  <w:shd w:val="clear" w:color="auto" w:fill="auto"/>
                  <w:vAlign w:val="bottom"/>
                </w:tcPr>
                <w:p w14:paraId="340B2332" w14:textId="77777777" w:rsidR="00FC14FC" w:rsidRDefault="00FC14FC" w:rsidP="00D11B9D">
                  <w:pPr>
                    <w:pStyle w:val="TableBodyText"/>
                    <w:jc w:val="left"/>
                  </w:pPr>
                  <w:r>
                    <w:t>2013–2017, accumulation tax rate</w:t>
                  </w:r>
                </w:p>
              </w:tc>
              <w:tc>
                <w:tcPr>
                  <w:tcW w:w="500" w:type="pct"/>
                  <w:shd w:val="clear" w:color="auto" w:fill="auto"/>
                  <w:vAlign w:val="bottom"/>
                </w:tcPr>
                <w:p w14:paraId="2A51F8D3" w14:textId="77777777" w:rsidR="00FC14FC" w:rsidRPr="00094A9E" w:rsidRDefault="00FC14FC" w:rsidP="00D11B9D">
                  <w:pPr>
                    <w:pStyle w:val="TableBodyText"/>
                  </w:pPr>
                  <w:r>
                    <w:t>10.17</w:t>
                  </w:r>
                </w:p>
              </w:tc>
              <w:tc>
                <w:tcPr>
                  <w:tcW w:w="500" w:type="pct"/>
                  <w:shd w:val="clear" w:color="auto" w:fill="auto"/>
                  <w:vAlign w:val="bottom"/>
                </w:tcPr>
                <w:p w14:paraId="25C39151" w14:textId="77777777" w:rsidR="00FC14FC" w:rsidRPr="00094A9E" w:rsidRDefault="00FC14FC" w:rsidP="00D11B9D">
                  <w:pPr>
                    <w:pStyle w:val="TableBodyText"/>
                  </w:pPr>
                  <w:r>
                    <w:t>10.28</w:t>
                  </w:r>
                </w:p>
              </w:tc>
              <w:tc>
                <w:tcPr>
                  <w:tcW w:w="569" w:type="pct"/>
                  <w:shd w:val="clear" w:color="auto" w:fill="auto"/>
                  <w:vAlign w:val="bottom"/>
                </w:tcPr>
                <w:p w14:paraId="5AAAA205" w14:textId="77777777" w:rsidR="00FC14FC" w:rsidRDefault="00FC14FC" w:rsidP="00D11B9D">
                  <w:pPr>
                    <w:pStyle w:val="TableBodyText"/>
                  </w:pPr>
                  <w:r>
                    <w:t>10.30</w:t>
                  </w:r>
                </w:p>
              </w:tc>
              <w:tc>
                <w:tcPr>
                  <w:tcW w:w="2000" w:type="pct"/>
                  <w:shd w:val="clear" w:color="auto" w:fill="auto"/>
                  <w:vAlign w:val="bottom"/>
                </w:tcPr>
                <w:p w14:paraId="5F169299" w14:textId="77777777" w:rsidR="00FC14FC" w:rsidRDefault="00FC14FC" w:rsidP="00D11B9D">
                  <w:pPr>
                    <w:pStyle w:val="TableBodyText"/>
                    <w:ind w:right="28"/>
                    <w:jc w:val="left"/>
                  </w:pPr>
                  <w:r>
                    <w:t>Performance above both benchmarks</w:t>
                  </w:r>
                </w:p>
              </w:tc>
            </w:tr>
            <w:tr w:rsidR="00FC14FC" w14:paraId="4BE305A1" w14:textId="77777777" w:rsidTr="00D11B9D">
              <w:tc>
                <w:tcPr>
                  <w:tcW w:w="1430" w:type="pct"/>
                  <w:shd w:val="clear" w:color="auto" w:fill="F2F2F2" w:themeFill="background1" w:themeFillShade="F2"/>
                  <w:vAlign w:val="bottom"/>
                </w:tcPr>
                <w:p w14:paraId="0BC938A1" w14:textId="77777777" w:rsidR="00FC14FC" w:rsidRDefault="00FC14FC" w:rsidP="00D11B9D">
                  <w:pPr>
                    <w:pStyle w:val="TableBodyText"/>
                    <w:jc w:val="left"/>
                  </w:pPr>
                  <w:r>
                    <w:t xml:space="preserve">2013–2017, 7.5% tax rate </w:t>
                  </w:r>
                </w:p>
              </w:tc>
              <w:tc>
                <w:tcPr>
                  <w:tcW w:w="500" w:type="pct"/>
                  <w:shd w:val="clear" w:color="auto" w:fill="F2F2F2" w:themeFill="background1" w:themeFillShade="F2"/>
                  <w:vAlign w:val="bottom"/>
                </w:tcPr>
                <w:p w14:paraId="418E21A0" w14:textId="77777777" w:rsidR="00FC14FC" w:rsidRPr="00094A9E" w:rsidRDefault="00FC14FC" w:rsidP="00D11B9D">
                  <w:pPr>
                    <w:pStyle w:val="TableBodyText"/>
                  </w:pPr>
                  <w:r>
                    <w:t>10.21</w:t>
                  </w:r>
                </w:p>
              </w:tc>
              <w:tc>
                <w:tcPr>
                  <w:tcW w:w="500" w:type="pct"/>
                  <w:shd w:val="clear" w:color="auto" w:fill="F2F2F2" w:themeFill="background1" w:themeFillShade="F2"/>
                  <w:vAlign w:val="bottom"/>
                </w:tcPr>
                <w:p w14:paraId="04ACD416" w14:textId="77777777" w:rsidR="00FC14FC" w:rsidRPr="00094A9E" w:rsidRDefault="00FC14FC" w:rsidP="00D11B9D">
                  <w:pPr>
                    <w:pStyle w:val="TableBodyText"/>
                  </w:pPr>
                  <w:r>
                    <w:t>10.32</w:t>
                  </w:r>
                </w:p>
              </w:tc>
              <w:tc>
                <w:tcPr>
                  <w:tcW w:w="569" w:type="pct"/>
                  <w:shd w:val="clear" w:color="auto" w:fill="F2F2F2" w:themeFill="background1" w:themeFillShade="F2"/>
                  <w:vAlign w:val="bottom"/>
                </w:tcPr>
                <w:p w14:paraId="75510C02" w14:textId="77777777" w:rsidR="00FC14FC" w:rsidRDefault="00FC14FC" w:rsidP="00D11B9D">
                  <w:pPr>
                    <w:pStyle w:val="TableBodyText"/>
                  </w:pPr>
                  <w:r>
                    <w:t>10.30</w:t>
                  </w:r>
                </w:p>
              </w:tc>
              <w:tc>
                <w:tcPr>
                  <w:tcW w:w="2000" w:type="pct"/>
                  <w:shd w:val="clear" w:color="auto" w:fill="F2F2F2" w:themeFill="background1" w:themeFillShade="F2"/>
                  <w:vAlign w:val="bottom"/>
                </w:tcPr>
                <w:p w14:paraId="41469586" w14:textId="77777777" w:rsidR="00FC14FC" w:rsidRDefault="00FC14FC" w:rsidP="00D11B9D">
                  <w:pPr>
                    <w:pStyle w:val="TableBodyText"/>
                    <w:ind w:right="28"/>
                    <w:jc w:val="left"/>
                  </w:pPr>
                  <w:r>
                    <w:t>Performance above BP1, but below BP2</w:t>
                  </w:r>
                </w:p>
              </w:tc>
            </w:tr>
            <w:tr w:rsidR="00FC14FC" w14:paraId="270187D9" w14:textId="77777777" w:rsidTr="00D11B9D">
              <w:tc>
                <w:tcPr>
                  <w:tcW w:w="1430" w:type="pct"/>
                  <w:tcBorders>
                    <w:bottom w:val="single" w:sz="6" w:space="0" w:color="BFBFBF"/>
                  </w:tcBorders>
                  <w:shd w:val="clear" w:color="auto" w:fill="F2F2F2" w:themeFill="background1" w:themeFillShade="F2"/>
                  <w:vAlign w:val="bottom"/>
                </w:tcPr>
                <w:p w14:paraId="5F5BC40F" w14:textId="77777777" w:rsidR="00FC14FC" w:rsidRDefault="00FC14FC" w:rsidP="00D11B9D">
                  <w:pPr>
                    <w:pStyle w:val="TableBodyText"/>
                    <w:jc w:val="left"/>
                  </w:pPr>
                  <w:r>
                    <w:t>2005-2017, Rainmaker sample</w:t>
                  </w:r>
                </w:p>
              </w:tc>
              <w:tc>
                <w:tcPr>
                  <w:tcW w:w="500" w:type="pct"/>
                  <w:tcBorders>
                    <w:bottom w:val="single" w:sz="6" w:space="0" w:color="BFBFBF"/>
                  </w:tcBorders>
                  <w:shd w:val="clear" w:color="auto" w:fill="F2F2F2" w:themeFill="background1" w:themeFillShade="F2"/>
                  <w:vAlign w:val="bottom"/>
                </w:tcPr>
                <w:p w14:paraId="5E7D53BB" w14:textId="77777777" w:rsidR="00FC14FC" w:rsidRDefault="00FC14FC" w:rsidP="00D11B9D">
                  <w:pPr>
                    <w:pStyle w:val="TableBodyText"/>
                  </w:pPr>
                  <w:r>
                    <w:rPr>
                      <w:rStyle w:val="CommentReference"/>
                    </w:rPr>
                    <w:t>5.99</w:t>
                  </w:r>
                </w:p>
              </w:tc>
              <w:tc>
                <w:tcPr>
                  <w:tcW w:w="500" w:type="pct"/>
                  <w:tcBorders>
                    <w:bottom w:val="single" w:sz="6" w:space="0" w:color="BFBFBF"/>
                  </w:tcBorders>
                  <w:shd w:val="clear" w:color="auto" w:fill="F2F2F2" w:themeFill="background1" w:themeFillShade="F2"/>
                  <w:vAlign w:val="bottom"/>
                </w:tcPr>
                <w:p w14:paraId="09021670" w14:textId="77777777" w:rsidR="00FC14FC" w:rsidRDefault="00FC14FC" w:rsidP="00D11B9D">
                  <w:pPr>
                    <w:pStyle w:val="TableBodyText"/>
                  </w:pPr>
                  <w:r>
                    <w:t>6.62</w:t>
                  </w:r>
                </w:p>
              </w:tc>
              <w:tc>
                <w:tcPr>
                  <w:tcW w:w="569" w:type="pct"/>
                  <w:tcBorders>
                    <w:bottom w:val="single" w:sz="6" w:space="0" w:color="BFBFBF"/>
                  </w:tcBorders>
                  <w:shd w:val="clear" w:color="auto" w:fill="F2F2F2" w:themeFill="background1" w:themeFillShade="F2"/>
                  <w:vAlign w:val="bottom"/>
                </w:tcPr>
                <w:p w14:paraId="30237093" w14:textId="77777777" w:rsidR="00FC14FC" w:rsidRDefault="00FC14FC" w:rsidP="00D11B9D">
                  <w:pPr>
                    <w:pStyle w:val="TableBodyText"/>
                  </w:pPr>
                  <w:r>
                    <w:t>6.87</w:t>
                  </w:r>
                </w:p>
              </w:tc>
              <w:tc>
                <w:tcPr>
                  <w:tcW w:w="2000" w:type="pct"/>
                  <w:tcBorders>
                    <w:bottom w:val="single" w:sz="6" w:space="0" w:color="BFBFBF"/>
                  </w:tcBorders>
                  <w:shd w:val="clear" w:color="auto" w:fill="F2F2F2" w:themeFill="background1" w:themeFillShade="F2"/>
                  <w:vAlign w:val="bottom"/>
                </w:tcPr>
                <w:p w14:paraId="5AA27F7B" w14:textId="77777777" w:rsidR="00FC14FC" w:rsidRDefault="00FC14FC" w:rsidP="00D11B9D">
                  <w:pPr>
                    <w:pStyle w:val="TableBodyText"/>
                    <w:ind w:right="28"/>
                    <w:jc w:val="left"/>
                  </w:pPr>
                  <w:r>
                    <w:t>Performance above both benchmarks</w:t>
                  </w:r>
                </w:p>
              </w:tc>
            </w:tr>
          </w:tbl>
          <w:p w14:paraId="00C55478" w14:textId="77777777" w:rsidR="00FC14FC" w:rsidRDefault="00FC14FC" w:rsidP="00D11B9D">
            <w:pPr>
              <w:pStyle w:val="Box"/>
            </w:pPr>
          </w:p>
        </w:tc>
      </w:tr>
      <w:tr w:rsidR="00FC14FC" w14:paraId="17FE0E15" w14:textId="77777777" w:rsidTr="00D11B9D">
        <w:tc>
          <w:tcPr>
            <w:tcW w:w="5000" w:type="pct"/>
            <w:tcBorders>
              <w:top w:val="nil"/>
              <w:left w:val="nil"/>
              <w:bottom w:val="nil"/>
              <w:right w:val="nil"/>
            </w:tcBorders>
            <w:shd w:val="clear" w:color="auto" w:fill="auto"/>
          </w:tcPr>
          <w:p w14:paraId="7B5571DC" w14:textId="77777777" w:rsidR="00FC14FC" w:rsidRDefault="00FC14FC" w:rsidP="00D11B9D">
            <w:pPr>
              <w:pStyle w:val="Source"/>
              <w:rPr>
                <w:i/>
              </w:rPr>
            </w:pPr>
            <w:r>
              <w:rPr>
                <w:rStyle w:val="NoteLabel"/>
              </w:rPr>
              <w:t>a</w:t>
            </w:r>
            <w:r>
              <w:t xml:space="preserve"> </w:t>
            </w:r>
            <w:r w:rsidRPr="00247263">
              <w:t>Net returns are estimated less investment fees, taxes and implicit asset</w:t>
            </w:r>
            <w:r>
              <w:noBreakHyphen/>
            </w:r>
            <w:r w:rsidRPr="00247263">
              <w:t>based administration fees. This means that some options may be reported gross of</w:t>
            </w:r>
            <w:r>
              <w:t xml:space="preserve"> </w:t>
            </w:r>
            <w:r w:rsidRPr="00247263">
              <w:t>asset</w:t>
            </w:r>
            <w:r>
              <w:t>-</w:t>
            </w:r>
            <w:r w:rsidRPr="00247263">
              <w:t>based administration fees.</w:t>
            </w:r>
            <w:r>
              <w:rPr>
                <w:b/>
                <w:bCs/>
              </w:rPr>
              <w:t xml:space="preserve"> </w:t>
            </w:r>
            <w:r>
              <w:rPr>
                <w:rStyle w:val="NoteLabel"/>
              </w:rPr>
              <w:t>b</w:t>
            </w:r>
            <w:r>
              <w:rPr>
                <w:b/>
                <w:bCs/>
              </w:rPr>
              <w:t xml:space="preserve"> </w:t>
            </w:r>
            <w:r>
              <w:t xml:space="preserve">The option type categories have been taken as given from SuperRatings data. </w:t>
            </w:r>
            <w:r>
              <w:rPr>
                <w:rStyle w:val="NoteLabel"/>
              </w:rPr>
              <w:t>c</w:t>
            </w:r>
            <w:r>
              <w:t xml:space="preserve"> </w:t>
            </w:r>
            <w:r w:rsidRPr="002D557A">
              <w:t>Th</w:t>
            </w:r>
            <w:r>
              <w:t>e</w:t>
            </w:r>
            <w:r w:rsidRPr="002D557A">
              <w:t xml:space="preserve"> analysis excludes legacy products.</w:t>
            </w:r>
          </w:p>
        </w:tc>
      </w:tr>
      <w:tr w:rsidR="00FC14FC" w14:paraId="22D1F0BE" w14:textId="77777777" w:rsidTr="00D11B9D">
        <w:tc>
          <w:tcPr>
            <w:tcW w:w="5000" w:type="pct"/>
            <w:tcBorders>
              <w:top w:val="nil"/>
              <w:left w:val="nil"/>
              <w:bottom w:val="nil"/>
              <w:right w:val="nil"/>
            </w:tcBorders>
            <w:shd w:val="clear" w:color="auto" w:fill="auto"/>
          </w:tcPr>
          <w:p w14:paraId="086EEEF5" w14:textId="77777777" w:rsidR="00FC14FC" w:rsidRDefault="00FC14FC" w:rsidP="00D11B9D">
            <w:pPr>
              <w:pStyle w:val="Source"/>
            </w:pPr>
            <w:r>
              <w:rPr>
                <w:i/>
              </w:rPr>
              <w:t>Sources</w:t>
            </w:r>
            <w:r w:rsidRPr="00167F06">
              <w:t xml:space="preserve">: </w:t>
            </w:r>
            <w:r>
              <w:t xml:space="preserve">PC analysis of unpublished APRA </w:t>
            </w:r>
            <w:r w:rsidDel="00DF46E2">
              <w:t>data</w:t>
            </w:r>
            <w:r>
              <w:t>, financial market index data (various providers) and SuperRatings data.</w:t>
            </w:r>
          </w:p>
        </w:tc>
      </w:tr>
      <w:tr w:rsidR="00FC14FC" w14:paraId="7BCD5EB8" w14:textId="77777777" w:rsidTr="00D11B9D">
        <w:tc>
          <w:tcPr>
            <w:tcW w:w="5000" w:type="pct"/>
            <w:tcBorders>
              <w:top w:val="nil"/>
              <w:left w:val="nil"/>
              <w:bottom w:val="single" w:sz="6" w:space="0" w:color="78A22F"/>
              <w:right w:val="nil"/>
            </w:tcBorders>
            <w:shd w:val="clear" w:color="auto" w:fill="auto"/>
          </w:tcPr>
          <w:p w14:paraId="6B0D644A" w14:textId="77777777" w:rsidR="00FC14FC" w:rsidRDefault="00FC14FC" w:rsidP="00D11B9D">
            <w:pPr>
              <w:pStyle w:val="Box"/>
              <w:spacing w:before="0" w:line="120" w:lineRule="exact"/>
            </w:pPr>
          </w:p>
        </w:tc>
      </w:tr>
      <w:tr w:rsidR="00FC14FC" w:rsidRPr="000863A5" w14:paraId="723A5F00" w14:textId="77777777" w:rsidTr="00D11B9D">
        <w:tc>
          <w:tcPr>
            <w:tcW w:w="5000" w:type="pct"/>
            <w:tcBorders>
              <w:top w:val="single" w:sz="6" w:space="0" w:color="78A22F"/>
              <w:left w:val="nil"/>
              <w:bottom w:val="nil"/>
              <w:right w:val="nil"/>
            </w:tcBorders>
          </w:tcPr>
          <w:p w14:paraId="10B7B228" w14:textId="77777777" w:rsidR="00FC14FC" w:rsidRPr="00626D32" w:rsidRDefault="00FC14FC" w:rsidP="00D11B9D">
            <w:pPr>
              <w:pStyle w:val="BoxSpaceBelow"/>
            </w:pPr>
          </w:p>
        </w:tc>
      </w:tr>
    </w:tbl>
    <w:p w14:paraId="445B853A"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73ECB4DE" w14:textId="77777777" w:rsidTr="00D11B9D">
        <w:trPr>
          <w:tblHeader/>
        </w:trPr>
        <w:tc>
          <w:tcPr>
            <w:tcW w:w="5000" w:type="pct"/>
            <w:tcBorders>
              <w:top w:val="single" w:sz="6" w:space="0" w:color="78A22F"/>
              <w:left w:val="nil"/>
              <w:bottom w:val="nil"/>
              <w:right w:val="nil"/>
            </w:tcBorders>
            <w:shd w:val="clear" w:color="auto" w:fill="auto"/>
          </w:tcPr>
          <w:p w14:paraId="0612D039" w14:textId="77777777" w:rsidR="00FC14FC" w:rsidRDefault="00FC14FC" w:rsidP="00D11B9D">
            <w:pPr>
              <w:pStyle w:val="FigureTitle"/>
            </w:pPr>
            <w:r w:rsidRPr="00784A05">
              <w:rPr>
                <w:b w:val="0"/>
              </w:rPr>
              <w:t xml:space="preserve">Figure </w:t>
            </w:r>
            <w:r>
              <w:rPr>
                <w:b w:val="0"/>
              </w:rPr>
              <w:t>4.13</w:t>
            </w:r>
            <w:r>
              <w:tab/>
              <w:t>A broader default definition</w:t>
            </w:r>
            <w:r w:rsidRPr="00D00059">
              <w:rPr>
                <w:rStyle w:val="NoteLabel"/>
              </w:rPr>
              <w:t>a</w:t>
            </w:r>
            <w:r>
              <w:rPr>
                <w:rStyle w:val="NoteLabel"/>
              </w:rPr>
              <w:t>,b</w:t>
            </w:r>
          </w:p>
          <w:p w14:paraId="1ACADF7E" w14:textId="77777777" w:rsidR="00FC14FC" w:rsidRPr="00176D3F" w:rsidRDefault="00FC14FC" w:rsidP="00D11B9D">
            <w:pPr>
              <w:pStyle w:val="Subtitle"/>
            </w:pPr>
            <w:r>
              <w:t>Returns compared with segment</w:t>
            </w:r>
            <w:r>
              <w:noBreakHyphen/>
              <w:t>tailored BPs, 2005</w:t>
            </w:r>
            <w:r>
              <w:noBreakHyphen/>
              <w:t>2016</w:t>
            </w:r>
          </w:p>
        </w:tc>
      </w:tr>
      <w:tr w:rsidR="00FC14FC" w14:paraId="26FB0973"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C14FC" w:rsidRPr="00B1465D" w14:paraId="24046B6D" w14:textId="77777777" w:rsidTr="00D11B9D">
              <w:trPr>
                <w:tblHeader/>
                <w:jc w:val="center"/>
              </w:trPr>
              <w:tc>
                <w:tcPr>
                  <w:tcW w:w="5000" w:type="pct"/>
                  <w:tcBorders>
                    <w:top w:val="nil"/>
                    <w:bottom w:val="nil"/>
                  </w:tcBorders>
                </w:tcPr>
                <w:p w14:paraId="5AE3AF85" w14:textId="77777777" w:rsidR="00FC14FC" w:rsidRDefault="00FC14FC" w:rsidP="00D11B9D">
                  <w:pPr>
                    <w:pStyle w:val="Figure"/>
                    <w:spacing w:before="60" w:after="60"/>
                    <w:rPr>
                      <w:rFonts w:ascii="Arial" w:hAnsi="Arial" w:cs="Arial"/>
                      <w:sz w:val="18"/>
                      <w:szCs w:val="18"/>
                    </w:rPr>
                  </w:pPr>
                  <w:r w:rsidRPr="00AC43A8">
                    <w:rPr>
                      <w:rFonts w:ascii="Arial" w:hAnsi="Arial" w:cs="Arial"/>
                      <w:noProof/>
                      <w:sz w:val="18"/>
                      <w:szCs w:val="18"/>
                    </w:rPr>
                    <w:drawing>
                      <wp:inline distT="0" distB="0" distL="0" distR="0" wp14:anchorId="69476B8A" wp14:editId="73F57F8C">
                        <wp:extent cx="5402580" cy="2661700"/>
                        <wp:effectExtent l="0" t="0" r="0" b="0"/>
                        <wp:docPr id="21" name="Picture 21" descr="Fig 4.13. This bar chart shows 13 year returns for the MySuper segment, the broader default segment (as described in the text) and the choice segment against BPs. All segments beat both BP1 and BP2. " title="A broader default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6" cstate="print">
                                  <a:extLst>
                                    <a:ext uri="{28A0092B-C50C-407E-A947-70E740481C1C}">
                                      <a14:useLocalDpi xmlns:a14="http://schemas.microsoft.com/office/drawing/2010/main" val="0"/>
                                    </a:ext>
                                  </a:extLst>
                                </a:blip>
                                <a:srcRect t="7592"/>
                                <a:stretch/>
                              </pic:blipFill>
                              <pic:spPr bwMode="auto">
                                <a:xfrm>
                                  <a:off x="0" y="0"/>
                                  <a:ext cx="5402580" cy="266170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1418"/>
                    <w:gridCol w:w="2452"/>
                    <w:gridCol w:w="2312"/>
                    <w:gridCol w:w="2312"/>
                  </w:tblGrid>
                  <w:tr w:rsidR="00FC14FC" w14:paraId="01BFBA0F" w14:textId="77777777" w:rsidTr="00D11B9D">
                    <w:tc>
                      <w:tcPr>
                        <w:tcW w:w="1418" w:type="dxa"/>
                        <w:shd w:val="clear" w:color="auto" w:fill="F2F2F2" w:themeFill="background1" w:themeFillShade="F2"/>
                      </w:tcPr>
                      <w:p w14:paraId="6BD1595B"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7076" w:type="dxa"/>
                        <w:gridSpan w:val="3"/>
                        <w:shd w:val="clear" w:color="auto" w:fill="F2F2F2" w:themeFill="background1" w:themeFillShade="F2"/>
                      </w:tcPr>
                      <w:p w14:paraId="595DE24E"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PC analysis of ABS data (</w:t>
                        </w:r>
                        <w:r w:rsidRPr="001A0DD3">
                          <w:rPr>
                            <w:rFonts w:asciiTheme="minorHAnsi" w:hAnsi="Arial" w:cstheme="minorBidi"/>
                            <w:i/>
                            <w:color w:val="000000" w:themeColor="text1"/>
                            <w:kern w:val="24"/>
                            <w:sz w:val="18"/>
                            <w:szCs w:val="18"/>
                          </w:rPr>
                          <w:t>Consumer Price Index, Australia, June 2017</w:t>
                        </w:r>
                        <w:r>
                          <w:rPr>
                            <w:rFonts w:asciiTheme="minorHAnsi" w:hAnsi="Arial" w:cstheme="minorBidi"/>
                            <w:color w:val="000000" w:themeColor="text1"/>
                            <w:kern w:val="24"/>
                            <w:sz w:val="18"/>
                            <w:szCs w:val="18"/>
                          </w:rPr>
                          <w:t xml:space="preserve">, Cat. no. 6401.0), </w:t>
                        </w:r>
                        <w:r w:rsidRPr="002B579E">
                          <w:rPr>
                            <w:rFonts w:asciiTheme="minorHAnsi" w:hAnsi="Arial" w:cstheme="minorBidi"/>
                            <w:color w:val="000000" w:themeColor="text1"/>
                            <w:kern w:val="24"/>
                            <w:sz w:val="18"/>
                            <w:szCs w:val="18"/>
                          </w:rPr>
                          <w:t xml:space="preserve">SuperRatings </w:t>
                        </w:r>
                        <w:r>
                          <w:rPr>
                            <w:rFonts w:asciiTheme="minorHAnsi" w:hAnsi="Arial" w:cstheme="minorBidi"/>
                            <w:color w:val="000000" w:themeColor="text1"/>
                            <w:kern w:val="24"/>
                            <w:sz w:val="18"/>
                            <w:szCs w:val="18"/>
                          </w:rPr>
                          <w:t>data and financial market index data (various providers).</w:t>
                        </w:r>
                      </w:p>
                    </w:tc>
                  </w:tr>
                  <w:tr w:rsidR="00FC14FC" w14:paraId="47512AB1" w14:textId="77777777" w:rsidTr="00D11B9D">
                    <w:tc>
                      <w:tcPr>
                        <w:tcW w:w="1418" w:type="dxa"/>
                        <w:shd w:val="clear" w:color="auto" w:fill="F2F2F2" w:themeFill="background1" w:themeFillShade="F2"/>
                      </w:tcPr>
                      <w:p w14:paraId="33517E42"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7076" w:type="dxa"/>
                        <w:gridSpan w:val="3"/>
                        <w:shd w:val="clear" w:color="auto" w:fill="F2F2F2" w:themeFill="background1" w:themeFillShade="F2"/>
                      </w:tcPr>
                      <w:p w14:paraId="58657548"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Segment tailored BP1 and BP2</w:t>
                        </w:r>
                      </w:p>
                    </w:tc>
                  </w:tr>
                  <w:tr w:rsidR="00FC14FC" w14:paraId="5D5455F8" w14:textId="77777777" w:rsidTr="00D11B9D">
                    <w:tc>
                      <w:tcPr>
                        <w:tcW w:w="1418" w:type="dxa"/>
                        <w:shd w:val="clear" w:color="auto" w:fill="F2F2F2" w:themeFill="background1" w:themeFillShade="F2"/>
                      </w:tcPr>
                      <w:p w14:paraId="0FDF927C" w14:textId="77777777" w:rsidR="00FC14FC" w:rsidRPr="001A0DD3" w:rsidRDefault="00FC14FC" w:rsidP="00D11B9D">
                        <w:pPr>
                          <w:pStyle w:val="Figure"/>
                          <w:spacing w:before="0" w:after="0"/>
                          <w:jc w:val="left"/>
                          <w:rPr>
                            <w:rStyle w:val="NoteLabel"/>
                          </w:rPr>
                        </w:pPr>
                        <w:r w:rsidRPr="002D6D85">
                          <w:rPr>
                            <w:rFonts w:asciiTheme="minorHAnsi" w:hAnsi="Arial" w:cstheme="minorBidi"/>
                            <w:b/>
                            <w:color w:val="000000" w:themeColor="text1"/>
                            <w:kern w:val="24"/>
                            <w:sz w:val="18"/>
                            <w:szCs w:val="18"/>
                          </w:rPr>
                          <w:t>Coverage</w:t>
                        </w:r>
                        <w:r>
                          <w:rPr>
                            <w:rStyle w:val="NoteLabel"/>
                          </w:rPr>
                          <w:t>c</w:t>
                        </w:r>
                      </w:p>
                    </w:tc>
                    <w:tc>
                      <w:tcPr>
                        <w:tcW w:w="7076" w:type="dxa"/>
                        <w:gridSpan w:val="3"/>
                        <w:shd w:val="clear" w:color="auto" w:fill="F2F2F2" w:themeFill="background1" w:themeFillShade="F2"/>
                      </w:tcPr>
                      <w:p w14:paraId="0F034BC8"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The chart shows accumulation options from APRA</w:t>
                        </w:r>
                        <w:r>
                          <w:rPr>
                            <w:rFonts w:asciiTheme="minorHAnsi" w:hAnsi="Arial" w:cstheme="minorBidi"/>
                            <w:color w:val="000000" w:themeColor="text1"/>
                            <w:kern w:val="24"/>
                            <w:sz w:val="18"/>
                            <w:szCs w:val="18"/>
                          </w:rPr>
                          <w:noBreakHyphen/>
                          <w:t>regulated funds.</w:t>
                        </w:r>
                      </w:p>
                      <w:p w14:paraId="0C7EFBFF"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In 2005, funds in the dataset represented up to 61% of total assets and 64% of member accounts of APRA</w:t>
                        </w:r>
                        <w:r>
                          <w:rPr>
                            <w:rFonts w:asciiTheme="minorHAnsi" w:hAnsi="Arial" w:cstheme="minorBidi"/>
                            <w:color w:val="000000" w:themeColor="text1"/>
                            <w:kern w:val="24"/>
                            <w:sz w:val="18"/>
                            <w:szCs w:val="18"/>
                          </w:rPr>
                          <w:noBreakHyphen/>
                          <w:t>regulated funds.</w:t>
                        </w:r>
                      </w:p>
                      <w:p w14:paraId="7E960BEC" w14:textId="77777777" w:rsidR="00FC14FC" w:rsidRPr="0039415A"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In 2017, funds in the dataset represented up to</w:t>
                        </w:r>
                        <w:r w:rsidRPr="002B579E">
                          <w:rPr>
                            <w:rFonts w:asciiTheme="minorHAnsi" w:hAnsi="Arial" w:cstheme="minorBidi"/>
                            <w:color w:val="000000" w:themeColor="text1"/>
                            <w:kern w:val="24"/>
                            <w:sz w:val="18"/>
                            <w:szCs w:val="18"/>
                          </w:rPr>
                          <w:t xml:space="preserve"> </w:t>
                        </w:r>
                        <w:r>
                          <w:rPr>
                            <w:rFonts w:asciiTheme="minorHAnsi" w:hAnsi="Arial" w:cstheme="minorBidi"/>
                            <w:color w:val="000000" w:themeColor="text1"/>
                            <w:kern w:val="24"/>
                            <w:sz w:val="18"/>
                            <w:szCs w:val="18"/>
                          </w:rPr>
                          <w:t>85</w:t>
                        </w:r>
                        <w:r w:rsidRPr="002B579E">
                          <w:rPr>
                            <w:rFonts w:asciiTheme="minorHAnsi" w:hAnsi="Arial" w:cstheme="minorBidi"/>
                            <w:color w:val="000000" w:themeColor="text1"/>
                            <w:kern w:val="24"/>
                            <w:sz w:val="18"/>
                            <w:szCs w:val="18"/>
                          </w:rPr>
                          <w:t xml:space="preserve">% of total assets and </w:t>
                        </w:r>
                        <w:r>
                          <w:rPr>
                            <w:rFonts w:asciiTheme="minorHAnsi" w:hAnsi="Arial" w:cstheme="minorBidi"/>
                            <w:color w:val="000000" w:themeColor="text1"/>
                            <w:kern w:val="24"/>
                            <w:sz w:val="18"/>
                            <w:szCs w:val="18"/>
                          </w:rPr>
                          <w:t>82</w:t>
                        </w:r>
                        <w:r w:rsidRPr="002B579E">
                          <w:rPr>
                            <w:rFonts w:asciiTheme="minorHAnsi" w:hAnsi="Arial" w:cstheme="minorBidi"/>
                            <w:color w:val="000000" w:themeColor="text1"/>
                            <w:kern w:val="24"/>
                            <w:sz w:val="18"/>
                            <w:szCs w:val="18"/>
                          </w:rPr>
                          <w:t>% of member accounts</w:t>
                        </w:r>
                        <w:r>
                          <w:rPr>
                            <w:rFonts w:asciiTheme="minorHAnsi" w:hAnsi="Arial" w:cstheme="minorBidi"/>
                            <w:color w:val="000000" w:themeColor="text1"/>
                            <w:kern w:val="24"/>
                            <w:sz w:val="18"/>
                            <w:szCs w:val="18"/>
                          </w:rPr>
                          <w:t xml:space="preserve"> of APRA</w:t>
                        </w:r>
                        <w:r>
                          <w:rPr>
                            <w:rFonts w:asciiTheme="minorHAnsi" w:hAnsi="Arial" w:cstheme="minorBidi"/>
                            <w:color w:val="000000" w:themeColor="text1"/>
                            <w:kern w:val="24"/>
                            <w:sz w:val="18"/>
                            <w:szCs w:val="18"/>
                          </w:rPr>
                          <w:noBreakHyphen/>
                          <w:t>regulated funds.</w:t>
                        </w:r>
                      </w:p>
                    </w:tc>
                  </w:tr>
                  <w:tr w:rsidR="00FC14FC" w14:paraId="13F19FA2" w14:textId="77777777" w:rsidTr="00D11B9D">
                    <w:tc>
                      <w:tcPr>
                        <w:tcW w:w="1418" w:type="dxa"/>
                        <w:shd w:val="clear" w:color="auto" w:fill="F2F2F2" w:themeFill="background1" w:themeFillShade="F2"/>
                      </w:tcPr>
                      <w:p w14:paraId="0772E10A"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452" w:type="dxa"/>
                        <w:shd w:val="clear" w:color="auto" w:fill="F2F2F2" w:themeFill="background1" w:themeFillShade="F2"/>
                      </w:tcPr>
                      <w:p w14:paraId="5D2FFD38"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15123D37"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77C321B9"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3785D335" w14:textId="77777777" w:rsidR="00FC14FC" w:rsidRPr="00B1465D" w:rsidRDefault="00FC14FC" w:rsidP="00D11B9D">
                  <w:pPr>
                    <w:pStyle w:val="Figure"/>
                    <w:spacing w:before="60" w:after="60"/>
                    <w:rPr>
                      <w:rFonts w:ascii="Arial" w:hAnsi="Arial" w:cs="Arial"/>
                      <w:sz w:val="18"/>
                      <w:szCs w:val="18"/>
                    </w:rPr>
                  </w:pPr>
                </w:p>
              </w:tc>
            </w:tr>
          </w:tbl>
          <w:p w14:paraId="5899FFE6" w14:textId="77777777" w:rsidR="00FC14FC" w:rsidRDefault="00FC14FC" w:rsidP="00D11B9D">
            <w:pPr>
              <w:pStyle w:val="Figure"/>
            </w:pPr>
          </w:p>
        </w:tc>
      </w:tr>
      <w:tr w:rsidR="00FC14FC" w:rsidRPr="00176D3F" w14:paraId="12F23C74" w14:textId="77777777" w:rsidTr="00D11B9D">
        <w:tc>
          <w:tcPr>
            <w:tcW w:w="5000" w:type="pct"/>
            <w:tcBorders>
              <w:top w:val="nil"/>
              <w:left w:val="nil"/>
              <w:bottom w:val="nil"/>
              <w:right w:val="nil"/>
            </w:tcBorders>
            <w:shd w:val="clear" w:color="auto" w:fill="auto"/>
          </w:tcPr>
          <w:p w14:paraId="07A65407" w14:textId="77777777" w:rsidR="00FC14FC" w:rsidRPr="00176D3F" w:rsidRDefault="00FC14FC" w:rsidP="00D11B9D">
            <w:pPr>
              <w:pStyle w:val="Note"/>
            </w:pPr>
            <w:r>
              <w:rPr>
                <w:rStyle w:val="NoteLabel"/>
              </w:rPr>
              <w:t>a</w:t>
            </w:r>
            <w:r>
              <w:t xml:space="preserve"> The MySuper segment includes options which could be linked to their MySuper successors. The ‘default investment options’ segment includes MySuper products and non</w:t>
            </w:r>
            <w:r>
              <w:noBreakHyphen/>
              <w:t xml:space="preserve">MySuper default products assigned to members who actively select a fund, but not an investment option. </w:t>
            </w:r>
            <w:r>
              <w:rPr>
                <w:rStyle w:val="NoteLabel"/>
              </w:rPr>
              <w:t>b</w:t>
            </w:r>
            <w:r>
              <w:t xml:space="preserve"> </w:t>
            </w:r>
            <w:r w:rsidRPr="00247263">
              <w:t>Net returns are estimated less investment fees, taxes and implicit asset</w:t>
            </w:r>
            <w:r>
              <w:t>-</w:t>
            </w:r>
            <w:r w:rsidRPr="00247263">
              <w:t>based administration fees. This means that some options may be reported gross of asset</w:t>
            </w:r>
            <w:r>
              <w:t>-</w:t>
            </w:r>
            <w:r w:rsidRPr="00247263">
              <w:t>based administration fees.</w:t>
            </w:r>
            <w:r w:rsidRPr="00247263" w:rsidDel="00D00059">
              <w:t xml:space="preserve"> </w:t>
            </w:r>
            <w:r>
              <w:rPr>
                <w:rStyle w:val="NoteLabel"/>
              </w:rPr>
              <w:t>c</w:t>
            </w:r>
            <w:r>
              <w:t xml:space="preserve"> These coverage estimates are likely to be overestimates due to the estimation method (section 4.1).</w:t>
            </w:r>
            <w:r w:rsidRPr="002D557A">
              <w:t>Th</w:t>
            </w:r>
            <w:r>
              <w:t>e</w:t>
            </w:r>
            <w:r w:rsidRPr="002D557A">
              <w:t xml:space="preserve"> analysis excludes legacy products</w:t>
            </w:r>
            <w:r>
              <w:t>.</w:t>
            </w:r>
          </w:p>
        </w:tc>
      </w:tr>
      <w:tr w:rsidR="00FC14FC" w14:paraId="6936DED7" w14:textId="77777777" w:rsidTr="00D11B9D">
        <w:tc>
          <w:tcPr>
            <w:tcW w:w="5000" w:type="pct"/>
            <w:tcBorders>
              <w:top w:val="nil"/>
              <w:left w:val="nil"/>
              <w:bottom w:val="single" w:sz="6" w:space="0" w:color="78A22F"/>
              <w:right w:val="nil"/>
            </w:tcBorders>
            <w:shd w:val="clear" w:color="auto" w:fill="auto"/>
          </w:tcPr>
          <w:p w14:paraId="7205F28C" w14:textId="77777777" w:rsidR="00FC14FC" w:rsidRDefault="00FC14FC" w:rsidP="00D11B9D">
            <w:pPr>
              <w:pStyle w:val="Figurespace"/>
            </w:pPr>
          </w:p>
        </w:tc>
      </w:tr>
      <w:tr w:rsidR="00FC14FC" w:rsidRPr="000863A5" w14:paraId="6F26E182" w14:textId="77777777" w:rsidTr="00D11B9D">
        <w:tc>
          <w:tcPr>
            <w:tcW w:w="5000" w:type="pct"/>
            <w:tcBorders>
              <w:top w:val="single" w:sz="6" w:space="0" w:color="78A22F"/>
              <w:left w:val="nil"/>
              <w:bottom w:val="nil"/>
              <w:right w:val="nil"/>
            </w:tcBorders>
          </w:tcPr>
          <w:p w14:paraId="790FD337" w14:textId="77777777" w:rsidR="00FC14FC" w:rsidRPr="00626D32" w:rsidRDefault="00FC14FC" w:rsidP="00D11B9D">
            <w:pPr>
              <w:pStyle w:val="BoxSpaceBelow"/>
            </w:pPr>
          </w:p>
        </w:tc>
      </w:tr>
    </w:tbl>
    <w:p w14:paraId="41A6343C" w14:textId="77777777" w:rsidR="00FC14FC" w:rsidRDefault="00FC14FC" w:rsidP="00FC14FC">
      <w:pPr>
        <w:pStyle w:val="Heading3"/>
      </w:pPr>
      <w:r>
        <w:t>Retail and not</w:t>
      </w:r>
      <w:r>
        <w:noBreakHyphen/>
        <w:t>for</w:t>
      </w:r>
      <w:r>
        <w:noBreakHyphen/>
        <w:t>profit segments</w:t>
      </w:r>
    </w:p>
    <w:p w14:paraId="202EACF4" w14:textId="77777777" w:rsidR="00FC14FC" w:rsidRDefault="00FC14FC" w:rsidP="00FC14FC">
      <w:pPr>
        <w:pStyle w:val="BodyText"/>
      </w:pPr>
      <w:r>
        <w:t>Analysis in chapter 2 shows that not</w:t>
      </w:r>
      <w:r>
        <w:noBreakHyphen/>
        <w:t>for</w:t>
      </w:r>
      <w:r>
        <w:noBreakHyphen/>
        <w:t xml:space="preserve">profit funds beat their tailored BPs while retail funds fall short of theirs. This result is not sensitive to the tax rates used in the BPs, or whether the analysis is confined just to funds that are still in existence. It is marginally sensitive to altering the asset allocation assumption and weighted returns by members. It is most sensitive to the time period used (table 4.32). </w:t>
      </w:r>
    </w:p>
    <w:p w14:paraId="39ADC73C" w14:textId="77777777" w:rsidR="00FC14FC" w:rsidRPr="00714571"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2EB52F73" w14:textId="77777777" w:rsidTr="00D11B9D">
        <w:trPr>
          <w:tblHeader/>
        </w:trPr>
        <w:tc>
          <w:tcPr>
            <w:tcW w:w="5000" w:type="pct"/>
            <w:tcBorders>
              <w:top w:val="single" w:sz="6" w:space="0" w:color="78A22F"/>
              <w:left w:val="nil"/>
              <w:bottom w:val="nil"/>
              <w:right w:val="nil"/>
            </w:tcBorders>
            <w:shd w:val="clear" w:color="auto" w:fill="auto"/>
          </w:tcPr>
          <w:p w14:paraId="5AC12448" w14:textId="77777777" w:rsidR="00FC14FC" w:rsidRDefault="00FC14FC" w:rsidP="00D11B9D">
            <w:pPr>
              <w:pStyle w:val="TableTitle"/>
            </w:pPr>
            <w:r>
              <w:rPr>
                <w:b w:val="0"/>
              </w:rPr>
              <w:t>Table 4.3</w:t>
            </w:r>
            <w:r w:rsidDel="00FF31C9">
              <w:rPr>
                <w:b w:val="0"/>
              </w:rPr>
              <w:t>2</w:t>
            </w:r>
            <w:r>
              <w:tab/>
              <w:t>Retail and not</w:t>
            </w:r>
            <w:r>
              <w:noBreakHyphen/>
              <w:t>for</w:t>
            </w:r>
            <w:r>
              <w:noBreakHyphen/>
              <w:t>profit segments</w:t>
            </w:r>
            <w:r w:rsidRPr="002F1DA8">
              <w:rPr>
                <w:rStyle w:val="NoteLabel"/>
              </w:rPr>
              <w:t>a</w:t>
            </w:r>
            <w:r>
              <w:rPr>
                <w:rStyle w:val="NoteLabel"/>
              </w:rPr>
              <w:t>,b,c</w:t>
            </w:r>
          </w:p>
          <w:p w14:paraId="3E99D60B" w14:textId="77777777" w:rsidR="00FC14FC" w:rsidRPr="00784A05" w:rsidRDefault="00FC14FC" w:rsidP="00D11B9D">
            <w:pPr>
              <w:pStyle w:val="Subtitle"/>
            </w:pPr>
            <w:r>
              <w:t>BP sensitivity tests, 2005–2017 unless stated otherwise</w:t>
            </w:r>
          </w:p>
        </w:tc>
      </w:tr>
      <w:tr w:rsidR="00FC14FC" w14:paraId="3D524F4D"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7"/>
              <w:gridCol w:w="709"/>
              <w:gridCol w:w="709"/>
              <w:gridCol w:w="981"/>
              <w:gridCol w:w="3269"/>
            </w:tblGrid>
            <w:tr w:rsidR="00FC14FC" w14:paraId="47F48E95" w14:textId="77777777" w:rsidTr="00D11B9D">
              <w:trPr>
                <w:tblHeader/>
              </w:trPr>
              <w:tc>
                <w:tcPr>
                  <w:tcW w:w="1667" w:type="pct"/>
                  <w:tcBorders>
                    <w:top w:val="single" w:sz="6" w:space="0" w:color="BFBFBF"/>
                    <w:bottom w:val="single" w:sz="6" w:space="0" w:color="BFBFBF"/>
                  </w:tcBorders>
                  <w:shd w:val="clear" w:color="auto" w:fill="auto"/>
                  <w:tcMar>
                    <w:top w:w="28" w:type="dxa"/>
                  </w:tcMar>
                  <w:vAlign w:val="bottom"/>
                </w:tcPr>
                <w:p w14:paraId="77EA253E" w14:textId="77777777" w:rsidR="00FC14FC" w:rsidRDefault="00FC14FC" w:rsidP="00D11B9D">
                  <w:pPr>
                    <w:pStyle w:val="TableColumnHeading"/>
                    <w:jc w:val="left"/>
                  </w:pPr>
                  <w:r>
                    <w:t>Benchmark type</w:t>
                  </w:r>
                </w:p>
              </w:tc>
              <w:tc>
                <w:tcPr>
                  <w:tcW w:w="417" w:type="pct"/>
                  <w:tcBorders>
                    <w:top w:val="single" w:sz="6" w:space="0" w:color="BFBFBF"/>
                    <w:bottom w:val="single" w:sz="6" w:space="0" w:color="BFBFBF"/>
                  </w:tcBorders>
                  <w:shd w:val="clear" w:color="auto" w:fill="auto"/>
                  <w:vAlign w:val="bottom"/>
                </w:tcPr>
                <w:p w14:paraId="6CA3ACE3" w14:textId="77777777" w:rsidR="00FC14FC" w:rsidRDefault="00FC14FC" w:rsidP="00D11B9D">
                  <w:pPr>
                    <w:pStyle w:val="TableColumnHeading"/>
                  </w:pPr>
                  <w:r>
                    <w:t>BP1 (%)</w:t>
                  </w:r>
                </w:p>
              </w:tc>
              <w:tc>
                <w:tcPr>
                  <w:tcW w:w="417" w:type="pct"/>
                  <w:tcBorders>
                    <w:top w:val="single" w:sz="6" w:space="0" w:color="BFBFBF"/>
                    <w:bottom w:val="single" w:sz="6" w:space="0" w:color="BFBFBF"/>
                  </w:tcBorders>
                  <w:shd w:val="clear" w:color="auto" w:fill="auto"/>
                  <w:vAlign w:val="bottom"/>
                </w:tcPr>
                <w:p w14:paraId="5E2C79EC" w14:textId="77777777" w:rsidR="00FC14FC" w:rsidRDefault="00FC14FC" w:rsidP="00D11B9D">
                  <w:pPr>
                    <w:pStyle w:val="TableColumnHeading"/>
                  </w:pPr>
                  <w:r>
                    <w:t>BP2 (%)</w:t>
                  </w:r>
                </w:p>
              </w:tc>
              <w:tc>
                <w:tcPr>
                  <w:tcW w:w="577" w:type="pct"/>
                  <w:tcBorders>
                    <w:top w:val="single" w:sz="6" w:space="0" w:color="BFBFBF"/>
                    <w:bottom w:val="single" w:sz="6" w:space="0" w:color="BFBFBF"/>
                  </w:tcBorders>
                  <w:shd w:val="clear" w:color="auto" w:fill="auto"/>
                  <w:tcMar>
                    <w:top w:w="28" w:type="dxa"/>
                  </w:tcMar>
                  <w:vAlign w:val="bottom"/>
                </w:tcPr>
                <w:p w14:paraId="6B4E3D81" w14:textId="77777777" w:rsidR="00FC14FC" w:rsidRDefault="00FC14FC" w:rsidP="00D11B9D">
                  <w:pPr>
                    <w:pStyle w:val="TableColumnHeading"/>
                  </w:pPr>
                  <w:r>
                    <w:t>Actual return (%)</w:t>
                  </w:r>
                </w:p>
              </w:tc>
              <w:tc>
                <w:tcPr>
                  <w:tcW w:w="1923" w:type="pct"/>
                  <w:tcBorders>
                    <w:top w:val="single" w:sz="6" w:space="0" w:color="BFBFBF"/>
                    <w:bottom w:val="single" w:sz="6" w:space="0" w:color="BFBFBF"/>
                  </w:tcBorders>
                  <w:shd w:val="clear" w:color="auto" w:fill="auto"/>
                  <w:tcMar>
                    <w:top w:w="28" w:type="dxa"/>
                  </w:tcMar>
                  <w:vAlign w:val="bottom"/>
                </w:tcPr>
                <w:p w14:paraId="339A77D9" w14:textId="77777777" w:rsidR="00FC14FC" w:rsidRDefault="00FC14FC" w:rsidP="00D11B9D">
                  <w:pPr>
                    <w:pStyle w:val="TableColumnHeading"/>
                    <w:ind w:right="28"/>
                    <w:jc w:val="left"/>
                  </w:pPr>
                  <w:r>
                    <w:t>Result</w:t>
                  </w:r>
                </w:p>
              </w:tc>
            </w:tr>
            <w:tr w:rsidR="00FC14FC" w14:paraId="2DEEB32F" w14:textId="77777777" w:rsidTr="00D11B9D">
              <w:tc>
                <w:tcPr>
                  <w:tcW w:w="1667" w:type="pct"/>
                  <w:tcBorders>
                    <w:top w:val="single" w:sz="6" w:space="0" w:color="BFBFBF"/>
                  </w:tcBorders>
                  <w:shd w:val="clear" w:color="auto" w:fill="auto"/>
                  <w:vAlign w:val="bottom"/>
                </w:tcPr>
                <w:p w14:paraId="0C0EC04D" w14:textId="77777777" w:rsidR="00FC14FC" w:rsidRPr="0099013B" w:rsidRDefault="00FC14FC" w:rsidP="00D11B9D">
                  <w:pPr>
                    <w:pStyle w:val="TableUnitsRow"/>
                    <w:jc w:val="left"/>
                    <w:rPr>
                      <w:b/>
                    </w:rPr>
                  </w:pPr>
                  <w:r>
                    <w:rPr>
                      <w:b/>
                    </w:rPr>
                    <w:t>Retail</w:t>
                  </w:r>
                </w:p>
              </w:tc>
              <w:tc>
                <w:tcPr>
                  <w:tcW w:w="417" w:type="pct"/>
                  <w:tcBorders>
                    <w:top w:val="single" w:sz="6" w:space="0" w:color="BFBFBF"/>
                  </w:tcBorders>
                  <w:shd w:val="clear" w:color="auto" w:fill="auto"/>
                  <w:vAlign w:val="bottom"/>
                </w:tcPr>
                <w:p w14:paraId="2CF3F91B" w14:textId="77777777" w:rsidR="00FC14FC" w:rsidRDefault="00FC14FC" w:rsidP="00D11B9D">
                  <w:pPr>
                    <w:pStyle w:val="TableBodyText"/>
                  </w:pPr>
                </w:p>
              </w:tc>
              <w:tc>
                <w:tcPr>
                  <w:tcW w:w="417" w:type="pct"/>
                  <w:tcBorders>
                    <w:top w:val="single" w:sz="6" w:space="0" w:color="BFBFBF"/>
                  </w:tcBorders>
                  <w:shd w:val="clear" w:color="auto" w:fill="auto"/>
                  <w:vAlign w:val="bottom"/>
                </w:tcPr>
                <w:p w14:paraId="26A83DF4" w14:textId="77777777" w:rsidR="00FC14FC" w:rsidRDefault="00FC14FC" w:rsidP="00D11B9D">
                  <w:pPr>
                    <w:pStyle w:val="TableBodyText"/>
                  </w:pPr>
                </w:p>
              </w:tc>
              <w:tc>
                <w:tcPr>
                  <w:tcW w:w="577" w:type="pct"/>
                  <w:tcBorders>
                    <w:top w:val="single" w:sz="6" w:space="0" w:color="BFBFBF"/>
                  </w:tcBorders>
                  <w:shd w:val="clear" w:color="auto" w:fill="auto"/>
                  <w:vAlign w:val="bottom"/>
                </w:tcPr>
                <w:p w14:paraId="1F5D7583" w14:textId="77777777" w:rsidR="00FC14FC" w:rsidRDefault="00FC14FC" w:rsidP="00D11B9D">
                  <w:pPr>
                    <w:pStyle w:val="TableBodyText"/>
                  </w:pPr>
                </w:p>
              </w:tc>
              <w:tc>
                <w:tcPr>
                  <w:tcW w:w="1923" w:type="pct"/>
                  <w:tcBorders>
                    <w:top w:val="single" w:sz="6" w:space="0" w:color="BFBFBF"/>
                  </w:tcBorders>
                  <w:shd w:val="clear" w:color="auto" w:fill="auto"/>
                  <w:vAlign w:val="bottom"/>
                </w:tcPr>
                <w:p w14:paraId="5F71DB16" w14:textId="77777777" w:rsidR="00FC14FC" w:rsidRDefault="00FC14FC" w:rsidP="00D11B9D">
                  <w:pPr>
                    <w:pStyle w:val="TableBodyText"/>
                    <w:jc w:val="left"/>
                  </w:pPr>
                </w:p>
              </w:tc>
            </w:tr>
            <w:tr w:rsidR="00FC14FC" w14:paraId="35F31D85" w14:textId="77777777" w:rsidTr="00D11B9D">
              <w:tc>
                <w:tcPr>
                  <w:tcW w:w="1667" w:type="pct"/>
                  <w:shd w:val="clear" w:color="auto" w:fill="auto"/>
                  <w:vAlign w:val="bottom"/>
                </w:tcPr>
                <w:p w14:paraId="395CE3E6" w14:textId="77777777" w:rsidR="00FC14FC" w:rsidRDefault="00FC14FC" w:rsidP="00D11B9D">
                  <w:pPr>
                    <w:pStyle w:val="TableBodyText"/>
                    <w:jc w:val="left"/>
                  </w:pPr>
                  <w:r>
                    <w:t>System average tax (chapter 2)</w:t>
                  </w:r>
                </w:p>
              </w:tc>
              <w:tc>
                <w:tcPr>
                  <w:tcW w:w="417" w:type="pct"/>
                  <w:shd w:val="clear" w:color="auto" w:fill="auto"/>
                  <w:vAlign w:val="bottom"/>
                </w:tcPr>
                <w:p w14:paraId="3B9FAF85" w14:textId="77777777" w:rsidR="00FC14FC" w:rsidRDefault="00FC14FC" w:rsidP="00D11B9D">
                  <w:pPr>
                    <w:pStyle w:val="TableBodyText"/>
                  </w:pPr>
                  <w:r>
                    <w:t>6.52</w:t>
                  </w:r>
                </w:p>
              </w:tc>
              <w:tc>
                <w:tcPr>
                  <w:tcW w:w="417" w:type="pct"/>
                  <w:shd w:val="clear" w:color="auto" w:fill="auto"/>
                  <w:vAlign w:val="bottom"/>
                </w:tcPr>
                <w:p w14:paraId="781D474C" w14:textId="77777777" w:rsidR="00FC14FC" w:rsidRDefault="00FC14FC" w:rsidP="00D11B9D">
                  <w:pPr>
                    <w:pStyle w:val="TableBodyText"/>
                  </w:pPr>
                  <w:r>
                    <w:t>6.62</w:t>
                  </w:r>
                </w:p>
              </w:tc>
              <w:tc>
                <w:tcPr>
                  <w:tcW w:w="577" w:type="pct"/>
                  <w:shd w:val="clear" w:color="auto" w:fill="auto"/>
                  <w:vAlign w:val="bottom"/>
                </w:tcPr>
                <w:p w14:paraId="1645217A" w14:textId="77777777" w:rsidR="00FC14FC" w:rsidRDefault="00FC14FC" w:rsidP="00D11B9D">
                  <w:pPr>
                    <w:pStyle w:val="TableBodyText"/>
                  </w:pPr>
                  <w:r>
                    <w:t>5.12</w:t>
                  </w:r>
                </w:p>
              </w:tc>
              <w:tc>
                <w:tcPr>
                  <w:tcW w:w="1923" w:type="pct"/>
                  <w:shd w:val="clear" w:color="auto" w:fill="auto"/>
                  <w:vAlign w:val="bottom"/>
                </w:tcPr>
                <w:p w14:paraId="75220A54" w14:textId="77777777" w:rsidR="00FC14FC" w:rsidRDefault="00FC14FC" w:rsidP="00D11B9D">
                  <w:pPr>
                    <w:pStyle w:val="TableBodyText"/>
                    <w:jc w:val="left"/>
                  </w:pPr>
                  <w:r>
                    <w:t>Performance below both benchmarks</w:t>
                  </w:r>
                </w:p>
              </w:tc>
            </w:tr>
            <w:tr w:rsidR="00FC14FC" w14:paraId="1FD49A26" w14:textId="77777777" w:rsidTr="00D11B9D">
              <w:tc>
                <w:tcPr>
                  <w:tcW w:w="1667" w:type="pct"/>
                  <w:shd w:val="pct5" w:color="auto" w:fill="auto"/>
                  <w:vAlign w:val="bottom"/>
                </w:tcPr>
                <w:p w14:paraId="4AC04B76" w14:textId="77777777" w:rsidR="00FC14FC" w:rsidRDefault="00FC14FC" w:rsidP="00D11B9D">
                  <w:pPr>
                    <w:pStyle w:val="TableBodyText"/>
                    <w:jc w:val="left"/>
                  </w:pPr>
                  <w:r>
                    <w:t xml:space="preserve">5% tax rate </w:t>
                  </w:r>
                </w:p>
              </w:tc>
              <w:tc>
                <w:tcPr>
                  <w:tcW w:w="417" w:type="pct"/>
                  <w:shd w:val="pct5" w:color="auto" w:fill="auto"/>
                  <w:vAlign w:val="bottom"/>
                </w:tcPr>
                <w:p w14:paraId="4E1BC708" w14:textId="77777777" w:rsidR="00FC14FC" w:rsidRDefault="00FC14FC" w:rsidP="00D11B9D">
                  <w:pPr>
                    <w:pStyle w:val="TableBodyText"/>
                  </w:pPr>
                  <w:r>
                    <w:t>6.00</w:t>
                  </w:r>
                </w:p>
              </w:tc>
              <w:tc>
                <w:tcPr>
                  <w:tcW w:w="417" w:type="pct"/>
                  <w:shd w:val="pct5" w:color="auto" w:fill="auto"/>
                  <w:vAlign w:val="bottom"/>
                </w:tcPr>
                <w:p w14:paraId="1AAF5D98" w14:textId="77777777" w:rsidR="00FC14FC" w:rsidRDefault="00FC14FC" w:rsidP="00D11B9D">
                  <w:pPr>
                    <w:pStyle w:val="TableBodyText"/>
                  </w:pPr>
                  <w:r>
                    <w:t>6.11</w:t>
                  </w:r>
                </w:p>
              </w:tc>
              <w:tc>
                <w:tcPr>
                  <w:tcW w:w="577" w:type="pct"/>
                  <w:shd w:val="pct5" w:color="auto" w:fill="auto"/>
                  <w:vAlign w:val="bottom"/>
                </w:tcPr>
                <w:p w14:paraId="54A641F8" w14:textId="77777777" w:rsidR="00FC14FC" w:rsidRDefault="00FC14FC" w:rsidP="00D11B9D">
                  <w:pPr>
                    <w:pStyle w:val="TableBodyText"/>
                  </w:pPr>
                  <w:r>
                    <w:t>5.12</w:t>
                  </w:r>
                </w:p>
              </w:tc>
              <w:tc>
                <w:tcPr>
                  <w:tcW w:w="1923" w:type="pct"/>
                  <w:shd w:val="pct5" w:color="auto" w:fill="auto"/>
                  <w:vAlign w:val="bottom"/>
                </w:tcPr>
                <w:p w14:paraId="093DB850" w14:textId="77777777" w:rsidR="00FC14FC" w:rsidRDefault="00FC14FC" w:rsidP="00D11B9D">
                  <w:pPr>
                    <w:pStyle w:val="TableBodyText"/>
                    <w:jc w:val="left"/>
                  </w:pPr>
                  <w:r>
                    <w:t>Performance below both benchmarks</w:t>
                  </w:r>
                </w:p>
              </w:tc>
            </w:tr>
            <w:tr w:rsidR="00FC14FC" w14:paraId="5A42E218" w14:textId="77777777" w:rsidTr="00D11B9D">
              <w:tc>
                <w:tcPr>
                  <w:tcW w:w="1667" w:type="pct"/>
                  <w:shd w:val="clear" w:color="auto" w:fill="auto"/>
                  <w:vAlign w:val="bottom"/>
                </w:tcPr>
                <w:p w14:paraId="3A2A696A" w14:textId="77777777" w:rsidR="00FC14FC" w:rsidRDefault="00FC14FC" w:rsidP="00D11B9D">
                  <w:pPr>
                    <w:pStyle w:val="TableBodyText"/>
                    <w:jc w:val="left"/>
                  </w:pPr>
                  <w:r>
                    <w:t>Static 2017 asset allocation</w:t>
                  </w:r>
                </w:p>
              </w:tc>
              <w:tc>
                <w:tcPr>
                  <w:tcW w:w="417" w:type="pct"/>
                  <w:shd w:val="clear" w:color="auto" w:fill="auto"/>
                  <w:vAlign w:val="bottom"/>
                </w:tcPr>
                <w:p w14:paraId="081AD789" w14:textId="77777777" w:rsidR="00FC14FC" w:rsidRDefault="00FC14FC" w:rsidP="00D11B9D">
                  <w:pPr>
                    <w:pStyle w:val="TableBodyText"/>
                  </w:pPr>
                  <w:r>
                    <w:t>6.22</w:t>
                  </w:r>
                </w:p>
              </w:tc>
              <w:tc>
                <w:tcPr>
                  <w:tcW w:w="417" w:type="pct"/>
                  <w:shd w:val="clear" w:color="auto" w:fill="auto"/>
                  <w:vAlign w:val="bottom"/>
                </w:tcPr>
                <w:p w14:paraId="08CB55F3" w14:textId="77777777" w:rsidR="00FC14FC" w:rsidRDefault="00FC14FC" w:rsidP="00D11B9D">
                  <w:pPr>
                    <w:pStyle w:val="TableBodyText"/>
                  </w:pPr>
                  <w:r>
                    <w:t>6.39</w:t>
                  </w:r>
                </w:p>
              </w:tc>
              <w:tc>
                <w:tcPr>
                  <w:tcW w:w="577" w:type="pct"/>
                  <w:shd w:val="clear" w:color="auto" w:fill="auto"/>
                  <w:vAlign w:val="bottom"/>
                </w:tcPr>
                <w:p w14:paraId="7BAD0113" w14:textId="77777777" w:rsidR="00FC14FC" w:rsidRDefault="00FC14FC" w:rsidP="00D11B9D">
                  <w:pPr>
                    <w:pStyle w:val="TableBodyText"/>
                  </w:pPr>
                  <w:r>
                    <w:t>4.91</w:t>
                  </w:r>
                </w:p>
              </w:tc>
              <w:tc>
                <w:tcPr>
                  <w:tcW w:w="1923" w:type="pct"/>
                  <w:shd w:val="clear" w:color="auto" w:fill="auto"/>
                  <w:vAlign w:val="bottom"/>
                </w:tcPr>
                <w:p w14:paraId="370F1FC7" w14:textId="77777777" w:rsidR="00FC14FC" w:rsidRDefault="00FC14FC" w:rsidP="00D11B9D">
                  <w:pPr>
                    <w:pStyle w:val="TableBodyText"/>
                    <w:jc w:val="left"/>
                  </w:pPr>
                  <w:r>
                    <w:t>Performance below both benchmarks</w:t>
                  </w:r>
                </w:p>
              </w:tc>
            </w:tr>
            <w:tr w:rsidR="00FC14FC" w14:paraId="0B3767B2" w14:textId="77777777" w:rsidTr="00D11B9D">
              <w:tc>
                <w:tcPr>
                  <w:tcW w:w="1667" w:type="pct"/>
                  <w:shd w:val="pct5" w:color="auto" w:fill="auto"/>
                  <w:vAlign w:val="bottom"/>
                </w:tcPr>
                <w:p w14:paraId="52E89386" w14:textId="77777777" w:rsidR="00FC14FC" w:rsidRDefault="00FC14FC" w:rsidP="00D11B9D">
                  <w:pPr>
                    <w:pStyle w:val="TableBodyText"/>
                    <w:jc w:val="left"/>
                  </w:pPr>
                  <w:r>
                    <w:t>Only current funds</w:t>
                  </w:r>
                  <w:r w:rsidRPr="008E77FE">
                    <w:rPr>
                      <w:rStyle w:val="NoteLabel"/>
                    </w:rPr>
                    <w:t>a</w:t>
                  </w:r>
                </w:p>
              </w:tc>
              <w:tc>
                <w:tcPr>
                  <w:tcW w:w="417" w:type="pct"/>
                  <w:shd w:val="pct5" w:color="auto" w:fill="auto"/>
                  <w:vAlign w:val="bottom"/>
                </w:tcPr>
                <w:p w14:paraId="3F706F98" w14:textId="77777777" w:rsidR="00FC14FC" w:rsidRDefault="00FC14FC" w:rsidP="00D11B9D">
                  <w:pPr>
                    <w:pStyle w:val="TableBodyText"/>
                  </w:pPr>
                  <w:r>
                    <w:t>6.52</w:t>
                  </w:r>
                </w:p>
              </w:tc>
              <w:tc>
                <w:tcPr>
                  <w:tcW w:w="417" w:type="pct"/>
                  <w:shd w:val="pct5" w:color="auto" w:fill="auto"/>
                  <w:vAlign w:val="bottom"/>
                </w:tcPr>
                <w:p w14:paraId="5775F3FB" w14:textId="77777777" w:rsidR="00FC14FC" w:rsidRDefault="00FC14FC" w:rsidP="00D11B9D">
                  <w:pPr>
                    <w:pStyle w:val="TableBodyText"/>
                  </w:pPr>
                  <w:r>
                    <w:t>6.62</w:t>
                  </w:r>
                </w:p>
              </w:tc>
              <w:tc>
                <w:tcPr>
                  <w:tcW w:w="577" w:type="pct"/>
                  <w:shd w:val="pct5" w:color="auto" w:fill="auto"/>
                  <w:vAlign w:val="bottom"/>
                </w:tcPr>
                <w:p w14:paraId="631DD540" w14:textId="77777777" w:rsidR="00FC14FC" w:rsidRDefault="00FC14FC" w:rsidP="00D11B9D">
                  <w:pPr>
                    <w:pStyle w:val="TableBodyText"/>
                  </w:pPr>
                  <w:r>
                    <w:t>5.04</w:t>
                  </w:r>
                </w:p>
              </w:tc>
              <w:tc>
                <w:tcPr>
                  <w:tcW w:w="1923" w:type="pct"/>
                  <w:shd w:val="pct5" w:color="auto" w:fill="auto"/>
                  <w:vAlign w:val="bottom"/>
                </w:tcPr>
                <w:p w14:paraId="0A8AD5C4" w14:textId="77777777" w:rsidR="00FC14FC" w:rsidRDefault="00FC14FC" w:rsidP="00D11B9D">
                  <w:pPr>
                    <w:pStyle w:val="TableBodyText"/>
                    <w:jc w:val="left"/>
                  </w:pPr>
                  <w:r>
                    <w:t>Performance below both benchmarks</w:t>
                  </w:r>
                </w:p>
              </w:tc>
            </w:tr>
            <w:tr w:rsidR="00FC14FC" w14:paraId="26A89B87" w14:textId="77777777" w:rsidTr="00D11B9D">
              <w:tc>
                <w:tcPr>
                  <w:tcW w:w="1667" w:type="pct"/>
                  <w:shd w:val="clear" w:color="auto" w:fill="auto"/>
                  <w:vAlign w:val="bottom"/>
                </w:tcPr>
                <w:p w14:paraId="6791C093" w14:textId="77777777" w:rsidR="00FC14FC" w:rsidRDefault="00FC14FC" w:rsidP="00D11B9D">
                  <w:pPr>
                    <w:pStyle w:val="TableBodyText"/>
                    <w:jc w:val="left"/>
                  </w:pPr>
                  <w:r>
                    <w:t>Member</w:t>
                  </w:r>
                  <w:r>
                    <w:noBreakHyphen/>
                    <w:t>weighted returns</w:t>
                  </w:r>
                  <w:r>
                    <w:rPr>
                      <w:rStyle w:val="NoteLabel"/>
                    </w:rPr>
                    <w:t>b</w:t>
                  </w:r>
                </w:p>
              </w:tc>
              <w:tc>
                <w:tcPr>
                  <w:tcW w:w="417" w:type="pct"/>
                  <w:shd w:val="clear" w:color="auto" w:fill="auto"/>
                  <w:vAlign w:val="bottom"/>
                </w:tcPr>
                <w:p w14:paraId="5D95A7FC" w14:textId="77777777" w:rsidR="00FC14FC" w:rsidRDefault="00FC14FC" w:rsidP="00D11B9D">
                  <w:pPr>
                    <w:pStyle w:val="TableBodyText"/>
                  </w:pPr>
                  <w:r>
                    <w:t>6.52</w:t>
                  </w:r>
                </w:p>
              </w:tc>
              <w:tc>
                <w:tcPr>
                  <w:tcW w:w="417" w:type="pct"/>
                  <w:shd w:val="clear" w:color="auto" w:fill="auto"/>
                  <w:vAlign w:val="bottom"/>
                </w:tcPr>
                <w:p w14:paraId="515A4D8E" w14:textId="77777777" w:rsidR="00FC14FC" w:rsidRDefault="00FC14FC" w:rsidP="00D11B9D">
                  <w:pPr>
                    <w:pStyle w:val="TableBodyText"/>
                  </w:pPr>
                  <w:r>
                    <w:t>6.62</w:t>
                  </w:r>
                </w:p>
              </w:tc>
              <w:tc>
                <w:tcPr>
                  <w:tcW w:w="577" w:type="pct"/>
                  <w:shd w:val="clear" w:color="auto" w:fill="auto"/>
                  <w:vAlign w:val="bottom"/>
                </w:tcPr>
                <w:p w14:paraId="105E26B7" w14:textId="77777777" w:rsidR="00FC14FC" w:rsidRDefault="00FC14FC" w:rsidP="00D11B9D">
                  <w:pPr>
                    <w:pStyle w:val="TableBodyText"/>
                  </w:pPr>
                  <w:r>
                    <w:t>5.02</w:t>
                  </w:r>
                </w:p>
              </w:tc>
              <w:tc>
                <w:tcPr>
                  <w:tcW w:w="1923" w:type="pct"/>
                  <w:shd w:val="clear" w:color="auto" w:fill="auto"/>
                  <w:vAlign w:val="bottom"/>
                </w:tcPr>
                <w:p w14:paraId="07000410" w14:textId="77777777" w:rsidR="00FC14FC" w:rsidRDefault="00FC14FC" w:rsidP="00D11B9D">
                  <w:pPr>
                    <w:pStyle w:val="TableBodyText"/>
                    <w:jc w:val="left"/>
                  </w:pPr>
                  <w:r>
                    <w:t>Performance below both benchmarks</w:t>
                  </w:r>
                </w:p>
              </w:tc>
            </w:tr>
            <w:tr w:rsidR="00FC14FC" w14:paraId="1DED91D2" w14:textId="77777777" w:rsidTr="00D11B9D">
              <w:tc>
                <w:tcPr>
                  <w:tcW w:w="1667" w:type="pct"/>
                  <w:shd w:val="pct5" w:color="auto" w:fill="auto"/>
                  <w:vAlign w:val="bottom"/>
                </w:tcPr>
                <w:p w14:paraId="2D6348FC" w14:textId="77777777" w:rsidR="00FC14FC" w:rsidRDefault="00FC14FC" w:rsidP="00D11B9D">
                  <w:pPr>
                    <w:pStyle w:val="TableBodyText"/>
                    <w:jc w:val="left"/>
                  </w:pPr>
                  <w:r>
                    <w:t>2008–2017</w:t>
                  </w:r>
                </w:p>
              </w:tc>
              <w:tc>
                <w:tcPr>
                  <w:tcW w:w="417" w:type="pct"/>
                  <w:shd w:val="pct5" w:color="auto" w:fill="auto"/>
                  <w:vAlign w:val="bottom"/>
                </w:tcPr>
                <w:p w14:paraId="54F3B533" w14:textId="77777777" w:rsidR="00FC14FC" w:rsidRDefault="00FC14FC" w:rsidP="00D11B9D">
                  <w:pPr>
                    <w:pStyle w:val="TableBodyText"/>
                  </w:pPr>
                  <w:r>
                    <w:t>4.35</w:t>
                  </w:r>
                </w:p>
              </w:tc>
              <w:tc>
                <w:tcPr>
                  <w:tcW w:w="417" w:type="pct"/>
                  <w:shd w:val="pct5" w:color="auto" w:fill="auto"/>
                  <w:vAlign w:val="bottom"/>
                </w:tcPr>
                <w:p w14:paraId="247B5493" w14:textId="77777777" w:rsidR="00FC14FC" w:rsidRDefault="00FC14FC" w:rsidP="00D11B9D">
                  <w:pPr>
                    <w:pStyle w:val="TableBodyText"/>
                  </w:pPr>
                  <w:r w:rsidDel="0010514A">
                    <w:t>4.</w:t>
                  </w:r>
                  <w:r>
                    <w:t>52</w:t>
                  </w:r>
                </w:p>
              </w:tc>
              <w:tc>
                <w:tcPr>
                  <w:tcW w:w="577" w:type="pct"/>
                  <w:shd w:val="pct5" w:color="auto" w:fill="auto"/>
                  <w:vAlign w:val="bottom"/>
                </w:tcPr>
                <w:p w14:paraId="2A684639" w14:textId="77777777" w:rsidR="00FC14FC" w:rsidRDefault="00FC14FC" w:rsidP="00D11B9D">
                  <w:pPr>
                    <w:pStyle w:val="TableBodyText"/>
                  </w:pPr>
                  <w:r>
                    <w:t>3.04</w:t>
                  </w:r>
                </w:p>
              </w:tc>
              <w:tc>
                <w:tcPr>
                  <w:tcW w:w="1923" w:type="pct"/>
                  <w:shd w:val="pct5" w:color="auto" w:fill="auto"/>
                  <w:vAlign w:val="bottom"/>
                </w:tcPr>
                <w:p w14:paraId="7D5AC2BC" w14:textId="77777777" w:rsidR="00FC14FC" w:rsidRDefault="00FC14FC" w:rsidP="00D11B9D">
                  <w:pPr>
                    <w:pStyle w:val="TableBodyText"/>
                    <w:jc w:val="left"/>
                  </w:pPr>
                  <w:r>
                    <w:t>Performance below both benchmarks</w:t>
                  </w:r>
                </w:p>
              </w:tc>
            </w:tr>
            <w:tr w:rsidR="00FC14FC" w14:paraId="45D76306" w14:textId="77777777" w:rsidTr="00D11B9D">
              <w:tc>
                <w:tcPr>
                  <w:tcW w:w="1667" w:type="pct"/>
                  <w:shd w:val="clear" w:color="auto" w:fill="auto"/>
                  <w:vAlign w:val="bottom"/>
                </w:tcPr>
                <w:p w14:paraId="3DFFF1F1" w14:textId="77777777" w:rsidR="00FC14FC" w:rsidRDefault="00FC14FC" w:rsidP="00D11B9D">
                  <w:pPr>
                    <w:pStyle w:val="TableBodyText"/>
                    <w:jc w:val="left"/>
                  </w:pPr>
                  <w:r>
                    <w:t>2013–2017</w:t>
                  </w:r>
                </w:p>
              </w:tc>
              <w:tc>
                <w:tcPr>
                  <w:tcW w:w="417" w:type="pct"/>
                  <w:shd w:val="clear" w:color="auto" w:fill="auto"/>
                  <w:vAlign w:val="bottom"/>
                </w:tcPr>
                <w:p w14:paraId="1EF17D6C" w14:textId="77777777" w:rsidR="00FC14FC" w:rsidRDefault="00FC14FC" w:rsidP="00D11B9D">
                  <w:pPr>
                    <w:pStyle w:val="TableBodyText"/>
                  </w:pPr>
                  <w:r>
                    <w:t>9.18</w:t>
                  </w:r>
                </w:p>
              </w:tc>
              <w:tc>
                <w:tcPr>
                  <w:tcW w:w="417" w:type="pct"/>
                  <w:shd w:val="clear" w:color="auto" w:fill="auto"/>
                  <w:vAlign w:val="bottom"/>
                </w:tcPr>
                <w:p w14:paraId="31656E07" w14:textId="77777777" w:rsidR="00FC14FC" w:rsidRDefault="00FC14FC" w:rsidP="00D11B9D">
                  <w:pPr>
                    <w:pStyle w:val="TableBodyText"/>
                  </w:pPr>
                  <w:r>
                    <w:t>9.25</w:t>
                  </w:r>
                </w:p>
              </w:tc>
              <w:tc>
                <w:tcPr>
                  <w:tcW w:w="577" w:type="pct"/>
                  <w:shd w:val="clear" w:color="auto" w:fill="auto"/>
                  <w:vAlign w:val="bottom"/>
                </w:tcPr>
                <w:p w14:paraId="1B3ADB8F" w14:textId="77777777" w:rsidR="00FC14FC" w:rsidRDefault="00FC14FC" w:rsidP="00D11B9D">
                  <w:pPr>
                    <w:pStyle w:val="TableBodyText"/>
                  </w:pPr>
                  <w:r>
                    <w:t>8.13</w:t>
                  </w:r>
                </w:p>
              </w:tc>
              <w:tc>
                <w:tcPr>
                  <w:tcW w:w="1923" w:type="pct"/>
                  <w:shd w:val="clear" w:color="auto" w:fill="auto"/>
                  <w:vAlign w:val="bottom"/>
                </w:tcPr>
                <w:p w14:paraId="3C05CEB2" w14:textId="77777777" w:rsidR="00FC14FC" w:rsidRDefault="00FC14FC" w:rsidP="00D11B9D">
                  <w:pPr>
                    <w:pStyle w:val="TableBodyText"/>
                    <w:jc w:val="left"/>
                  </w:pPr>
                  <w:r>
                    <w:t>Performance below both benchmarks</w:t>
                  </w:r>
                </w:p>
              </w:tc>
            </w:tr>
            <w:tr w:rsidR="00FC14FC" w14:paraId="28162E5C" w14:textId="77777777" w:rsidTr="00D11B9D">
              <w:tc>
                <w:tcPr>
                  <w:tcW w:w="1667" w:type="pct"/>
                  <w:shd w:val="pct5" w:color="auto" w:fill="auto"/>
                  <w:vAlign w:val="bottom"/>
                </w:tcPr>
                <w:p w14:paraId="72FEA748" w14:textId="77777777" w:rsidR="00FC14FC" w:rsidRDefault="00FC14FC" w:rsidP="00D11B9D">
                  <w:pPr>
                    <w:pStyle w:val="TableBodyText"/>
                    <w:jc w:val="left"/>
                  </w:pPr>
                  <w:r>
                    <w:t>No international equities hedging</w:t>
                  </w:r>
                </w:p>
              </w:tc>
              <w:tc>
                <w:tcPr>
                  <w:tcW w:w="417" w:type="pct"/>
                  <w:shd w:val="pct5" w:color="auto" w:fill="auto"/>
                  <w:vAlign w:val="bottom"/>
                </w:tcPr>
                <w:p w14:paraId="2E6467A6" w14:textId="77777777" w:rsidR="00FC14FC" w:rsidRPr="0032605D" w:rsidDel="00DA6F79" w:rsidRDefault="00FC14FC" w:rsidP="00D11B9D">
                  <w:pPr>
                    <w:pStyle w:val="TableBodyText"/>
                  </w:pPr>
                  <w:r>
                    <w:t>6.96</w:t>
                  </w:r>
                </w:p>
              </w:tc>
              <w:tc>
                <w:tcPr>
                  <w:tcW w:w="417" w:type="pct"/>
                  <w:shd w:val="pct5" w:color="auto" w:fill="auto"/>
                  <w:vAlign w:val="bottom"/>
                </w:tcPr>
                <w:p w14:paraId="5CE913C2" w14:textId="77777777" w:rsidR="00FC14FC" w:rsidRPr="0032605D" w:rsidDel="00DA6F79" w:rsidRDefault="00FC14FC" w:rsidP="00D11B9D">
                  <w:pPr>
                    <w:pStyle w:val="TableBodyText"/>
                  </w:pPr>
                  <w:r>
                    <w:t>7.06</w:t>
                  </w:r>
                </w:p>
              </w:tc>
              <w:tc>
                <w:tcPr>
                  <w:tcW w:w="577" w:type="pct"/>
                  <w:shd w:val="pct5" w:color="auto" w:fill="auto"/>
                  <w:vAlign w:val="bottom"/>
                </w:tcPr>
                <w:p w14:paraId="74A7EC1D" w14:textId="77777777" w:rsidR="00FC14FC" w:rsidRPr="0032605D" w:rsidDel="00A9088F" w:rsidRDefault="00FC14FC" w:rsidP="00D11B9D">
                  <w:pPr>
                    <w:pStyle w:val="TableBodyText"/>
                  </w:pPr>
                  <w:r>
                    <w:t>5.12</w:t>
                  </w:r>
                </w:p>
              </w:tc>
              <w:tc>
                <w:tcPr>
                  <w:tcW w:w="1923" w:type="pct"/>
                  <w:shd w:val="pct5" w:color="auto" w:fill="auto"/>
                  <w:vAlign w:val="bottom"/>
                </w:tcPr>
                <w:p w14:paraId="691A114A" w14:textId="77777777" w:rsidR="00FC14FC" w:rsidRDefault="00FC14FC" w:rsidP="00D11B9D">
                  <w:pPr>
                    <w:pStyle w:val="TableUnitsRow"/>
                    <w:ind w:right="28"/>
                    <w:jc w:val="left"/>
                  </w:pPr>
                  <w:r>
                    <w:t>Performance below both benchmarks</w:t>
                  </w:r>
                </w:p>
              </w:tc>
            </w:tr>
            <w:tr w:rsidR="00FC14FC" w14:paraId="2A8FF19F" w14:textId="77777777" w:rsidTr="00D11B9D">
              <w:tc>
                <w:tcPr>
                  <w:tcW w:w="1667" w:type="pct"/>
                  <w:shd w:val="clear" w:color="auto" w:fill="auto"/>
                  <w:vAlign w:val="bottom"/>
                </w:tcPr>
                <w:p w14:paraId="75FD372A" w14:textId="77777777" w:rsidR="00FC14FC" w:rsidRDefault="00FC14FC" w:rsidP="00D11B9D">
                  <w:pPr>
                    <w:pStyle w:val="TableBodyText"/>
                    <w:jc w:val="left"/>
                  </w:pPr>
                  <w:r>
                    <w:t>Full international equities hedging</w:t>
                  </w:r>
                </w:p>
              </w:tc>
              <w:tc>
                <w:tcPr>
                  <w:tcW w:w="417" w:type="pct"/>
                  <w:shd w:val="clear" w:color="auto" w:fill="auto"/>
                  <w:vAlign w:val="bottom"/>
                </w:tcPr>
                <w:p w14:paraId="0E3A4BDC" w14:textId="77777777" w:rsidR="00FC14FC" w:rsidRPr="0032605D" w:rsidDel="00DA6F79" w:rsidRDefault="00FC14FC" w:rsidP="00D11B9D">
                  <w:pPr>
                    <w:pStyle w:val="TableBodyText"/>
                  </w:pPr>
                  <w:r>
                    <w:t>6.99</w:t>
                  </w:r>
                </w:p>
              </w:tc>
              <w:tc>
                <w:tcPr>
                  <w:tcW w:w="417" w:type="pct"/>
                  <w:shd w:val="clear" w:color="auto" w:fill="auto"/>
                  <w:vAlign w:val="bottom"/>
                </w:tcPr>
                <w:p w14:paraId="6D7CE54D" w14:textId="77777777" w:rsidR="00FC14FC" w:rsidRPr="0032605D" w:rsidDel="00DA6F79" w:rsidRDefault="00FC14FC" w:rsidP="00D11B9D">
                  <w:pPr>
                    <w:pStyle w:val="TableBodyText"/>
                  </w:pPr>
                  <w:r>
                    <w:t>7.10</w:t>
                  </w:r>
                </w:p>
              </w:tc>
              <w:tc>
                <w:tcPr>
                  <w:tcW w:w="577" w:type="pct"/>
                  <w:shd w:val="clear" w:color="auto" w:fill="auto"/>
                  <w:vAlign w:val="bottom"/>
                </w:tcPr>
                <w:p w14:paraId="6B75A585" w14:textId="77777777" w:rsidR="00FC14FC" w:rsidRPr="0032605D" w:rsidDel="00A9088F" w:rsidRDefault="00FC14FC" w:rsidP="00D11B9D">
                  <w:pPr>
                    <w:pStyle w:val="TableBodyText"/>
                  </w:pPr>
                  <w:r>
                    <w:t>5.12</w:t>
                  </w:r>
                </w:p>
              </w:tc>
              <w:tc>
                <w:tcPr>
                  <w:tcW w:w="1923" w:type="pct"/>
                  <w:shd w:val="clear" w:color="auto" w:fill="auto"/>
                  <w:vAlign w:val="bottom"/>
                </w:tcPr>
                <w:p w14:paraId="1B5BC48C" w14:textId="77777777" w:rsidR="00FC14FC" w:rsidRDefault="00FC14FC" w:rsidP="00D11B9D">
                  <w:pPr>
                    <w:pStyle w:val="TableUnitsRow"/>
                    <w:ind w:right="28"/>
                    <w:jc w:val="left"/>
                  </w:pPr>
                  <w:r>
                    <w:t>Performance below both benchmarks</w:t>
                  </w:r>
                </w:p>
              </w:tc>
            </w:tr>
            <w:tr w:rsidR="00FC14FC" w14:paraId="7249725A" w14:textId="77777777" w:rsidTr="00D11B9D">
              <w:tc>
                <w:tcPr>
                  <w:tcW w:w="1667" w:type="pct"/>
                  <w:shd w:val="clear" w:color="auto" w:fill="auto"/>
                  <w:vAlign w:val="bottom"/>
                </w:tcPr>
                <w:p w14:paraId="6F353487" w14:textId="77777777" w:rsidR="00FC14FC" w:rsidRPr="00B17E9A" w:rsidRDefault="00FC14FC" w:rsidP="00D11B9D">
                  <w:pPr>
                    <w:pStyle w:val="TableUnitsRow"/>
                    <w:spacing w:before="80"/>
                    <w:jc w:val="left"/>
                    <w:rPr>
                      <w:b/>
                    </w:rPr>
                  </w:pPr>
                  <w:r>
                    <w:rPr>
                      <w:b/>
                    </w:rPr>
                    <w:t>Not</w:t>
                  </w:r>
                  <w:r>
                    <w:rPr>
                      <w:b/>
                    </w:rPr>
                    <w:noBreakHyphen/>
                    <w:t>for</w:t>
                  </w:r>
                  <w:r>
                    <w:rPr>
                      <w:b/>
                    </w:rPr>
                    <w:noBreakHyphen/>
                    <w:t>profit</w:t>
                  </w:r>
                </w:p>
              </w:tc>
              <w:tc>
                <w:tcPr>
                  <w:tcW w:w="417" w:type="pct"/>
                  <w:shd w:val="clear" w:color="auto" w:fill="auto"/>
                  <w:vAlign w:val="bottom"/>
                </w:tcPr>
                <w:p w14:paraId="672D2217" w14:textId="77777777" w:rsidR="00FC14FC" w:rsidRDefault="00FC14FC" w:rsidP="00D11B9D">
                  <w:pPr>
                    <w:pStyle w:val="TableBodyText"/>
                  </w:pPr>
                </w:p>
              </w:tc>
              <w:tc>
                <w:tcPr>
                  <w:tcW w:w="417" w:type="pct"/>
                  <w:shd w:val="clear" w:color="auto" w:fill="auto"/>
                  <w:vAlign w:val="bottom"/>
                </w:tcPr>
                <w:p w14:paraId="4981C0B8" w14:textId="77777777" w:rsidR="00FC14FC" w:rsidRDefault="00FC14FC" w:rsidP="00D11B9D">
                  <w:pPr>
                    <w:pStyle w:val="TableBodyText"/>
                  </w:pPr>
                </w:p>
              </w:tc>
              <w:tc>
                <w:tcPr>
                  <w:tcW w:w="577" w:type="pct"/>
                  <w:shd w:val="clear" w:color="auto" w:fill="auto"/>
                  <w:vAlign w:val="bottom"/>
                </w:tcPr>
                <w:p w14:paraId="11CB300F" w14:textId="77777777" w:rsidR="00FC14FC" w:rsidRDefault="00FC14FC" w:rsidP="00D11B9D">
                  <w:pPr>
                    <w:pStyle w:val="TableBodyText"/>
                  </w:pPr>
                </w:p>
              </w:tc>
              <w:tc>
                <w:tcPr>
                  <w:tcW w:w="1923" w:type="pct"/>
                  <w:shd w:val="clear" w:color="auto" w:fill="auto"/>
                  <w:vAlign w:val="bottom"/>
                </w:tcPr>
                <w:p w14:paraId="3AFF616D" w14:textId="77777777" w:rsidR="00FC14FC" w:rsidRDefault="00FC14FC" w:rsidP="00D11B9D">
                  <w:pPr>
                    <w:pStyle w:val="TableBodyText"/>
                    <w:jc w:val="left"/>
                  </w:pPr>
                </w:p>
              </w:tc>
            </w:tr>
            <w:tr w:rsidR="00FC14FC" w14:paraId="1551C2C2" w14:textId="77777777" w:rsidTr="00D11B9D">
              <w:tc>
                <w:tcPr>
                  <w:tcW w:w="1667" w:type="pct"/>
                  <w:shd w:val="clear" w:color="auto" w:fill="auto"/>
                  <w:vAlign w:val="bottom"/>
                </w:tcPr>
                <w:p w14:paraId="06B4EC25" w14:textId="77777777" w:rsidR="00FC14FC" w:rsidRDefault="00FC14FC" w:rsidP="00D11B9D">
                  <w:pPr>
                    <w:pStyle w:val="TableBodyText"/>
                    <w:jc w:val="left"/>
                  </w:pPr>
                  <w:r>
                    <w:t>System average tax (chapter 2)</w:t>
                  </w:r>
                </w:p>
              </w:tc>
              <w:tc>
                <w:tcPr>
                  <w:tcW w:w="417" w:type="pct"/>
                  <w:shd w:val="clear" w:color="auto" w:fill="auto"/>
                  <w:vAlign w:val="bottom"/>
                </w:tcPr>
                <w:p w14:paraId="65D40E3F" w14:textId="77777777" w:rsidR="00FC14FC" w:rsidRDefault="00FC14FC" w:rsidP="00D11B9D">
                  <w:pPr>
                    <w:pStyle w:val="TableBodyText"/>
                  </w:pPr>
                  <w:r w:rsidDel="00A06CCF">
                    <w:t>6.</w:t>
                  </w:r>
                  <w:r>
                    <w:t>46</w:t>
                  </w:r>
                </w:p>
              </w:tc>
              <w:tc>
                <w:tcPr>
                  <w:tcW w:w="417" w:type="pct"/>
                  <w:shd w:val="clear" w:color="auto" w:fill="auto"/>
                  <w:vAlign w:val="bottom"/>
                </w:tcPr>
                <w:p w14:paraId="133379AE" w14:textId="77777777" w:rsidR="00FC14FC" w:rsidRDefault="00FC14FC" w:rsidP="00D11B9D">
                  <w:pPr>
                    <w:pStyle w:val="TableBodyText"/>
                  </w:pPr>
                  <w:r w:rsidDel="00A06CCF">
                    <w:t>6.</w:t>
                  </w:r>
                  <w:r>
                    <w:t>72</w:t>
                  </w:r>
                </w:p>
              </w:tc>
              <w:tc>
                <w:tcPr>
                  <w:tcW w:w="577" w:type="pct"/>
                  <w:shd w:val="clear" w:color="auto" w:fill="auto"/>
                  <w:vAlign w:val="bottom"/>
                </w:tcPr>
                <w:p w14:paraId="38CFC62D" w14:textId="77777777" w:rsidR="00FC14FC" w:rsidRDefault="00FC14FC" w:rsidP="00D11B9D">
                  <w:pPr>
                    <w:pStyle w:val="TableBodyText"/>
                  </w:pPr>
                  <w:r>
                    <w:t>7.11</w:t>
                  </w:r>
                </w:p>
              </w:tc>
              <w:tc>
                <w:tcPr>
                  <w:tcW w:w="1923" w:type="pct"/>
                  <w:shd w:val="clear" w:color="auto" w:fill="auto"/>
                  <w:vAlign w:val="bottom"/>
                </w:tcPr>
                <w:p w14:paraId="15F28E82" w14:textId="77777777" w:rsidR="00FC14FC" w:rsidRDefault="00FC14FC" w:rsidP="00D11B9D">
                  <w:pPr>
                    <w:pStyle w:val="TableBodyText"/>
                    <w:jc w:val="left"/>
                  </w:pPr>
                  <w:r>
                    <w:t>Performance above both benchmarks</w:t>
                  </w:r>
                </w:p>
              </w:tc>
            </w:tr>
            <w:tr w:rsidR="00FC14FC" w14:paraId="55564A02" w14:textId="77777777" w:rsidTr="00D11B9D">
              <w:tc>
                <w:tcPr>
                  <w:tcW w:w="1667" w:type="pct"/>
                  <w:shd w:val="pct5" w:color="auto" w:fill="auto"/>
                  <w:vAlign w:val="bottom"/>
                </w:tcPr>
                <w:p w14:paraId="7CA9426C" w14:textId="77777777" w:rsidR="00FC14FC" w:rsidRDefault="00FC14FC" w:rsidP="00D11B9D">
                  <w:pPr>
                    <w:pStyle w:val="TableBodyText"/>
                    <w:jc w:val="left"/>
                  </w:pPr>
                  <w:r>
                    <w:t xml:space="preserve">5% tax rate </w:t>
                  </w:r>
                </w:p>
              </w:tc>
              <w:tc>
                <w:tcPr>
                  <w:tcW w:w="417" w:type="pct"/>
                  <w:shd w:val="pct5" w:color="auto" w:fill="auto"/>
                  <w:vAlign w:val="bottom"/>
                </w:tcPr>
                <w:p w14:paraId="0466210C" w14:textId="77777777" w:rsidR="00FC14FC" w:rsidRDefault="00FC14FC" w:rsidP="00D11B9D">
                  <w:pPr>
                    <w:pStyle w:val="TableBodyText"/>
                  </w:pPr>
                  <w:r>
                    <w:t>5.98</w:t>
                  </w:r>
                </w:p>
              </w:tc>
              <w:tc>
                <w:tcPr>
                  <w:tcW w:w="417" w:type="pct"/>
                  <w:shd w:val="pct5" w:color="auto" w:fill="auto"/>
                  <w:vAlign w:val="bottom"/>
                </w:tcPr>
                <w:p w14:paraId="5D0E8DEB" w14:textId="77777777" w:rsidR="00FC14FC" w:rsidRDefault="00FC14FC" w:rsidP="00D11B9D">
                  <w:pPr>
                    <w:pStyle w:val="TableBodyText"/>
                  </w:pPr>
                  <w:r w:rsidDel="002100A5">
                    <w:t>6.</w:t>
                  </w:r>
                  <w:r>
                    <w:t>28</w:t>
                  </w:r>
                </w:p>
              </w:tc>
              <w:tc>
                <w:tcPr>
                  <w:tcW w:w="577" w:type="pct"/>
                  <w:shd w:val="pct5" w:color="auto" w:fill="auto"/>
                  <w:vAlign w:val="bottom"/>
                </w:tcPr>
                <w:p w14:paraId="126751EE" w14:textId="77777777" w:rsidR="00FC14FC" w:rsidRDefault="00FC14FC" w:rsidP="00D11B9D">
                  <w:pPr>
                    <w:pStyle w:val="TableBodyText"/>
                  </w:pPr>
                  <w:r>
                    <w:t>7.11</w:t>
                  </w:r>
                </w:p>
              </w:tc>
              <w:tc>
                <w:tcPr>
                  <w:tcW w:w="1923" w:type="pct"/>
                  <w:shd w:val="pct5" w:color="auto" w:fill="auto"/>
                  <w:vAlign w:val="bottom"/>
                </w:tcPr>
                <w:p w14:paraId="20BEDDF8" w14:textId="77777777" w:rsidR="00FC14FC" w:rsidRDefault="00FC14FC" w:rsidP="00D11B9D">
                  <w:pPr>
                    <w:pStyle w:val="TableBodyText"/>
                    <w:jc w:val="left"/>
                  </w:pPr>
                  <w:r>
                    <w:t>Performance above both benchmarks</w:t>
                  </w:r>
                </w:p>
              </w:tc>
            </w:tr>
            <w:tr w:rsidR="00FC14FC" w14:paraId="4BC475A3" w14:textId="77777777" w:rsidTr="00D11B9D">
              <w:tc>
                <w:tcPr>
                  <w:tcW w:w="1667" w:type="pct"/>
                  <w:shd w:val="clear" w:color="auto" w:fill="auto"/>
                  <w:vAlign w:val="bottom"/>
                </w:tcPr>
                <w:p w14:paraId="6A62238A" w14:textId="77777777" w:rsidR="00FC14FC" w:rsidRDefault="00FC14FC" w:rsidP="00D11B9D">
                  <w:pPr>
                    <w:pStyle w:val="TableBodyText"/>
                    <w:jc w:val="left"/>
                  </w:pPr>
                  <w:r>
                    <w:t>Static 2017 asset allocation</w:t>
                  </w:r>
                </w:p>
              </w:tc>
              <w:tc>
                <w:tcPr>
                  <w:tcW w:w="417" w:type="pct"/>
                  <w:shd w:val="clear" w:color="auto" w:fill="auto"/>
                  <w:vAlign w:val="bottom"/>
                </w:tcPr>
                <w:p w14:paraId="51FA45CA" w14:textId="77777777" w:rsidR="00FC14FC" w:rsidRDefault="00FC14FC" w:rsidP="00D11B9D">
                  <w:pPr>
                    <w:pStyle w:val="TableBodyText"/>
                  </w:pPr>
                  <w:r w:rsidDel="009535D2">
                    <w:t>6.</w:t>
                  </w:r>
                  <w:r>
                    <w:t>49</w:t>
                  </w:r>
                </w:p>
              </w:tc>
              <w:tc>
                <w:tcPr>
                  <w:tcW w:w="417" w:type="pct"/>
                  <w:shd w:val="clear" w:color="auto" w:fill="auto"/>
                  <w:vAlign w:val="bottom"/>
                </w:tcPr>
                <w:p w14:paraId="09543C5D" w14:textId="77777777" w:rsidR="00FC14FC" w:rsidRDefault="00FC14FC" w:rsidP="00D11B9D">
                  <w:pPr>
                    <w:pStyle w:val="TableBodyText"/>
                  </w:pPr>
                  <w:r>
                    <w:t>7.15</w:t>
                  </w:r>
                </w:p>
              </w:tc>
              <w:tc>
                <w:tcPr>
                  <w:tcW w:w="577" w:type="pct"/>
                  <w:shd w:val="clear" w:color="auto" w:fill="auto"/>
                  <w:vAlign w:val="bottom"/>
                </w:tcPr>
                <w:p w14:paraId="7F9C776D" w14:textId="77777777" w:rsidR="00FC14FC" w:rsidRDefault="00FC14FC" w:rsidP="00D11B9D">
                  <w:pPr>
                    <w:pStyle w:val="TableBodyText"/>
                  </w:pPr>
                  <w:r>
                    <w:t>6.84</w:t>
                  </w:r>
                </w:p>
              </w:tc>
              <w:tc>
                <w:tcPr>
                  <w:tcW w:w="1923" w:type="pct"/>
                  <w:shd w:val="clear" w:color="auto" w:fill="auto"/>
                  <w:vAlign w:val="bottom"/>
                </w:tcPr>
                <w:p w14:paraId="309E80EB" w14:textId="77777777" w:rsidR="00FC14FC" w:rsidRDefault="00FC14FC" w:rsidP="00D11B9D">
                  <w:pPr>
                    <w:pStyle w:val="TableBodyText"/>
                    <w:jc w:val="left"/>
                  </w:pPr>
                  <w:r>
                    <w:t>Performance above BP1 but not BP2</w:t>
                  </w:r>
                </w:p>
              </w:tc>
            </w:tr>
            <w:tr w:rsidR="00FC14FC" w14:paraId="533ADDAE" w14:textId="77777777" w:rsidTr="00D11B9D">
              <w:tc>
                <w:tcPr>
                  <w:tcW w:w="1667" w:type="pct"/>
                  <w:shd w:val="pct5" w:color="auto" w:fill="auto"/>
                  <w:vAlign w:val="bottom"/>
                </w:tcPr>
                <w:p w14:paraId="4AE1C5E1" w14:textId="77777777" w:rsidR="00FC14FC" w:rsidRDefault="00FC14FC" w:rsidP="00D11B9D">
                  <w:pPr>
                    <w:pStyle w:val="TableBodyText"/>
                    <w:jc w:val="left"/>
                  </w:pPr>
                  <w:r>
                    <w:t>Only current funds</w:t>
                  </w:r>
                  <w:r w:rsidRPr="008E77FE">
                    <w:rPr>
                      <w:rStyle w:val="NoteLabel"/>
                    </w:rPr>
                    <w:t>a</w:t>
                  </w:r>
                </w:p>
              </w:tc>
              <w:tc>
                <w:tcPr>
                  <w:tcW w:w="417" w:type="pct"/>
                  <w:shd w:val="pct5" w:color="auto" w:fill="auto"/>
                  <w:vAlign w:val="bottom"/>
                </w:tcPr>
                <w:p w14:paraId="52713682" w14:textId="77777777" w:rsidR="00FC14FC" w:rsidRDefault="00FC14FC" w:rsidP="00D11B9D">
                  <w:pPr>
                    <w:pStyle w:val="TableBodyText"/>
                  </w:pPr>
                  <w:r w:rsidDel="00A35D27">
                    <w:t>6.</w:t>
                  </w:r>
                  <w:r>
                    <w:t>46</w:t>
                  </w:r>
                </w:p>
              </w:tc>
              <w:tc>
                <w:tcPr>
                  <w:tcW w:w="417" w:type="pct"/>
                  <w:shd w:val="pct5" w:color="auto" w:fill="auto"/>
                  <w:vAlign w:val="bottom"/>
                </w:tcPr>
                <w:p w14:paraId="5C44F709" w14:textId="77777777" w:rsidR="00FC14FC" w:rsidRDefault="00FC14FC" w:rsidP="00D11B9D">
                  <w:pPr>
                    <w:pStyle w:val="TableBodyText"/>
                  </w:pPr>
                  <w:r w:rsidDel="00A35D27">
                    <w:t>6.</w:t>
                  </w:r>
                  <w:r>
                    <w:t>72</w:t>
                  </w:r>
                </w:p>
              </w:tc>
              <w:tc>
                <w:tcPr>
                  <w:tcW w:w="577" w:type="pct"/>
                  <w:shd w:val="pct5" w:color="auto" w:fill="auto"/>
                  <w:vAlign w:val="bottom"/>
                </w:tcPr>
                <w:p w14:paraId="5CC5FDFE" w14:textId="77777777" w:rsidR="00FC14FC" w:rsidRDefault="00FC14FC" w:rsidP="00D11B9D">
                  <w:pPr>
                    <w:pStyle w:val="TableBodyText"/>
                  </w:pPr>
                  <w:r>
                    <w:t>7.14</w:t>
                  </w:r>
                </w:p>
              </w:tc>
              <w:tc>
                <w:tcPr>
                  <w:tcW w:w="1923" w:type="pct"/>
                  <w:shd w:val="pct5" w:color="auto" w:fill="auto"/>
                  <w:vAlign w:val="bottom"/>
                </w:tcPr>
                <w:p w14:paraId="32ADDE6E" w14:textId="77777777" w:rsidR="00FC14FC" w:rsidRDefault="00FC14FC" w:rsidP="00D11B9D">
                  <w:pPr>
                    <w:pStyle w:val="TableBodyText"/>
                    <w:jc w:val="left"/>
                  </w:pPr>
                  <w:r>
                    <w:t>Performance above both benchmarks</w:t>
                  </w:r>
                </w:p>
              </w:tc>
            </w:tr>
            <w:tr w:rsidR="00FC14FC" w14:paraId="7CA45C07" w14:textId="77777777" w:rsidTr="00D11B9D">
              <w:tc>
                <w:tcPr>
                  <w:tcW w:w="1667" w:type="pct"/>
                  <w:shd w:val="clear" w:color="auto" w:fill="auto"/>
                  <w:vAlign w:val="bottom"/>
                </w:tcPr>
                <w:p w14:paraId="14572D23" w14:textId="77777777" w:rsidR="00FC14FC" w:rsidRDefault="00FC14FC" w:rsidP="00D11B9D">
                  <w:pPr>
                    <w:pStyle w:val="TableBodyText"/>
                    <w:jc w:val="left"/>
                  </w:pPr>
                  <w:r>
                    <w:t>Member</w:t>
                  </w:r>
                  <w:r>
                    <w:noBreakHyphen/>
                    <w:t>weighted returns</w:t>
                  </w:r>
                  <w:r>
                    <w:rPr>
                      <w:rStyle w:val="NoteLabel"/>
                    </w:rPr>
                    <w:t>b</w:t>
                  </w:r>
                </w:p>
              </w:tc>
              <w:tc>
                <w:tcPr>
                  <w:tcW w:w="417" w:type="pct"/>
                  <w:shd w:val="clear" w:color="auto" w:fill="auto"/>
                  <w:vAlign w:val="bottom"/>
                </w:tcPr>
                <w:p w14:paraId="6F6B51C8" w14:textId="77777777" w:rsidR="00FC14FC" w:rsidRDefault="00FC14FC" w:rsidP="00D11B9D">
                  <w:pPr>
                    <w:pStyle w:val="TableBodyText"/>
                  </w:pPr>
                  <w:r w:rsidDel="00A35D27">
                    <w:t>6.</w:t>
                  </w:r>
                  <w:r>
                    <w:t>46</w:t>
                  </w:r>
                </w:p>
              </w:tc>
              <w:tc>
                <w:tcPr>
                  <w:tcW w:w="417" w:type="pct"/>
                  <w:shd w:val="clear" w:color="auto" w:fill="auto"/>
                  <w:vAlign w:val="bottom"/>
                </w:tcPr>
                <w:p w14:paraId="032D5D19" w14:textId="77777777" w:rsidR="00FC14FC" w:rsidRDefault="00FC14FC" w:rsidP="00D11B9D">
                  <w:pPr>
                    <w:pStyle w:val="TableBodyText"/>
                  </w:pPr>
                  <w:r w:rsidDel="00A35D27">
                    <w:t>6.</w:t>
                  </w:r>
                  <w:r>
                    <w:t>72</w:t>
                  </w:r>
                </w:p>
              </w:tc>
              <w:tc>
                <w:tcPr>
                  <w:tcW w:w="577" w:type="pct"/>
                  <w:shd w:val="clear" w:color="auto" w:fill="auto"/>
                  <w:vAlign w:val="bottom"/>
                </w:tcPr>
                <w:p w14:paraId="7E5929DF" w14:textId="77777777" w:rsidR="00FC14FC" w:rsidRDefault="00FC14FC" w:rsidP="00D11B9D">
                  <w:pPr>
                    <w:pStyle w:val="TableBodyText"/>
                  </w:pPr>
                  <w:r>
                    <w:t>6.88</w:t>
                  </w:r>
                </w:p>
              </w:tc>
              <w:tc>
                <w:tcPr>
                  <w:tcW w:w="1923" w:type="pct"/>
                  <w:shd w:val="clear" w:color="auto" w:fill="auto"/>
                  <w:vAlign w:val="bottom"/>
                </w:tcPr>
                <w:p w14:paraId="3DA84D25" w14:textId="77777777" w:rsidR="00FC14FC" w:rsidRDefault="00FC14FC" w:rsidP="00D11B9D">
                  <w:pPr>
                    <w:pStyle w:val="TableBodyText"/>
                    <w:jc w:val="left"/>
                  </w:pPr>
                  <w:r>
                    <w:t>Performance above both benchmarks</w:t>
                  </w:r>
                </w:p>
              </w:tc>
            </w:tr>
            <w:tr w:rsidR="00FC14FC" w14:paraId="537438A4" w14:textId="77777777" w:rsidTr="00D11B9D">
              <w:tc>
                <w:tcPr>
                  <w:tcW w:w="1667" w:type="pct"/>
                  <w:shd w:val="pct5" w:color="auto" w:fill="auto"/>
                  <w:vAlign w:val="bottom"/>
                </w:tcPr>
                <w:p w14:paraId="486B85B5" w14:textId="77777777" w:rsidR="00FC14FC" w:rsidRDefault="00FC14FC" w:rsidP="00D11B9D">
                  <w:pPr>
                    <w:pStyle w:val="TableBodyText"/>
                    <w:jc w:val="left"/>
                  </w:pPr>
                  <w:r>
                    <w:t>2008–2017</w:t>
                  </w:r>
                </w:p>
              </w:tc>
              <w:tc>
                <w:tcPr>
                  <w:tcW w:w="417" w:type="pct"/>
                  <w:shd w:val="pct5" w:color="auto" w:fill="auto"/>
                  <w:vAlign w:val="bottom"/>
                </w:tcPr>
                <w:p w14:paraId="5FF552AF" w14:textId="77777777" w:rsidR="00FC14FC" w:rsidRDefault="00FC14FC" w:rsidP="00D11B9D">
                  <w:pPr>
                    <w:pStyle w:val="TableBodyText"/>
                  </w:pPr>
                  <w:r>
                    <w:t>4.30</w:t>
                  </w:r>
                </w:p>
              </w:tc>
              <w:tc>
                <w:tcPr>
                  <w:tcW w:w="417" w:type="pct"/>
                  <w:shd w:val="pct5" w:color="auto" w:fill="auto"/>
                  <w:vAlign w:val="bottom"/>
                </w:tcPr>
                <w:p w14:paraId="6171ECEC" w14:textId="77777777" w:rsidR="00FC14FC" w:rsidRDefault="00FC14FC" w:rsidP="00D11B9D">
                  <w:pPr>
                    <w:pStyle w:val="TableBodyText"/>
                  </w:pPr>
                  <w:r>
                    <w:t>4.73</w:t>
                  </w:r>
                </w:p>
              </w:tc>
              <w:tc>
                <w:tcPr>
                  <w:tcW w:w="577" w:type="pct"/>
                  <w:shd w:val="pct5" w:color="auto" w:fill="auto"/>
                  <w:vAlign w:val="bottom"/>
                </w:tcPr>
                <w:p w14:paraId="6A9B0268" w14:textId="77777777" w:rsidR="00FC14FC" w:rsidRDefault="00FC14FC" w:rsidP="00D11B9D">
                  <w:pPr>
                    <w:pStyle w:val="TableBodyText"/>
                  </w:pPr>
                  <w:r>
                    <w:t>4.88</w:t>
                  </w:r>
                </w:p>
              </w:tc>
              <w:tc>
                <w:tcPr>
                  <w:tcW w:w="1923" w:type="pct"/>
                  <w:shd w:val="pct5" w:color="auto" w:fill="auto"/>
                  <w:vAlign w:val="bottom"/>
                </w:tcPr>
                <w:p w14:paraId="57B84677" w14:textId="77777777" w:rsidR="00FC14FC" w:rsidRDefault="00FC14FC" w:rsidP="00D11B9D">
                  <w:pPr>
                    <w:pStyle w:val="TableBodyText"/>
                    <w:jc w:val="left"/>
                  </w:pPr>
                  <w:r>
                    <w:t xml:space="preserve">Performance above both </w:t>
                  </w:r>
                  <w:r w:rsidDel="0010514A">
                    <w:t>benchmarks</w:t>
                  </w:r>
                </w:p>
              </w:tc>
            </w:tr>
            <w:tr w:rsidR="00FC14FC" w14:paraId="09F6B7D9" w14:textId="77777777" w:rsidTr="00D11B9D">
              <w:tc>
                <w:tcPr>
                  <w:tcW w:w="1667" w:type="pct"/>
                  <w:shd w:val="clear" w:color="auto" w:fill="auto"/>
                  <w:vAlign w:val="bottom"/>
                </w:tcPr>
                <w:p w14:paraId="2CADDD9F" w14:textId="77777777" w:rsidR="00FC14FC" w:rsidRDefault="00FC14FC" w:rsidP="00D11B9D">
                  <w:pPr>
                    <w:pStyle w:val="TableBodyText"/>
                    <w:jc w:val="left"/>
                  </w:pPr>
                  <w:r>
                    <w:t>2013–2017</w:t>
                  </w:r>
                </w:p>
              </w:tc>
              <w:tc>
                <w:tcPr>
                  <w:tcW w:w="417" w:type="pct"/>
                  <w:shd w:val="clear" w:color="auto" w:fill="auto"/>
                  <w:vAlign w:val="bottom"/>
                </w:tcPr>
                <w:p w14:paraId="251BE1C6" w14:textId="77777777" w:rsidR="00FC14FC" w:rsidRDefault="00FC14FC" w:rsidP="00D11B9D">
                  <w:pPr>
                    <w:pStyle w:val="TableBodyText"/>
                  </w:pPr>
                  <w:r>
                    <w:t>9.89</w:t>
                  </w:r>
                </w:p>
              </w:tc>
              <w:tc>
                <w:tcPr>
                  <w:tcW w:w="417" w:type="pct"/>
                  <w:shd w:val="clear" w:color="auto" w:fill="auto"/>
                  <w:vAlign w:val="bottom"/>
                </w:tcPr>
                <w:p w14:paraId="39B12792" w14:textId="77777777" w:rsidR="00FC14FC" w:rsidRDefault="00FC14FC" w:rsidP="00D11B9D">
                  <w:pPr>
                    <w:pStyle w:val="TableBodyText"/>
                  </w:pPr>
                  <w:r>
                    <w:t>9.91</w:t>
                  </w:r>
                </w:p>
              </w:tc>
              <w:tc>
                <w:tcPr>
                  <w:tcW w:w="577" w:type="pct"/>
                  <w:shd w:val="clear" w:color="auto" w:fill="auto"/>
                  <w:vAlign w:val="bottom"/>
                </w:tcPr>
                <w:p w14:paraId="5C47E02F" w14:textId="77777777" w:rsidR="00FC14FC" w:rsidRDefault="00FC14FC" w:rsidP="00D11B9D">
                  <w:pPr>
                    <w:pStyle w:val="TableBodyText"/>
                  </w:pPr>
                  <w:r>
                    <w:t>10.13</w:t>
                  </w:r>
                </w:p>
              </w:tc>
              <w:tc>
                <w:tcPr>
                  <w:tcW w:w="1923" w:type="pct"/>
                  <w:shd w:val="clear" w:color="auto" w:fill="auto"/>
                  <w:vAlign w:val="bottom"/>
                </w:tcPr>
                <w:p w14:paraId="4C70443D" w14:textId="77777777" w:rsidR="00FC14FC" w:rsidRDefault="00FC14FC" w:rsidP="00D11B9D">
                  <w:pPr>
                    <w:pStyle w:val="TableBodyText"/>
                    <w:jc w:val="left"/>
                  </w:pPr>
                  <w:r>
                    <w:t xml:space="preserve">Performance above both </w:t>
                  </w:r>
                  <w:r w:rsidDel="0010514A">
                    <w:t>benchmarks</w:t>
                  </w:r>
                </w:p>
              </w:tc>
            </w:tr>
            <w:tr w:rsidR="00FC14FC" w14:paraId="0FDFD62B" w14:textId="77777777" w:rsidTr="00D11B9D">
              <w:tc>
                <w:tcPr>
                  <w:tcW w:w="1667" w:type="pct"/>
                  <w:shd w:val="pct5" w:color="auto" w:fill="auto"/>
                  <w:vAlign w:val="bottom"/>
                </w:tcPr>
                <w:p w14:paraId="58F7B195" w14:textId="77777777" w:rsidR="00FC14FC" w:rsidRDefault="00FC14FC" w:rsidP="00D11B9D">
                  <w:pPr>
                    <w:pStyle w:val="TableBodyText"/>
                    <w:jc w:val="left"/>
                  </w:pPr>
                  <w:r>
                    <w:t>No international equities hedging</w:t>
                  </w:r>
                </w:p>
              </w:tc>
              <w:tc>
                <w:tcPr>
                  <w:tcW w:w="417" w:type="pct"/>
                  <w:shd w:val="pct5" w:color="auto" w:fill="auto"/>
                  <w:vAlign w:val="bottom"/>
                </w:tcPr>
                <w:p w14:paraId="31649259" w14:textId="77777777" w:rsidR="00FC14FC" w:rsidDel="0010514A" w:rsidRDefault="00FC14FC" w:rsidP="00D11B9D">
                  <w:pPr>
                    <w:pStyle w:val="TableBodyText"/>
                  </w:pPr>
                  <w:r>
                    <w:t>7.00</w:t>
                  </w:r>
                </w:p>
              </w:tc>
              <w:tc>
                <w:tcPr>
                  <w:tcW w:w="417" w:type="pct"/>
                  <w:shd w:val="pct5" w:color="auto" w:fill="auto"/>
                  <w:vAlign w:val="bottom"/>
                </w:tcPr>
                <w:p w14:paraId="7A4F256A" w14:textId="77777777" w:rsidR="00FC14FC" w:rsidDel="0010514A" w:rsidRDefault="00FC14FC" w:rsidP="00D11B9D">
                  <w:pPr>
                    <w:pStyle w:val="TableBodyText"/>
                  </w:pPr>
                  <w:r>
                    <w:t>7.26</w:t>
                  </w:r>
                </w:p>
              </w:tc>
              <w:tc>
                <w:tcPr>
                  <w:tcW w:w="577" w:type="pct"/>
                  <w:shd w:val="pct5" w:color="auto" w:fill="auto"/>
                  <w:vAlign w:val="bottom"/>
                </w:tcPr>
                <w:p w14:paraId="495B3F7B" w14:textId="77777777" w:rsidR="00FC14FC" w:rsidDel="0010514A" w:rsidRDefault="00FC14FC" w:rsidP="00D11B9D">
                  <w:pPr>
                    <w:pStyle w:val="TableBodyText"/>
                  </w:pPr>
                  <w:r>
                    <w:t>7.11</w:t>
                  </w:r>
                </w:p>
              </w:tc>
              <w:tc>
                <w:tcPr>
                  <w:tcW w:w="1923" w:type="pct"/>
                  <w:shd w:val="pct5" w:color="auto" w:fill="auto"/>
                  <w:vAlign w:val="bottom"/>
                </w:tcPr>
                <w:p w14:paraId="4C9F21C8" w14:textId="77777777" w:rsidR="00FC14FC" w:rsidRDefault="00FC14FC" w:rsidP="00D11B9D">
                  <w:pPr>
                    <w:pStyle w:val="TableBodyText"/>
                    <w:jc w:val="left"/>
                  </w:pPr>
                  <w:r>
                    <w:t>Performance above BP1 but not BP2</w:t>
                  </w:r>
                </w:p>
              </w:tc>
            </w:tr>
            <w:tr w:rsidR="00FC14FC" w14:paraId="5C774965" w14:textId="77777777" w:rsidTr="00D11B9D">
              <w:tc>
                <w:tcPr>
                  <w:tcW w:w="1667" w:type="pct"/>
                  <w:tcBorders>
                    <w:bottom w:val="single" w:sz="6" w:space="0" w:color="BFBFBF"/>
                  </w:tcBorders>
                  <w:shd w:val="clear" w:color="auto" w:fill="auto"/>
                  <w:vAlign w:val="bottom"/>
                </w:tcPr>
                <w:p w14:paraId="1927E14D" w14:textId="77777777" w:rsidR="00FC14FC" w:rsidRDefault="00FC14FC" w:rsidP="00D11B9D">
                  <w:pPr>
                    <w:pStyle w:val="TableBodyText"/>
                    <w:jc w:val="left"/>
                  </w:pPr>
                  <w:r>
                    <w:t>Full international equities hedging</w:t>
                  </w:r>
                </w:p>
              </w:tc>
              <w:tc>
                <w:tcPr>
                  <w:tcW w:w="417" w:type="pct"/>
                  <w:tcBorders>
                    <w:bottom w:val="single" w:sz="6" w:space="0" w:color="BFBFBF"/>
                  </w:tcBorders>
                  <w:shd w:val="clear" w:color="auto" w:fill="auto"/>
                  <w:vAlign w:val="bottom"/>
                </w:tcPr>
                <w:p w14:paraId="29FB0ADC" w14:textId="77777777" w:rsidR="00FC14FC" w:rsidDel="0010514A" w:rsidRDefault="00FC14FC" w:rsidP="00D11B9D">
                  <w:pPr>
                    <w:pStyle w:val="TableBodyText"/>
                  </w:pPr>
                  <w:r>
                    <w:t>6.93</w:t>
                  </w:r>
                </w:p>
              </w:tc>
              <w:tc>
                <w:tcPr>
                  <w:tcW w:w="417" w:type="pct"/>
                  <w:tcBorders>
                    <w:bottom w:val="single" w:sz="6" w:space="0" w:color="BFBFBF"/>
                  </w:tcBorders>
                  <w:shd w:val="clear" w:color="auto" w:fill="auto"/>
                  <w:vAlign w:val="bottom"/>
                </w:tcPr>
                <w:p w14:paraId="1EDC6321" w14:textId="77777777" w:rsidR="00FC14FC" w:rsidDel="0010514A" w:rsidRDefault="00FC14FC" w:rsidP="00D11B9D">
                  <w:pPr>
                    <w:pStyle w:val="TableBodyText"/>
                  </w:pPr>
                  <w:r>
                    <w:t>7.20</w:t>
                  </w:r>
                </w:p>
              </w:tc>
              <w:tc>
                <w:tcPr>
                  <w:tcW w:w="577" w:type="pct"/>
                  <w:tcBorders>
                    <w:bottom w:val="single" w:sz="6" w:space="0" w:color="BFBFBF"/>
                  </w:tcBorders>
                  <w:shd w:val="clear" w:color="auto" w:fill="auto"/>
                  <w:vAlign w:val="bottom"/>
                </w:tcPr>
                <w:p w14:paraId="07D3AE3A" w14:textId="77777777" w:rsidR="00FC14FC" w:rsidDel="0010514A" w:rsidRDefault="00FC14FC" w:rsidP="00D11B9D">
                  <w:pPr>
                    <w:pStyle w:val="TableBodyText"/>
                  </w:pPr>
                  <w:r>
                    <w:t>7.11</w:t>
                  </w:r>
                </w:p>
              </w:tc>
              <w:tc>
                <w:tcPr>
                  <w:tcW w:w="1923" w:type="pct"/>
                  <w:tcBorders>
                    <w:bottom w:val="single" w:sz="6" w:space="0" w:color="BFBFBF"/>
                  </w:tcBorders>
                  <w:shd w:val="clear" w:color="auto" w:fill="auto"/>
                  <w:vAlign w:val="bottom"/>
                </w:tcPr>
                <w:p w14:paraId="5ECF9440" w14:textId="77777777" w:rsidR="00FC14FC" w:rsidRDefault="00FC14FC" w:rsidP="00D11B9D">
                  <w:pPr>
                    <w:pStyle w:val="TableBodyText"/>
                    <w:jc w:val="left"/>
                  </w:pPr>
                  <w:r>
                    <w:t>Performance above BP1 but not BP2</w:t>
                  </w:r>
                </w:p>
              </w:tc>
            </w:tr>
          </w:tbl>
          <w:p w14:paraId="674781FA" w14:textId="77777777" w:rsidR="00FC14FC" w:rsidRDefault="00FC14FC" w:rsidP="00D11B9D">
            <w:pPr>
              <w:pStyle w:val="Box"/>
            </w:pPr>
          </w:p>
        </w:tc>
      </w:tr>
      <w:tr w:rsidR="00FC14FC" w14:paraId="6EA6E478" w14:textId="77777777" w:rsidTr="00D11B9D">
        <w:tc>
          <w:tcPr>
            <w:tcW w:w="5000" w:type="pct"/>
            <w:tcBorders>
              <w:top w:val="nil"/>
              <w:left w:val="nil"/>
              <w:bottom w:val="nil"/>
              <w:right w:val="nil"/>
            </w:tcBorders>
            <w:shd w:val="clear" w:color="auto" w:fill="auto"/>
          </w:tcPr>
          <w:p w14:paraId="19B92400" w14:textId="77777777" w:rsidR="00FC14FC" w:rsidRDefault="00FC14FC" w:rsidP="00D11B9D">
            <w:pPr>
              <w:pStyle w:val="Note"/>
              <w:rPr>
                <w:i/>
              </w:rPr>
            </w:pPr>
            <w:r>
              <w:rPr>
                <w:rStyle w:val="NoteLabel"/>
              </w:rPr>
              <w:t>a</w:t>
            </w:r>
            <w:r>
              <w:t xml:space="preserve"> Benchmarks are still based on all funds (meaning they are the same as in chapter 2). </w:t>
            </w:r>
            <w:r>
              <w:rPr>
                <w:rStyle w:val="NoteLabel"/>
              </w:rPr>
              <w:t>b</w:t>
            </w:r>
            <w:r>
              <w:t xml:space="preserve"> Benchmarks are the same as in chapter 2, meaning they are not member</w:t>
            </w:r>
            <w:r>
              <w:noBreakHyphen/>
              <w:t xml:space="preserve">weighted. </w:t>
            </w:r>
            <w:r>
              <w:rPr>
                <w:rStyle w:val="NoteLabel"/>
              </w:rPr>
              <w:t>c</w:t>
            </w:r>
            <w:r w:rsidRPr="002D557A">
              <w:rPr>
                <w:rFonts w:eastAsia="+mn-ea" w:cs="Arial"/>
                <w:color w:val="000000" w:themeColor="text1"/>
                <w:kern w:val="24"/>
                <w:szCs w:val="18"/>
              </w:rPr>
              <w:t>Excludes exempt public sector superannuation schemes, eligible rollover funds, insurance</w:t>
            </w:r>
            <w:r w:rsidRPr="002D557A">
              <w:rPr>
                <w:rFonts w:eastAsia="+mn-ea" w:cs="Arial"/>
                <w:color w:val="000000" w:themeColor="text1"/>
                <w:kern w:val="24"/>
                <w:szCs w:val="18"/>
              </w:rPr>
              <w:noBreakHyphen/>
              <w:t>only superannuation funds and small APRA funds.</w:t>
            </w:r>
          </w:p>
        </w:tc>
      </w:tr>
      <w:tr w:rsidR="00FC14FC" w14:paraId="4284516D" w14:textId="77777777" w:rsidTr="00D11B9D">
        <w:tc>
          <w:tcPr>
            <w:tcW w:w="5000" w:type="pct"/>
            <w:tcBorders>
              <w:top w:val="nil"/>
              <w:left w:val="nil"/>
              <w:bottom w:val="nil"/>
              <w:right w:val="nil"/>
            </w:tcBorders>
            <w:shd w:val="clear" w:color="auto" w:fill="auto"/>
          </w:tcPr>
          <w:p w14:paraId="1397D2F2" w14:textId="77777777" w:rsidR="00FC14FC" w:rsidRDefault="00FC14FC" w:rsidP="00D11B9D">
            <w:pPr>
              <w:pStyle w:val="Source"/>
            </w:pPr>
            <w:r>
              <w:rPr>
                <w:i/>
              </w:rPr>
              <w:t>Sources</w:t>
            </w:r>
            <w:r w:rsidRPr="00167F06">
              <w:t xml:space="preserve">: </w:t>
            </w:r>
            <w:r>
              <w:t>PC analysis of unpublished APRA data and financial market index data (various providers).</w:t>
            </w:r>
          </w:p>
        </w:tc>
      </w:tr>
      <w:tr w:rsidR="00FC14FC" w14:paraId="206B3CFE" w14:textId="77777777" w:rsidTr="00D11B9D">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single" w:sz="6" w:space="0" w:color="78A22F"/>
              <w:right w:val="nil"/>
            </w:tcBorders>
            <w:shd w:val="clear" w:color="auto" w:fill="auto"/>
          </w:tcPr>
          <w:p w14:paraId="69348F52" w14:textId="77777777" w:rsidR="00FC14FC" w:rsidRDefault="00FC14FC" w:rsidP="00D11B9D">
            <w:pPr>
              <w:pStyle w:val="Figurespace"/>
            </w:pPr>
          </w:p>
        </w:tc>
      </w:tr>
      <w:tr w:rsidR="00FC14FC" w:rsidRPr="000863A5" w14:paraId="6D90F64D" w14:textId="77777777" w:rsidTr="00D11B9D">
        <w:tblPrEx>
          <w:tblBorders>
            <w:top w:val="single" w:sz="6" w:space="0" w:color="78A22F"/>
            <w:left w:val="single" w:sz="6" w:space="0" w:color="78A22F"/>
            <w:bottom w:val="single" w:sz="6" w:space="0" w:color="78A22F"/>
            <w:right w:val="single" w:sz="6" w:space="0" w:color="78A22F"/>
          </w:tblBorders>
        </w:tblPrEx>
        <w:tc>
          <w:tcPr>
            <w:tcW w:w="5000" w:type="pct"/>
            <w:tcBorders>
              <w:top w:val="single" w:sz="6" w:space="0" w:color="78A22F"/>
              <w:left w:val="nil"/>
              <w:bottom w:val="nil"/>
              <w:right w:val="nil"/>
            </w:tcBorders>
          </w:tcPr>
          <w:p w14:paraId="4D0FADF2" w14:textId="77777777" w:rsidR="00FC14FC" w:rsidRPr="00626D32" w:rsidRDefault="00FC14FC" w:rsidP="00D11B9D">
            <w:pPr>
              <w:pStyle w:val="BoxSpaceBelow"/>
            </w:pPr>
          </w:p>
        </w:tc>
      </w:tr>
    </w:tbl>
    <w:p w14:paraId="6D45DC8F" w14:textId="77777777" w:rsidR="00FC14FC" w:rsidRPr="00B61BE2" w:rsidRDefault="00FC14FC" w:rsidP="00FC14FC">
      <w:pPr>
        <w:pStyle w:val="BodyText"/>
      </w:pPr>
      <w:r w:rsidRPr="00B61BE2">
        <w:t>Realised volatility is similar across all segments</w:t>
      </w:r>
      <w:r>
        <w:t>. Both the retail and not</w:t>
      </w:r>
      <w:r>
        <w:noBreakHyphen/>
        <w:t>for</w:t>
      </w:r>
      <w:r>
        <w:noBreakHyphen/>
        <w:t xml:space="preserve">profit segment were able to deliver ‘smoother’ returns than their BP1, but not less volatility than their BP2 </w:t>
      </w:r>
      <w:r w:rsidRPr="00B61BE2">
        <w:t>(figure 4.14). As reported in chapter 2, analysing the segments net of investment fees and taxes (but gross of administration expenses) does not alter the result that not</w:t>
      </w:r>
      <w:r w:rsidRPr="00B61BE2">
        <w:noBreakHyphen/>
        <w:t>for</w:t>
      </w:r>
      <w:r w:rsidRPr="00B61BE2">
        <w:noBreakHyphen/>
        <w:t xml:space="preserve">profit funds outperform </w:t>
      </w:r>
      <w:r>
        <w:t>retail</w:t>
      </w:r>
      <w:r w:rsidRPr="00B61BE2">
        <w:t xml:space="preserve"> funds (figure 4.15). </w:t>
      </w:r>
    </w:p>
    <w:p w14:paraId="2C2B4C11"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35D4FA22" w14:textId="77777777" w:rsidTr="00D11B9D">
        <w:trPr>
          <w:tblHeader/>
        </w:trPr>
        <w:tc>
          <w:tcPr>
            <w:tcW w:w="5000" w:type="pct"/>
            <w:tcBorders>
              <w:top w:val="single" w:sz="6" w:space="0" w:color="78A22F"/>
              <w:left w:val="nil"/>
              <w:bottom w:val="nil"/>
              <w:right w:val="nil"/>
            </w:tcBorders>
            <w:shd w:val="clear" w:color="auto" w:fill="auto"/>
          </w:tcPr>
          <w:p w14:paraId="1411F43B" w14:textId="77777777" w:rsidR="00FC14FC" w:rsidRDefault="00FC14FC" w:rsidP="00D11B9D">
            <w:pPr>
              <w:pStyle w:val="FigureTitle"/>
            </w:pPr>
            <w:r w:rsidRPr="00784A05">
              <w:rPr>
                <w:b w:val="0"/>
              </w:rPr>
              <w:t xml:space="preserve">Figure </w:t>
            </w:r>
            <w:r>
              <w:rPr>
                <w:b w:val="0"/>
              </w:rPr>
              <w:t>4.14</w:t>
            </w:r>
            <w:r>
              <w:tab/>
              <w:t>Retail and not</w:t>
            </w:r>
            <w:r>
              <w:noBreakHyphen/>
              <w:t>for</w:t>
            </w:r>
            <w:r>
              <w:noBreakHyphen/>
              <w:t>profit segments</w:t>
            </w:r>
          </w:p>
          <w:p w14:paraId="0FD33CED" w14:textId="77777777" w:rsidR="00FC14FC" w:rsidRPr="00176D3F" w:rsidRDefault="00FC14FC" w:rsidP="00D11B9D">
            <w:pPr>
              <w:pStyle w:val="Subtitle"/>
            </w:pPr>
            <w:r>
              <w:t>Standard deviation, 2005–2017</w:t>
            </w:r>
          </w:p>
        </w:tc>
      </w:tr>
      <w:tr w:rsidR="00FC14FC" w14:paraId="6FC974CC"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1BCD2336" w14:textId="77777777" w:rsidTr="00D11B9D">
              <w:trPr>
                <w:tblHeader/>
                <w:jc w:val="center"/>
              </w:trPr>
              <w:tc>
                <w:tcPr>
                  <w:tcW w:w="5000" w:type="pct"/>
                  <w:tcBorders>
                    <w:top w:val="nil"/>
                    <w:bottom w:val="nil"/>
                  </w:tcBorders>
                </w:tcPr>
                <w:p w14:paraId="468CC05F" w14:textId="77777777" w:rsidR="00FC14FC" w:rsidRDefault="00FC14FC" w:rsidP="00D11B9D">
                  <w:pPr>
                    <w:pStyle w:val="Figure"/>
                    <w:spacing w:before="60" w:after="60"/>
                    <w:rPr>
                      <w:rFonts w:ascii="Arial" w:hAnsi="Arial" w:cs="Arial"/>
                      <w:sz w:val="18"/>
                      <w:szCs w:val="18"/>
                    </w:rPr>
                  </w:pPr>
                  <w:r w:rsidRPr="002306AF">
                    <w:rPr>
                      <w:rFonts w:ascii="Arial" w:hAnsi="Arial" w:cs="Arial"/>
                      <w:noProof/>
                      <w:sz w:val="18"/>
                      <w:szCs w:val="18"/>
                    </w:rPr>
                    <w:drawing>
                      <wp:inline distT="0" distB="0" distL="0" distR="0" wp14:anchorId="2C2B05B6" wp14:editId="0986E7AB">
                        <wp:extent cx="5158591" cy="2541494"/>
                        <wp:effectExtent l="0" t="0" r="0" b="0"/>
                        <wp:docPr id="23" name="Picture 23" descr="Fig 4.14. This bar chart shows the 13 year standard deviation (the volatility) of returns for the retail segment and the not-for-profit segment. Retail volatility is lower than BP1 and commensurate with BP2, while not-for-profit volatility is lower than BP1 but higher than BP2. " title="Retail and not-for-profit seg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7" cstate="print">
                                  <a:extLst>
                                    <a:ext uri="{28A0092B-C50C-407E-A947-70E740481C1C}">
                                      <a14:useLocalDpi xmlns:a14="http://schemas.microsoft.com/office/drawing/2010/main" val="0"/>
                                    </a:ext>
                                  </a:extLst>
                                </a:blip>
                                <a:srcRect t="7592"/>
                                <a:stretch/>
                              </pic:blipFill>
                              <pic:spPr bwMode="auto">
                                <a:xfrm>
                                  <a:off x="0" y="0"/>
                                  <a:ext cx="5207567" cy="2565623"/>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1559"/>
                    <w:gridCol w:w="2311"/>
                    <w:gridCol w:w="2312"/>
                    <w:gridCol w:w="2312"/>
                  </w:tblGrid>
                  <w:tr w:rsidR="00FC14FC" w14:paraId="08625E38" w14:textId="77777777" w:rsidTr="00D11B9D">
                    <w:tc>
                      <w:tcPr>
                        <w:tcW w:w="1559" w:type="dxa"/>
                        <w:shd w:val="clear" w:color="auto" w:fill="F2F2F2" w:themeFill="background1" w:themeFillShade="F2"/>
                      </w:tcPr>
                      <w:p w14:paraId="20BCC412"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04BAABED" w14:textId="77777777" w:rsidR="00FC14FC" w:rsidRDefault="00FC14FC" w:rsidP="00D11B9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 xml:space="preserve">PC analysis of unpublished APRA </w:t>
                        </w:r>
                        <w:r w:rsidDel="00DF46E2">
                          <w:rPr>
                            <w:rFonts w:ascii="Arial" w:eastAsia="+mn-ea" w:hAnsi="Arial" w:cs="Arial"/>
                            <w:color w:val="000000" w:themeColor="text1"/>
                            <w:kern w:val="24"/>
                            <w:sz w:val="18"/>
                            <w:szCs w:val="18"/>
                          </w:rPr>
                          <w:t>data</w:t>
                        </w:r>
                        <w:r>
                          <w:rPr>
                            <w:rFonts w:ascii="Arial" w:eastAsia="+mn-ea" w:hAnsi="Arial" w:cs="Arial"/>
                            <w:color w:val="000000" w:themeColor="text1"/>
                            <w:kern w:val="24"/>
                            <w:sz w:val="18"/>
                            <w:szCs w:val="18"/>
                          </w:rPr>
                          <w:t xml:space="preserve"> and financial market index data (various providers).</w:t>
                        </w:r>
                      </w:p>
                    </w:tc>
                  </w:tr>
                  <w:tr w:rsidR="00FC14FC" w14:paraId="634CB927" w14:textId="77777777" w:rsidTr="00D11B9D">
                    <w:tc>
                      <w:tcPr>
                        <w:tcW w:w="1559" w:type="dxa"/>
                        <w:shd w:val="clear" w:color="auto" w:fill="F2F2F2" w:themeFill="background1" w:themeFillShade="F2"/>
                      </w:tcPr>
                      <w:p w14:paraId="40C549E2"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6BB03E23" w14:textId="77777777" w:rsidR="00FC14FC" w:rsidRDefault="00FC14FC" w:rsidP="00D11B9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Segment average BP1 and BP2</w:t>
                        </w:r>
                      </w:p>
                    </w:tc>
                  </w:tr>
                  <w:tr w:rsidR="00FC14FC" w14:paraId="68F55023" w14:textId="77777777" w:rsidTr="00D11B9D">
                    <w:tc>
                      <w:tcPr>
                        <w:tcW w:w="1559" w:type="dxa"/>
                        <w:shd w:val="clear" w:color="auto" w:fill="F2F2F2" w:themeFill="background1" w:themeFillShade="F2"/>
                      </w:tcPr>
                      <w:p w14:paraId="1167F180"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5BA8774B" w14:textId="77777777" w:rsidR="00FC14FC" w:rsidRPr="001F53B0" w:rsidRDefault="00FC14FC" w:rsidP="00D11B9D">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All APRA</w:t>
                        </w:r>
                        <w:r>
                          <w:rPr>
                            <w:rFonts w:ascii="Arial" w:eastAsia="+mn-ea" w:hAnsi="Arial" w:cs="Arial"/>
                            <w:color w:val="000000" w:themeColor="text1"/>
                            <w:kern w:val="24"/>
                            <w:sz w:val="18"/>
                            <w:szCs w:val="18"/>
                          </w:rPr>
                          <w:noBreakHyphen/>
                          <w:t>regulated</w:t>
                        </w:r>
                        <w:r w:rsidRPr="00A95597">
                          <w:rPr>
                            <w:rFonts w:ascii="Arial" w:eastAsia="+mn-ea" w:hAnsi="Arial" w:cs="Arial"/>
                            <w:color w:val="000000" w:themeColor="text1"/>
                            <w:kern w:val="24"/>
                            <w:sz w:val="18"/>
                            <w:szCs w:val="18"/>
                          </w:rPr>
                          <w:t xml:space="preserve"> funds</w:t>
                        </w:r>
                        <w:r>
                          <w:rPr>
                            <w:rFonts w:ascii="Arial" w:eastAsia="+mn-ea" w:hAnsi="Arial" w:cs="Arial"/>
                            <w:color w:val="000000" w:themeColor="text1"/>
                            <w:kern w:val="24"/>
                            <w:sz w:val="18"/>
                            <w:szCs w:val="18"/>
                          </w:rPr>
                          <w:t>. 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 xml:space="preserve">only superannuation funds. </w:t>
                        </w:r>
                      </w:p>
                    </w:tc>
                  </w:tr>
                  <w:tr w:rsidR="00FC14FC" w14:paraId="37524FCE" w14:textId="77777777" w:rsidTr="00D11B9D">
                    <w:tc>
                      <w:tcPr>
                        <w:tcW w:w="1559" w:type="dxa"/>
                        <w:shd w:val="clear" w:color="auto" w:fill="F2F2F2" w:themeFill="background1" w:themeFillShade="F2"/>
                      </w:tcPr>
                      <w:p w14:paraId="26102B07"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554F7CFD"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657AE0C2"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360D4D11"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r>
                </w:tbl>
                <w:p w14:paraId="6BCC6860" w14:textId="77777777" w:rsidR="00FC14FC" w:rsidRPr="00B1465D" w:rsidRDefault="00FC14FC" w:rsidP="00D11B9D">
                  <w:pPr>
                    <w:pStyle w:val="Figure"/>
                    <w:spacing w:before="60" w:after="60"/>
                    <w:rPr>
                      <w:rFonts w:ascii="Arial" w:hAnsi="Arial" w:cs="Arial"/>
                      <w:sz w:val="18"/>
                      <w:szCs w:val="18"/>
                    </w:rPr>
                  </w:pPr>
                </w:p>
              </w:tc>
            </w:tr>
          </w:tbl>
          <w:p w14:paraId="27CC9DAB" w14:textId="77777777" w:rsidR="00FC14FC" w:rsidRDefault="00FC14FC" w:rsidP="00D11B9D">
            <w:pPr>
              <w:pStyle w:val="Figure"/>
            </w:pPr>
          </w:p>
        </w:tc>
      </w:tr>
      <w:tr w:rsidR="00FC14FC" w14:paraId="7A49D0C2" w14:textId="77777777" w:rsidTr="00D11B9D">
        <w:tc>
          <w:tcPr>
            <w:tcW w:w="5000" w:type="pct"/>
            <w:tcBorders>
              <w:top w:val="nil"/>
              <w:left w:val="nil"/>
              <w:bottom w:val="single" w:sz="6" w:space="0" w:color="78A22F"/>
              <w:right w:val="nil"/>
            </w:tcBorders>
            <w:shd w:val="clear" w:color="auto" w:fill="auto"/>
          </w:tcPr>
          <w:p w14:paraId="1E92A17C" w14:textId="77777777" w:rsidR="00FC14FC" w:rsidRDefault="00FC14FC" w:rsidP="00D11B9D">
            <w:pPr>
              <w:pStyle w:val="Figurespace"/>
            </w:pPr>
          </w:p>
        </w:tc>
      </w:tr>
    </w:tbl>
    <w:p w14:paraId="7CDAA3F3" w14:textId="77777777" w:rsidR="00FC14FC" w:rsidRDefault="00FC14FC" w:rsidP="00FC14FC">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0B088C65" w14:textId="77777777" w:rsidTr="00D11B9D">
        <w:trPr>
          <w:tblHeader/>
        </w:trPr>
        <w:tc>
          <w:tcPr>
            <w:tcW w:w="5000" w:type="pct"/>
            <w:tcBorders>
              <w:top w:val="single" w:sz="6" w:space="0" w:color="78A22F"/>
              <w:left w:val="nil"/>
              <w:bottom w:val="nil"/>
              <w:right w:val="nil"/>
            </w:tcBorders>
            <w:shd w:val="clear" w:color="auto" w:fill="auto"/>
          </w:tcPr>
          <w:p w14:paraId="6AD09CAF" w14:textId="77777777" w:rsidR="00FC14FC" w:rsidRDefault="00FC14FC" w:rsidP="00D11B9D">
            <w:pPr>
              <w:pStyle w:val="FigureTitle"/>
            </w:pPr>
            <w:r w:rsidRPr="00784A05">
              <w:rPr>
                <w:b w:val="0"/>
              </w:rPr>
              <w:lastRenderedPageBreak/>
              <w:t xml:space="preserve">Figure </w:t>
            </w:r>
            <w:r>
              <w:rPr>
                <w:b w:val="0"/>
              </w:rPr>
              <w:t>4.15</w:t>
            </w:r>
            <w:r>
              <w:tab/>
              <w:t>Retail and not</w:t>
            </w:r>
            <w:r>
              <w:noBreakHyphen/>
              <w:t>for</w:t>
            </w:r>
            <w:r>
              <w:noBreakHyphen/>
              <w:t>profit segments</w:t>
            </w:r>
          </w:p>
          <w:p w14:paraId="6017C5B5" w14:textId="77777777" w:rsidR="00FC14FC" w:rsidRPr="00176D3F" w:rsidRDefault="00FC14FC" w:rsidP="00D11B9D">
            <w:pPr>
              <w:pStyle w:val="Subtitle"/>
            </w:pPr>
            <w:r>
              <w:t>Returns gross of administration expenses, 2005–2017</w:t>
            </w:r>
          </w:p>
        </w:tc>
      </w:tr>
      <w:tr w:rsidR="00FC14FC" w14:paraId="77DE29A9"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7F81ACF2" w14:textId="77777777" w:rsidTr="00D11B9D">
              <w:trPr>
                <w:tblHeader/>
                <w:jc w:val="center"/>
              </w:trPr>
              <w:tc>
                <w:tcPr>
                  <w:tcW w:w="5000" w:type="pct"/>
                  <w:tcBorders>
                    <w:top w:val="nil"/>
                    <w:bottom w:val="nil"/>
                  </w:tcBorders>
                </w:tcPr>
                <w:p w14:paraId="61FEB7C9" w14:textId="77777777" w:rsidR="00FC14FC" w:rsidRDefault="00FC14FC" w:rsidP="00D11B9D">
                  <w:pPr>
                    <w:pStyle w:val="Figure"/>
                    <w:spacing w:before="60" w:after="60"/>
                    <w:rPr>
                      <w:rFonts w:ascii="Arial" w:hAnsi="Arial" w:cs="Arial"/>
                      <w:sz w:val="18"/>
                      <w:szCs w:val="18"/>
                    </w:rPr>
                  </w:pPr>
                  <w:r w:rsidRPr="00C24C57">
                    <w:rPr>
                      <w:rFonts w:ascii="Arial" w:hAnsi="Arial" w:cs="Arial"/>
                      <w:noProof/>
                      <w:sz w:val="18"/>
                      <w:szCs w:val="18"/>
                    </w:rPr>
                    <w:drawing>
                      <wp:inline distT="0" distB="0" distL="0" distR="0" wp14:anchorId="177248B7" wp14:editId="165C53CC">
                        <wp:extent cx="5096492" cy="2595283"/>
                        <wp:effectExtent l="0" t="0" r="0" b="0"/>
                        <wp:docPr id="14" name="Picture 14" descr="Fig 4.15. This bar chart shows the 13 year gross of administration expenses performance of the retail segment and the not-for-profit segment. Only the not-for-profit segment performs above its BPs. " title="Retail and not-for-profit seg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t="4486"/>
                                <a:stretch/>
                              </pic:blipFill>
                              <pic:spPr bwMode="auto">
                                <a:xfrm>
                                  <a:off x="0" y="0"/>
                                  <a:ext cx="5125738" cy="261017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1559"/>
                    <w:gridCol w:w="2311"/>
                    <w:gridCol w:w="2312"/>
                    <w:gridCol w:w="2312"/>
                  </w:tblGrid>
                  <w:tr w:rsidR="00FC14FC" w14:paraId="1024CDA7" w14:textId="77777777" w:rsidTr="00D11B9D">
                    <w:tc>
                      <w:tcPr>
                        <w:tcW w:w="1559" w:type="dxa"/>
                        <w:shd w:val="clear" w:color="auto" w:fill="F2F2F2" w:themeFill="background1" w:themeFillShade="F2"/>
                      </w:tcPr>
                      <w:p w14:paraId="03DD8399"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640E356F" w14:textId="77777777" w:rsidR="00FC14FC" w:rsidRDefault="00FC14FC" w:rsidP="00D11B9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 xml:space="preserve">PC analysis of unpublished APRA </w:t>
                        </w:r>
                        <w:r w:rsidDel="00DF46E2">
                          <w:rPr>
                            <w:rFonts w:ascii="Arial" w:eastAsia="+mn-ea" w:hAnsi="Arial" w:cs="Arial"/>
                            <w:color w:val="000000" w:themeColor="text1"/>
                            <w:kern w:val="24"/>
                            <w:sz w:val="18"/>
                            <w:szCs w:val="18"/>
                          </w:rPr>
                          <w:t>data</w:t>
                        </w:r>
                        <w:r>
                          <w:rPr>
                            <w:rFonts w:ascii="Arial" w:eastAsia="+mn-ea" w:hAnsi="Arial" w:cs="Arial"/>
                            <w:color w:val="000000" w:themeColor="text1"/>
                            <w:kern w:val="24"/>
                            <w:sz w:val="18"/>
                            <w:szCs w:val="18"/>
                          </w:rPr>
                          <w:t xml:space="preserve"> and financial market index data (various providers).</w:t>
                        </w:r>
                      </w:p>
                    </w:tc>
                  </w:tr>
                  <w:tr w:rsidR="00FC14FC" w14:paraId="11E0AA1B" w14:textId="77777777" w:rsidTr="00D11B9D">
                    <w:tc>
                      <w:tcPr>
                        <w:tcW w:w="1559" w:type="dxa"/>
                        <w:shd w:val="clear" w:color="auto" w:fill="F2F2F2" w:themeFill="background1" w:themeFillShade="F2"/>
                      </w:tcPr>
                      <w:p w14:paraId="6EF2297A"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5B2E14CC" w14:textId="77777777" w:rsidR="00FC14FC" w:rsidRDefault="00FC14FC" w:rsidP="00D11B9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 xml:space="preserve">Segment tailored (gross of administration expenses) </w:t>
                        </w:r>
                        <w:r w:rsidRPr="00A95597">
                          <w:rPr>
                            <w:rFonts w:ascii="Arial" w:eastAsia="+mn-ea" w:hAnsi="Arial" w:cs="Arial"/>
                            <w:color w:val="000000" w:themeColor="text1"/>
                            <w:kern w:val="24"/>
                            <w:sz w:val="18"/>
                            <w:szCs w:val="18"/>
                          </w:rPr>
                          <w:t>BP1 and BP2</w:t>
                        </w:r>
                        <w:r>
                          <w:rPr>
                            <w:rFonts w:ascii="Arial" w:eastAsia="+mn-ea" w:hAnsi="Arial" w:cs="Arial"/>
                            <w:color w:val="000000" w:themeColor="text1"/>
                            <w:kern w:val="24"/>
                            <w:sz w:val="18"/>
                            <w:szCs w:val="18"/>
                          </w:rPr>
                          <w:t>.</w:t>
                        </w:r>
                      </w:p>
                    </w:tc>
                  </w:tr>
                  <w:tr w:rsidR="00FC14FC" w14:paraId="210F139C" w14:textId="77777777" w:rsidTr="00D11B9D">
                    <w:tc>
                      <w:tcPr>
                        <w:tcW w:w="1559" w:type="dxa"/>
                        <w:shd w:val="clear" w:color="auto" w:fill="F2F2F2" w:themeFill="background1" w:themeFillShade="F2"/>
                      </w:tcPr>
                      <w:p w14:paraId="72EA9909"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2CFDD632" w14:textId="77777777" w:rsidR="00FC14FC" w:rsidRPr="001F53B0" w:rsidRDefault="00FC14FC" w:rsidP="00D11B9D">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All APRA</w:t>
                        </w:r>
                        <w:r>
                          <w:rPr>
                            <w:rFonts w:ascii="Arial" w:eastAsia="+mn-ea" w:hAnsi="Arial" w:cs="Arial"/>
                            <w:color w:val="000000" w:themeColor="text1"/>
                            <w:kern w:val="24"/>
                            <w:sz w:val="18"/>
                            <w:szCs w:val="18"/>
                          </w:rPr>
                          <w:noBreakHyphen/>
                          <w:t>regulated</w:t>
                        </w:r>
                        <w:r w:rsidRPr="00A95597">
                          <w:rPr>
                            <w:rFonts w:ascii="Arial" w:eastAsia="+mn-ea" w:hAnsi="Arial" w:cs="Arial"/>
                            <w:color w:val="000000" w:themeColor="text1"/>
                            <w:kern w:val="24"/>
                            <w:sz w:val="18"/>
                            <w:szCs w:val="18"/>
                          </w:rPr>
                          <w:t xml:space="preserve"> funds</w:t>
                        </w:r>
                        <w:r>
                          <w:rPr>
                            <w:rFonts w:ascii="Arial" w:eastAsia="+mn-ea" w:hAnsi="Arial" w:cs="Arial"/>
                            <w:color w:val="000000" w:themeColor="text1"/>
                            <w:kern w:val="24"/>
                            <w:sz w:val="18"/>
                            <w:szCs w:val="18"/>
                          </w:rPr>
                          <w:t>. 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 xml:space="preserve">only superannuation funds. </w:t>
                        </w:r>
                      </w:p>
                    </w:tc>
                  </w:tr>
                  <w:tr w:rsidR="00FC14FC" w14:paraId="3561B2ED" w14:textId="77777777" w:rsidTr="00D11B9D">
                    <w:tc>
                      <w:tcPr>
                        <w:tcW w:w="1559" w:type="dxa"/>
                        <w:shd w:val="clear" w:color="auto" w:fill="F2F2F2" w:themeFill="background1" w:themeFillShade="F2"/>
                      </w:tcPr>
                      <w:p w14:paraId="5A6FFA2C"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14DD5429"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09F26B23"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3404C0B5"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r>
                </w:tbl>
                <w:p w14:paraId="0019F968" w14:textId="77777777" w:rsidR="00FC14FC" w:rsidRPr="00B1465D" w:rsidRDefault="00FC14FC" w:rsidP="00D11B9D">
                  <w:pPr>
                    <w:pStyle w:val="Figure"/>
                    <w:spacing w:before="60" w:after="60"/>
                    <w:rPr>
                      <w:rFonts w:ascii="Arial" w:hAnsi="Arial" w:cs="Arial"/>
                      <w:sz w:val="18"/>
                      <w:szCs w:val="18"/>
                    </w:rPr>
                  </w:pPr>
                </w:p>
              </w:tc>
            </w:tr>
          </w:tbl>
          <w:p w14:paraId="2CD4B987" w14:textId="77777777" w:rsidR="00FC14FC" w:rsidRDefault="00FC14FC" w:rsidP="00D11B9D">
            <w:pPr>
              <w:pStyle w:val="Figure"/>
            </w:pPr>
          </w:p>
        </w:tc>
      </w:tr>
      <w:tr w:rsidR="00FC14FC" w14:paraId="5F408C55" w14:textId="77777777" w:rsidTr="00D11B9D">
        <w:tc>
          <w:tcPr>
            <w:tcW w:w="5000" w:type="pct"/>
            <w:tcBorders>
              <w:top w:val="nil"/>
              <w:left w:val="nil"/>
              <w:bottom w:val="single" w:sz="6" w:space="0" w:color="78A22F"/>
              <w:right w:val="nil"/>
            </w:tcBorders>
            <w:shd w:val="clear" w:color="auto" w:fill="auto"/>
          </w:tcPr>
          <w:p w14:paraId="20F12C63" w14:textId="77777777" w:rsidR="00FC14FC" w:rsidRDefault="00FC14FC" w:rsidP="00D11B9D">
            <w:pPr>
              <w:pStyle w:val="Figurespace"/>
            </w:pPr>
          </w:p>
        </w:tc>
      </w:tr>
    </w:tbl>
    <w:p w14:paraId="4A5485D3" w14:textId="77777777" w:rsidR="00FC14FC" w:rsidRPr="00547320" w:rsidRDefault="00FC14FC" w:rsidP="00FC14FC">
      <w:pPr>
        <w:pStyle w:val="Heading4"/>
      </w:pPr>
      <w:r w:rsidRPr="00B61BE2">
        <w:t>Fund</w:t>
      </w:r>
      <w:r w:rsidRPr="00B61BE2">
        <w:noBreakHyphen/>
        <w:t xml:space="preserve">type and </w:t>
      </w:r>
      <w:r>
        <w:t>option</w:t>
      </w:r>
      <w:r>
        <w:noBreakHyphen/>
        <w:t>type</w:t>
      </w:r>
      <w:r w:rsidRPr="00B61BE2">
        <w:t xml:space="preserve"> level</w:t>
      </w:r>
    </w:p>
    <w:p w14:paraId="279ECD8A" w14:textId="77777777" w:rsidR="00FC14FC" w:rsidRDefault="00FC14FC" w:rsidP="00FC14FC">
      <w:pPr>
        <w:pStyle w:val="BodyText"/>
      </w:pPr>
      <w:r>
        <w:t>Analysis in chapter 2 shows that for most option types (and when legacy and terminated options are excluded), not</w:t>
      </w:r>
      <w:r>
        <w:noBreakHyphen/>
        <w:t>for</w:t>
      </w:r>
      <w:r>
        <w:noBreakHyphen/>
        <w:t>profit products beat their option</w:t>
      </w:r>
      <w:r>
        <w:noBreakHyphen/>
        <w:t>type tailored BPs, while retail fund products fall below all BPs for all option types except high growth. This result is relatively unaffected by alterations to the tax rate applied to the BPs (table 4.33).</w:t>
      </w:r>
    </w:p>
    <w:p w14:paraId="123FF177"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00B5EE7F" w14:textId="77777777" w:rsidTr="00D11B9D">
        <w:tc>
          <w:tcPr>
            <w:tcW w:w="5000" w:type="pct"/>
            <w:tcBorders>
              <w:top w:val="single" w:sz="6" w:space="0" w:color="78A22F"/>
              <w:left w:val="nil"/>
              <w:bottom w:val="nil"/>
              <w:right w:val="nil"/>
            </w:tcBorders>
            <w:shd w:val="clear" w:color="auto" w:fill="auto"/>
          </w:tcPr>
          <w:p w14:paraId="3A1F1CE6" w14:textId="77777777" w:rsidR="00FC14FC" w:rsidRDefault="00FC14FC" w:rsidP="00D11B9D">
            <w:pPr>
              <w:pStyle w:val="TableTitle"/>
            </w:pPr>
            <w:r>
              <w:rPr>
                <w:b w:val="0"/>
              </w:rPr>
              <w:t>Table 4.33</w:t>
            </w:r>
            <w:r>
              <w:tab/>
              <w:t>Option</w:t>
            </w:r>
            <w:r>
              <w:noBreakHyphen/>
              <w:t>type – fund</w:t>
            </w:r>
            <w:r>
              <w:noBreakHyphen/>
              <w:t>type segments</w:t>
            </w:r>
            <w:r w:rsidRPr="00824F54">
              <w:rPr>
                <w:rStyle w:val="NoteLabel"/>
              </w:rPr>
              <w:t>a</w:t>
            </w:r>
            <w:r>
              <w:rPr>
                <w:rStyle w:val="NoteLabel"/>
              </w:rPr>
              <w:t>,b,c,d,e</w:t>
            </w:r>
          </w:p>
          <w:p w14:paraId="56A48602" w14:textId="77777777" w:rsidR="00FC14FC" w:rsidRPr="00784A05" w:rsidRDefault="00FC14FC" w:rsidP="00D11B9D">
            <w:pPr>
              <w:pStyle w:val="Subtitle"/>
            </w:pPr>
            <w:r>
              <w:t>Sensitivity tests, 2005–2017</w:t>
            </w:r>
          </w:p>
        </w:tc>
      </w:tr>
      <w:tr w:rsidR="00FC14FC" w14:paraId="7A1F6D5D" w14:textId="77777777" w:rsidTr="00D11B9D">
        <w:tc>
          <w:tcPr>
            <w:tcW w:w="5000" w:type="pct"/>
            <w:tcBorders>
              <w:top w:val="nil"/>
              <w:left w:val="nil"/>
              <w:bottom w:val="single" w:sz="4" w:space="0" w:color="D9D9D9" w:themeColor="background1" w:themeShade="D9"/>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1066"/>
              <w:gridCol w:w="1344"/>
              <w:gridCol w:w="1134"/>
              <w:gridCol w:w="850"/>
              <w:gridCol w:w="850"/>
              <w:gridCol w:w="3286"/>
            </w:tblGrid>
            <w:tr w:rsidR="00FC14FC" w14:paraId="7043CB26" w14:textId="77777777" w:rsidTr="00D11B9D">
              <w:trPr>
                <w:tblHeader/>
              </w:trPr>
              <w:tc>
                <w:tcPr>
                  <w:tcW w:w="625" w:type="pct"/>
                  <w:tcBorders>
                    <w:top w:val="single" w:sz="6" w:space="0" w:color="BFBFBF"/>
                    <w:bottom w:val="single" w:sz="6" w:space="0" w:color="BFBFBF"/>
                  </w:tcBorders>
                  <w:shd w:val="clear" w:color="auto" w:fill="auto"/>
                  <w:tcMar>
                    <w:top w:w="28" w:type="dxa"/>
                  </w:tcMar>
                  <w:vAlign w:val="bottom"/>
                </w:tcPr>
                <w:p w14:paraId="5E8B2399" w14:textId="77777777" w:rsidR="00FC14FC" w:rsidRDefault="00FC14FC" w:rsidP="00D11B9D">
                  <w:pPr>
                    <w:pStyle w:val="TableColumnHeading"/>
                    <w:jc w:val="left"/>
                  </w:pPr>
                  <w:r>
                    <w:t xml:space="preserve">BP type </w:t>
                  </w:r>
                </w:p>
              </w:tc>
              <w:tc>
                <w:tcPr>
                  <w:tcW w:w="788" w:type="pct"/>
                  <w:tcBorders>
                    <w:top w:val="single" w:sz="6" w:space="0" w:color="BFBFBF"/>
                    <w:bottom w:val="single" w:sz="6" w:space="0" w:color="BFBFBF"/>
                  </w:tcBorders>
                  <w:shd w:val="clear" w:color="auto" w:fill="auto"/>
                  <w:vAlign w:val="bottom"/>
                </w:tcPr>
                <w:p w14:paraId="1AE19DE5" w14:textId="77777777" w:rsidR="00FC14FC" w:rsidRDefault="00FC14FC" w:rsidP="00D11B9D">
                  <w:pPr>
                    <w:pStyle w:val="TableColumnHeading"/>
                    <w:jc w:val="left"/>
                  </w:pPr>
                  <w:r>
                    <w:t>Fund type</w:t>
                  </w:r>
                </w:p>
              </w:tc>
              <w:tc>
                <w:tcPr>
                  <w:tcW w:w="665" w:type="pct"/>
                  <w:tcBorders>
                    <w:top w:val="single" w:sz="6" w:space="0" w:color="BFBFBF"/>
                    <w:bottom w:val="single" w:sz="6" w:space="0" w:color="BFBFBF"/>
                  </w:tcBorders>
                  <w:shd w:val="clear" w:color="auto" w:fill="auto"/>
                  <w:tcMar>
                    <w:top w:w="28" w:type="dxa"/>
                  </w:tcMar>
                  <w:vAlign w:val="bottom"/>
                </w:tcPr>
                <w:p w14:paraId="5C731C0D" w14:textId="77777777" w:rsidR="00FC14FC" w:rsidRDefault="00FC14FC" w:rsidP="00D11B9D">
                  <w:pPr>
                    <w:pStyle w:val="TableColumnHeading"/>
                  </w:pPr>
                  <w:r>
                    <w:t>Actual return (%)</w:t>
                  </w:r>
                </w:p>
              </w:tc>
              <w:tc>
                <w:tcPr>
                  <w:tcW w:w="498" w:type="pct"/>
                  <w:tcBorders>
                    <w:top w:val="single" w:sz="6" w:space="0" w:color="BFBFBF"/>
                    <w:bottom w:val="single" w:sz="6" w:space="0" w:color="BFBFBF"/>
                  </w:tcBorders>
                  <w:shd w:val="clear" w:color="auto" w:fill="auto"/>
                  <w:tcMar>
                    <w:top w:w="28" w:type="dxa"/>
                  </w:tcMar>
                  <w:vAlign w:val="bottom"/>
                </w:tcPr>
                <w:p w14:paraId="470811F6" w14:textId="77777777" w:rsidR="00FC14FC" w:rsidRDefault="00FC14FC" w:rsidP="00D11B9D">
                  <w:pPr>
                    <w:pStyle w:val="TableColumnHeading"/>
                    <w:ind w:right="28"/>
                  </w:pPr>
                  <w:r>
                    <w:t>BP1 (%)</w:t>
                  </w:r>
                </w:p>
              </w:tc>
              <w:tc>
                <w:tcPr>
                  <w:tcW w:w="498" w:type="pct"/>
                  <w:tcBorders>
                    <w:top w:val="single" w:sz="6" w:space="0" w:color="BFBFBF"/>
                    <w:bottom w:val="single" w:sz="6" w:space="0" w:color="BFBFBF"/>
                  </w:tcBorders>
                  <w:shd w:val="clear" w:color="auto" w:fill="auto"/>
                  <w:vAlign w:val="bottom"/>
                </w:tcPr>
                <w:p w14:paraId="1BA5F225" w14:textId="77777777" w:rsidR="00FC14FC" w:rsidRDefault="00FC14FC" w:rsidP="00D11B9D">
                  <w:pPr>
                    <w:pStyle w:val="TableColumnHeading"/>
                    <w:ind w:right="28"/>
                  </w:pPr>
                  <w:r>
                    <w:t>BP2 (%)</w:t>
                  </w:r>
                </w:p>
              </w:tc>
              <w:tc>
                <w:tcPr>
                  <w:tcW w:w="1926" w:type="pct"/>
                  <w:tcBorders>
                    <w:top w:val="single" w:sz="6" w:space="0" w:color="BFBFBF"/>
                    <w:bottom w:val="single" w:sz="6" w:space="0" w:color="BFBFBF"/>
                  </w:tcBorders>
                  <w:shd w:val="clear" w:color="auto" w:fill="auto"/>
                  <w:vAlign w:val="bottom"/>
                </w:tcPr>
                <w:p w14:paraId="48473EDF" w14:textId="77777777" w:rsidR="00FC14FC" w:rsidRDefault="00FC14FC" w:rsidP="00D11B9D">
                  <w:pPr>
                    <w:pStyle w:val="TableColumnHeading"/>
                    <w:ind w:right="28"/>
                    <w:jc w:val="left"/>
                  </w:pPr>
                  <w:r>
                    <w:t>Result</w:t>
                  </w:r>
                </w:p>
              </w:tc>
            </w:tr>
            <w:tr w:rsidR="00FC14FC" w14:paraId="5B916BC0" w14:textId="77777777" w:rsidTr="00D11B9D">
              <w:tc>
                <w:tcPr>
                  <w:tcW w:w="5000" w:type="pct"/>
                  <w:gridSpan w:val="6"/>
                  <w:tcBorders>
                    <w:top w:val="single" w:sz="6" w:space="0" w:color="BFBFBF"/>
                  </w:tcBorders>
                  <w:shd w:val="clear" w:color="auto" w:fill="auto"/>
                </w:tcPr>
                <w:p w14:paraId="73D55E59" w14:textId="77777777" w:rsidR="00FC14FC" w:rsidRPr="00027A89" w:rsidRDefault="00FC14FC" w:rsidP="00D11B9D">
                  <w:pPr>
                    <w:pStyle w:val="TableUnitsRow"/>
                    <w:jc w:val="left"/>
                    <w:rPr>
                      <w:rStyle w:val="NoteLabel"/>
                    </w:rPr>
                  </w:pPr>
                  <w:r w:rsidRPr="00F12BC4">
                    <w:rPr>
                      <w:b/>
                    </w:rPr>
                    <w:t>Secure (0</w:t>
                  </w:r>
                  <w:r>
                    <w:rPr>
                      <w:b/>
                    </w:rPr>
                    <w:t>–</w:t>
                  </w:r>
                  <w:r w:rsidRPr="00F12BC4">
                    <w:rPr>
                      <w:b/>
                    </w:rPr>
                    <w:t>19)</w:t>
                  </w:r>
                  <w:r>
                    <w:rPr>
                      <w:rStyle w:val="NoteLabel"/>
                    </w:rPr>
                    <w:t>b</w:t>
                  </w:r>
                </w:p>
              </w:tc>
            </w:tr>
            <w:tr w:rsidR="00FC14FC" w14:paraId="32D1CE9C" w14:textId="77777777" w:rsidTr="00D11B9D">
              <w:tc>
                <w:tcPr>
                  <w:tcW w:w="625" w:type="pct"/>
                  <w:vMerge w:val="restart"/>
                  <w:shd w:val="clear" w:color="auto" w:fill="auto"/>
                </w:tcPr>
                <w:p w14:paraId="74DF827B" w14:textId="77777777" w:rsidR="00FC14FC" w:rsidRDefault="00FC14FC" w:rsidP="00D11B9D">
                  <w:pPr>
                    <w:pStyle w:val="TableBodyText"/>
                    <w:jc w:val="left"/>
                  </w:pPr>
                  <w:r>
                    <w:t>Option</w:t>
                  </w:r>
                  <w:r>
                    <w:noBreakHyphen/>
                    <w:t>type tailored tax</w:t>
                  </w:r>
                </w:p>
                <w:p w14:paraId="3D9DB1CE" w14:textId="77777777" w:rsidR="00FC14FC" w:rsidRDefault="00FC14FC" w:rsidP="00D11B9D">
                  <w:pPr>
                    <w:pStyle w:val="TableBodyText"/>
                    <w:tabs>
                      <w:tab w:val="left" w:pos="676"/>
                    </w:tabs>
                    <w:jc w:val="left"/>
                  </w:pPr>
                  <w:r>
                    <w:tab/>
                  </w:r>
                </w:p>
              </w:tc>
              <w:tc>
                <w:tcPr>
                  <w:tcW w:w="788" w:type="pct"/>
                  <w:shd w:val="clear" w:color="auto" w:fill="auto"/>
                </w:tcPr>
                <w:p w14:paraId="65BAEEE5" w14:textId="77777777" w:rsidR="00FC14FC" w:rsidRDefault="00FC14FC" w:rsidP="00D11B9D">
                  <w:pPr>
                    <w:pStyle w:val="TableBodyText"/>
                    <w:jc w:val="left"/>
                  </w:pPr>
                  <w:r>
                    <w:t>Corporate</w:t>
                  </w:r>
                </w:p>
              </w:tc>
              <w:tc>
                <w:tcPr>
                  <w:tcW w:w="665" w:type="pct"/>
                  <w:shd w:val="clear" w:color="auto" w:fill="auto"/>
                </w:tcPr>
                <w:p w14:paraId="4F6BB6D5" w14:textId="77777777" w:rsidR="00FC14FC" w:rsidRDefault="00FC14FC" w:rsidP="00D11B9D">
                  <w:pPr>
                    <w:pStyle w:val="TableBodyText"/>
                  </w:pPr>
                  <w:r>
                    <w:t>4.24</w:t>
                  </w:r>
                </w:p>
              </w:tc>
              <w:tc>
                <w:tcPr>
                  <w:tcW w:w="498" w:type="pct"/>
                  <w:vMerge w:val="restart"/>
                  <w:shd w:val="clear" w:color="auto" w:fill="auto"/>
                  <w:vAlign w:val="center"/>
                </w:tcPr>
                <w:p w14:paraId="7251FBF1" w14:textId="77777777" w:rsidR="00FC14FC" w:rsidRDefault="00FC14FC" w:rsidP="00D11B9D">
                  <w:pPr>
                    <w:pStyle w:val="TableBodyText"/>
                  </w:pPr>
                  <w:r>
                    <w:t>4.37</w:t>
                  </w:r>
                </w:p>
              </w:tc>
              <w:tc>
                <w:tcPr>
                  <w:tcW w:w="498" w:type="pct"/>
                  <w:vMerge w:val="restart"/>
                  <w:shd w:val="clear" w:color="auto" w:fill="auto"/>
                  <w:vAlign w:val="center"/>
                </w:tcPr>
                <w:p w14:paraId="4E3B4256" w14:textId="77777777" w:rsidR="00FC14FC" w:rsidRDefault="00FC14FC" w:rsidP="00D11B9D">
                  <w:pPr>
                    <w:pStyle w:val="TableBodyText"/>
                  </w:pPr>
                  <w:r>
                    <w:t>4.38</w:t>
                  </w:r>
                </w:p>
              </w:tc>
              <w:tc>
                <w:tcPr>
                  <w:tcW w:w="1926" w:type="pct"/>
                  <w:shd w:val="clear" w:color="auto" w:fill="auto"/>
                </w:tcPr>
                <w:p w14:paraId="526CCBC3" w14:textId="77777777" w:rsidR="00FC14FC" w:rsidRDefault="00FC14FC" w:rsidP="00D11B9D">
                  <w:pPr>
                    <w:pStyle w:val="TableBodyText"/>
                    <w:jc w:val="left"/>
                  </w:pPr>
                  <w:r>
                    <w:t>Performance below both benchmarks</w:t>
                  </w:r>
                </w:p>
              </w:tc>
            </w:tr>
            <w:tr w:rsidR="00FC14FC" w14:paraId="745860D4" w14:textId="77777777" w:rsidTr="00D11B9D">
              <w:tc>
                <w:tcPr>
                  <w:tcW w:w="625" w:type="pct"/>
                  <w:vMerge/>
                  <w:shd w:val="clear" w:color="auto" w:fill="auto"/>
                </w:tcPr>
                <w:p w14:paraId="35EFF730" w14:textId="77777777" w:rsidR="00FC14FC" w:rsidRDefault="00FC14FC" w:rsidP="00D11B9D">
                  <w:pPr>
                    <w:pStyle w:val="TableBodyText"/>
                    <w:tabs>
                      <w:tab w:val="left" w:pos="676"/>
                    </w:tabs>
                    <w:jc w:val="left"/>
                  </w:pPr>
                </w:p>
              </w:tc>
              <w:tc>
                <w:tcPr>
                  <w:tcW w:w="788" w:type="pct"/>
                  <w:shd w:val="clear" w:color="auto" w:fill="auto"/>
                </w:tcPr>
                <w:p w14:paraId="51EAAEF9" w14:textId="77777777" w:rsidR="00FC14FC" w:rsidRDefault="00FC14FC" w:rsidP="00D11B9D">
                  <w:pPr>
                    <w:pStyle w:val="TableBodyText"/>
                    <w:jc w:val="left"/>
                  </w:pPr>
                  <w:r>
                    <w:t>Industry</w:t>
                  </w:r>
                </w:p>
              </w:tc>
              <w:tc>
                <w:tcPr>
                  <w:tcW w:w="665" w:type="pct"/>
                  <w:shd w:val="clear" w:color="auto" w:fill="auto"/>
                </w:tcPr>
                <w:p w14:paraId="33476BB0" w14:textId="77777777" w:rsidR="00FC14FC" w:rsidRDefault="00FC14FC" w:rsidP="00D11B9D">
                  <w:pPr>
                    <w:pStyle w:val="TableBodyText"/>
                  </w:pPr>
                  <w:r>
                    <w:t>4.85</w:t>
                  </w:r>
                </w:p>
              </w:tc>
              <w:tc>
                <w:tcPr>
                  <w:tcW w:w="498" w:type="pct"/>
                  <w:vMerge/>
                  <w:shd w:val="clear" w:color="auto" w:fill="auto"/>
                  <w:vAlign w:val="center"/>
                </w:tcPr>
                <w:p w14:paraId="55FB019F" w14:textId="77777777" w:rsidR="00FC14FC" w:rsidRDefault="00FC14FC" w:rsidP="00D11B9D">
                  <w:pPr>
                    <w:pStyle w:val="TableBodyText"/>
                    <w:jc w:val="left"/>
                  </w:pPr>
                </w:p>
              </w:tc>
              <w:tc>
                <w:tcPr>
                  <w:tcW w:w="498" w:type="pct"/>
                  <w:vMerge/>
                  <w:shd w:val="clear" w:color="auto" w:fill="auto"/>
                  <w:vAlign w:val="center"/>
                </w:tcPr>
                <w:p w14:paraId="197A23EE" w14:textId="77777777" w:rsidR="00FC14FC" w:rsidRDefault="00FC14FC" w:rsidP="00D11B9D">
                  <w:pPr>
                    <w:pStyle w:val="TableBodyText"/>
                  </w:pPr>
                </w:p>
              </w:tc>
              <w:tc>
                <w:tcPr>
                  <w:tcW w:w="1926" w:type="pct"/>
                  <w:shd w:val="clear" w:color="auto" w:fill="auto"/>
                </w:tcPr>
                <w:p w14:paraId="7DC11BE7" w14:textId="77777777" w:rsidR="00FC14FC" w:rsidRDefault="00FC14FC" w:rsidP="00D11B9D">
                  <w:pPr>
                    <w:pStyle w:val="TableBodyText"/>
                    <w:jc w:val="left"/>
                  </w:pPr>
                  <w:r>
                    <w:t>Performance above both benchmarks</w:t>
                  </w:r>
                </w:p>
              </w:tc>
            </w:tr>
            <w:tr w:rsidR="00FC14FC" w14:paraId="6971A4DC" w14:textId="77777777" w:rsidTr="00D11B9D">
              <w:tc>
                <w:tcPr>
                  <w:tcW w:w="625" w:type="pct"/>
                  <w:vMerge/>
                  <w:shd w:val="clear" w:color="auto" w:fill="auto"/>
                </w:tcPr>
                <w:p w14:paraId="7D87A537" w14:textId="77777777" w:rsidR="00FC14FC" w:rsidRDefault="00FC14FC" w:rsidP="00D11B9D">
                  <w:pPr>
                    <w:pStyle w:val="TableBodyText"/>
                    <w:jc w:val="left"/>
                  </w:pPr>
                </w:p>
              </w:tc>
              <w:tc>
                <w:tcPr>
                  <w:tcW w:w="788" w:type="pct"/>
                  <w:shd w:val="clear" w:color="auto" w:fill="auto"/>
                </w:tcPr>
                <w:p w14:paraId="57DA2717" w14:textId="77777777" w:rsidR="00FC14FC" w:rsidRDefault="00FC14FC" w:rsidP="00D11B9D">
                  <w:pPr>
                    <w:pStyle w:val="TableBodyText"/>
                    <w:jc w:val="left"/>
                  </w:pPr>
                  <w:r>
                    <w:t>Public sector</w:t>
                  </w:r>
                </w:p>
              </w:tc>
              <w:tc>
                <w:tcPr>
                  <w:tcW w:w="665" w:type="pct"/>
                  <w:shd w:val="clear" w:color="auto" w:fill="auto"/>
                </w:tcPr>
                <w:p w14:paraId="671A7DC9" w14:textId="77777777" w:rsidR="00FC14FC" w:rsidRPr="00E81BA4" w:rsidRDefault="00FC14FC" w:rsidP="00D11B9D">
                  <w:pPr>
                    <w:pStyle w:val="TableBodyText"/>
                  </w:pPr>
                  <w:r w:rsidRPr="00E81BA4">
                    <w:t>na</w:t>
                  </w:r>
                </w:p>
              </w:tc>
              <w:tc>
                <w:tcPr>
                  <w:tcW w:w="498" w:type="pct"/>
                  <w:vMerge/>
                  <w:shd w:val="clear" w:color="auto" w:fill="auto"/>
                  <w:vAlign w:val="center"/>
                </w:tcPr>
                <w:p w14:paraId="7E587F74" w14:textId="77777777" w:rsidR="00FC14FC" w:rsidRDefault="00FC14FC" w:rsidP="00D11B9D">
                  <w:pPr>
                    <w:pStyle w:val="TableBodyText"/>
                    <w:jc w:val="left"/>
                  </w:pPr>
                </w:p>
              </w:tc>
              <w:tc>
                <w:tcPr>
                  <w:tcW w:w="498" w:type="pct"/>
                  <w:vMerge/>
                  <w:shd w:val="clear" w:color="auto" w:fill="auto"/>
                  <w:vAlign w:val="center"/>
                </w:tcPr>
                <w:p w14:paraId="241E7383" w14:textId="77777777" w:rsidR="00FC14FC" w:rsidRDefault="00FC14FC" w:rsidP="00D11B9D">
                  <w:pPr>
                    <w:pStyle w:val="TableBodyText"/>
                  </w:pPr>
                </w:p>
              </w:tc>
              <w:tc>
                <w:tcPr>
                  <w:tcW w:w="1926" w:type="pct"/>
                  <w:shd w:val="clear" w:color="auto" w:fill="auto"/>
                </w:tcPr>
                <w:p w14:paraId="3F42317F" w14:textId="77777777" w:rsidR="00FC14FC" w:rsidRPr="00E81BA4" w:rsidRDefault="00FC14FC" w:rsidP="00D11B9D">
                  <w:pPr>
                    <w:pStyle w:val="TableBodyText"/>
                    <w:jc w:val="left"/>
                  </w:pPr>
                  <w:r w:rsidRPr="00E81BA4">
                    <w:t>na</w:t>
                  </w:r>
                </w:p>
              </w:tc>
            </w:tr>
            <w:tr w:rsidR="00FC14FC" w14:paraId="06FE7D4C" w14:textId="77777777" w:rsidTr="00D11B9D">
              <w:tc>
                <w:tcPr>
                  <w:tcW w:w="625" w:type="pct"/>
                  <w:vMerge/>
                  <w:shd w:val="clear" w:color="auto" w:fill="auto"/>
                </w:tcPr>
                <w:p w14:paraId="47CE6FF3" w14:textId="77777777" w:rsidR="00FC14FC" w:rsidRDefault="00FC14FC" w:rsidP="00D11B9D">
                  <w:pPr>
                    <w:pStyle w:val="TableBodyText"/>
                    <w:jc w:val="left"/>
                  </w:pPr>
                </w:p>
              </w:tc>
              <w:tc>
                <w:tcPr>
                  <w:tcW w:w="788" w:type="pct"/>
                  <w:shd w:val="clear" w:color="auto" w:fill="auto"/>
                </w:tcPr>
                <w:p w14:paraId="55A9A9EC" w14:textId="77777777" w:rsidR="00FC14FC" w:rsidRDefault="00FC14FC" w:rsidP="00D11B9D">
                  <w:pPr>
                    <w:pStyle w:val="TableBodyText"/>
                    <w:jc w:val="left"/>
                  </w:pPr>
                  <w:r>
                    <w:t>Retail</w:t>
                  </w:r>
                </w:p>
              </w:tc>
              <w:tc>
                <w:tcPr>
                  <w:tcW w:w="665" w:type="pct"/>
                  <w:shd w:val="clear" w:color="auto" w:fill="auto"/>
                </w:tcPr>
                <w:p w14:paraId="68E8AB1B" w14:textId="77777777" w:rsidR="00FC14FC" w:rsidRDefault="00FC14FC" w:rsidP="00D11B9D">
                  <w:pPr>
                    <w:pStyle w:val="TableBodyText"/>
                  </w:pPr>
                  <w:r>
                    <w:t>3.05</w:t>
                  </w:r>
                </w:p>
              </w:tc>
              <w:tc>
                <w:tcPr>
                  <w:tcW w:w="498" w:type="pct"/>
                  <w:vMerge/>
                  <w:shd w:val="clear" w:color="auto" w:fill="auto"/>
                  <w:vAlign w:val="center"/>
                </w:tcPr>
                <w:p w14:paraId="40F92BFC" w14:textId="77777777" w:rsidR="00FC14FC" w:rsidRDefault="00FC14FC" w:rsidP="00D11B9D">
                  <w:pPr>
                    <w:pStyle w:val="TableBodyText"/>
                  </w:pPr>
                </w:p>
              </w:tc>
              <w:tc>
                <w:tcPr>
                  <w:tcW w:w="498" w:type="pct"/>
                  <w:vMerge/>
                  <w:shd w:val="clear" w:color="auto" w:fill="auto"/>
                  <w:vAlign w:val="center"/>
                </w:tcPr>
                <w:p w14:paraId="32194215" w14:textId="77777777" w:rsidR="00FC14FC" w:rsidRDefault="00FC14FC" w:rsidP="00D11B9D">
                  <w:pPr>
                    <w:pStyle w:val="TableBodyText"/>
                  </w:pPr>
                </w:p>
              </w:tc>
              <w:tc>
                <w:tcPr>
                  <w:tcW w:w="1926" w:type="pct"/>
                  <w:shd w:val="clear" w:color="auto" w:fill="auto"/>
                </w:tcPr>
                <w:p w14:paraId="0E08E9D0" w14:textId="77777777" w:rsidR="00FC14FC" w:rsidRDefault="00FC14FC" w:rsidP="00D11B9D">
                  <w:pPr>
                    <w:pStyle w:val="TableBodyText"/>
                    <w:jc w:val="left"/>
                  </w:pPr>
                  <w:r>
                    <w:t>Performance below both benchmarks</w:t>
                  </w:r>
                </w:p>
              </w:tc>
            </w:tr>
            <w:tr w:rsidR="00FC14FC" w14:paraId="163AF84D" w14:textId="77777777" w:rsidTr="00D11B9D">
              <w:tc>
                <w:tcPr>
                  <w:tcW w:w="625" w:type="pct"/>
                  <w:vMerge w:val="restart"/>
                  <w:shd w:val="clear" w:color="auto" w:fill="F2F2F2" w:themeFill="background1" w:themeFillShade="F2"/>
                </w:tcPr>
                <w:p w14:paraId="6C1990F1" w14:textId="77777777" w:rsidR="00FC14FC" w:rsidRDefault="00FC14FC" w:rsidP="00D11B9D">
                  <w:pPr>
                    <w:pStyle w:val="TableBodyText"/>
                    <w:jc w:val="left"/>
                  </w:pPr>
                  <w:r>
                    <w:t>5% tax</w:t>
                  </w:r>
                </w:p>
              </w:tc>
              <w:tc>
                <w:tcPr>
                  <w:tcW w:w="788" w:type="pct"/>
                  <w:shd w:val="clear" w:color="auto" w:fill="F2F2F2" w:themeFill="background1" w:themeFillShade="F2"/>
                </w:tcPr>
                <w:p w14:paraId="2BDA6091" w14:textId="77777777" w:rsidR="00FC14FC" w:rsidRDefault="00FC14FC" w:rsidP="00D11B9D">
                  <w:pPr>
                    <w:pStyle w:val="TableBodyText"/>
                    <w:jc w:val="left"/>
                  </w:pPr>
                  <w:r>
                    <w:t>Corporate</w:t>
                  </w:r>
                </w:p>
              </w:tc>
              <w:tc>
                <w:tcPr>
                  <w:tcW w:w="665" w:type="pct"/>
                  <w:shd w:val="clear" w:color="auto" w:fill="F2F2F2" w:themeFill="background1" w:themeFillShade="F2"/>
                </w:tcPr>
                <w:p w14:paraId="73B76D9E" w14:textId="77777777" w:rsidR="00FC14FC" w:rsidRDefault="00FC14FC" w:rsidP="00D11B9D">
                  <w:pPr>
                    <w:pStyle w:val="TableBodyText"/>
                  </w:pPr>
                  <w:r>
                    <w:t>4.24</w:t>
                  </w:r>
                </w:p>
              </w:tc>
              <w:tc>
                <w:tcPr>
                  <w:tcW w:w="498" w:type="pct"/>
                  <w:vMerge w:val="restart"/>
                  <w:shd w:val="clear" w:color="auto" w:fill="F2F2F2" w:themeFill="background1" w:themeFillShade="F2"/>
                  <w:vAlign w:val="center"/>
                </w:tcPr>
                <w:p w14:paraId="5EF54985" w14:textId="77777777" w:rsidR="00FC14FC" w:rsidRDefault="00FC14FC" w:rsidP="00D11B9D">
                  <w:pPr>
                    <w:pStyle w:val="TableBodyText"/>
                  </w:pPr>
                  <w:r>
                    <w:t>4.10</w:t>
                  </w:r>
                </w:p>
              </w:tc>
              <w:tc>
                <w:tcPr>
                  <w:tcW w:w="498" w:type="pct"/>
                  <w:vMerge w:val="restart"/>
                  <w:shd w:val="clear" w:color="auto" w:fill="F2F2F2" w:themeFill="background1" w:themeFillShade="F2"/>
                  <w:vAlign w:val="center"/>
                </w:tcPr>
                <w:p w14:paraId="03126EBA" w14:textId="77777777" w:rsidR="00FC14FC" w:rsidRDefault="00FC14FC" w:rsidP="00D11B9D">
                  <w:pPr>
                    <w:pStyle w:val="TableBodyText"/>
                  </w:pPr>
                  <w:r>
                    <w:t>4.11</w:t>
                  </w:r>
                </w:p>
              </w:tc>
              <w:tc>
                <w:tcPr>
                  <w:tcW w:w="1926" w:type="pct"/>
                  <w:shd w:val="clear" w:color="auto" w:fill="F2F2F2" w:themeFill="background1" w:themeFillShade="F2"/>
                </w:tcPr>
                <w:p w14:paraId="752E8F43" w14:textId="77777777" w:rsidR="00FC14FC" w:rsidRDefault="00FC14FC" w:rsidP="00D11B9D">
                  <w:pPr>
                    <w:pStyle w:val="TableBodyText"/>
                    <w:jc w:val="left"/>
                  </w:pPr>
                  <w:r>
                    <w:t>Performance above both benchmarks</w:t>
                  </w:r>
                </w:p>
              </w:tc>
            </w:tr>
            <w:tr w:rsidR="00FC14FC" w14:paraId="0A5FB45A" w14:textId="77777777" w:rsidTr="00D11B9D">
              <w:tc>
                <w:tcPr>
                  <w:tcW w:w="625" w:type="pct"/>
                  <w:vMerge/>
                  <w:shd w:val="clear" w:color="auto" w:fill="F2F2F2" w:themeFill="background1" w:themeFillShade="F2"/>
                </w:tcPr>
                <w:p w14:paraId="6F546F39" w14:textId="77777777" w:rsidR="00FC14FC" w:rsidRDefault="00FC14FC" w:rsidP="00D11B9D">
                  <w:pPr>
                    <w:pStyle w:val="TableBodyText"/>
                    <w:jc w:val="left"/>
                  </w:pPr>
                </w:p>
              </w:tc>
              <w:tc>
                <w:tcPr>
                  <w:tcW w:w="788" w:type="pct"/>
                  <w:shd w:val="clear" w:color="auto" w:fill="F2F2F2" w:themeFill="background1" w:themeFillShade="F2"/>
                </w:tcPr>
                <w:p w14:paraId="153BC1F7" w14:textId="77777777" w:rsidR="00FC14FC" w:rsidRDefault="00FC14FC" w:rsidP="00D11B9D">
                  <w:pPr>
                    <w:pStyle w:val="TableBodyText"/>
                    <w:jc w:val="left"/>
                  </w:pPr>
                  <w:r>
                    <w:t>Industry</w:t>
                  </w:r>
                </w:p>
              </w:tc>
              <w:tc>
                <w:tcPr>
                  <w:tcW w:w="665" w:type="pct"/>
                  <w:shd w:val="clear" w:color="auto" w:fill="F2F2F2" w:themeFill="background1" w:themeFillShade="F2"/>
                </w:tcPr>
                <w:p w14:paraId="308CD5B5" w14:textId="77777777" w:rsidR="00FC14FC" w:rsidRDefault="00FC14FC" w:rsidP="00D11B9D">
                  <w:pPr>
                    <w:pStyle w:val="TableBodyText"/>
                  </w:pPr>
                  <w:r>
                    <w:t>4.85</w:t>
                  </w:r>
                </w:p>
              </w:tc>
              <w:tc>
                <w:tcPr>
                  <w:tcW w:w="498" w:type="pct"/>
                  <w:vMerge/>
                  <w:shd w:val="clear" w:color="auto" w:fill="F2F2F2" w:themeFill="background1" w:themeFillShade="F2"/>
                </w:tcPr>
                <w:p w14:paraId="25EF4457" w14:textId="77777777" w:rsidR="00FC14FC" w:rsidRDefault="00FC14FC" w:rsidP="00D11B9D">
                  <w:pPr>
                    <w:pStyle w:val="TableBodyText"/>
                  </w:pPr>
                </w:p>
              </w:tc>
              <w:tc>
                <w:tcPr>
                  <w:tcW w:w="498" w:type="pct"/>
                  <w:vMerge/>
                  <w:shd w:val="clear" w:color="auto" w:fill="F2F2F2" w:themeFill="background1" w:themeFillShade="F2"/>
                </w:tcPr>
                <w:p w14:paraId="671D914C" w14:textId="77777777" w:rsidR="00FC14FC" w:rsidRDefault="00FC14FC" w:rsidP="00D11B9D">
                  <w:pPr>
                    <w:pStyle w:val="TableBodyText"/>
                  </w:pPr>
                </w:p>
              </w:tc>
              <w:tc>
                <w:tcPr>
                  <w:tcW w:w="1926" w:type="pct"/>
                  <w:shd w:val="clear" w:color="auto" w:fill="F2F2F2" w:themeFill="background1" w:themeFillShade="F2"/>
                </w:tcPr>
                <w:p w14:paraId="745C0CB0" w14:textId="77777777" w:rsidR="00FC14FC" w:rsidRDefault="00FC14FC" w:rsidP="00D11B9D">
                  <w:pPr>
                    <w:pStyle w:val="TableBodyText"/>
                    <w:jc w:val="left"/>
                  </w:pPr>
                  <w:r>
                    <w:t>Performance above both benchmarks</w:t>
                  </w:r>
                </w:p>
              </w:tc>
            </w:tr>
            <w:tr w:rsidR="00FC14FC" w14:paraId="14DC88B7" w14:textId="77777777" w:rsidTr="00D11B9D">
              <w:tc>
                <w:tcPr>
                  <w:tcW w:w="625" w:type="pct"/>
                  <w:vMerge/>
                  <w:shd w:val="clear" w:color="auto" w:fill="F2F2F2" w:themeFill="background1" w:themeFillShade="F2"/>
                </w:tcPr>
                <w:p w14:paraId="14969047" w14:textId="77777777" w:rsidR="00FC14FC" w:rsidRDefault="00FC14FC" w:rsidP="00D11B9D">
                  <w:pPr>
                    <w:pStyle w:val="TableBodyText"/>
                    <w:jc w:val="left"/>
                  </w:pPr>
                </w:p>
              </w:tc>
              <w:tc>
                <w:tcPr>
                  <w:tcW w:w="788" w:type="pct"/>
                  <w:shd w:val="clear" w:color="auto" w:fill="F2F2F2" w:themeFill="background1" w:themeFillShade="F2"/>
                </w:tcPr>
                <w:p w14:paraId="6F29B461" w14:textId="77777777" w:rsidR="00FC14FC" w:rsidRDefault="00FC14FC" w:rsidP="00D11B9D">
                  <w:pPr>
                    <w:pStyle w:val="TableBodyText"/>
                    <w:jc w:val="left"/>
                  </w:pPr>
                  <w:r>
                    <w:t>Public sector</w:t>
                  </w:r>
                </w:p>
              </w:tc>
              <w:tc>
                <w:tcPr>
                  <w:tcW w:w="665" w:type="pct"/>
                  <w:shd w:val="clear" w:color="auto" w:fill="F2F2F2" w:themeFill="background1" w:themeFillShade="F2"/>
                </w:tcPr>
                <w:p w14:paraId="2DF9DD1C" w14:textId="77777777" w:rsidR="00FC14FC" w:rsidRPr="00E81BA4" w:rsidRDefault="00FC14FC" w:rsidP="00D11B9D">
                  <w:pPr>
                    <w:pStyle w:val="TableBodyText"/>
                  </w:pPr>
                  <w:r w:rsidRPr="00E81BA4">
                    <w:t>na</w:t>
                  </w:r>
                </w:p>
              </w:tc>
              <w:tc>
                <w:tcPr>
                  <w:tcW w:w="498" w:type="pct"/>
                  <w:vMerge/>
                  <w:shd w:val="clear" w:color="auto" w:fill="F2F2F2" w:themeFill="background1" w:themeFillShade="F2"/>
                </w:tcPr>
                <w:p w14:paraId="65A435FD" w14:textId="77777777" w:rsidR="00FC14FC" w:rsidRDefault="00FC14FC" w:rsidP="00D11B9D">
                  <w:pPr>
                    <w:pStyle w:val="TableBodyText"/>
                  </w:pPr>
                </w:p>
              </w:tc>
              <w:tc>
                <w:tcPr>
                  <w:tcW w:w="498" w:type="pct"/>
                  <w:vMerge/>
                  <w:shd w:val="clear" w:color="auto" w:fill="F2F2F2" w:themeFill="background1" w:themeFillShade="F2"/>
                </w:tcPr>
                <w:p w14:paraId="67B81B4D" w14:textId="77777777" w:rsidR="00FC14FC" w:rsidRDefault="00FC14FC" w:rsidP="00D11B9D">
                  <w:pPr>
                    <w:pStyle w:val="TableBodyText"/>
                  </w:pPr>
                </w:p>
              </w:tc>
              <w:tc>
                <w:tcPr>
                  <w:tcW w:w="1926" w:type="pct"/>
                  <w:shd w:val="clear" w:color="auto" w:fill="F2F2F2" w:themeFill="background1" w:themeFillShade="F2"/>
                </w:tcPr>
                <w:p w14:paraId="1CFC447F" w14:textId="77777777" w:rsidR="00FC14FC" w:rsidRPr="00E81BA4" w:rsidRDefault="00FC14FC" w:rsidP="00D11B9D">
                  <w:pPr>
                    <w:pStyle w:val="TableBodyText"/>
                    <w:jc w:val="left"/>
                  </w:pPr>
                  <w:r w:rsidRPr="00E81BA4">
                    <w:t>na</w:t>
                  </w:r>
                </w:p>
              </w:tc>
            </w:tr>
            <w:tr w:rsidR="00FC14FC" w14:paraId="437CF165" w14:textId="77777777" w:rsidTr="00D11B9D">
              <w:tc>
                <w:tcPr>
                  <w:tcW w:w="625" w:type="pct"/>
                  <w:vMerge/>
                  <w:shd w:val="clear" w:color="auto" w:fill="F2F2F2" w:themeFill="background1" w:themeFillShade="F2"/>
                </w:tcPr>
                <w:p w14:paraId="6B75A061" w14:textId="77777777" w:rsidR="00FC14FC" w:rsidRDefault="00FC14FC" w:rsidP="00D11B9D">
                  <w:pPr>
                    <w:pStyle w:val="TableBodyText"/>
                    <w:jc w:val="left"/>
                  </w:pPr>
                </w:p>
              </w:tc>
              <w:tc>
                <w:tcPr>
                  <w:tcW w:w="788" w:type="pct"/>
                  <w:shd w:val="clear" w:color="auto" w:fill="F2F2F2" w:themeFill="background1" w:themeFillShade="F2"/>
                </w:tcPr>
                <w:p w14:paraId="1A96A985" w14:textId="77777777" w:rsidR="00FC14FC" w:rsidRDefault="00FC14FC" w:rsidP="00D11B9D">
                  <w:pPr>
                    <w:pStyle w:val="TableBodyText"/>
                    <w:jc w:val="left"/>
                  </w:pPr>
                  <w:r>
                    <w:t>Retail</w:t>
                  </w:r>
                </w:p>
              </w:tc>
              <w:tc>
                <w:tcPr>
                  <w:tcW w:w="665" w:type="pct"/>
                  <w:shd w:val="clear" w:color="auto" w:fill="F2F2F2" w:themeFill="background1" w:themeFillShade="F2"/>
                </w:tcPr>
                <w:p w14:paraId="20F20598" w14:textId="77777777" w:rsidR="00FC14FC" w:rsidRDefault="00FC14FC" w:rsidP="00D11B9D">
                  <w:pPr>
                    <w:pStyle w:val="TableBodyText"/>
                  </w:pPr>
                  <w:r>
                    <w:t>3.05</w:t>
                  </w:r>
                </w:p>
              </w:tc>
              <w:tc>
                <w:tcPr>
                  <w:tcW w:w="498" w:type="pct"/>
                  <w:vMerge/>
                  <w:shd w:val="clear" w:color="auto" w:fill="F2F2F2" w:themeFill="background1" w:themeFillShade="F2"/>
                </w:tcPr>
                <w:p w14:paraId="7FCD6D7C" w14:textId="77777777" w:rsidR="00FC14FC" w:rsidRDefault="00FC14FC" w:rsidP="00D11B9D">
                  <w:pPr>
                    <w:pStyle w:val="TableBodyText"/>
                  </w:pPr>
                </w:p>
              </w:tc>
              <w:tc>
                <w:tcPr>
                  <w:tcW w:w="498" w:type="pct"/>
                  <w:vMerge/>
                  <w:shd w:val="clear" w:color="auto" w:fill="F2F2F2" w:themeFill="background1" w:themeFillShade="F2"/>
                </w:tcPr>
                <w:p w14:paraId="06EE2304" w14:textId="77777777" w:rsidR="00FC14FC" w:rsidRDefault="00FC14FC" w:rsidP="00D11B9D">
                  <w:pPr>
                    <w:pStyle w:val="TableBodyText"/>
                  </w:pPr>
                </w:p>
              </w:tc>
              <w:tc>
                <w:tcPr>
                  <w:tcW w:w="1926" w:type="pct"/>
                  <w:shd w:val="clear" w:color="auto" w:fill="F2F2F2" w:themeFill="background1" w:themeFillShade="F2"/>
                </w:tcPr>
                <w:p w14:paraId="78C1F264" w14:textId="77777777" w:rsidR="00FC14FC" w:rsidRDefault="00FC14FC" w:rsidP="00D11B9D">
                  <w:pPr>
                    <w:pStyle w:val="TableBodyText"/>
                    <w:jc w:val="left"/>
                  </w:pPr>
                  <w:r>
                    <w:t>Performance below both benchmarks</w:t>
                  </w:r>
                </w:p>
              </w:tc>
            </w:tr>
            <w:tr w:rsidR="00FC14FC" w14:paraId="2671EFCE" w14:textId="77777777" w:rsidTr="00D11B9D">
              <w:tc>
                <w:tcPr>
                  <w:tcW w:w="5000" w:type="pct"/>
                  <w:gridSpan w:val="6"/>
                  <w:shd w:val="clear" w:color="auto" w:fill="auto"/>
                </w:tcPr>
                <w:p w14:paraId="2B458E54" w14:textId="77777777" w:rsidR="00FC14FC" w:rsidRPr="00F12BC4" w:rsidRDefault="00FC14FC" w:rsidP="00D11B9D">
                  <w:pPr>
                    <w:pStyle w:val="TableUnitsRow"/>
                    <w:jc w:val="left"/>
                    <w:rPr>
                      <w:b/>
                    </w:rPr>
                  </w:pPr>
                  <w:r w:rsidRPr="00F12BC4">
                    <w:rPr>
                      <w:b/>
                    </w:rPr>
                    <w:t>Capital stable (20</w:t>
                  </w:r>
                  <w:r>
                    <w:rPr>
                      <w:b/>
                    </w:rPr>
                    <w:t>–</w:t>
                  </w:r>
                  <w:r w:rsidRPr="00F12BC4">
                    <w:rPr>
                      <w:b/>
                    </w:rPr>
                    <w:t>40)</w:t>
                  </w:r>
                </w:p>
              </w:tc>
            </w:tr>
            <w:tr w:rsidR="00FC14FC" w14:paraId="66865A82" w14:textId="77777777" w:rsidTr="00D11B9D">
              <w:tc>
                <w:tcPr>
                  <w:tcW w:w="625" w:type="pct"/>
                  <w:vMerge w:val="restart"/>
                  <w:shd w:val="clear" w:color="auto" w:fill="auto"/>
                </w:tcPr>
                <w:p w14:paraId="7C0969A7" w14:textId="77777777" w:rsidR="00FC14FC" w:rsidRDefault="00FC14FC" w:rsidP="00D11B9D">
                  <w:pPr>
                    <w:pStyle w:val="TableBodyText"/>
                    <w:jc w:val="left"/>
                  </w:pPr>
                  <w:r>
                    <w:t>Option</w:t>
                  </w:r>
                  <w:r>
                    <w:noBreakHyphen/>
                    <w:t>type tailored tax</w:t>
                  </w:r>
                </w:p>
                <w:p w14:paraId="1027383D" w14:textId="77777777" w:rsidR="00FC14FC" w:rsidRDefault="00FC14FC" w:rsidP="00D11B9D">
                  <w:pPr>
                    <w:pStyle w:val="TableBodyText"/>
                    <w:jc w:val="left"/>
                  </w:pPr>
                  <w:r>
                    <w:tab/>
                  </w:r>
                </w:p>
              </w:tc>
              <w:tc>
                <w:tcPr>
                  <w:tcW w:w="788" w:type="pct"/>
                  <w:shd w:val="clear" w:color="auto" w:fill="auto"/>
                </w:tcPr>
                <w:p w14:paraId="4BA52658" w14:textId="77777777" w:rsidR="00FC14FC" w:rsidRDefault="00FC14FC" w:rsidP="00D11B9D">
                  <w:pPr>
                    <w:pStyle w:val="TableBodyText"/>
                    <w:jc w:val="left"/>
                  </w:pPr>
                  <w:r>
                    <w:t>Corporate</w:t>
                  </w:r>
                </w:p>
              </w:tc>
              <w:tc>
                <w:tcPr>
                  <w:tcW w:w="665" w:type="pct"/>
                  <w:shd w:val="clear" w:color="auto" w:fill="auto"/>
                </w:tcPr>
                <w:p w14:paraId="19BCE1ED" w14:textId="77777777" w:rsidR="00FC14FC" w:rsidRDefault="00FC14FC" w:rsidP="00D11B9D">
                  <w:pPr>
                    <w:pStyle w:val="TableBodyText"/>
                  </w:pPr>
                  <w:r>
                    <w:t>6.23</w:t>
                  </w:r>
                </w:p>
              </w:tc>
              <w:tc>
                <w:tcPr>
                  <w:tcW w:w="498" w:type="pct"/>
                  <w:vMerge w:val="restart"/>
                  <w:shd w:val="clear" w:color="auto" w:fill="auto"/>
                  <w:vAlign w:val="center"/>
                </w:tcPr>
                <w:p w14:paraId="7E340069" w14:textId="77777777" w:rsidR="00FC14FC" w:rsidRDefault="00FC14FC" w:rsidP="00D11B9D">
                  <w:pPr>
                    <w:pStyle w:val="TableBodyText"/>
                  </w:pPr>
                  <w:r>
                    <w:t>5.51</w:t>
                  </w:r>
                </w:p>
              </w:tc>
              <w:tc>
                <w:tcPr>
                  <w:tcW w:w="498" w:type="pct"/>
                  <w:vMerge w:val="restart"/>
                  <w:shd w:val="clear" w:color="auto" w:fill="auto"/>
                  <w:vAlign w:val="center"/>
                </w:tcPr>
                <w:p w14:paraId="2C00A8A4" w14:textId="77777777" w:rsidR="00FC14FC" w:rsidRDefault="00FC14FC" w:rsidP="00D11B9D">
                  <w:pPr>
                    <w:pStyle w:val="TableBodyText"/>
                  </w:pPr>
                  <w:r>
                    <w:t>5.57</w:t>
                  </w:r>
                </w:p>
              </w:tc>
              <w:tc>
                <w:tcPr>
                  <w:tcW w:w="1926" w:type="pct"/>
                  <w:shd w:val="clear" w:color="auto" w:fill="auto"/>
                </w:tcPr>
                <w:p w14:paraId="30527605" w14:textId="77777777" w:rsidR="00FC14FC" w:rsidRDefault="00FC14FC" w:rsidP="00D11B9D">
                  <w:pPr>
                    <w:pStyle w:val="TableBodyText"/>
                    <w:jc w:val="left"/>
                  </w:pPr>
                  <w:r>
                    <w:t>Performance above both benchmarks</w:t>
                  </w:r>
                </w:p>
              </w:tc>
            </w:tr>
            <w:tr w:rsidR="00FC14FC" w14:paraId="6F131319" w14:textId="77777777" w:rsidTr="00D11B9D">
              <w:tc>
                <w:tcPr>
                  <w:tcW w:w="625" w:type="pct"/>
                  <w:vMerge/>
                  <w:shd w:val="clear" w:color="auto" w:fill="auto"/>
                </w:tcPr>
                <w:p w14:paraId="4B4B0C03" w14:textId="77777777" w:rsidR="00FC14FC" w:rsidRDefault="00FC14FC" w:rsidP="00D11B9D">
                  <w:pPr>
                    <w:pStyle w:val="TableBodyText"/>
                    <w:jc w:val="left"/>
                  </w:pPr>
                </w:p>
              </w:tc>
              <w:tc>
                <w:tcPr>
                  <w:tcW w:w="788" w:type="pct"/>
                  <w:shd w:val="clear" w:color="auto" w:fill="auto"/>
                </w:tcPr>
                <w:p w14:paraId="1918A051" w14:textId="77777777" w:rsidR="00FC14FC" w:rsidRDefault="00FC14FC" w:rsidP="00D11B9D">
                  <w:pPr>
                    <w:pStyle w:val="TableBodyText"/>
                    <w:jc w:val="left"/>
                  </w:pPr>
                  <w:r>
                    <w:t>Industry</w:t>
                  </w:r>
                </w:p>
              </w:tc>
              <w:tc>
                <w:tcPr>
                  <w:tcW w:w="665" w:type="pct"/>
                  <w:shd w:val="clear" w:color="auto" w:fill="auto"/>
                </w:tcPr>
                <w:p w14:paraId="60CAF301" w14:textId="77777777" w:rsidR="00FC14FC" w:rsidRDefault="00FC14FC" w:rsidP="00D11B9D">
                  <w:pPr>
                    <w:pStyle w:val="TableBodyText"/>
                  </w:pPr>
                  <w:r>
                    <w:t>5.75</w:t>
                  </w:r>
                </w:p>
              </w:tc>
              <w:tc>
                <w:tcPr>
                  <w:tcW w:w="498" w:type="pct"/>
                  <w:vMerge/>
                  <w:shd w:val="clear" w:color="auto" w:fill="auto"/>
                  <w:vAlign w:val="center"/>
                </w:tcPr>
                <w:p w14:paraId="64D95450" w14:textId="77777777" w:rsidR="00FC14FC" w:rsidRDefault="00FC14FC" w:rsidP="00D11B9D">
                  <w:pPr>
                    <w:pStyle w:val="TableBodyText"/>
                  </w:pPr>
                </w:p>
              </w:tc>
              <w:tc>
                <w:tcPr>
                  <w:tcW w:w="498" w:type="pct"/>
                  <w:vMerge/>
                  <w:shd w:val="clear" w:color="auto" w:fill="auto"/>
                  <w:vAlign w:val="center"/>
                </w:tcPr>
                <w:p w14:paraId="008470EF" w14:textId="77777777" w:rsidR="00FC14FC" w:rsidRDefault="00FC14FC" w:rsidP="00D11B9D">
                  <w:pPr>
                    <w:pStyle w:val="TableBodyText"/>
                  </w:pPr>
                </w:p>
              </w:tc>
              <w:tc>
                <w:tcPr>
                  <w:tcW w:w="1926" w:type="pct"/>
                  <w:shd w:val="clear" w:color="auto" w:fill="auto"/>
                </w:tcPr>
                <w:p w14:paraId="73ED3B91" w14:textId="77777777" w:rsidR="00FC14FC" w:rsidRDefault="00FC14FC" w:rsidP="00D11B9D">
                  <w:pPr>
                    <w:pStyle w:val="TableBodyText"/>
                    <w:jc w:val="left"/>
                  </w:pPr>
                  <w:r>
                    <w:t>Performance above both benchmarks</w:t>
                  </w:r>
                </w:p>
              </w:tc>
            </w:tr>
            <w:tr w:rsidR="00FC14FC" w14:paraId="05484E17" w14:textId="77777777" w:rsidTr="00D11B9D">
              <w:tc>
                <w:tcPr>
                  <w:tcW w:w="625" w:type="pct"/>
                  <w:vMerge/>
                  <w:shd w:val="clear" w:color="auto" w:fill="auto"/>
                </w:tcPr>
                <w:p w14:paraId="49D0A157" w14:textId="77777777" w:rsidR="00FC14FC" w:rsidRDefault="00FC14FC" w:rsidP="00D11B9D">
                  <w:pPr>
                    <w:pStyle w:val="TableBodyText"/>
                    <w:jc w:val="left"/>
                  </w:pPr>
                </w:p>
              </w:tc>
              <w:tc>
                <w:tcPr>
                  <w:tcW w:w="788" w:type="pct"/>
                  <w:shd w:val="clear" w:color="auto" w:fill="auto"/>
                </w:tcPr>
                <w:p w14:paraId="63CA58CD" w14:textId="77777777" w:rsidR="00FC14FC" w:rsidRDefault="00FC14FC" w:rsidP="00D11B9D">
                  <w:pPr>
                    <w:pStyle w:val="TableBodyText"/>
                    <w:jc w:val="left"/>
                  </w:pPr>
                  <w:r>
                    <w:t>Public sector</w:t>
                  </w:r>
                </w:p>
              </w:tc>
              <w:tc>
                <w:tcPr>
                  <w:tcW w:w="665" w:type="pct"/>
                  <w:shd w:val="clear" w:color="auto" w:fill="auto"/>
                </w:tcPr>
                <w:p w14:paraId="64BD9446" w14:textId="77777777" w:rsidR="00FC14FC" w:rsidRDefault="00FC14FC" w:rsidP="00D11B9D">
                  <w:pPr>
                    <w:pStyle w:val="TableBodyText"/>
                  </w:pPr>
                  <w:r>
                    <w:t>5.68</w:t>
                  </w:r>
                </w:p>
              </w:tc>
              <w:tc>
                <w:tcPr>
                  <w:tcW w:w="498" w:type="pct"/>
                  <w:vMerge/>
                  <w:shd w:val="clear" w:color="auto" w:fill="auto"/>
                  <w:vAlign w:val="center"/>
                </w:tcPr>
                <w:p w14:paraId="57EE3F88" w14:textId="77777777" w:rsidR="00FC14FC" w:rsidRDefault="00FC14FC" w:rsidP="00D11B9D">
                  <w:pPr>
                    <w:pStyle w:val="TableBodyText"/>
                  </w:pPr>
                </w:p>
              </w:tc>
              <w:tc>
                <w:tcPr>
                  <w:tcW w:w="498" w:type="pct"/>
                  <w:vMerge/>
                  <w:shd w:val="clear" w:color="auto" w:fill="auto"/>
                  <w:vAlign w:val="center"/>
                </w:tcPr>
                <w:p w14:paraId="6A083924" w14:textId="77777777" w:rsidR="00FC14FC" w:rsidRDefault="00FC14FC" w:rsidP="00D11B9D">
                  <w:pPr>
                    <w:pStyle w:val="TableBodyText"/>
                  </w:pPr>
                </w:p>
              </w:tc>
              <w:tc>
                <w:tcPr>
                  <w:tcW w:w="1926" w:type="pct"/>
                  <w:shd w:val="clear" w:color="auto" w:fill="auto"/>
                </w:tcPr>
                <w:p w14:paraId="58851A21" w14:textId="77777777" w:rsidR="00FC14FC" w:rsidRDefault="00FC14FC" w:rsidP="00D11B9D">
                  <w:pPr>
                    <w:pStyle w:val="TableBodyText"/>
                    <w:jc w:val="left"/>
                  </w:pPr>
                  <w:r>
                    <w:t>Performance above both benchmarks</w:t>
                  </w:r>
                </w:p>
              </w:tc>
            </w:tr>
            <w:tr w:rsidR="00FC14FC" w14:paraId="123B401D" w14:textId="77777777" w:rsidTr="00D11B9D">
              <w:tc>
                <w:tcPr>
                  <w:tcW w:w="625" w:type="pct"/>
                  <w:vMerge/>
                  <w:shd w:val="clear" w:color="auto" w:fill="auto"/>
                </w:tcPr>
                <w:p w14:paraId="41E883A0" w14:textId="77777777" w:rsidR="00FC14FC" w:rsidRDefault="00FC14FC" w:rsidP="00D11B9D">
                  <w:pPr>
                    <w:pStyle w:val="TableBodyText"/>
                    <w:jc w:val="left"/>
                  </w:pPr>
                </w:p>
              </w:tc>
              <w:tc>
                <w:tcPr>
                  <w:tcW w:w="788" w:type="pct"/>
                  <w:shd w:val="clear" w:color="auto" w:fill="auto"/>
                </w:tcPr>
                <w:p w14:paraId="100E5E9B" w14:textId="77777777" w:rsidR="00FC14FC" w:rsidRDefault="00FC14FC" w:rsidP="00D11B9D">
                  <w:pPr>
                    <w:pStyle w:val="TableBodyText"/>
                    <w:jc w:val="left"/>
                  </w:pPr>
                  <w:r>
                    <w:t>Retail</w:t>
                  </w:r>
                </w:p>
              </w:tc>
              <w:tc>
                <w:tcPr>
                  <w:tcW w:w="665" w:type="pct"/>
                  <w:shd w:val="clear" w:color="auto" w:fill="auto"/>
                </w:tcPr>
                <w:p w14:paraId="12500CBF" w14:textId="77777777" w:rsidR="00FC14FC" w:rsidRDefault="00FC14FC" w:rsidP="00D11B9D">
                  <w:pPr>
                    <w:pStyle w:val="TableBodyText"/>
                  </w:pPr>
                  <w:r>
                    <w:t>4.34</w:t>
                  </w:r>
                </w:p>
              </w:tc>
              <w:tc>
                <w:tcPr>
                  <w:tcW w:w="498" w:type="pct"/>
                  <w:vMerge/>
                  <w:shd w:val="clear" w:color="auto" w:fill="auto"/>
                  <w:vAlign w:val="center"/>
                </w:tcPr>
                <w:p w14:paraId="2405A3DA" w14:textId="77777777" w:rsidR="00FC14FC" w:rsidRDefault="00FC14FC" w:rsidP="00D11B9D">
                  <w:pPr>
                    <w:pStyle w:val="TableBodyText"/>
                  </w:pPr>
                </w:p>
              </w:tc>
              <w:tc>
                <w:tcPr>
                  <w:tcW w:w="498" w:type="pct"/>
                  <w:vMerge/>
                  <w:shd w:val="clear" w:color="auto" w:fill="auto"/>
                  <w:vAlign w:val="center"/>
                </w:tcPr>
                <w:p w14:paraId="076B98F9" w14:textId="77777777" w:rsidR="00FC14FC" w:rsidRDefault="00FC14FC" w:rsidP="00D11B9D">
                  <w:pPr>
                    <w:pStyle w:val="TableBodyText"/>
                  </w:pPr>
                </w:p>
              </w:tc>
              <w:tc>
                <w:tcPr>
                  <w:tcW w:w="1926" w:type="pct"/>
                  <w:shd w:val="clear" w:color="auto" w:fill="auto"/>
                </w:tcPr>
                <w:p w14:paraId="45D83377" w14:textId="77777777" w:rsidR="00FC14FC" w:rsidRDefault="00FC14FC" w:rsidP="00D11B9D">
                  <w:pPr>
                    <w:pStyle w:val="TableBodyText"/>
                    <w:jc w:val="left"/>
                  </w:pPr>
                  <w:r>
                    <w:t>Performance below both benchmarks</w:t>
                  </w:r>
                </w:p>
              </w:tc>
            </w:tr>
            <w:tr w:rsidR="00FC14FC" w14:paraId="53AFAEA7" w14:textId="77777777" w:rsidTr="00D11B9D">
              <w:tc>
                <w:tcPr>
                  <w:tcW w:w="625" w:type="pct"/>
                  <w:vMerge w:val="restart"/>
                  <w:shd w:val="clear" w:color="auto" w:fill="F2F2F2" w:themeFill="background1" w:themeFillShade="F2"/>
                </w:tcPr>
                <w:p w14:paraId="061750E3" w14:textId="77777777" w:rsidR="00FC14FC" w:rsidRDefault="00FC14FC" w:rsidP="00D11B9D">
                  <w:pPr>
                    <w:pStyle w:val="TableBodyText"/>
                    <w:jc w:val="left"/>
                  </w:pPr>
                  <w:r>
                    <w:t>5% tax</w:t>
                  </w:r>
                </w:p>
              </w:tc>
              <w:tc>
                <w:tcPr>
                  <w:tcW w:w="788" w:type="pct"/>
                  <w:shd w:val="clear" w:color="auto" w:fill="F2F2F2" w:themeFill="background1" w:themeFillShade="F2"/>
                </w:tcPr>
                <w:p w14:paraId="4786B85B" w14:textId="77777777" w:rsidR="00FC14FC" w:rsidRDefault="00FC14FC" w:rsidP="00D11B9D">
                  <w:pPr>
                    <w:pStyle w:val="TableBodyText"/>
                    <w:jc w:val="left"/>
                  </w:pPr>
                  <w:r>
                    <w:t>Corporate</w:t>
                  </w:r>
                </w:p>
              </w:tc>
              <w:tc>
                <w:tcPr>
                  <w:tcW w:w="665" w:type="pct"/>
                  <w:shd w:val="clear" w:color="auto" w:fill="F2F2F2" w:themeFill="background1" w:themeFillShade="F2"/>
                </w:tcPr>
                <w:p w14:paraId="165B5520" w14:textId="77777777" w:rsidR="00FC14FC" w:rsidRDefault="00FC14FC" w:rsidP="00D11B9D">
                  <w:pPr>
                    <w:pStyle w:val="TableBodyText"/>
                  </w:pPr>
                  <w:r>
                    <w:t>6.23</w:t>
                  </w:r>
                </w:p>
              </w:tc>
              <w:tc>
                <w:tcPr>
                  <w:tcW w:w="498" w:type="pct"/>
                  <w:vMerge w:val="restart"/>
                  <w:shd w:val="clear" w:color="auto" w:fill="F2F2F2" w:themeFill="background1" w:themeFillShade="F2"/>
                  <w:vAlign w:val="center"/>
                </w:tcPr>
                <w:p w14:paraId="48DD6CD7" w14:textId="77777777" w:rsidR="00FC14FC" w:rsidRDefault="00FC14FC" w:rsidP="00D11B9D">
                  <w:pPr>
                    <w:pStyle w:val="TableBodyText"/>
                  </w:pPr>
                  <w:r>
                    <w:t>5.20</w:t>
                  </w:r>
                </w:p>
              </w:tc>
              <w:tc>
                <w:tcPr>
                  <w:tcW w:w="498" w:type="pct"/>
                  <w:vMerge w:val="restart"/>
                  <w:shd w:val="clear" w:color="auto" w:fill="F2F2F2" w:themeFill="background1" w:themeFillShade="F2"/>
                  <w:vAlign w:val="center"/>
                </w:tcPr>
                <w:p w14:paraId="71A54121" w14:textId="77777777" w:rsidR="00FC14FC" w:rsidRDefault="00FC14FC" w:rsidP="00D11B9D">
                  <w:pPr>
                    <w:pStyle w:val="TableBodyText"/>
                  </w:pPr>
                  <w:r>
                    <w:t>5.26</w:t>
                  </w:r>
                </w:p>
              </w:tc>
              <w:tc>
                <w:tcPr>
                  <w:tcW w:w="1926" w:type="pct"/>
                  <w:shd w:val="clear" w:color="auto" w:fill="F2F2F2" w:themeFill="background1" w:themeFillShade="F2"/>
                </w:tcPr>
                <w:p w14:paraId="6BC084B3" w14:textId="77777777" w:rsidR="00FC14FC" w:rsidRDefault="00FC14FC" w:rsidP="00D11B9D">
                  <w:pPr>
                    <w:pStyle w:val="TableBodyText"/>
                    <w:jc w:val="left"/>
                  </w:pPr>
                  <w:r>
                    <w:t>Performance above both benchmarks</w:t>
                  </w:r>
                </w:p>
              </w:tc>
            </w:tr>
            <w:tr w:rsidR="00FC14FC" w14:paraId="5555EB9F" w14:textId="77777777" w:rsidTr="00D11B9D">
              <w:tc>
                <w:tcPr>
                  <w:tcW w:w="625" w:type="pct"/>
                  <w:vMerge/>
                  <w:shd w:val="clear" w:color="auto" w:fill="F2F2F2" w:themeFill="background1" w:themeFillShade="F2"/>
                </w:tcPr>
                <w:p w14:paraId="15CC1E9A" w14:textId="77777777" w:rsidR="00FC14FC" w:rsidRDefault="00FC14FC" w:rsidP="00D11B9D">
                  <w:pPr>
                    <w:pStyle w:val="TableBodyText"/>
                    <w:jc w:val="left"/>
                  </w:pPr>
                </w:p>
              </w:tc>
              <w:tc>
                <w:tcPr>
                  <w:tcW w:w="788" w:type="pct"/>
                  <w:shd w:val="clear" w:color="auto" w:fill="F2F2F2" w:themeFill="background1" w:themeFillShade="F2"/>
                </w:tcPr>
                <w:p w14:paraId="52BEBCEE" w14:textId="77777777" w:rsidR="00FC14FC" w:rsidRDefault="00FC14FC" w:rsidP="00D11B9D">
                  <w:pPr>
                    <w:pStyle w:val="TableBodyText"/>
                    <w:jc w:val="left"/>
                  </w:pPr>
                  <w:r>
                    <w:t>Industry</w:t>
                  </w:r>
                </w:p>
              </w:tc>
              <w:tc>
                <w:tcPr>
                  <w:tcW w:w="665" w:type="pct"/>
                  <w:shd w:val="clear" w:color="auto" w:fill="F2F2F2" w:themeFill="background1" w:themeFillShade="F2"/>
                </w:tcPr>
                <w:p w14:paraId="7A62DF22" w14:textId="77777777" w:rsidR="00FC14FC" w:rsidRDefault="00FC14FC" w:rsidP="00D11B9D">
                  <w:pPr>
                    <w:pStyle w:val="TableBodyText"/>
                  </w:pPr>
                  <w:r>
                    <w:t>5.75</w:t>
                  </w:r>
                </w:p>
              </w:tc>
              <w:tc>
                <w:tcPr>
                  <w:tcW w:w="498" w:type="pct"/>
                  <w:vMerge/>
                  <w:shd w:val="clear" w:color="auto" w:fill="F2F2F2" w:themeFill="background1" w:themeFillShade="F2"/>
                </w:tcPr>
                <w:p w14:paraId="3E17120A" w14:textId="77777777" w:rsidR="00FC14FC" w:rsidRDefault="00FC14FC" w:rsidP="00D11B9D">
                  <w:pPr>
                    <w:pStyle w:val="TableBodyText"/>
                  </w:pPr>
                </w:p>
              </w:tc>
              <w:tc>
                <w:tcPr>
                  <w:tcW w:w="498" w:type="pct"/>
                  <w:vMerge/>
                  <w:shd w:val="clear" w:color="auto" w:fill="F2F2F2" w:themeFill="background1" w:themeFillShade="F2"/>
                </w:tcPr>
                <w:p w14:paraId="161BD8AF" w14:textId="77777777" w:rsidR="00FC14FC" w:rsidRDefault="00FC14FC" w:rsidP="00D11B9D">
                  <w:pPr>
                    <w:pStyle w:val="TableBodyText"/>
                  </w:pPr>
                </w:p>
              </w:tc>
              <w:tc>
                <w:tcPr>
                  <w:tcW w:w="1926" w:type="pct"/>
                  <w:shd w:val="clear" w:color="auto" w:fill="F2F2F2" w:themeFill="background1" w:themeFillShade="F2"/>
                </w:tcPr>
                <w:p w14:paraId="45547D40" w14:textId="77777777" w:rsidR="00FC14FC" w:rsidRDefault="00FC14FC" w:rsidP="00D11B9D">
                  <w:pPr>
                    <w:pStyle w:val="TableBodyText"/>
                    <w:jc w:val="left"/>
                  </w:pPr>
                  <w:r>
                    <w:t>Performance above both benchmarks</w:t>
                  </w:r>
                </w:p>
              </w:tc>
            </w:tr>
            <w:tr w:rsidR="00FC14FC" w14:paraId="1D62A431" w14:textId="77777777" w:rsidTr="00D11B9D">
              <w:tc>
                <w:tcPr>
                  <w:tcW w:w="625" w:type="pct"/>
                  <w:vMerge/>
                  <w:shd w:val="clear" w:color="auto" w:fill="F2F2F2" w:themeFill="background1" w:themeFillShade="F2"/>
                </w:tcPr>
                <w:p w14:paraId="5C3D17C3" w14:textId="77777777" w:rsidR="00FC14FC" w:rsidRDefault="00FC14FC" w:rsidP="00D11B9D">
                  <w:pPr>
                    <w:pStyle w:val="TableBodyText"/>
                    <w:jc w:val="left"/>
                  </w:pPr>
                </w:p>
              </w:tc>
              <w:tc>
                <w:tcPr>
                  <w:tcW w:w="788" w:type="pct"/>
                  <w:shd w:val="clear" w:color="auto" w:fill="F2F2F2" w:themeFill="background1" w:themeFillShade="F2"/>
                </w:tcPr>
                <w:p w14:paraId="2EC58E59" w14:textId="77777777" w:rsidR="00FC14FC" w:rsidRDefault="00FC14FC" w:rsidP="00D11B9D">
                  <w:pPr>
                    <w:pStyle w:val="TableBodyText"/>
                    <w:jc w:val="left"/>
                  </w:pPr>
                  <w:r>
                    <w:t>Public sector</w:t>
                  </w:r>
                </w:p>
              </w:tc>
              <w:tc>
                <w:tcPr>
                  <w:tcW w:w="665" w:type="pct"/>
                  <w:shd w:val="clear" w:color="auto" w:fill="F2F2F2" w:themeFill="background1" w:themeFillShade="F2"/>
                </w:tcPr>
                <w:p w14:paraId="6BF2C57F" w14:textId="77777777" w:rsidR="00FC14FC" w:rsidRDefault="00FC14FC" w:rsidP="00D11B9D">
                  <w:pPr>
                    <w:pStyle w:val="TableBodyText"/>
                  </w:pPr>
                  <w:r>
                    <w:t>5.68</w:t>
                  </w:r>
                </w:p>
              </w:tc>
              <w:tc>
                <w:tcPr>
                  <w:tcW w:w="498" w:type="pct"/>
                  <w:vMerge/>
                  <w:shd w:val="clear" w:color="auto" w:fill="F2F2F2" w:themeFill="background1" w:themeFillShade="F2"/>
                </w:tcPr>
                <w:p w14:paraId="5B8F78D2" w14:textId="77777777" w:rsidR="00FC14FC" w:rsidRDefault="00FC14FC" w:rsidP="00D11B9D">
                  <w:pPr>
                    <w:pStyle w:val="TableBodyText"/>
                  </w:pPr>
                </w:p>
              </w:tc>
              <w:tc>
                <w:tcPr>
                  <w:tcW w:w="498" w:type="pct"/>
                  <w:vMerge/>
                  <w:shd w:val="clear" w:color="auto" w:fill="F2F2F2" w:themeFill="background1" w:themeFillShade="F2"/>
                </w:tcPr>
                <w:p w14:paraId="2A1AE87B" w14:textId="77777777" w:rsidR="00FC14FC" w:rsidRDefault="00FC14FC" w:rsidP="00D11B9D">
                  <w:pPr>
                    <w:pStyle w:val="TableBodyText"/>
                  </w:pPr>
                </w:p>
              </w:tc>
              <w:tc>
                <w:tcPr>
                  <w:tcW w:w="1926" w:type="pct"/>
                  <w:shd w:val="clear" w:color="auto" w:fill="F2F2F2" w:themeFill="background1" w:themeFillShade="F2"/>
                </w:tcPr>
                <w:p w14:paraId="65558881" w14:textId="77777777" w:rsidR="00FC14FC" w:rsidRDefault="00FC14FC" w:rsidP="00D11B9D">
                  <w:pPr>
                    <w:pStyle w:val="TableBodyText"/>
                    <w:jc w:val="left"/>
                  </w:pPr>
                  <w:r>
                    <w:t>Performance above both benchmarks</w:t>
                  </w:r>
                </w:p>
              </w:tc>
            </w:tr>
            <w:tr w:rsidR="00FC14FC" w14:paraId="2B2E9AC7" w14:textId="77777777" w:rsidTr="00D11B9D">
              <w:tc>
                <w:tcPr>
                  <w:tcW w:w="625" w:type="pct"/>
                  <w:vMerge/>
                  <w:shd w:val="clear" w:color="auto" w:fill="F2F2F2" w:themeFill="background1" w:themeFillShade="F2"/>
                </w:tcPr>
                <w:p w14:paraId="6C41B1C8" w14:textId="77777777" w:rsidR="00FC14FC" w:rsidRDefault="00FC14FC" w:rsidP="00D11B9D">
                  <w:pPr>
                    <w:pStyle w:val="TableBodyText"/>
                    <w:jc w:val="left"/>
                  </w:pPr>
                </w:p>
              </w:tc>
              <w:tc>
                <w:tcPr>
                  <w:tcW w:w="788" w:type="pct"/>
                  <w:shd w:val="clear" w:color="auto" w:fill="F2F2F2" w:themeFill="background1" w:themeFillShade="F2"/>
                </w:tcPr>
                <w:p w14:paraId="2F4E3886" w14:textId="77777777" w:rsidR="00FC14FC" w:rsidRDefault="00FC14FC" w:rsidP="00D11B9D">
                  <w:pPr>
                    <w:pStyle w:val="TableBodyText"/>
                    <w:jc w:val="left"/>
                  </w:pPr>
                  <w:r>
                    <w:t>Retail</w:t>
                  </w:r>
                </w:p>
              </w:tc>
              <w:tc>
                <w:tcPr>
                  <w:tcW w:w="665" w:type="pct"/>
                  <w:shd w:val="clear" w:color="auto" w:fill="F2F2F2" w:themeFill="background1" w:themeFillShade="F2"/>
                </w:tcPr>
                <w:p w14:paraId="66DB31B0" w14:textId="77777777" w:rsidR="00FC14FC" w:rsidRDefault="00FC14FC" w:rsidP="00D11B9D">
                  <w:pPr>
                    <w:pStyle w:val="TableBodyText"/>
                  </w:pPr>
                  <w:r>
                    <w:t>4.34</w:t>
                  </w:r>
                </w:p>
              </w:tc>
              <w:tc>
                <w:tcPr>
                  <w:tcW w:w="498" w:type="pct"/>
                  <w:vMerge/>
                  <w:shd w:val="clear" w:color="auto" w:fill="F2F2F2" w:themeFill="background1" w:themeFillShade="F2"/>
                </w:tcPr>
                <w:p w14:paraId="020E11F2" w14:textId="77777777" w:rsidR="00FC14FC" w:rsidRDefault="00FC14FC" w:rsidP="00D11B9D">
                  <w:pPr>
                    <w:pStyle w:val="TableBodyText"/>
                  </w:pPr>
                </w:p>
              </w:tc>
              <w:tc>
                <w:tcPr>
                  <w:tcW w:w="498" w:type="pct"/>
                  <w:vMerge/>
                  <w:shd w:val="clear" w:color="auto" w:fill="F2F2F2" w:themeFill="background1" w:themeFillShade="F2"/>
                </w:tcPr>
                <w:p w14:paraId="70D31EB1" w14:textId="77777777" w:rsidR="00FC14FC" w:rsidRDefault="00FC14FC" w:rsidP="00D11B9D">
                  <w:pPr>
                    <w:pStyle w:val="TableBodyText"/>
                  </w:pPr>
                </w:p>
              </w:tc>
              <w:tc>
                <w:tcPr>
                  <w:tcW w:w="1926" w:type="pct"/>
                  <w:shd w:val="clear" w:color="auto" w:fill="F2F2F2" w:themeFill="background1" w:themeFillShade="F2"/>
                </w:tcPr>
                <w:p w14:paraId="6E4D6BD4" w14:textId="77777777" w:rsidR="00FC14FC" w:rsidRDefault="00FC14FC" w:rsidP="00D11B9D">
                  <w:pPr>
                    <w:pStyle w:val="TableBodyText"/>
                    <w:jc w:val="left"/>
                  </w:pPr>
                  <w:r>
                    <w:t>Performance below both benchmarks</w:t>
                  </w:r>
                </w:p>
              </w:tc>
            </w:tr>
            <w:tr w:rsidR="00FC14FC" w14:paraId="03D3967E" w14:textId="77777777" w:rsidTr="00D11B9D">
              <w:tc>
                <w:tcPr>
                  <w:tcW w:w="5000" w:type="pct"/>
                  <w:gridSpan w:val="6"/>
                  <w:shd w:val="clear" w:color="auto" w:fill="auto"/>
                </w:tcPr>
                <w:p w14:paraId="35F49A63" w14:textId="77777777" w:rsidR="00FC14FC" w:rsidRPr="00F12BC4" w:rsidRDefault="00FC14FC" w:rsidP="00D11B9D">
                  <w:pPr>
                    <w:pStyle w:val="TableUnitsRow"/>
                    <w:jc w:val="left"/>
                    <w:rPr>
                      <w:b/>
                    </w:rPr>
                  </w:pPr>
                  <w:r w:rsidRPr="00F12BC4">
                    <w:rPr>
                      <w:b/>
                    </w:rPr>
                    <w:t>Conservative balanced (41</w:t>
                  </w:r>
                  <w:r>
                    <w:rPr>
                      <w:b/>
                    </w:rPr>
                    <w:t>–</w:t>
                  </w:r>
                  <w:r w:rsidRPr="00F12BC4">
                    <w:rPr>
                      <w:b/>
                    </w:rPr>
                    <w:t>59)</w:t>
                  </w:r>
                </w:p>
              </w:tc>
            </w:tr>
            <w:tr w:rsidR="00FC14FC" w14:paraId="28C23566" w14:textId="77777777" w:rsidTr="00D11B9D">
              <w:tc>
                <w:tcPr>
                  <w:tcW w:w="625" w:type="pct"/>
                  <w:vMerge w:val="restart"/>
                  <w:shd w:val="clear" w:color="auto" w:fill="auto"/>
                </w:tcPr>
                <w:p w14:paraId="67412109" w14:textId="77777777" w:rsidR="00FC14FC" w:rsidRDefault="00FC14FC" w:rsidP="00D11B9D">
                  <w:pPr>
                    <w:pStyle w:val="TableBodyText"/>
                    <w:jc w:val="left"/>
                  </w:pPr>
                  <w:r>
                    <w:t>Option</w:t>
                  </w:r>
                  <w:r>
                    <w:noBreakHyphen/>
                    <w:t>type tailored tax</w:t>
                  </w:r>
                </w:p>
                <w:p w14:paraId="489D3820" w14:textId="77777777" w:rsidR="00FC14FC" w:rsidRDefault="00FC14FC" w:rsidP="00D11B9D">
                  <w:pPr>
                    <w:pStyle w:val="TableBodyText"/>
                  </w:pPr>
                  <w:r>
                    <w:tab/>
                  </w:r>
                </w:p>
              </w:tc>
              <w:tc>
                <w:tcPr>
                  <w:tcW w:w="788" w:type="pct"/>
                  <w:shd w:val="clear" w:color="auto" w:fill="auto"/>
                </w:tcPr>
                <w:p w14:paraId="527F0601" w14:textId="77777777" w:rsidR="00FC14FC" w:rsidRDefault="00FC14FC" w:rsidP="00D11B9D">
                  <w:pPr>
                    <w:pStyle w:val="TableBodyText"/>
                    <w:jc w:val="left"/>
                  </w:pPr>
                  <w:r>
                    <w:t>Corporate</w:t>
                  </w:r>
                </w:p>
              </w:tc>
              <w:tc>
                <w:tcPr>
                  <w:tcW w:w="665" w:type="pct"/>
                  <w:shd w:val="clear" w:color="auto" w:fill="auto"/>
                </w:tcPr>
                <w:p w14:paraId="6E164128" w14:textId="77777777" w:rsidR="00FC14FC" w:rsidRDefault="00FC14FC" w:rsidP="00D11B9D">
                  <w:pPr>
                    <w:pStyle w:val="TableBodyText"/>
                  </w:pPr>
                  <w:r w:rsidRPr="005117D6">
                    <w:t>6.</w:t>
                  </w:r>
                  <w:r>
                    <w:t>3</w:t>
                  </w:r>
                  <w:r w:rsidRPr="005117D6">
                    <w:t>9</w:t>
                  </w:r>
                </w:p>
              </w:tc>
              <w:tc>
                <w:tcPr>
                  <w:tcW w:w="498" w:type="pct"/>
                  <w:vMerge w:val="restart"/>
                  <w:shd w:val="clear" w:color="auto" w:fill="auto"/>
                  <w:vAlign w:val="center"/>
                </w:tcPr>
                <w:p w14:paraId="66CE91D7" w14:textId="77777777" w:rsidR="00FC14FC" w:rsidRDefault="00FC14FC" w:rsidP="00D11B9D">
                  <w:pPr>
                    <w:pStyle w:val="TableBodyText"/>
                  </w:pPr>
                  <w:r>
                    <w:t>6.19</w:t>
                  </w:r>
                </w:p>
              </w:tc>
              <w:tc>
                <w:tcPr>
                  <w:tcW w:w="498" w:type="pct"/>
                  <w:vMerge w:val="restart"/>
                  <w:shd w:val="clear" w:color="auto" w:fill="auto"/>
                  <w:vAlign w:val="center"/>
                </w:tcPr>
                <w:p w14:paraId="1DBDDE1E" w14:textId="77777777" w:rsidR="00FC14FC" w:rsidRDefault="00FC14FC" w:rsidP="00D11B9D">
                  <w:pPr>
                    <w:pStyle w:val="TableBodyText"/>
                  </w:pPr>
                  <w:r>
                    <w:t>6.25</w:t>
                  </w:r>
                </w:p>
              </w:tc>
              <w:tc>
                <w:tcPr>
                  <w:tcW w:w="1926" w:type="pct"/>
                  <w:shd w:val="clear" w:color="auto" w:fill="auto"/>
                </w:tcPr>
                <w:p w14:paraId="17FEE5CA" w14:textId="77777777" w:rsidR="00FC14FC" w:rsidRDefault="00FC14FC" w:rsidP="00D11B9D">
                  <w:pPr>
                    <w:pStyle w:val="TableBodyText"/>
                    <w:jc w:val="left"/>
                  </w:pPr>
                  <w:r>
                    <w:t>Performance above both benchmarks</w:t>
                  </w:r>
                </w:p>
              </w:tc>
            </w:tr>
            <w:tr w:rsidR="00FC14FC" w14:paraId="6E36869C" w14:textId="77777777" w:rsidTr="00D11B9D">
              <w:tc>
                <w:tcPr>
                  <w:tcW w:w="625" w:type="pct"/>
                  <w:vMerge/>
                  <w:shd w:val="clear" w:color="auto" w:fill="auto"/>
                </w:tcPr>
                <w:p w14:paraId="3D875AAE" w14:textId="77777777" w:rsidR="00FC14FC" w:rsidRDefault="00FC14FC" w:rsidP="00D11B9D">
                  <w:pPr>
                    <w:pStyle w:val="TableBodyText"/>
                  </w:pPr>
                </w:p>
              </w:tc>
              <w:tc>
                <w:tcPr>
                  <w:tcW w:w="788" w:type="pct"/>
                  <w:shd w:val="clear" w:color="auto" w:fill="auto"/>
                </w:tcPr>
                <w:p w14:paraId="0CAE89C6" w14:textId="77777777" w:rsidR="00FC14FC" w:rsidRDefault="00FC14FC" w:rsidP="00D11B9D">
                  <w:pPr>
                    <w:pStyle w:val="TableBodyText"/>
                    <w:jc w:val="left"/>
                  </w:pPr>
                  <w:r>
                    <w:t>Industry</w:t>
                  </w:r>
                </w:p>
              </w:tc>
              <w:tc>
                <w:tcPr>
                  <w:tcW w:w="665" w:type="pct"/>
                  <w:shd w:val="clear" w:color="auto" w:fill="auto"/>
                </w:tcPr>
                <w:p w14:paraId="1EE82C20" w14:textId="77777777" w:rsidR="00FC14FC" w:rsidRDefault="00FC14FC" w:rsidP="00D11B9D">
                  <w:pPr>
                    <w:pStyle w:val="TableBodyText"/>
                  </w:pPr>
                  <w:r>
                    <w:t>6.43</w:t>
                  </w:r>
                </w:p>
              </w:tc>
              <w:tc>
                <w:tcPr>
                  <w:tcW w:w="498" w:type="pct"/>
                  <w:vMerge/>
                  <w:shd w:val="clear" w:color="auto" w:fill="auto"/>
                </w:tcPr>
                <w:p w14:paraId="4BF18E22" w14:textId="77777777" w:rsidR="00FC14FC" w:rsidRDefault="00FC14FC" w:rsidP="00D11B9D">
                  <w:pPr>
                    <w:pStyle w:val="TableBodyText"/>
                  </w:pPr>
                </w:p>
              </w:tc>
              <w:tc>
                <w:tcPr>
                  <w:tcW w:w="498" w:type="pct"/>
                  <w:vMerge/>
                  <w:shd w:val="clear" w:color="auto" w:fill="auto"/>
                </w:tcPr>
                <w:p w14:paraId="0CE68546" w14:textId="77777777" w:rsidR="00FC14FC" w:rsidRDefault="00FC14FC" w:rsidP="00D11B9D">
                  <w:pPr>
                    <w:pStyle w:val="TableBodyText"/>
                  </w:pPr>
                </w:p>
              </w:tc>
              <w:tc>
                <w:tcPr>
                  <w:tcW w:w="1926" w:type="pct"/>
                  <w:shd w:val="clear" w:color="auto" w:fill="auto"/>
                </w:tcPr>
                <w:p w14:paraId="02937685" w14:textId="77777777" w:rsidR="00FC14FC" w:rsidRDefault="00FC14FC" w:rsidP="00D11B9D">
                  <w:pPr>
                    <w:pStyle w:val="TableBodyText"/>
                    <w:jc w:val="left"/>
                  </w:pPr>
                  <w:r>
                    <w:t>Performance above both benchmarks</w:t>
                  </w:r>
                </w:p>
              </w:tc>
            </w:tr>
            <w:tr w:rsidR="00FC14FC" w14:paraId="1F8D0257" w14:textId="77777777" w:rsidTr="00D11B9D">
              <w:tc>
                <w:tcPr>
                  <w:tcW w:w="625" w:type="pct"/>
                  <w:vMerge/>
                  <w:shd w:val="clear" w:color="auto" w:fill="auto"/>
                </w:tcPr>
                <w:p w14:paraId="3CD6F4A7" w14:textId="77777777" w:rsidR="00FC14FC" w:rsidRDefault="00FC14FC" w:rsidP="00D11B9D">
                  <w:pPr>
                    <w:pStyle w:val="TableBodyText"/>
                    <w:jc w:val="left"/>
                  </w:pPr>
                </w:p>
              </w:tc>
              <w:tc>
                <w:tcPr>
                  <w:tcW w:w="788" w:type="pct"/>
                  <w:shd w:val="clear" w:color="auto" w:fill="auto"/>
                </w:tcPr>
                <w:p w14:paraId="1D747D51" w14:textId="77777777" w:rsidR="00FC14FC" w:rsidRDefault="00FC14FC" w:rsidP="00D11B9D">
                  <w:pPr>
                    <w:pStyle w:val="TableBodyText"/>
                    <w:jc w:val="left"/>
                  </w:pPr>
                  <w:r>
                    <w:t>Public sector</w:t>
                  </w:r>
                </w:p>
              </w:tc>
              <w:tc>
                <w:tcPr>
                  <w:tcW w:w="665" w:type="pct"/>
                  <w:shd w:val="clear" w:color="auto" w:fill="auto"/>
                </w:tcPr>
                <w:p w14:paraId="18F84D51" w14:textId="77777777" w:rsidR="00FC14FC" w:rsidRPr="00E81BA4" w:rsidRDefault="00FC14FC" w:rsidP="00D11B9D">
                  <w:pPr>
                    <w:pStyle w:val="TableBodyText"/>
                  </w:pPr>
                  <w:r w:rsidRPr="00E81BA4">
                    <w:t>na</w:t>
                  </w:r>
                </w:p>
              </w:tc>
              <w:tc>
                <w:tcPr>
                  <w:tcW w:w="498" w:type="pct"/>
                  <w:vMerge/>
                  <w:shd w:val="clear" w:color="auto" w:fill="auto"/>
                </w:tcPr>
                <w:p w14:paraId="08BADB72" w14:textId="77777777" w:rsidR="00FC14FC" w:rsidRDefault="00FC14FC" w:rsidP="00D11B9D">
                  <w:pPr>
                    <w:pStyle w:val="TableBodyText"/>
                  </w:pPr>
                </w:p>
              </w:tc>
              <w:tc>
                <w:tcPr>
                  <w:tcW w:w="498" w:type="pct"/>
                  <w:vMerge/>
                  <w:shd w:val="clear" w:color="auto" w:fill="auto"/>
                </w:tcPr>
                <w:p w14:paraId="03814EAD" w14:textId="77777777" w:rsidR="00FC14FC" w:rsidRDefault="00FC14FC" w:rsidP="00D11B9D">
                  <w:pPr>
                    <w:pStyle w:val="TableBodyText"/>
                  </w:pPr>
                </w:p>
              </w:tc>
              <w:tc>
                <w:tcPr>
                  <w:tcW w:w="1926" w:type="pct"/>
                  <w:shd w:val="clear" w:color="auto" w:fill="auto"/>
                </w:tcPr>
                <w:p w14:paraId="12B40769" w14:textId="77777777" w:rsidR="00FC14FC" w:rsidRPr="00E81BA4" w:rsidRDefault="00FC14FC" w:rsidP="00D11B9D">
                  <w:pPr>
                    <w:pStyle w:val="TableBodyText"/>
                    <w:jc w:val="left"/>
                  </w:pPr>
                  <w:r w:rsidRPr="00E81BA4">
                    <w:t>na</w:t>
                  </w:r>
                </w:p>
              </w:tc>
            </w:tr>
            <w:tr w:rsidR="00FC14FC" w14:paraId="48333476" w14:textId="77777777" w:rsidTr="00D11B9D">
              <w:tc>
                <w:tcPr>
                  <w:tcW w:w="625" w:type="pct"/>
                  <w:vMerge/>
                  <w:shd w:val="clear" w:color="auto" w:fill="auto"/>
                </w:tcPr>
                <w:p w14:paraId="7F9F8A1C" w14:textId="77777777" w:rsidR="00FC14FC" w:rsidRDefault="00FC14FC" w:rsidP="00D11B9D">
                  <w:pPr>
                    <w:pStyle w:val="TableBodyText"/>
                  </w:pPr>
                </w:p>
              </w:tc>
              <w:tc>
                <w:tcPr>
                  <w:tcW w:w="788" w:type="pct"/>
                  <w:shd w:val="clear" w:color="auto" w:fill="auto"/>
                </w:tcPr>
                <w:p w14:paraId="26825174" w14:textId="77777777" w:rsidR="00FC14FC" w:rsidRDefault="00FC14FC" w:rsidP="00D11B9D">
                  <w:pPr>
                    <w:pStyle w:val="TableBodyText"/>
                    <w:jc w:val="left"/>
                  </w:pPr>
                  <w:r>
                    <w:t>Retail</w:t>
                  </w:r>
                </w:p>
              </w:tc>
              <w:tc>
                <w:tcPr>
                  <w:tcW w:w="665" w:type="pct"/>
                  <w:shd w:val="clear" w:color="auto" w:fill="auto"/>
                </w:tcPr>
                <w:p w14:paraId="707B9D97" w14:textId="77777777" w:rsidR="00FC14FC" w:rsidRPr="005117D6" w:rsidRDefault="00FC14FC" w:rsidP="00D11B9D">
                  <w:pPr>
                    <w:pStyle w:val="TableBodyText"/>
                  </w:pPr>
                  <w:r w:rsidRPr="005117D6">
                    <w:t>4.9</w:t>
                  </w:r>
                  <w:r>
                    <w:t>8</w:t>
                  </w:r>
                </w:p>
              </w:tc>
              <w:tc>
                <w:tcPr>
                  <w:tcW w:w="498" w:type="pct"/>
                  <w:vMerge/>
                  <w:shd w:val="clear" w:color="auto" w:fill="auto"/>
                </w:tcPr>
                <w:p w14:paraId="51598A83" w14:textId="77777777" w:rsidR="00FC14FC" w:rsidRDefault="00FC14FC" w:rsidP="00D11B9D">
                  <w:pPr>
                    <w:pStyle w:val="TableBodyText"/>
                  </w:pPr>
                </w:p>
              </w:tc>
              <w:tc>
                <w:tcPr>
                  <w:tcW w:w="498" w:type="pct"/>
                  <w:vMerge/>
                  <w:shd w:val="clear" w:color="auto" w:fill="auto"/>
                </w:tcPr>
                <w:p w14:paraId="7323A9B7" w14:textId="77777777" w:rsidR="00FC14FC" w:rsidRDefault="00FC14FC" w:rsidP="00D11B9D">
                  <w:pPr>
                    <w:pStyle w:val="TableBodyText"/>
                  </w:pPr>
                </w:p>
              </w:tc>
              <w:tc>
                <w:tcPr>
                  <w:tcW w:w="1926" w:type="pct"/>
                  <w:shd w:val="clear" w:color="auto" w:fill="auto"/>
                </w:tcPr>
                <w:p w14:paraId="3A32C16D" w14:textId="77777777" w:rsidR="00FC14FC" w:rsidRDefault="00FC14FC" w:rsidP="00D11B9D">
                  <w:pPr>
                    <w:pStyle w:val="TableBodyText"/>
                    <w:jc w:val="left"/>
                  </w:pPr>
                  <w:r>
                    <w:t>Performance below both benchmarks</w:t>
                  </w:r>
                </w:p>
              </w:tc>
            </w:tr>
            <w:tr w:rsidR="00FC14FC" w14:paraId="75C4B291" w14:textId="77777777" w:rsidTr="00D11B9D">
              <w:tc>
                <w:tcPr>
                  <w:tcW w:w="625" w:type="pct"/>
                  <w:vMerge w:val="restart"/>
                  <w:shd w:val="clear" w:color="auto" w:fill="F2F2F2" w:themeFill="background1" w:themeFillShade="F2"/>
                </w:tcPr>
                <w:p w14:paraId="6F705FBE" w14:textId="77777777" w:rsidR="00FC14FC" w:rsidRDefault="00FC14FC" w:rsidP="00D11B9D">
                  <w:pPr>
                    <w:pStyle w:val="TableBodyText"/>
                    <w:jc w:val="left"/>
                  </w:pPr>
                  <w:r>
                    <w:t>5% tax</w:t>
                  </w:r>
                </w:p>
              </w:tc>
              <w:tc>
                <w:tcPr>
                  <w:tcW w:w="788" w:type="pct"/>
                  <w:shd w:val="clear" w:color="auto" w:fill="F2F2F2" w:themeFill="background1" w:themeFillShade="F2"/>
                </w:tcPr>
                <w:p w14:paraId="4515E3CD" w14:textId="77777777" w:rsidR="00FC14FC" w:rsidRDefault="00FC14FC" w:rsidP="00D11B9D">
                  <w:pPr>
                    <w:pStyle w:val="TableBodyText"/>
                    <w:jc w:val="left"/>
                  </w:pPr>
                  <w:r>
                    <w:t>Corporate</w:t>
                  </w:r>
                </w:p>
              </w:tc>
              <w:tc>
                <w:tcPr>
                  <w:tcW w:w="665" w:type="pct"/>
                  <w:shd w:val="clear" w:color="auto" w:fill="F2F2F2" w:themeFill="background1" w:themeFillShade="F2"/>
                </w:tcPr>
                <w:p w14:paraId="73D0F8F9" w14:textId="77777777" w:rsidR="00FC14FC" w:rsidRPr="005117D6" w:rsidRDefault="00FC14FC" w:rsidP="00D11B9D">
                  <w:pPr>
                    <w:pStyle w:val="TableBodyText"/>
                  </w:pPr>
                  <w:r w:rsidRPr="005117D6">
                    <w:t>6.</w:t>
                  </w:r>
                  <w:r>
                    <w:t>39</w:t>
                  </w:r>
                </w:p>
              </w:tc>
              <w:tc>
                <w:tcPr>
                  <w:tcW w:w="498" w:type="pct"/>
                  <w:vMerge w:val="restart"/>
                  <w:shd w:val="clear" w:color="auto" w:fill="F2F2F2" w:themeFill="background1" w:themeFillShade="F2"/>
                  <w:vAlign w:val="center"/>
                </w:tcPr>
                <w:p w14:paraId="32EC6FEE" w14:textId="77777777" w:rsidR="00FC14FC" w:rsidRDefault="00FC14FC" w:rsidP="00D11B9D">
                  <w:pPr>
                    <w:pStyle w:val="TableBodyText"/>
                  </w:pPr>
                  <w:r w:rsidRPr="005117D6">
                    <w:t>5.</w:t>
                  </w:r>
                  <w:r>
                    <w:t>93</w:t>
                  </w:r>
                </w:p>
              </w:tc>
              <w:tc>
                <w:tcPr>
                  <w:tcW w:w="498" w:type="pct"/>
                  <w:vMerge w:val="restart"/>
                  <w:shd w:val="clear" w:color="auto" w:fill="F2F2F2" w:themeFill="background1" w:themeFillShade="F2"/>
                  <w:vAlign w:val="center"/>
                </w:tcPr>
                <w:p w14:paraId="338EC086" w14:textId="77777777" w:rsidR="00FC14FC" w:rsidRDefault="00FC14FC" w:rsidP="00D11B9D">
                  <w:pPr>
                    <w:pStyle w:val="TableBodyText"/>
                  </w:pPr>
                  <w:r>
                    <w:t>6.01</w:t>
                  </w:r>
                </w:p>
              </w:tc>
              <w:tc>
                <w:tcPr>
                  <w:tcW w:w="1926" w:type="pct"/>
                  <w:shd w:val="clear" w:color="auto" w:fill="F2F2F2" w:themeFill="background1" w:themeFillShade="F2"/>
                </w:tcPr>
                <w:p w14:paraId="067C9DF7" w14:textId="77777777" w:rsidR="00FC14FC" w:rsidRDefault="00FC14FC" w:rsidP="00D11B9D">
                  <w:pPr>
                    <w:pStyle w:val="TableBodyText"/>
                    <w:jc w:val="left"/>
                  </w:pPr>
                  <w:r>
                    <w:t>Performance above both benchmarks</w:t>
                  </w:r>
                </w:p>
              </w:tc>
            </w:tr>
            <w:tr w:rsidR="00FC14FC" w14:paraId="74BF5CC0" w14:textId="77777777" w:rsidTr="00D11B9D">
              <w:tc>
                <w:tcPr>
                  <w:tcW w:w="625" w:type="pct"/>
                  <w:vMerge/>
                  <w:shd w:val="clear" w:color="auto" w:fill="F2F2F2" w:themeFill="background1" w:themeFillShade="F2"/>
                </w:tcPr>
                <w:p w14:paraId="16035A77" w14:textId="77777777" w:rsidR="00FC14FC" w:rsidRDefault="00FC14FC" w:rsidP="00D11B9D">
                  <w:pPr>
                    <w:pStyle w:val="TableBodyText"/>
                  </w:pPr>
                </w:p>
              </w:tc>
              <w:tc>
                <w:tcPr>
                  <w:tcW w:w="788" w:type="pct"/>
                  <w:shd w:val="clear" w:color="auto" w:fill="F2F2F2" w:themeFill="background1" w:themeFillShade="F2"/>
                </w:tcPr>
                <w:p w14:paraId="19B24F64" w14:textId="77777777" w:rsidR="00FC14FC" w:rsidRDefault="00FC14FC" w:rsidP="00D11B9D">
                  <w:pPr>
                    <w:pStyle w:val="TableBodyText"/>
                    <w:jc w:val="left"/>
                  </w:pPr>
                  <w:r>
                    <w:t>Industry</w:t>
                  </w:r>
                </w:p>
              </w:tc>
              <w:tc>
                <w:tcPr>
                  <w:tcW w:w="665" w:type="pct"/>
                  <w:shd w:val="clear" w:color="auto" w:fill="F2F2F2" w:themeFill="background1" w:themeFillShade="F2"/>
                </w:tcPr>
                <w:p w14:paraId="689C5FBB" w14:textId="77777777" w:rsidR="00FC14FC" w:rsidRDefault="00FC14FC" w:rsidP="00D11B9D">
                  <w:pPr>
                    <w:pStyle w:val="TableBodyText"/>
                  </w:pPr>
                  <w:r>
                    <w:t>6.43</w:t>
                  </w:r>
                </w:p>
              </w:tc>
              <w:tc>
                <w:tcPr>
                  <w:tcW w:w="498" w:type="pct"/>
                  <w:vMerge/>
                  <w:shd w:val="clear" w:color="auto" w:fill="F2F2F2" w:themeFill="background1" w:themeFillShade="F2"/>
                </w:tcPr>
                <w:p w14:paraId="52116FCF" w14:textId="77777777" w:rsidR="00FC14FC" w:rsidRPr="005117D6" w:rsidRDefault="00FC14FC" w:rsidP="00D11B9D">
                  <w:pPr>
                    <w:pStyle w:val="TableBodyText"/>
                  </w:pPr>
                </w:p>
              </w:tc>
              <w:tc>
                <w:tcPr>
                  <w:tcW w:w="498" w:type="pct"/>
                  <w:vMerge/>
                  <w:shd w:val="clear" w:color="auto" w:fill="F2F2F2" w:themeFill="background1" w:themeFillShade="F2"/>
                </w:tcPr>
                <w:p w14:paraId="01FB411A" w14:textId="77777777" w:rsidR="00FC14FC" w:rsidRPr="005117D6" w:rsidRDefault="00FC14FC" w:rsidP="00D11B9D">
                  <w:pPr>
                    <w:pStyle w:val="TableBodyText"/>
                  </w:pPr>
                </w:p>
              </w:tc>
              <w:tc>
                <w:tcPr>
                  <w:tcW w:w="1926" w:type="pct"/>
                  <w:shd w:val="clear" w:color="auto" w:fill="F2F2F2" w:themeFill="background1" w:themeFillShade="F2"/>
                </w:tcPr>
                <w:p w14:paraId="1EFD4150" w14:textId="77777777" w:rsidR="00FC14FC" w:rsidRDefault="00FC14FC" w:rsidP="00D11B9D">
                  <w:pPr>
                    <w:pStyle w:val="TableBodyText"/>
                    <w:jc w:val="left"/>
                  </w:pPr>
                  <w:r>
                    <w:t>Performance above both benchmarks</w:t>
                  </w:r>
                </w:p>
              </w:tc>
            </w:tr>
            <w:tr w:rsidR="00FC14FC" w14:paraId="7B8085E6" w14:textId="77777777" w:rsidTr="00D11B9D">
              <w:tc>
                <w:tcPr>
                  <w:tcW w:w="625" w:type="pct"/>
                  <w:vMerge/>
                  <w:shd w:val="clear" w:color="auto" w:fill="F2F2F2" w:themeFill="background1" w:themeFillShade="F2"/>
                </w:tcPr>
                <w:p w14:paraId="6C56158D" w14:textId="77777777" w:rsidR="00FC14FC" w:rsidRDefault="00FC14FC" w:rsidP="00D11B9D">
                  <w:pPr>
                    <w:pStyle w:val="TableBodyText"/>
                  </w:pPr>
                </w:p>
              </w:tc>
              <w:tc>
                <w:tcPr>
                  <w:tcW w:w="788" w:type="pct"/>
                  <w:shd w:val="clear" w:color="auto" w:fill="F2F2F2" w:themeFill="background1" w:themeFillShade="F2"/>
                </w:tcPr>
                <w:p w14:paraId="3D85C054" w14:textId="77777777" w:rsidR="00FC14FC" w:rsidRDefault="00FC14FC" w:rsidP="00D11B9D">
                  <w:pPr>
                    <w:pStyle w:val="TableBodyText"/>
                    <w:jc w:val="left"/>
                  </w:pPr>
                  <w:r>
                    <w:t>Public sector</w:t>
                  </w:r>
                </w:p>
              </w:tc>
              <w:tc>
                <w:tcPr>
                  <w:tcW w:w="665" w:type="pct"/>
                  <w:shd w:val="clear" w:color="auto" w:fill="F2F2F2" w:themeFill="background1" w:themeFillShade="F2"/>
                </w:tcPr>
                <w:p w14:paraId="4F3024F7" w14:textId="77777777" w:rsidR="00FC14FC" w:rsidRPr="00E81BA4" w:rsidRDefault="00FC14FC" w:rsidP="00D11B9D">
                  <w:pPr>
                    <w:pStyle w:val="TableBodyText"/>
                  </w:pPr>
                  <w:r w:rsidRPr="00E81BA4">
                    <w:t>na</w:t>
                  </w:r>
                </w:p>
              </w:tc>
              <w:tc>
                <w:tcPr>
                  <w:tcW w:w="498" w:type="pct"/>
                  <w:vMerge/>
                  <w:shd w:val="clear" w:color="auto" w:fill="F2F2F2" w:themeFill="background1" w:themeFillShade="F2"/>
                </w:tcPr>
                <w:p w14:paraId="0506F864" w14:textId="77777777" w:rsidR="00FC14FC" w:rsidRPr="005117D6" w:rsidRDefault="00FC14FC" w:rsidP="00D11B9D">
                  <w:pPr>
                    <w:pStyle w:val="TableBodyText"/>
                  </w:pPr>
                </w:p>
              </w:tc>
              <w:tc>
                <w:tcPr>
                  <w:tcW w:w="498" w:type="pct"/>
                  <w:vMerge/>
                  <w:shd w:val="clear" w:color="auto" w:fill="F2F2F2" w:themeFill="background1" w:themeFillShade="F2"/>
                </w:tcPr>
                <w:p w14:paraId="7773D3F0" w14:textId="77777777" w:rsidR="00FC14FC" w:rsidRPr="005117D6" w:rsidRDefault="00FC14FC" w:rsidP="00D11B9D">
                  <w:pPr>
                    <w:pStyle w:val="TableBodyText"/>
                  </w:pPr>
                </w:p>
              </w:tc>
              <w:tc>
                <w:tcPr>
                  <w:tcW w:w="1926" w:type="pct"/>
                  <w:shd w:val="clear" w:color="auto" w:fill="F2F2F2" w:themeFill="background1" w:themeFillShade="F2"/>
                </w:tcPr>
                <w:p w14:paraId="3196A68F" w14:textId="77777777" w:rsidR="00FC14FC" w:rsidRPr="00E81BA4" w:rsidRDefault="00FC14FC" w:rsidP="00D11B9D">
                  <w:pPr>
                    <w:pStyle w:val="TableBodyText"/>
                    <w:jc w:val="left"/>
                  </w:pPr>
                  <w:r w:rsidRPr="00E81BA4">
                    <w:t>na</w:t>
                  </w:r>
                </w:p>
              </w:tc>
            </w:tr>
            <w:tr w:rsidR="00FC14FC" w14:paraId="50871F17" w14:textId="77777777" w:rsidTr="00D11B9D">
              <w:tc>
                <w:tcPr>
                  <w:tcW w:w="625" w:type="pct"/>
                  <w:vMerge/>
                  <w:shd w:val="clear" w:color="auto" w:fill="F2F2F2" w:themeFill="background1" w:themeFillShade="F2"/>
                </w:tcPr>
                <w:p w14:paraId="0C9DD37A" w14:textId="77777777" w:rsidR="00FC14FC" w:rsidRDefault="00FC14FC" w:rsidP="00D11B9D">
                  <w:pPr>
                    <w:pStyle w:val="TableBodyText"/>
                  </w:pPr>
                </w:p>
              </w:tc>
              <w:tc>
                <w:tcPr>
                  <w:tcW w:w="788" w:type="pct"/>
                  <w:shd w:val="clear" w:color="auto" w:fill="F2F2F2" w:themeFill="background1" w:themeFillShade="F2"/>
                </w:tcPr>
                <w:p w14:paraId="1DC699CF" w14:textId="77777777" w:rsidR="00FC14FC" w:rsidRDefault="00FC14FC" w:rsidP="00D11B9D">
                  <w:pPr>
                    <w:pStyle w:val="TableBodyText"/>
                    <w:jc w:val="left"/>
                  </w:pPr>
                  <w:r>
                    <w:t>Retail</w:t>
                  </w:r>
                </w:p>
              </w:tc>
              <w:tc>
                <w:tcPr>
                  <w:tcW w:w="665" w:type="pct"/>
                  <w:shd w:val="clear" w:color="auto" w:fill="F2F2F2" w:themeFill="background1" w:themeFillShade="F2"/>
                </w:tcPr>
                <w:p w14:paraId="67074D4C" w14:textId="77777777" w:rsidR="00FC14FC" w:rsidRPr="005117D6" w:rsidRDefault="00FC14FC" w:rsidP="00D11B9D">
                  <w:pPr>
                    <w:pStyle w:val="TableBodyText"/>
                  </w:pPr>
                  <w:r w:rsidRPr="005117D6">
                    <w:t>4.9</w:t>
                  </w:r>
                  <w:r>
                    <w:t>8</w:t>
                  </w:r>
                </w:p>
              </w:tc>
              <w:tc>
                <w:tcPr>
                  <w:tcW w:w="498" w:type="pct"/>
                  <w:vMerge/>
                  <w:shd w:val="clear" w:color="auto" w:fill="F2F2F2" w:themeFill="background1" w:themeFillShade="F2"/>
                </w:tcPr>
                <w:p w14:paraId="1E2D582B" w14:textId="77777777" w:rsidR="00FC14FC" w:rsidRPr="005117D6" w:rsidRDefault="00FC14FC" w:rsidP="00D11B9D">
                  <w:pPr>
                    <w:pStyle w:val="TableBodyText"/>
                  </w:pPr>
                </w:p>
              </w:tc>
              <w:tc>
                <w:tcPr>
                  <w:tcW w:w="498" w:type="pct"/>
                  <w:vMerge/>
                  <w:shd w:val="clear" w:color="auto" w:fill="F2F2F2" w:themeFill="background1" w:themeFillShade="F2"/>
                </w:tcPr>
                <w:p w14:paraId="4C9C3141" w14:textId="77777777" w:rsidR="00FC14FC" w:rsidRPr="005117D6" w:rsidRDefault="00FC14FC" w:rsidP="00D11B9D">
                  <w:pPr>
                    <w:pStyle w:val="TableBodyText"/>
                  </w:pPr>
                </w:p>
              </w:tc>
              <w:tc>
                <w:tcPr>
                  <w:tcW w:w="1926" w:type="pct"/>
                  <w:shd w:val="clear" w:color="auto" w:fill="F2F2F2" w:themeFill="background1" w:themeFillShade="F2"/>
                </w:tcPr>
                <w:p w14:paraId="1F1A56F8" w14:textId="77777777" w:rsidR="00FC14FC" w:rsidRDefault="00FC14FC" w:rsidP="00D11B9D">
                  <w:pPr>
                    <w:pStyle w:val="TableBodyText"/>
                    <w:jc w:val="left"/>
                  </w:pPr>
                  <w:r>
                    <w:t>Performance below both benchmarks</w:t>
                  </w:r>
                </w:p>
              </w:tc>
            </w:tr>
          </w:tbl>
          <w:p w14:paraId="6AC09BA1" w14:textId="77777777" w:rsidR="00FC14FC" w:rsidRDefault="00FC14FC" w:rsidP="00D11B9D">
            <w:pPr>
              <w:pStyle w:val="Box"/>
            </w:pPr>
          </w:p>
        </w:tc>
      </w:tr>
      <w:tr w:rsidR="00FC14FC" w14:paraId="5D81194F" w14:textId="77777777" w:rsidTr="00D11B9D">
        <w:tc>
          <w:tcPr>
            <w:tcW w:w="5000" w:type="pct"/>
            <w:tcBorders>
              <w:top w:val="single" w:sz="4" w:space="0" w:color="D9D9D9" w:themeColor="background1" w:themeShade="D9"/>
              <w:left w:val="nil"/>
              <w:bottom w:val="nil"/>
              <w:right w:val="nil"/>
            </w:tcBorders>
            <w:shd w:val="clear" w:color="auto" w:fill="auto"/>
          </w:tcPr>
          <w:p w14:paraId="22B38EFC" w14:textId="77777777" w:rsidR="00FC14FC" w:rsidRDefault="00FC14FC" w:rsidP="00D11B9D">
            <w:pPr>
              <w:pStyle w:val="Continued"/>
            </w:pPr>
            <w:r>
              <w:t>(continued next page)</w:t>
            </w:r>
          </w:p>
        </w:tc>
      </w:tr>
      <w:tr w:rsidR="00FC14FC" w14:paraId="015B0AA8" w14:textId="77777777" w:rsidTr="00D11B9D">
        <w:tc>
          <w:tcPr>
            <w:tcW w:w="5000" w:type="pct"/>
            <w:tcBorders>
              <w:top w:val="nil"/>
              <w:left w:val="nil"/>
              <w:bottom w:val="single" w:sz="6" w:space="0" w:color="78A22F"/>
              <w:right w:val="nil"/>
            </w:tcBorders>
            <w:shd w:val="clear" w:color="auto" w:fill="auto"/>
          </w:tcPr>
          <w:p w14:paraId="3CB4DBA5" w14:textId="77777777" w:rsidR="00FC14FC" w:rsidRDefault="00FC14FC" w:rsidP="00D11B9D">
            <w:pPr>
              <w:pStyle w:val="Box"/>
              <w:spacing w:before="0" w:line="120" w:lineRule="exact"/>
            </w:pPr>
          </w:p>
        </w:tc>
      </w:tr>
      <w:tr w:rsidR="00FC14FC" w:rsidRPr="003C7906" w14:paraId="55B7531D" w14:textId="77777777" w:rsidTr="00D11B9D">
        <w:tc>
          <w:tcPr>
            <w:tcW w:w="5000" w:type="pct"/>
            <w:tcBorders>
              <w:top w:val="single" w:sz="6" w:space="0" w:color="78A22F"/>
              <w:left w:val="nil"/>
              <w:bottom w:val="nil"/>
              <w:right w:val="nil"/>
            </w:tcBorders>
          </w:tcPr>
          <w:p w14:paraId="1CB48DF9" w14:textId="77777777" w:rsidR="00FC14FC" w:rsidRPr="003C7906" w:rsidRDefault="00FC14FC" w:rsidP="00D11B9D">
            <w:pPr>
              <w:pStyle w:val="BoxSpaceBelow"/>
            </w:pPr>
          </w:p>
        </w:tc>
      </w:tr>
    </w:tbl>
    <w:p w14:paraId="74FC53B7"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06CCEE92" w14:textId="77777777" w:rsidTr="00D11B9D">
        <w:trPr>
          <w:tblHeader/>
        </w:trPr>
        <w:tc>
          <w:tcPr>
            <w:tcW w:w="5000" w:type="pct"/>
            <w:tcBorders>
              <w:top w:val="single" w:sz="6" w:space="0" w:color="78A22F"/>
              <w:left w:val="nil"/>
              <w:bottom w:val="nil"/>
              <w:right w:val="nil"/>
            </w:tcBorders>
            <w:shd w:val="clear" w:color="auto" w:fill="auto"/>
          </w:tcPr>
          <w:p w14:paraId="0F248347" w14:textId="77777777" w:rsidR="00FC14FC" w:rsidRPr="00784A05" w:rsidRDefault="00FC14FC" w:rsidP="00D11B9D">
            <w:pPr>
              <w:pStyle w:val="TableTitle"/>
            </w:pPr>
            <w:r>
              <w:rPr>
                <w:b w:val="0"/>
              </w:rPr>
              <w:t>Table 4.33</w:t>
            </w:r>
            <w:r>
              <w:tab/>
            </w:r>
            <w:r w:rsidRPr="00073E37">
              <w:rPr>
                <w:b w:val="0"/>
                <w:sz w:val="18"/>
                <w:szCs w:val="18"/>
              </w:rPr>
              <w:t>(continued)</w:t>
            </w:r>
          </w:p>
        </w:tc>
      </w:tr>
      <w:tr w:rsidR="00FC14FC" w14:paraId="6198A72C" w14:textId="77777777" w:rsidTr="00D11B9D">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1066"/>
              <w:gridCol w:w="1344"/>
              <w:gridCol w:w="1134"/>
              <w:gridCol w:w="850"/>
              <w:gridCol w:w="850"/>
              <w:gridCol w:w="3286"/>
            </w:tblGrid>
            <w:tr w:rsidR="00FC14FC" w14:paraId="08A68F22" w14:textId="77777777" w:rsidTr="00D11B9D">
              <w:trPr>
                <w:tblHeader/>
              </w:trPr>
              <w:tc>
                <w:tcPr>
                  <w:tcW w:w="625" w:type="pct"/>
                  <w:tcBorders>
                    <w:top w:val="single" w:sz="6" w:space="0" w:color="BFBFBF"/>
                    <w:bottom w:val="single" w:sz="6" w:space="0" w:color="BFBFBF"/>
                  </w:tcBorders>
                  <w:shd w:val="clear" w:color="auto" w:fill="auto"/>
                  <w:tcMar>
                    <w:top w:w="28" w:type="dxa"/>
                  </w:tcMar>
                  <w:vAlign w:val="bottom"/>
                </w:tcPr>
                <w:p w14:paraId="7EE91E38" w14:textId="77777777" w:rsidR="00FC14FC" w:rsidRDefault="00FC14FC" w:rsidP="00D11B9D">
                  <w:pPr>
                    <w:pStyle w:val="TableColumnHeading"/>
                    <w:jc w:val="left"/>
                  </w:pPr>
                  <w:r>
                    <w:t xml:space="preserve">BP type </w:t>
                  </w:r>
                </w:p>
              </w:tc>
              <w:tc>
                <w:tcPr>
                  <w:tcW w:w="788" w:type="pct"/>
                  <w:tcBorders>
                    <w:top w:val="single" w:sz="6" w:space="0" w:color="BFBFBF"/>
                    <w:bottom w:val="single" w:sz="6" w:space="0" w:color="BFBFBF"/>
                  </w:tcBorders>
                  <w:shd w:val="clear" w:color="auto" w:fill="auto"/>
                  <w:vAlign w:val="bottom"/>
                </w:tcPr>
                <w:p w14:paraId="5039399D" w14:textId="77777777" w:rsidR="00FC14FC" w:rsidRDefault="00FC14FC" w:rsidP="00D11B9D">
                  <w:pPr>
                    <w:pStyle w:val="TableColumnHeading"/>
                    <w:jc w:val="left"/>
                  </w:pPr>
                  <w:r>
                    <w:t>Fund type</w:t>
                  </w:r>
                </w:p>
              </w:tc>
              <w:tc>
                <w:tcPr>
                  <w:tcW w:w="665" w:type="pct"/>
                  <w:tcBorders>
                    <w:top w:val="single" w:sz="6" w:space="0" w:color="BFBFBF"/>
                    <w:bottom w:val="single" w:sz="6" w:space="0" w:color="BFBFBF"/>
                  </w:tcBorders>
                  <w:shd w:val="clear" w:color="auto" w:fill="auto"/>
                  <w:tcMar>
                    <w:top w:w="28" w:type="dxa"/>
                  </w:tcMar>
                  <w:vAlign w:val="bottom"/>
                </w:tcPr>
                <w:p w14:paraId="3E640BD6" w14:textId="77777777" w:rsidR="00FC14FC" w:rsidRDefault="00FC14FC" w:rsidP="00D11B9D">
                  <w:pPr>
                    <w:pStyle w:val="TableColumnHeading"/>
                  </w:pPr>
                  <w:r>
                    <w:t>Actual return (%)</w:t>
                  </w:r>
                </w:p>
              </w:tc>
              <w:tc>
                <w:tcPr>
                  <w:tcW w:w="498" w:type="pct"/>
                  <w:tcBorders>
                    <w:top w:val="single" w:sz="6" w:space="0" w:color="BFBFBF"/>
                    <w:bottom w:val="single" w:sz="6" w:space="0" w:color="BFBFBF"/>
                  </w:tcBorders>
                  <w:shd w:val="clear" w:color="auto" w:fill="auto"/>
                  <w:tcMar>
                    <w:top w:w="28" w:type="dxa"/>
                  </w:tcMar>
                  <w:vAlign w:val="bottom"/>
                </w:tcPr>
                <w:p w14:paraId="1F26D561" w14:textId="77777777" w:rsidR="00FC14FC" w:rsidRDefault="00FC14FC" w:rsidP="00D11B9D">
                  <w:pPr>
                    <w:pStyle w:val="TableColumnHeading"/>
                    <w:ind w:right="28"/>
                  </w:pPr>
                  <w:r>
                    <w:t>BP1 (%)</w:t>
                  </w:r>
                </w:p>
              </w:tc>
              <w:tc>
                <w:tcPr>
                  <w:tcW w:w="498" w:type="pct"/>
                  <w:tcBorders>
                    <w:top w:val="single" w:sz="6" w:space="0" w:color="BFBFBF"/>
                    <w:bottom w:val="single" w:sz="6" w:space="0" w:color="BFBFBF"/>
                  </w:tcBorders>
                  <w:shd w:val="clear" w:color="auto" w:fill="auto"/>
                  <w:vAlign w:val="bottom"/>
                </w:tcPr>
                <w:p w14:paraId="2FD4AC67" w14:textId="77777777" w:rsidR="00FC14FC" w:rsidRDefault="00FC14FC" w:rsidP="00D11B9D">
                  <w:pPr>
                    <w:pStyle w:val="TableColumnHeading"/>
                    <w:ind w:right="28"/>
                  </w:pPr>
                  <w:r>
                    <w:t>BP2 (%)</w:t>
                  </w:r>
                </w:p>
              </w:tc>
              <w:tc>
                <w:tcPr>
                  <w:tcW w:w="1926" w:type="pct"/>
                  <w:tcBorders>
                    <w:top w:val="single" w:sz="6" w:space="0" w:color="BFBFBF"/>
                    <w:bottom w:val="single" w:sz="6" w:space="0" w:color="BFBFBF"/>
                  </w:tcBorders>
                  <w:shd w:val="clear" w:color="auto" w:fill="auto"/>
                  <w:vAlign w:val="bottom"/>
                </w:tcPr>
                <w:p w14:paraId="0CE6ADCF" w14:textId="77777777" w:rsidR="00FC14FC" w:rsidRDefault="00FC14FC" w:rsidP="00D11B9D">
                  <w:pPr>
                    <w:pStyle w:val="TableColumnHeading"/>
                    <w:ind w:right="28"/>
                    <w:jc w:val="left"/>
                  </w:pPr>
                  <w:r>
                    <w:t>Result</w:t>
                  </w:r>
                </w:p>
              </w:tc>
            </w:tr>
            <w:tr w:rsidR="00FC14FC" w14:paraId="05E2966D" w14:textId="77777777" w:rsidTr="00D11B9D">
              <w:tc>
                <w:tcPr>
                  <w:tcW w:w="5000" w:type="pct"/>
                  <w:gridSpan w:val="6"/>
                  <w:tcBorders>
                    <w:top w:val="single" w:sz="6" w:space="0" w:color="BFBFBF"/>
                  </w:tcBorders>
                  <w:shd w:val="clear" w:color="auto" w:fill="auto"/>
                </w:tcPr>
                <w:p w14:paraId="78CDAFEA" w14:textId="77777777" w:rsidR="00FC14FC" w:rsidRPr="00F12BC4" w:rsidRDefault="00FC14FC" w:rsidP="00D11B9D">
                  <w:pPr>
                    <w:pStyle w:val="TableUnitsRow"/>
                    <w:jc w:val="left"/>
                    <w:rPr>
                      <w:b/>
                    </w:rPr>
                  </w:pPr>
                  <w:r w:rsidRPr="00F12BC4">
                    <w:rPr>
                      <w:b/>
                    </w:rPr>
                    <w:t>Balanced (60</w:t>
                  </w:r>
                  <w:r>
                    <w:rPr>
                      <w:b/>
                    </w:rPr>
                    <w:t>–</w:t>
                  </w:r>
                  <w:r w:rsidRPr="00F12BC4">
                    <w:rPr>
                      <w:b/>
                    </w:rPr>
                    <w:t>76)</w:t>
                  </w:r>
                </w:p>
              </w:tc>
            </w:tr>
            <w:tr w:rsidR="00FC14FC" w14:paraId="45321C82" w14:textId="77777777" w:rsidTr="00D11B9D">
              <w:tc>
                <w:tcPr>
                  <w:tcW w:w="625" w:type="pct"/>
                  <w:vMerge w:val="restart"/>
                  <w:shd w:val="clear" w:color="auto" w:fill="auto"/>
                </w:tcPr>
                <w:p w14:paraId="60B19529" w14:textId="77777777" w:rsidR="00FC14FC" w:rsidRDefault="00FC14FC" w:rsidP="00D11B9D">
                  <w:pPr>
                    <w:pStyle w:val="TableBodyText"/>
                    <w:jc w:val="left"/>
                  </w:pPr>
                  <w:r>
                    <w:t>Option</w:t>
                  </w:r>
                  <w:r>
                    <w:noBreakHyphen/>
                    <w:t>type tailored tax</w:t>
                  </w:r>
                </w:p>
                <w:p w14:paraId="17B41D44" w14:textId="77777777" w:rsidR="00FC14FC" w:rsidRDefault="00FC14FC" w:rsidP="00D11B9D">
                  <w:pPr>
                    <w:pStyle w:val="TableBodyText"/>
                  </w:pPr>
                  <w:r>
                    <w:tab/>
                  </w:r>
                </w:p>
              </w:tc>
              <w:tc>
                <w:tcPr>
                  <w:tcW w:w="788" w:type="pct"/>
                  <w:shd w:val="clear" w:color="auto" w:fill="auto"/>
                </w:tcPr>
                <w:p w14:paraId="73D3653C" w14:textId="77777777" w:rsidR="00FC14FC" w:rsidRDefault="00FC14FC" w:rsidP="00D11B9D">
                  <w:pPr>
                    <w:pStyle w:val="TableBodyText"/>
                    <w:jc w:val="left"/>
                  </w:pPr>
                  <w:r>
                    <w:t>Corporate</w:t>
                  </w:r>
                </w:p>
              </w:tc>
              <w:tc>
                <w:tcPr>
                  <w:tcW w:w="665" w:type="pct"/>
                  <w:shd w:val="clear" w:color="auto" w:fill="auto"/>
                </w:tcPr>
                <w:p w14:paraId="0FDF9D18" w14:textId="77777777" w:rsidR="00FC14FC" w:rsidRDefault="00FC14FC" w:rsidP="00D11B9D">
                  <w:pPr>
                    <w:pStyle w:val="TableBodyText"/>
                  </w:pPr>
                  <w:r>
                    <w:t>7.55</w:t>
                  </w:r>
                </w:p>
              </w:tc>
              <w:tc>
                <w:tcPr>
                  <w:tcW w:w="498" w:type="pct"/>
                  <w:vMerge w:val="restart"/>
                  <w:shd w:val="clear" w:color="auto" w:fill="auto"/>
                  <w:vAlign w:val="center"/>
                </w:tcPr>
                <w:p w14:paraId="109A6395" w14:textId="77777777" w:rsidR="00FC14FC" w:rsidRDefault="00FC14FC" w:rsidP="00D11B9D">
                  <w:pPr>
                    <w:pStyle w:val="TableBodyText"/>
                  </w:pPr>
                  <w:r>
                    <w:t>6.28</w:t>
                  </w:r>
                </w:p>
              </w:tc>
              <w:tc>
                <w:tcPr>
                  <w:tcW w:w="498" w:type="pct"/>
                  <w:vMerge w:val="restart"/>
                  <w:shd w:val="clear" w:color="auto" w:fill="auto"/>
                  <w:vAlign w:val="center"/>
                </w:tcPr>
                <w:p w14:paraId="0DEB1802" w14:textId="77777777" w:rsidR="00FC14FC" w:rsidRDefault="00FC14FC" w:rsidP="00D11B9D">
                  <w:pPr>
                    <w:pStyle w:val="TableBodyText"/>
                  </w:pPr>
                  <w:r>
                    <w:t>6.56</w:t>
                  </w:r>
                </w:p>
              </w:tc>
              <w:tc>
                <w:tcPr>
                  <w:tcW w:w="1926" w:type="pct"/>
                  <w:shd w:val="clear" w:color="auto" w:fill="auto"/>
                </w:tcPr>
                <w:p w14:paraId="0F04C624" w14:textId="77777777" w:rsidR="00FC14FC" w:rsidRDefault="00FC14FC" w:rsidP="00D11B9D">
                  <w:pPr>
                    <w:pStyle w:val="TableBodyText"/>
                  </w:pPr>
                  <w:r>
                    <w:t>Performance above both benchmarks</w:t>
                  </w:r>
                </w:p>
              </w:tc>
            </w:tr>
            <w:tr w:rsidR="00FC14FC" w14:paraId="684DC3B9" w14:textId="77777777" w:rsidTr="00D11B9D">
              <w:tc>
                <w:tcPr>
                  <w:tcW w:w="625" w:type="pct"/>
                  <w:vMerge/>
                  <w:shd w:val="clear" w:color="auto" w:fill="auto"/>
                </w:tcPr>
                <w:p w14:paraId="2E7C815E" w14:textId="77777777" w:rsidR="00FC14FC" w:rsidRDefault="00FC14FC" w:rsidP="00D11B9D">
                  <w:pPr>
                    <w:pStyle w:val="TableBodyText"/>
                  </w:pPr>
                </w:p>
              </w:tc>
              <w:tc>
                <w:tcPr>
                  <w:tcW w:w="788" w:type="pct"/>
                  <w:shd w:val="clear" w:color="auto" w:fill="auto"/>
                </w:tcPr>
                <w:p w14:paraId="797BBA54" w14:textId="77777777" w:rsidR="00FC14FC" w:rsidRDefault="00FC14FC" w:rsidP="00D11B9D">
                  <w:pPr>
                    <w:pStyle w:val="TableBodyText"/>
                    <w:jc w:val="left"/>
                  </w:pPr>
                  <w:r>
                    <w:t>Industry</w:t>
                  </w:r>
                </w:p>
              </w:tc>
              <w:tc>
                <w:tcPr>
                  <w:tcW w:w="665" w:type="pct"/>
                  <w:shd w:val="clear" w:color="auto" w:fill="auto"/>
                </w:tcPr>
                <w:p w14:paraId="1AA817C9" w14:textId="77777777" w:rsidR="00FC14FC" w:rsidRDefault="00FC14FC" w:rsidP="00D11B9D">
                  <w:pPr>
                    <w:pStyle w:val="TableBodyText"/>
                  </w:pPr>
                  <w:r>
                    <w:t>7.29</w:t>
                  </w:r>
                </w:p>
              </w:tc>
              <w:tc>
                <w:tcPr>
                  <w:tcW w:w="498" w:type="pct"/>
                  <w:vMerge/>
                  <w:shd w:val="clear" w:color="auto" w:fill="auto"/>
                </w:tcPr>
                <w:p w14:paraId="3DA549D2" w14:textId="77777777" w:rsidR="00FC14FC" w:rsidRDefault="00FC14FC" w:rsidP="00D11B9D">
                  <w:pPr>
                    <w:pStyle w:val="TableBodyText"/>
                  </w:pPr>
                </w:p>
              </w:tc>
              <w:tc>
                <w:tcPr>
                  <w:tcW w:w="498" w:type="pct"/>
                  <w:vMerge/>
                  <w:shd w:val="clear" w:color="auto" w:fill="auto"/>
                </w:tcPr>
                <w:p w14:paraId="090DC1ED" w14:textId="77777777" w:rsidR="00FC14FC" w:rsidRDefault="00FC14FC" w:rsidP="00D11B9D">
                  <w:pPr>
                    <w:pStyle w:val="TableBodyText"/>
                  </w:pPr>
                </w:p>
              </w:tc>
              <w:tc>
                <w:tcPr>
                  <w:tcW w:w="1926" w:type="pct"/>
                  <w:shd w:val="clear" w:color="auto" w:fill="auto"/>
                </w:tcPr>
                <w:p w14:paraId="6FD56342" w14:textId="77777777" w:rsidR="00FC14FC" w:rsidRDefault="00FC14FC" w:rsidP="00D11B9D">
                  <w:pPr>
                    <w:pStyle w:val="TableBodyText"/>
                  </w:pPr>
                  <w:r>
                    <w:t>Performance above both benchmarks</w:t>
                  </w:r>
                </w:p>
              </w:tc>
            </w:tr>
            <w:tr w:rsidR="00FC14FC" w14:paraId="13F56D8F" w14:textId="77777777" w:rsidTr="00D11B9D">
              <w:tc>
                <w:tcPr>
                  <w:tcW w:w="625" w:type="pct"/>
                  <w:vMerge/>
                  <w:shd w:val="clear" w:color="auto" w:fill="auto"/>
                </w:tcPr>
                <w:p w14:paraId="0A5A8E04" w14:textId="77777777" w:rsidR="00FC14FC" w:rsidRDefault="00FC14FC" w:rsidP="00D11B9D">
                  <w:pPr>
                    <w:pStyle w:val="TableBodyText"/>
                  </w:pPr>
                </w:p>
              </w:tc>
              <w:tc>
                <w:tcPr>
                  <w:tcW w:w="788" w:type="pct"/>
                  <w:shd w:val="clear" w:color="auto" w:fill="auto"/>
                </w:tcPr>
                <w:p w14:paraId="4F06E1F4" w14:textId="77777777" w:rsidR="00FC14FC" w:rsidRDefault="00FC14FC" w:rsidP="00D11B9D">
                  <w:pPr>
                    <w:pStyle w:val="TableBodyText"/>
                    <w:jc w:val="left"/>
                  </w:pPr>
                  <w:r>
                    <w:t>Public sector</w:t>
                  </w:r>
                </w:p>
              </w:tc>
              <w:tc>
                <w:tcPr>
                  <w:tcW w:w="665" w:type="pct"/>
                  <w:shd w:val="clear" w:color="auto" w:fill="auto"/>
                </w:tcPr>
                <w:p w14:paraId="561737D0" w14:textId="77777777" w:rsidR="00FC14FC" w:rsidRDefault="00FC14FC" w:rsidP="00D11B9D">
                  <w:pPr>
                    <w:pStyle w:val="TableBodyText"/>
                  </w:pPr>
                  <w:r>
                    <w:t>7.33</w:t>
                  </w:r>
                </w:p>
              </w:tc>
              <w:tc>
                <w:tcPr>
                  <w:tcW w:w="498" w:type="pct"/>
                  <w:vMerge/>
                  <w:shd w:val="clear" w:color="auto" w:fill="auto"/>
                </w:tcPr>
                <w:p w14:paraId="53C50F29" w14:textId="77777777" w:rsidR="00FC14FC" w:rsidRDefault="00FC14FC" w:rsidP="00D11B9D">
                  <w:pPr>
                    <w:pStyle w:val="TableBodyText"/>
                  </w:pPr>
                </w:p>
              </w:tc>
              <w:tc>
                <w:tcPr>
                  <w:tcW w:w="498" w:type="pct"/>
                  <w:vMerge/>
                  <w:shd w:val="clear" w:color="auto" w:fill="auto"/>
                </w:tcPr>
                <w:p w14:paraId="49E3879D" w14:textId="77777777" w:rsidR="00FC14FC" w:rsidRDefault="00FC14FC" w:rsidP="00D11B9D">
                  <w:pPr>
                    <w:pStyle w:val="TableBodyText"/>
                  </w:pPr>
                </w:p>
              </w:tc>
              <w:tc>
                <w:tcPr>
                  <w:tcW w:w="1926" w:type="pct"/>
                  <w:shd w:val="clear" w:color="auto" w:fill="auto"/>
                </w:tcPr>
                <w:p w14:paraId="38D66535" w14:textId="77777777" w:rsidR="00FC14FC" w:rsidRDefault="00FC14FC" w:rsidP="00D11B9D">
                  <w:pPr>
                    <w:pStyle w:val="TableBodyText"/>
                  </w:pPr>
                  <w:r>
                    <w:t>Performance above both benchmarks</w:t>
                  </w:r>
                </w:p>
              </w:tc>
            </w:tr>
            <w:tr w:rsidR="00FC14FC" w14:paraId="2EC7020E" w14:textId="77777777" w:rsidTr="00D11B9D">
              <w:tc>
                <w:tcPr>
                  <w:tcW w:w="625" w:type="pct"/>
                  <w:vMerge/>
                  <w:shd w:val="clear" w:color="auto" w:fill="auto"/>
                </w:tcPr>
                <w:p w14:paraId="4978CF7B" w14:textId="77777777" w:rsidR="00FC14FC" w:rsidRDefault="00FC14FC" w:rsidP="00D11B9D">
                  <w:pPr>
                    <w:pStyle w:val="TableBodyText"/>
                  </w:pPr>
                </w:p>
              </w:tc>
              <w:tc>
                <w:tcPr>
                  <w:tcW w:w="788" w:type="pct"/>
                  <w:shd w:val="clear" w:color="auto" w:fill="auto"/>
                </w:tcPr>
                <w:p w14:paraId="3ABC74EE" w14:textId="77777777" w:rsidR="00FC14FC" w:rsidRDefault="00FC14FC" w:rsidP="00D11B9D">
                  <w:pPr>
                    <w:pStyle w:val="TableBodyText"/>
                    <w:jc w:val="left"/>
                  </w:pPr>
                  <w:r>
                    <w:t>Retail</w:t>
                  </w:r>
                </w:p>
              </w:tc>
              <w:tc>
                <w:tcPr>
                  <w:tcW w:w="665" w:type="pct"/>
                  <w:shd w:val="clear" w:color="auto" w:fill="auto"/>
                </w:tcPr>
                <w:p w14:paraId="6ADEA0BB" w14:textId="77777777" w:rsidR="00FC14FC" w:rsidRDefault="00FC14FC" w:rsidP="00D11B9D">
                  <w:pPr>
                    <w:pStyle w:val="TableBodyText"/>
                  </w:pPr>
                  <w:r>
                    <w:t>5.73</w:t>
                  </w:r>
                </w:p>
              </w:tc>
              <w:tc>
                <w:tcPr>
                  <w:tcW w:w="498" w:type="pct"/>
                  <w:vMerge/>
                  <w:shd w:val="clear" w:color="auto" w:fill="auto"/>
                </w:tcPr>
                <w:p w14:paraId="79C910B4" w14:textId="77777777" w:rsidR="00FC14FC" w:rsidRDefault="00FC14FC" w:rsidP="00D11B9D">
                  <w:pPr>
                    <w:pStyle w:val="TableBodyText"/>
                  </w:pPr>
                </w:p>
              </w:tc>
              <w:tc>
                <w:tcPr>
                  <w:tcW w:w="498" w:type="pct"/>
                  <w:vMerge/>
                  <w:shd w:val="clear" w:color="auto" w:fill="auto"/>
                </w:tcPr>
                <w:p w14:paraId="3192C373" w14:textId="77777777" w:rsidR="00FC14FC" w:rsidRDefault="00FC14FC" w:rsidP="00D11B9D">
                  <w:pPr>
                    <w:pStyle w:val="TableBodyText"/>
                  </w:pPr>
                </w:p>
              </w:tc>
              <w:tc>
                <w:tcPr>
                  <w:tcW w:w="1926" w:type="pct"/>
                  <w:shd w:val="clear" w:color="auto" w:fill="auto"/>
                </w:tcPr>
                <w:p w14:paraId="6660E891" w14:textId="77777777" w:rsidR="00FC14FC" w:rsidRDefault="00FC14FC" w:rsidP="00D11B9D">
                  <w:pPr>
                    <w:pStyle w:val="TableBodyText"/>
                  </w:pPr>
                  <w:r>
                    <w:t>Performance below both benchmarks</w:t>
                  </w:r>
                </w:p>
              </w:tc>
            </w:tr>
            <w:tr w:rsidR="00FC14FC" w14:paraId="5BB7F6A9" w14:textId="77777777" w:rsidTr="00D11B9D">
              <w:tc>
                <w:tcPr>
                  <w:tcW w:w="625" w:type="pct"/>
                  <w:vMerge w:val="restart"/>
                  <w:shd w:val="clear" w:color="auto" w:fill="F2F2F2" w:themeFill="background1" w:themeFillShade="F2"/>
                </w:tcPr>
                <w:p w14:paraId="23A6A4D6" w14:textId="77777777" w:rsidR="00FC14FC" w:rsidRDefault="00FC14FC" w:rsidP="00D11B9D">
                  <w:pPr>
                    <w:pStyle w:val="TableBodyText"/>
                    <w:jc w:val="left"/>
                  </w:pPr>
                  <w:r>
                    <w:t>5% tax</w:t>
                  </w:r>
                </w:p>
              </w:tc>
              <w:tc>
                <w:tcPr>
                  <w:tcW w:w="788" w:type="pct"/>
                  <w:shd w:val="clear" w:color="auto" w:fill="F2F2F2" w:themeFill="background1" w:themeFillShade="F2"/>
                </w:tcPr>
                <w:p w14:paraId="4B0E5FBD" w14:textId="77777777" w:rsidR="00FC14FC" w:rsidRDefault="00FC14FC" w:rsidP="00D11B9D">
                  <w:pPr>
                    <w:pStyle w:val="TableBodyText"/>
                    <w:jc w:val="left"/>
                  </w:pPr>
                  <w:r>
                    <w:t>Corporate</w:t>
                  </w:r>
                </w:p>
              </w:tc>
              <w:tc>
                <w:tcPr>
                  <w:tcW w:w="665" w:type="pct"/>
                  <w:shd w:val="clear" w:color="auto" w:fill="F2F2F2" w:themeFill="background1" w:themeFillShade="F2"/>
                </w:tcPr>
                <w:p w14:paraId="017B9FC5" w14:textId="77777777" w:rsidR="00FC14FC" w:rsidRDefault="00FC14FC" w:rsidP="00D11B9D">
                  <w:pPr>
                    <w:pStyle w:val="TableBodyText"/>
                  </w:pPr>
                  <w:r>
                    <w:t>7.55</w:t>
                  </w:r>
                </w:p>
              </w:tc>
              <w:tc>
                <w:tcPr>
                  <w:tcW w:w="498" w:type="pct"/>
                  <w:vMerge w:val="restart"/>
                  <w:shd w:val="clear" w:color="auto" w:fill="F2F2F2" w:themeFill="background1" w:themeFillShade="F2"/>
                  <w:vAlign w:val="center"/>
                </w:tcPr>
                <w:p w14:paraId="7EACEE54" w14:textId="77777777" w:rsidR="00FC14FC" w:rsidRDefault="00FC14FC" w:rsidP="00D11B9D">
                  <w:pPr>
                    <w:pStyle w:val="TableBodyText"/>
                  </w:pPr>
                  <w:r>
                    <w:t>5.89</w:t>
                  </w:r>
                </w:p>
              </w:tc>
              <w:tc>
                <w:tcPr>
                  <w:tcW w:w="498" w:type="pct"/>
                  <w:vMerge w:val="restart"/>
                  <w:shd w:val="clear" w:color="auto" w:fill="F2F2F2" w:themeFill="background1" w:themeFillShade="F2"/>
                  <w:vAlign w:val="center"/>
                </w:tcPr>
                <w:p w14:paraId="4B3FFB56" w14:textId="77777777" w:rsidR="00FC14FC" w:rsidRDefault="00FC14FC" w:rsidP="00D11B9D">
                  <w:pPr>
                    <w:pStyle w:val="TableBodyText"/>
                  </w:pPr>
                  <w:r>
                    <w:t>6.20</w:t>
                  </w:r>
                </w:p>
              </w:tc>
              <w:tc>
                <w:tcPr>
                  <w:tcW w:w="1926" w:type="pct"/>
                  <w:shd w:val="clear" w:color="auto" w:fill="F2F2F2" w:themeFill="background1" w:themeFillShade="F2"/>
                </w:tcPr>
                <w:p w14:paraId="7099EA21" w14:textId="77777777" w:rsidR="00FC14FC" w:rsidRDefault="00FC14FC" w:rsidP="00D11B9D">
                  <w:pPr>
                    <w:pStyle w:val="TableBodyText"/>
                  </w:pPr>
                  <w:r>
                    <w:t>Performance above both benchmarks</w:t>
                  </w:r>
                </w:p>
              </w:tc>
            </w:tr>
            <w:tr w:rsidR="00FC14FC" w14:paraId="42E79EE3" w14:textId="77777777" w:rsidTr="00D11B9D">
              <w:tc>
                <w:tcPr>
                  <w:tcW w:w="625" w:type="pct"/>
                  <w:vMerge/>
                  <w:shd w:val="clear" w:color="auto" w:fill="F2F2F2" w:themeFill="background1" w:themeFillShade="F2"/>
                </w:tcPr>
                <w:p w14:paraId="3B7EA935" w14:textId="77777777" w:rsidR="00FC14FC" w:rsidRDefault="00FC14FC" w:rsidP="00D11B9D">
                  <w:pPr>
                    <w:pStyle w:val="TableBodyText"/>
                  </w:pPr>
                </w:p>
              </w:tc>
              <w:tc>
                <w:tcPr>
                  <w:tcW w:w="788" w:type="pct"/>
                  <w:shd w:val="clear" w:color="auto" w:fill="F2F2F2" w:themeFill="background1" w:themeFillShade="F2"/>
                </w:tcPr>
                <w:p w14:paraId="052E1ABE" w14:textId="77777777" w:rsidR="00FC14FC" w:rsidRDefault="00FC14FC" w:rsidP="00D11B9D">
                  <w:pPr>
                    <w:pStyle w:val="TableBodyText"/>
                    <w:jc w:val="left"/>
                  </w:pPr>
                  <w:r>
                    <w:t>Industry</w:t>
                  </w:r>
                </w:p>
              </w:tc>
              <w:tc>
                <w:tcPr>
                  <w:tcW w:w="665" w:type="pct"/>
                  <w:shd w:val="clear" w:color="auto" w:fill="F2F2F2" w:themeFill="background1" w:themeFillShade="F2"/>
                </w:tcPr>
                <w:p w14:paraId="54C49F3F" w14:textId="77777777" w:rsidR="00FC14FC" w:rsidRDefault="00FC14FC" w:rsidP="00D11B9D">
                  <w:pPr>
                    <w:pStyle w:val="TableBodyText"/>
                  </w:pPr>
                  <w:r>
                    <w:t>7.29</w:t>
                  </w:r>
                </w:p>
              </w:tc>
              <w:tc>
                <w:tcPr>
                  <w:tcW w:w="498" w:type="pct"/>
                  <w:vMerge/>
                  <w:shd w:val="clear" w:color="auto" w:fill="F2F2F2" w:themeFill="background1" w:themeFillShade="F2"/>
                </w:tcPr>
                <w:p w14:paraId="161E24E2" w14:textId="77777777" w:rsidR="00FC14FC" w:rsidRDefault="00FC14FC" w:rsidP="00D11B9D">
                  <w:pPr>
                    <w:pStyle w:val="TableBodyText"/>
                  </w:pPr>
                </w:p>
              </w:tc>
              <w:tc>
                <w:tcPr>
                  <w:tcW w:w="498" w:type="pct"/>
                  <w:vMerge/>
                  <w:shd w:val="clear" w:color="auto" w:fill="F2F2F2" w:themeFill="background1" w:themeFillShade="F2"/>
                </w:tcPr>
                <w:p w14:paraId="1D79A248" w14:textId="77777777" w:rsidR="00FC14FC" w:rsidRDefault="00FC14FC" w:rsidP="00D11B9D">
                  <w:pPr>
                    <w:pStyle w:val="TableBodyText"/>
                  </w:pPr>
                </w:p>
              </w:tc>
              <w:tc>
                <w:tcPr>
                  <w:tcW w:w="1926" w:type="pct"/>
                  <w:shd w:val="clear" w:color="auto" w:fill="F2F2F2" w:themeFill="background1" w:themeFillShade="F2"/>
                </w:tcPr>
                <w:p w14:paraId="5E537620" w14:textId="77777777" w:rsidR="00FC14FC" w:rsidRDefault="00FC14FC" w:rsidP="00D11B9D">
                  <w:pPr>
                    <w:pStyle w:val="TableBodyText"/>
                  </w:pPr>
                  <w:r>
                    <w:t>Performance above both benchmarks</w:t>
                  </w:r>
                </w:p>
              </w:tc>
            </w:tr>
            <w:tr w:rsidR="00FC14FC" w14:paraId="6368E906" w14:textId="77777777" w:rsidTr="00D11B9D">
              <w:tc>
                <w:tcPr>
                  <w:tcW w:w="625" w:type="pct"/>
                  <w:vMerge/>
                  <w:shd w:val="clear" w:color="auto" w:fill="F2F2F2" w:themeFill="background1" w:themeFillShade="F2"/>
                </w:tcPr>
                <w:p w14:paraId="4AC74E92" w14:textId="77777777" w:rsidR="00FC14FC" w:rsidRDefault="00FC14FC" w:rsidP="00D11B9D">
                  <w:pPr>
                    <w:pStyle w:val="TableBodyText"/>
                  </w:pPr>
                </w:p>
              </w:tc>
              <w:tc>
                <w:tcPr>
                  <w:tcW w:w="788" w:type="pct"/>
                  <w:shd w:val="clear" w:color="auto" w:fill="F2F2F2" w:themeFill="background1" w:themeFillShade="F2"/>
                </w:tcPr>
                <w:p w14:paraId="5B1E044A" w14:textId="77777777" w:rsidR="00FC14FC" w:rsidRDefault="00FC14FC" w:rsidP="00D11B9D">
                  <w:pPr>
                    <w:pStyle w:val="TableBodyText"/>
                    <w:jc w:val="left"/>
                  </w:pPr>
                  <w:r>
                    <w:t>Public sector</w:t>
                  </w:r>
                </w:p>
              </w:tc>
              <w:tc>
                <w:tcPr>
                  <w:tcW w:w="665" w:type="pct"/>
                  <w:shd w:val="clear" w:color="auto" w:fill="F2F2F2" w:themeFill="background1" w:themeFillShade="F2"/>
                </w:tcPr>
                <w:p w14:paraId="29976F23" w14:textId="77777777" w:rsidR="00FC14FC" w:rsidRDefault="00FC14FC" w:rsidP="00D11B9D">
                  <w:pPr>
                    <w:pStyle w:val="TableBodyText"/>
                  </w:pPr>
                  <w:r>
                    <w:t>7.33</w:t>
                  </w:r>
                </w:p>
              </w:tc>
              <w:tc>
                <w:tcPr>
                  <w:tcW w:w="498" w:type="pct"/>
                  <w:vMerge/>
                  <w:shd w:val="clear" w:color="auto" w:fill="F2F2F2" w:themeFill="background1" w:themeFillShade="F2"/>
                </w:tcPr>
                <w:p w14:paraId="318F6CE7" w14:textId="77777777" w:rsidR="00FC14FC" w:rsidRDefault="00FC14FC" w:rsidP="00D11B9D">
                  <w:pPr>
                    <w:pStyle w:val="TableBodyText"/>
                  </w:pPr>
                </w:p>
              </w:tc>
              <w:tc>
                <w:tcPr>
                  <w:tcW w:w="498" w:type="pct"/>
                  <w:vMerge/>
                  <w:shd w:val="clear" w:color="auto" w:fill="F2F2F2" w:themeFill="background1" w:themeFillShade="F2"/>
                </w:tcPr>
                <w:p w14:paraId="6651B5EE" w14:textId="77777777" w:rsidR="00FC14FC" w:rsidRDefault="00FC14FC" w:rsidP="00D11B9D">
                  <w:pPr>
                    <w:pStyle w:val="TableBodyText"/>
                  </w:pPr>
                </w:p>
              </w:tc>
              <w:tc>
                <w:tcPr>
                  <w:tcW w:w="1926" w:type="pct"/>
                  <w:shd w:val="clear" w:color="auto" w:fill="F2F2F2" w:themeFill="background1" w:themeFillShade="F2"/>
                </w:tcPr>
                <w:p w14:paraId="67BD4765" w14:textId="77777777" w:rsidR="00FC14FC" w:rsidRDefault="00FC14FC" w:rsidP="00D11B9D">
                  <w:pPr>
                    <w:pStyle w:val="TableBodyText"/>
                  </w:pPr>
                  <w:r>
                    <w:t>Performance above both benchmarks</w:t>
                  </w:r>
                </w:p>
              </w:tc>
            </w:tr>
            <w:tr w:rsidR="00FC14FC" w14:paraId="737D540F" w14:textId="77777777" w:rsidTr="00D11B9D">
              <w:tc>
                <w:tcPr>
                  <w:tcW w:w="625" w:type="pct"/>
                  <w:vMerge/>
                  <w:shd w:val="clear" w:color="auto" w:fill="F2F2F2" w:themeFill="background1" w:themeFillShade="F2"/>
                </w:tcPr>
                <w:p w14:paraId="4AC06445" w14:textId="77777777" w:rsidR="00FC14FC" w:rsidRDefault="00FC14FC" w:rsidP="00D11B9D">
                  <w:pPr>
                    <w:pStyle w:val="TableBodyText"/>
                  </w:pPr>
                </w:p>
              </w:tc>
              <w:tc>
                <w:tcPr>
                  <w:tcW w:w="788" w:type="pct"/>
                  <w:shd w:val="clear" w:color="auto" w:fill="F2F2F2" w:themeFill="background1" w:themeFillShade="F2"/>
                </w:tcPr>
                <w:p w14:paraId="51D383C8" w14:textId="77777777" w:rsidR="00FC14FC" w:rsidRDefault="00FC14FC" w:rsidP="00D11B9D">
                  <w:pPr>
                    <w:pStyle w:val="TableBodyText"/>
                    <w:jc w:val="left"/>
                  </w:pPr>
                  <w:r>
                    <w:t>Retail</w:t>
                  </w:r>
                </w:p>
              </w:tc>
              <w:tc>
                <w:tcPr>
                  <w:tcW w:w="665" w:type="pct"/>
                  <w:shd w:val="clear" w:color="auto" w:fill="F2F2F2" w:themeFill="background1" w:themeFillShade="F2"/>
                </w:tcPr>
                <w:p w14:paraId="3A736BE5" w14:textId="77777777" w:rsidR="00FC14FC" w:rsidRDefault="00FC14FC" w:rsidP="00D11B9D">
                  <w:pPr>
                    <w:pStyle w:val="TableBodyText"/>
                  </w:pPr>
                  <w:r>
                    <w:t>5.73</w:t>
                  </w:r>
                </w:p>
              </w:tc>
              <w:tc>
                <w:tcPr>
                  <w:tcW w:w="498" w:type="pct"/>
                  <w:vMerge/>
                  <w:shd w:val="clear" w:color="auto" w:fill="F2F2F2" w:themeFill="background1" w:themeFillShade="F2"/>
                </w:tcPr>
                <w:p w14:paraId="78FEFAAB" w14:textId="77777777" w:rsidR="00FC14FC" w:rsidRDefault="00FC14FC" w:rsidP="00D11B9D">
                  <w:pPr>
                    <w:pStyle w:val="TableBodyText"/>
                  </w:pPr>
                </w:p>
              </w:tc>
              <w:tc>
                <w:tcPr>
                  <w:tcW w:w="498" w:type="pct"/>
                  <w:vMerge/>
                  <w:shd w:val="clear" w:color="auto" w:fill="F2F2F2" w:themeFill="background1" w:themeFillShade="F2"/>
                </w:tcPr>
                <w:p w14:paraId="68E36116" w14:textId="77777777" w:rsidR="00FC14FC" w:rsidRDefault="00FC14FC" w:rsidP="00D11B9D">
                  <w:pPr>
                    <w:pStyle w:val="TableBodyText"/>
                  </w:pPr>
                </w:p>
              </w:tc>
              <w:tc>
                <w:tcPr>
                  <w:tcW w:w="1926" w:type="pct"/>
                  <w:shd w:val="clear" w:color="auto" w:fill="F2F2F2" w:themeFill="background1" w:themeFillShade="F2"/>
                </w:tcPr>
                <w:p w14:paraId="761089A4" w14:textId="77777777" w:rsidR="00FC14FC" w:rsidRDefault="00FC14FC" w:rsidP="00D11B9D">
                  <w:pPr>
                    <w:pStyle w:val="TableBodyText"/>
                  </w:pPr>
                  <w:r>
                    <w:t>Performance below both benchmarks</w:t>
                  </w:r>
                </w:p>
              </w:tc>
            </w:tr>
            <w:tr w:rsidR="00FC14FC" w14:paraId="0FAEDADF" w14:textId="77777777" w:rsidTr="00D11B9D">
              <w:tc>
                <w:tcPr>
                  <w:tcW w:w="5000" w:type="pct"/>
                  <w:gridSpan w:val="6"/>
                  <w:shd w:val="clear" w:color="auto" w:fill="auto"/>
                </w:tcPr>
                <w:p w14:paraId="2A0EAA7A" w14:textId="77777777" w:rsidR="00FC14FC" w:rsidRPr="00F12BC4" w:rsidRDefault="00FC14FC" w:rsidP="00D11B9D">
                  <w:pPr>
                    <w:pStyle w:val="TableUnitsRow"/>
                    <w:jc w:val="left"/>
                    <w:rPr>
                      <w:b/>
                    </w:rPr>
                  </w:pPr>
                  <w:r w:rsidRPr="00F12BC4">
                    <w:rPr>
                      <w:b/>
                    </w:rPr>
                    <w:t>Growth (77</w:t>
                  </w:r>
                  <w:r>
                    <w:rPr>
                      <w:b/>
                    </w:rPr>
                    <w:t>–</w:t>
                  </w:r>
                  <w:r w:rsidRPr="00F12BC4">
                    <w:rPr>
                      <w:b/>
                    </w:rPr>
                    <w:t>90)</w:t>
                  </w:r>
                </w:p>
              </w:tc>
            </w:tr>
            <w:tr w:rsidR="00FC14FC" w14:paraId="57CC8B47" w14:textId="77777777" w:rsidTr="00D11B9D">
              <w:tc>
                <w:tcPr>
                  <w:tcW w:w="625" w:type="pct"/>
                  <w:vMerge w:val="restart"/>
                  <w:shd w:val="clear" w:color="auto" w:fill="auto"/>
                </w:tcPr>
                <w:p w14:paraId="420F5A9A" w14:textId="77777777" w:rsidR="00FC14FC" w:rsidRDefault="00FC14FC" w:rsidP="00D11B9D">
                  <w:pPr>
                    <w:pStyle w:val="TableBodyText"/>
                    <w:jc w:val="left"/>
                  </w:pPr>
                  <w:r>
                    <w:t>Option</w:t>
                  </w:r>
                  <w:r>
                    <w:noBreakHyphen/>
                    <w:t>type tailored tax</w:t>
                  </w:r>
                </w:p>
                <w:p w14:paraId="6213AB9F" w14:textId="77777777" w:rsidR="00FC14FC" w:rsidRDefault="00FC14FC" w:rsidP="00D11B9D">
                  <w:pPr>
                    <w:pStyle w:val="TableBodyText"/>
                  </w:pPr>
                  <w:r>
                    <w:tab/>
                  </w:r>
                </w:p>
              </w:tc>
              <w:tc>
                <w:tcPr>
                  <w:tcW w:w="788" w:type="pct"/>
                  <w:shd w:val="clear" w:color="auto" w:fill="auto"/>
                </w:tcPr>
                <w:p w14:paraId="27ABDF42" w14:textId="77777777" w:rsidR="00FC14FC" w:rsidRDefault="00FC14FC" w:rsidP="00D11B9D">
                  <w:pPr>
                    <w:pStyle w:val="TableBodyText"/>
                    <w:jc w:val="left"/>
                  </w:pPr>
                  <w:r>
                    <w:t>Corporate</w:t>
                  </w:r>
                </w:p>
              </w:tc>
              <w:tc>
                <w:tcPr>
                  <w:tcW w:w="665" w:type="pct"/>
                  <w:shd w:val="clear" w:color="auto" w:fill="auto"/>
                </w:tcPr>
                <w:p w14:paraId="07A0C16B" w14:textId="77777777" w:rsidR="00FC14FC" w:rsidRDefault="00FC14FC" w:rsidP="00D11B9D">
                  <w:pPr>
                    <w:pStyle w:val="TableBodyText"/>
                  </w:pPr>
                  <w:r>
                    <w:t>7.30</w:t>
                  </w:r>
                </w:p>
              </w:tc>
              <w:tc>
                <w:tcPr>
                  <w:tcW w:w="498" w:type="pct"/>
                  <w:vMerge w:val="restart"/>
                  <w:shd w:val="clear" w:color="auto" w:fill="auto"/>
                  <w:vAlign w:val="center"/>
                </w:tcPr>
                <w:p w14:paraId="3D28E290" w14:textId="77777777" w:rsidR="00FC14FC" w:rsidRDefault="00FC14FC" w:rsidP="00D11B9D">
                  <w:pPr>
                    <w:pStyle w:val="TableBodyText"/>
                  </w:pPr>
                  <w:r>
                    <w:t>6.32</w:t>
                  </w:r>
                </w:p>
              </w:tc>
              <w:tc>
                <w:tcPr>
                  <w:tcW w:w="498" w:type="pct"/>
                  <w:vMerge w:val="restart"/>
                  <w:shd w:val="clear" w:color="auto" w:fill="auto"/>
                  <w:vAlign w:val="center"/>
                </w:tcPr>
                <w:p w14:paraId="64888D18" w14:textId="77777777" w:rsidR="00FC14FC" w:rsidRDefault="00FC14FC" w:rsidP="00D11B9D">
                  <w:pPr>
                    <w:pStyle w:val="TableBodyText"/>
                  </w:pPr>
                  <w:r>
                    <w:t>6.75</w:t>
                  </w:r>
                </w:p>
              </w:tc>
              <w:tc>
                <w:tcPr>
                  <w:tcW w:w="1926" w:type="pct"/>
                  <w:shd w:val="clear" w:color="auto" w:fill="auto"/>
                </w:tcPr>
                <w:p w14:paraId="6599C94D" w14:textId="77777777" w:rsidR="00FC14FC" w:rsidRDefault="00FC14FC" w:rsidP="00D11B9D">
                  <w:pPr>
                    <w:pStyle w:val="TableBodyText"/>
                  </w:pPr>
                  <w:r>
                    <w:t>Performance above both benchmarks</w:t>
                  </w:r>
                </w:p>
              </w:tc>
            </w:tr>
            <w:tr w:rsidR="00FC14FC" w14:paraId="3A3D6ED7" w14:textId="77777777" w:rsidTr="00D11B9D">
              <w:tc>
                <w:tcPr>
                  <w:tcW w:w="625" w:type="pct"/>
                  <w:vMerge/>
                  <w:shd w:val="clear" w:color="auto" w:fill="auto"/>
                </w:tcPr>
                <w:p w14:paraId="5D0809BE" w14:textId="77777777" w:rsidR="00FC14FC" w:rsidRDefault="00FC14FC" w:rsidP="00D11B9D">
                  <w:pPr>
                    <w:pStyle w:val="TableBodyText"/>
                  </w:pPr>
                </w:p>
              </w:tc>
              <w:tc>
                <w:tcPr>
                  <w:tcW w:w="788" w:type="pct"/>
                  <w:shd w:val="clear" w:color="auto" w:fill="auto"/>
                </w:tcPr>
                <w:p w14:paraId="186AADE5" w14:textId="77777777" w:rsidR="00FC14FC" w:rsidRDefault="00FC14FC" w:rsidP="00D11B9D">
                  <w:pPr>
                    <w:pStyle w:val="TableBodyText"/>
                    <w:jc w:val="left"/>
                  </w:pPr>
                  <w:r>
                    <w:t>Industry</w:t>
                  </w:r>
                </w:p>
              </w:tc>
              <w:tc>
                <w:tcPr>
                  <w:tcW w:w="665" w:type="pct"/>
                  <w:shd w:val="clear" w:color="auto" w:fill="auto"/>
                </w:tcPr>
                <w:p w14:paraId="4F9DE4EF" w14:textId="77777777" w:rsidR="00FC14FC" w:rsidRDefault="00FC14FC" w:rsidP="00D11B9D">
                  <w:pPr>
                    <w:pStyle w:val="TableBodyText"/>
                  </w:pPr>
                  <w:r>
                    <w:t>7.86</w:t>
                  </w:r>
                </w:p>
              </w:tc>
              <w:tc>
                <w:tcPr>
                  <w:tcW w:w="498" w:type="pct"/>
                  <w:vMerge/>
                  <w:shd w:val="clear" w:color="auto" w:fill="auto"/>
                  <w:vAlign w:val="center"/>
                </w:tcPr>
                <w:p w14:paraId="77648E3F" w14:textId="77777777" w:rsidR="00FC14FC" w:rsidRDefault="00FC14FC" w:rsidP="00D11B9D">
                  <w:pPr>
                    <w:pStyle w:val="TableBodyText"/>
                  </w:pPr>
                </w:p>
              </w:tc>
              <w:tc>
                <w:tcPr>
                  <w:tcW w:w="498" w:type="pct"/>
                  <w:vMerge/>
                  <w:shd w:val="clear" w:color="auto" w:fill="auto"/>
                  <w:vAlign w:val="center"/>
                </w:tcPr>
                <w:p w14:paraId="67B1F687" w14:textId="77777777" w:rsidR="00FC14FC" w:rsidRDefault="00FC14FC" w:rsidP="00D11B9D">
                  <w:pPr>
                    <w:pStyle w:val="TableBodyText"/>
                  </w:pPr>
                </w:p>
              </w:tc>
              <w:tc>
                <w:tcPr>
                  <w:tcW w:w="1926" w:type="pct"/>
                  <w:shd w:val="clear" w:color="auto" w:fill="auto"/>
                </w:tcPr>
                <w:p w14:paraId="314B8BC2" w14:textId="77777777" w:rsidR="00FC14FC" w:rsidRDefault="00FC14FC" w:rsidP="00D11B9D">
                  <w:pPr>
                    <w:pStyle w:val="TableBodyText"/>
                  </w:pPr>
                  <w:r>
                    <w:t>Performance above both benchmarks</w:t>
                  </w:r>
                </w:p>
              </w:tc>
            </w:tr>
            <w:tr w:rsidR="00FC14FC" w14:paraId="7E78B96F" w14:textId="77777777" w:rsidTr="00D11B9D">
              <w:tc>
                <w:tcPr>
                  <w:tcW w:w="625" w:type="pct"/>
                  <w:vMerge/>
                  <w:shd w:val="clear" w:color="auto" w:fill="auto"/>
                </w:tcPr>
                <w:p w14:paraId="61D1EE04" w14:textId="77777777" w:rsidR="00FC14FC" w:rsidRDefault="00FC14FC" w:rsidP="00D11B9D">
                  <w:pPr>
                    <w:pStyle w:val="TableBodyText"/>
                  </w:pPr>
                </w:p>
              </w:tc>
              <w:tc>
                <w:tcPr>
                  <w:tcW w:w="788" w:type="pct"/>
                  <w:shd w:val="clear" w:color="auto" w:fill="auto"/>
                </w:tcPr>
                <w:p w14:paraId="4DA50D55" w14:textId="77777777" w:rsidR="00FC14FC" w:rsidRDefault="00FC14FC" w:rsidP="00D11B9D">
                  <w:pPr>
                    <w:pStyle w:val="TableBodyText"/>
                    <w:jc w:val="left"/>
                  </w:pPr>
                  <w:r>
                    <w:t>Public sector</w:t>
                  </w:r>
                </w:p>
              </w:tc>
              <w:tc>
                <w:tcPr>
                  <w:tcW w:w="665" w:type="pct"/>
                  <w:shd w:val="clear" w:color="auto" w:fill="auto"/>
                </w:tcPr>
                <w:p w14:paraId="4FFD55B6" w14:textId="77777777" w:rsidR="00FC14FC" w:rsidRDefault="00FC14FC" w:rsidP="00D11B9D">
                  <w:pPr>
                    <w:pStyle w:val="TableBodyText"/>
                  </w:pPr>
                  <w:r>
                    <w:t>7.02</w:t>
                  </w:r>
                </w:p>
              </w:tc>
              <w:tc>
                <w:tcPr>
                  <w:tcW w:w="498" w:type="pct"/>
                  <w:vMerge/>
                  <w:shd w:val="clear" w:color="auto" w:fill="auto"/>
                  <w:vAlign w:val="center"/>
                </w:tcPr>
                <w:p w14:paraId="44CE0D2B" w14:textId="77777777" w:rsidR="00FC14FC" w:rsidRDefault="00FC14FC" w:rsidP="00D11B9D">
                  <w:pPr>
                    <w:pStyle w:val="TableBodyText"/>
                  </w:pPr>
                </w:p>
              </w:tc>
              <w:tc>
                <w:tcPr>
                  <w:tcW w:w="498" w:type="pct"/>
                  <w:vMerge/>
                  <w:shd w:val="clear" w:color="auto" w:fill="auto"/>
                  <w:vAlign w:val="center"/>
                </w:tcPr>
                <w:p w14:paraId="2FDC1399" w14:textId="77777777" w:rsidR="00FC14FC" w:rsidRDefault="00FC14FC" w:rsidP="00D11B9D">
                  <w:pPr>
                    <w:pStyle w:val="TableBodyText"/>
                  </w:pPr>
                </w:p>
              </w:tc>
              <w:tc>
                <w:tcPr>
                  <w:tcW w:w="1926" w:type="pct"/>
                  <w:shd w:val="clear" w:color="auto" w:fill="auto"/>
                </w:tcPr>
                <w:p w14:paraId="28E89A6B" w14:textId="77777777" w:rsidR="00FC14FC" w:rsidRDefault="00FC14FC" w:rsidP="00D11B9D">
                  <w:pPr>
                    <w:pStyle w:val="TableBodyText"/>
                  </w:pPr>
                  <w:r>
                    <w:t>Performance above both benchmarks</w:t>
                  </w:r>
                </w:p>
              </w:tc>
            </w:tr>
            <w:tr w:rsidR="00FC14FC" w14:paraId="61A42774" w14:textId="77777777" w:rsidTr="00D11B9D">
              <w:tc>
                <w:tcPr>
                  <w:tcW w:w="625" w:type="pct"/>
                  <w:vMerge/>
                  <w:shd w:val="clear" w:color="auto" w:fill="auto"/>
                </w:tcPr>
                <w:p w14:paraId="786ECADC" w14:textId="77777777" w:rsidR="00FC14FC" w:rsidRDefault="00FC14FC" w:rsidP="00D11B9D">
                  <w:pPr>
                    <w:pStyle w:val="TableBodyText"/>
                  </w:pPr>
                </w:p>
              </w:tc>
              <w:tc>
                <w:tcPr>
                  <w:tcW w:w="788" w:type="pct"/>
                  <w:shd w:val="clear" w:color="auto" w:fill="auto"/>
                </w:tcPr>
                <w:p w14:paraId="4D695DB8" w14:textId="77777777" w:rsidR="00FC14FC" w:rsidRDefault="00FC14FC" w:rsidP="00D11B9D">
                  <w:pPr>
                    <w:pStyle w:val="TableBodyText"/>
                    <w:jc w:val="left"/>
                  </w:pPr>
                  <w:r>
                    <w:t>Retail</w:t>
                  </w:r>
                </w:p>
              </w:tc>
              <w:tc>
                <w:tcPr>
                  <w:tcW w:w="665" w:type="pct"/>
                  <w:shd w:val="clear" w:color="auto" w:fill="auto"/>
                </w:tcPr>
                <w:p w14:paraId="5E3D492A" w14:textId="77777777" w:rsidR="00FC14FC" w:rsidRDefault="00FC14FC" w:rsidP="00D11B9D">
                  <w:pPr>
                    <w:pStyle w:val="TableBodyText"/>
                  </w:pPr>
                  <w:r>
                    <w:t>6.13</w:t>
                  </w:r>
                </w:p>
              </w:tc>
              <w:tc>
                <w:tcPr>
                  <w:tcW w:w="498" w:type="pct"/>
                  <w:vMerge/>
                  <w:shd w:val="clear" w:color="auto" w:fill="auto"/>
                  <w:vAlign w:val="center"/>
                </w:tcPr>
                <w:p w14:paraId="702CAA9E" w14:textId="77777777" w:rsidR="00FC14FC" w:rsidRDefault="00FC14FC" w:rsidP="00D11B9D">
                  <w:pPr>
                    <w:pStyle w:val="TableBodyText"/>
                  </w:pPr>
                </w:p>
              </w:tc>
              <w:tc>
                <w:tcPr>
                  <w:tcW w:w="498" w:type="pct"/>
                  <w:vMerge/>
                  <w:shd w:val="clear" w:color="auto" w:fill="auto"/>
                  <w:vAlign w:val="center"/>
                </w:tcPr>
                <w:p w14:paraId="7C9A71D8" w14:textId="77777777" w:rsidR="00FC14FC" w:rsidRDefault="00FC14FC" w:rsidP="00D11B9D">
                  <w:pPr>
                    <w:pStyle w:val="TableBodyText"/>
                  </w:pPr>
                </w:p>
              </w:tc>
              <w:tc>
                <w:tcPr>
                  <w:tcW w:w="1926" w:type="pct"/>
                  <w:shd w:val="clear" w:color="auto" w:fill="auto"/>
                </w:tcPr>
                <w:p w14:paraId="4C0E74D0" w14:textId="77777777" w:rsidR="00FC14FC" w:rsidRDefault="00FC14FC" w:rsidP="00D11B9D">
                  <w:pPr>
                    <w:pStyle w:val="TableBodyText"/>
                  </w:pPr>
                  <w:r>
                    <w:t>Performance below both benchmarks</w:t>
                  </w:r>
                </w:p>
              </w:tc>
            </w:tr>
            <w:tr w:rsidR="00FC14FC" w14:paraId="1EB7A33A" w14:textId="77777777" w:rsidTr="00D11B9D">
              <w:tc>
                <w:tcPr>
                  <w:tcW w:w="625" w:type="pct"/>
                  <w:vMerge w:val="restart"/>
                  <w:shd w:val="clear" w:color="auto" w:fill="F2F2F2" w:themeFill="background1" w:themeFillShade="F2"/>
                </w:tcPr>
                <w:p w14:paraId="718A6973" w14:textId="77777777" w:rsidR="00FC14FC" w:rsidRDefault="00FC14FC" w:rsidP="00D11B9D">
                  <w:pPr>
                    <w:pStyle w:val="TableBodyText"/>
                    <w:jc w:val="left"/>
                  </w:pPr>
                  <w:r>
                    <w:t>5% tax</w:t>
                  </w:r>
                </w:p>
              </w:tc>
              <w:tc>
                <w:tcPr>
                  <w:tcW w:w="788" w:type="pct"/>
                  <w:shd w:val="clear" w:color="auto" w:fill="F2F2F2" w:themeFill="background1" w:themeFillShade="F2"/>
                </w:tcPr>
                <w:p w14:paraId="65FC5896" w14:textId="77777777" w:rsidR="00FC14FC" w:rsidRDefault="00FC14FC" w:rsidP="00D11B9D">
                  <w:pPr>
                    <w:pStyle w:val="TableBodyText"/>
                    <w:jc w:val="left"/>
                  </w:pPr>
                  <w:r>
                    <w:t>Corporate</w:t>
                  </w:r>
                </w:p>
              </w:tc>
              <w:tc>
                <w:tcPr>
                  <w:tcW w:w="665" w:type="pct"/>
                  <w:shd w:val="clear" w:color="auto" w:fill="F2F2F2" w:themeFill="background1" w:themeFillShade="F2"/>
                </w:tcPr>
                <w:p w14:paraId="1CDF5D6B" w14:textId="77777777" w:rsidR="00FC14FC" w:rsidRDefault="00FC14FC" w:rsidP="00D11B9D">
                  <w:pPr>
                    <w:pStyle w:val="TableBodyText"/>
                  </w:pPr>
                  <w:r>
                    <w:t>7.30</w:t>
                  </w:r>
                </w:p>
              </w:tc>
              <w:tc>
                <w:tcPr>
                  <w:tcW w:w="498" w:type="pct"/>
                  <w:vMerge w:val="restart"/>
                  <w:shd w:val="clear" w:color="auto" w:fill="F2F2F2" w:themeFill="background1" w:themeFillShade="F2"/>
                  <w:vAlign w:val="center"/>
                </w:tcPr>
                <w:p w14:paraId="400F8D11" w14:textId="77777777" w:rsidR="00FC14FC" w:rsidRDefault="00FC14FC" w:rsidP="00D11B9D">
                  <w:pPr>
                    <w:pStyle w:val="TableBodyText"/>
                  </w:pPr>
                  <w:r>
                    <w:t>6.11</w:t>
                  </w:r>
                </w:p>
              </w:tc>
              <w:tc>
                <w:tcPr>
                  <w:tcW w:w="498" w:type="pct"/>
                  <w:vMerge w:val="restart"/>
                  <w:shd w:val="clear" w:color="auto" w:fill="F2F2F2" w:themeFill="background1" w:themeFillShade="F2"/>
                  <w:vAlign w:val="center"/>
                </w:tcPr>
                <w:p w14:paraId="2FA38BAF" w14:textId="77777777" w:rsidR="00FC14FC" w:rsidRDefault="00FC14FC" w:rsidP="00D11B9D">
                  <w:pPr>
                    <w:pStyle w:val="TableBodyText"/>
                  </w:pPr>
                  <w:r>
                    <w:t>6.55</w:t>
                  </w:r>
                </w:p>
              </w:tc>
              <w:tc>
                <w:tcPr>
                  <w:tcW w:w="1926" w:type="pct"/>
                  <w:shd w:val="clear" w:color="auto" w:fill="F2F2F2" w:themeFill="background1" w:themeFillShade="F2"/>
                </w:tcPr>
                <w:p w14:paraId="30328F7E" w14:textId="77777777" w:rsidR="00FC14FC" w:rsidRDefault="00FC14FC" w:rsidP="00D11B9D">
                  <w:pPr>
                    <w:pStyle w:val="TableBodyText"/>
                  </w:pPr>
                  <w:r>
                    <w:t>Performance above both benchmarks</w:t>
                  </w:r>
                </w:p>
              </w:tc>
            </w:tr>
            <w:tr w:rsidR="00FC14FC" w14:paraId="701546F8" w14:textId="77777777" w:rsidTr="00D11B9D">
              <w:tc>
                <w:tcPr>
                  <w:tcW w:w="625" w:type="pct"/>
                  <w:vMerge/>
                  <w:shd w:val="clear" w:color="auto" w:fill="F2F2F2" w:themeFill="background1" w:themeFillShade="F2"/>
                </w:tcPr>
                <w:p w14:paraId="05FDA25E" w14:textId="77777777" w:rsidR="00FC14FC" w:rsidRDefault="00FC14FC" w:rsidP="00D11B9D">
                  <w:pPr>
                    <w:pStyle w:val="TableBodyText"/>
                  </w:pPr>
                </w:p>
              </w:tc>
              <w:tc>
                <w:tcPr>
                  <w:tcW w:w="788" w:type="pct"/>
                  <w:shd w:val="clear" w:color="auto" w:fill="F2F2F2" w:themeFill="background1" w:themeFillShade="F2"/>
                </w:tcPr>
                <w:p w14:paraId="6E4AAFC3" w14:textId="77777777" w:rsidR="00FC14FC" w:rsidRDefault="00FC14FC" w:rsidP="00D11B9D">
                  <w:pPr>
                    <w:pStyle w:val="TableBodyText"/>
                    <w:jc w:val="left"/>
                  </w:pPr>
                  <w:r>
                    <w:t>Industry</w:t>
                  </w:r>
                </w:p>
              </w:tc>
              <w:tc>
                <w:tcPr>
                  <w:tcW w:w="665" w:type="pct"/>
                  <w:shd w:val="clear" w:color="auto" w:fill="F2F2F2" w:themeFill="background1" w:themeFillShade="F2"/>
                </w:tcPr>
                <w:p w14:paraId="4245ADD9" w14:textId="77777777" w:rsidR="00FC14FC" w:rsidRDefault="00FC14FC" w:rsidP="00D11B9D">
                  <w:pPr>
                    <w:pStyle w:val="TableBodyText"/>
                  </w:pPr>
                  <w:r>
                    <w:t>7.86</w:t>
                  </w:r>
                </w:p>
              </w:tc>
              <w:tc>
                <w:tcPr>
                  <w:tcW w:w="498" w:type="pct"/>
                  <w:vMerge/>
                  <w:shd w:val="clear" w:color="auto" w:fill="F2F2F2" w:themeFill="background1" w:themeFillShade="F2"/>
                </w:tcPr>
                <w:p w14:paraId="062B27CA" w14:textId="77777777" w:rsidR="00FC14FC" w:rsidRDefault="00FC14FC" w:rsidP="00D11B9D">
                  <w:pPr>
                    <w:pStyle w:val="TableBodyText"/>
                  </w:pPr>
                </w:p>
              </w:tc>
              <w:tc>
                <w:tcPr>
                  <w:tcW w:w="498" w:type="pct"/>
                  <w:vMerge/>
                  <w:shd w:val="clear" w:color="auto" w:fill="F2F2F2" w:themeFill="background1" w:themeFillShade="F2"/>
                </w:tcPr>
                <w:p w14:paraId="40A22E93" w14:textId="77777777" w:rsidR="00FC14FC" w:rsidRDefault="00FC14FC" w:rsidP="00D11B9D">
                  <w:pPr>
                    <w:pStyle w:val="TableBodyText"/>
                  </w:pPr>
                </w:p>
              </w:tc>
              <w:tc>
                <w:tcPr>
                  <w:tcW w:w="1926" w:type="pct"/>
                  <w:shd w:val="clear" w:color="auto" w:fill="F2F2F2" w:themeFill="background1" w:themeFillShade="F2"/>
                </w:tcPr>
                <w:p w14:paraId="28E18E1A" w14:textId="77777777" w:rsidR="00FC14FC" w:rsidRDefault="00FC14FC" w:rsidP="00D11B9D">
                  <w:pPr>
                    <w:pStyle w:val="TableBodyText"/>
                  </w:pPr>
                  <w:r>
                    <w:t>Performance above both benchmarks</w:t>
                  </w:r>
                </w:p>
              </w:tc>
            </w:tr>
            <w:tr w:rsidR="00FC14FC" w14:paraId="21639D24" w14:textId="77777777" w:rsidTr="00D11B9D">
              <w:tc>
                <w:tcPr>
                  <w:tcW w:w="625" w:type="pct"/>
                  <w:vMerge/>
                  <w:shd w:val="clear" w:color="auto" w:fill="F2F2F2" w:themeFill="background1" w:themeFillShade="F2"/>
                </w:tcPr>
                <w:p w14:paraId="7B509BE4" w14:textId="77777777" w:rsidR="00FC14FC" w:rsidRDefault="00FC14FC" w:rsidP="00D11B9D">
                  <w:pPr>
                    <w:pStyle w:val="TableBodyText"/>
                  </w:pPr>
                </w:p>
              </w:tc>
              <w:tc>
                <w:tcPr>
                  <w:tcW w:w="788" w:type="pct"/>
                  <w:shd w:val="clear" w:color="auto" w:fill="F2F2F2" w:themeFill="background1" w:themeFillShade="F2"/>
                </w:tcPr>
                <w:p w14:paraId="5E796726" w14:textId="77777777" w:rsidR="00FC14FC" w:rsidRDefault="00FC14FC" w:rsidP="00D11B9D">
                  <w:pPr>
                    <w:pStyle w:val="TableBodyText"/>
                    <w:jc w:val="left"/>
                  </w:pPr>
                  <w:r>
                    <w:t>Public sector</w:t>
                  </w:r>
                </w:p>
              </w:tc>
              <w:tc>
                <w:tcPr>
                  <w:tcW w:w="665" w:type="pct"/>
                  <w:shd w:val="clear" w:color="auto" w:fill="F2F2F2" w:themeFill="background1" w:themeFillShade="F2"/>
                </w:tcPr>
                <w:p w14:paraId="7276F73E" w14:textId="77777777" w:rsidR="00FC14FC" w:rsidRDefault="00FC14FC" w:rsidP="00D11B9D">
                  <w:pPr>
                    <w:pStyle w:val="TableBodyText"/>
                  </w:pPr>
                  <w:r>
                    <w:t>7.02</w:t>
                  </w:r>
                </w:p>
              </w:tc>
              <w:tc>
                <w:tcPr>
                  <w:tcW w:w="498" w:type="pct"/>
                  <w:vMerge/>
                  <w:shd w:val="clear" w:color="auto" w:fill="F2F2F2" w:themeFill="background1" w:themeFillShade="F2"/>
                </w:tcPr>
                <w:p w14:paraId="58F7E894" w14:textId="77777777" w:rsidR="00FC14FC" w:rsidRDefault="00FC14FC" w:rsidP="00D11B9D">
                  <w:pPr>
                    <w:pStyle w:val="TableBodyText"/>
                  </w:pPr>
                </w:p>
              </w:tc>
              <w:tc>
                <w:tcPr>
                  <w:tcW w:w="498" w:type="pct"/>
                  <w:vMerge/>
                  <w:shd w:val="clear" w:color="auto" w:fill="F2F2F2" w:themeFill="background1" w:themeFillShade="F2"/>
                </w:tcPr>
                <w:p w14:paraId="39A254B3" w14:textId="77777777" w:rsidR="00FC14FC" w:rsidRDefault="00FC14FC" w:rsidP="00D11B9D">
                  <w:pPr>
                    <w:pStyle w:val="TableBodyText"/>
                  </w:pPr>
                </w:p>
              </w:tc>
              <w:tc>
                <w:tcPr>
                  <w:tcW w:w="1926" w:type="pct"/>
                  <w:shd w:val="clear" w:color="auto" w:fill="F2F2F2" w:themeFill="background1" w:themeFillShade="F2"/>
                </w:tcPr>
                <w:p w14:paraId="23983630" w14:textId="77777777" w:rsidR="00FC14FC" w:rsidRDefault="00FC14FC" w:rsidP="00D11B9D">
                  <w:pPr>
                    <w:pStyle w:val="TableBodyText"/>
                  </w:pPr>
                  <w:r>
                    <w:t>Performance above both benchmarks</w:t>
                  </w:r>
                </w:p>
              </w:tc>
            </w:tr>
            <w:tr w:rsidR="00FC14FC" w14:paraId="5AEE8BB0" w14:textId="77777777" w:rsidTr="00D11B9D">
              <w:tc>
                <w:tcPr>
                  <w:tcW w:w="625" w:type="pct"/>
                  <w:vMerge/>
                  <w:shd w:val="clear" w:color="auto" w:fill="F2F2F2" w:themeFill="background1" w:themeFillShade="F2"/>
                </w:tcPr>
                <w:p w14:paraId="05902F6B" w14:textId="77777777" w:rsidR="00FC14FC" w:rsidRDefault="00FC14FC" w:rsidP="00D11B9D">
                  <w:pPr>
                    <w:pStyle w:val="TableBodyText"/>
                  </w:pPr>
                </w:p>
              </w:tc>
              <w:tc>
                <w:tcPr>
                  <w:tcW w:w="788" w:type="pct"/>
                  <w:shd w:val="clear" w:color="auto" w:fill="F2F2F2" w:themeFill="background1" w:themeFillShade="F2"/>
                </w:tcPr>
                <w:p w14:paraId="0777DE56" w14:textId="77777777" w:rsidR="00FC14FC" w:rsidRDefault="00FC14FC" w:rsidP="00D11B9D">
                  <w:pPr>
                    <w:pStyle w:val="TableBodyText"/>
                    <w:jc w:val="left"/>
                  </w:pPr>
                  <w:r>
                    <w:t>Retail</w:t>
                  </w:r>
                </w:p>
              </w:tc>
              <w:tc>
                <w:tcPr>
                  <w:tcW w:w="665" w:type="pct"/>
                  <w:shd w:val="clear" w:color="auto" w:fill="F2F2F2" w:themeFill="background1" w:themeFillShade="F2"/>
                </w:tcPr>
                <w:p w14:paraId="1C994124" w14:textId="77777777" w:rsidR="00FC14FC" w:rsidRDefault="00FC14FC" w:rsidP="00D11B9D">
                  <w:pPr>
                    <w:pStyle w:val="TableBodyText"/>
                  </w:pPr>
                  <w:r>
                    <w:t>6.13</w:t>
                  </w:r>
                </w:p>
              </w:tc>
              <w:tc>
                <w:tcPr>
                  <w:tcW w:w="498" w:type="pct"/>
                  <w:vMerge/>
                  <w:shd w:val="clear" w:color="auto" w:fill="F2F2F2" w:themeFill="background1" w:themeFillShade="F2"/>
                </w:tcPr>
                <w:p w14:paraId="3E64C8E3" w14:textId="77777777" w:rsidR="00FC14FC" w:rsidRDefault="00FC14FC" w:rsidP="00D11B9D">
                  <w:pPr>
                    <w:pStyle w:val="TableBodyText"/>
                  </w:pPr>
                </w:p>
              </w:tc>
              <w:tc>
                <w:tcPr>
                  <w:tcW w:w="498" w:type="pct"/>
                  <w:vMerge/>
                  <w:shd w:val="clear" w:color="auto" w:fill="F2F2F2" w:themeFill="background1" w:themeFillShade="F2"/>
                </w:tcPr>
                <w:p w14:paraId="3B7B78E4" w14:textId="77777777" w:rsidR="00FC14FC" w:rsidRDefault="00FC14FC" w:rsidP="00D11B9D">
                  <w:pPr>
                    <w:pStyle w:val="TableBodyText"/>
                  </w:pPr>
                </w:p>
              </w:tc>
              <w:tc>
                <w:tcPr>
                  <w:tcW w:w="1926" w:type="pct"/>
                  <w:shd w:val="clear" w:color="auto" w:fill="F2F2F2" w:themeFill="background1" w:themeFillShade="F2"/>
                </w:tcPr>
                <w:p w14:paraId="0AD9A729" w14:textId="77777777" w:rsidR="00FC14FC" w:rsidRDefault="00FC14FC" w:rsidP="00D11B9D">
                  <w:pPr>
                    <w:pStyle w:val="TableBodyText"/>
                  </w:pPr>
                  <w:r>
                    <w:t>Performance above BP1 but not BP2</w:t>
                  </w:r>
                </w:p>
              </w:tc>
            </w:tr>
            <w:tr w:rsidR="00FC14FC" w14:paraId="017FBF55" w14:textId="77777777" w:rsidTr="00D11B9D">
              <w:tc>
                <w:tcPr>
                  <w:tcW w:w="5000" w:type="pct"/>
                  <w:gridSpan w:val="6"/>
                  <w:shd w:val="clear" w:color="auto" w:fill="auto"/>
                </w:tcPr>
                <w:p w14:paraId="0C71B6D5" w14:textId="77777777" w:rsidR="00FC14FC" w:rsidRPr="00F12BC4" w:rsidRDefault="00FC14FC" w:rsidP="00D11B9D">
                  <w:pPr>
                    <w:pStyle w:val="TableUnitsRow"/>
                    <w:jc w:val="left"/>
                    <w:rPr>
                      <w:b/>
                    </w:rPr>
                  </w:pPr>
                  <w:r w:rsidRPr="00F12BC4">
                    <w:rPr>
                      <w:b/>
                    </w:rPr>
                    <w:t>High growth (91</w:t>
                  </w:r>
                  <w:r>
                    <w:rPr>
                      <w:b/>
                    </w:rPr>
                    <w:t>–</w:t>
                  </w:r>
                  <w:r w:rsidRPr="00F12BC4">
                    <w:rPr>
                      <w:b/>
                    </w:rPr>
                    <w:t>100)</w:t>
                  </w:r>
                </w:p>
              </w:tc>
            </w:tr>
            <w:tr w:rsidR="00FC14FC" w14:paraId="22EB579D" w14:textId="77777777" w:rsidTr="00D11B9D">
              <w:tc>
                <w:tcPr>
                  <w:tcW w:w="625" w:type="pct"/>
                  <w:vMerge w:val="restart"/>
                  <w:shd w:val="clear" w:color="auto" w:fill="auto"/>
                </w:tcPr>
                <w:p w14:paraId="1CDBCAF7" w14:textId="77777777" w:rsidR="00FC14FC" w:rsidRDefault="00FC14FC" w:rsidP="00D11B9D">
                  <w:pPr>
                    <w:pStyle w:val="TableBodyText"/>
                    <w:jc w:val="left"/>
                  </w:pPr>
                  <w:r>
                    <w:t>Option</w:t>
                  </w:r>
                  <w:r>
                    <w:noBreakHyphen/>
                    <w:t>type tailored tax</w:t>
                  </w:r>
                </w:p>
                <w:p w14:paraId="37062A38" w14:textId="77777777" w:rsidR="00FC14FC" w:rsidRDefault="00FC14FC" w:rsidP="00D11B9D">
                  <w:pPr>
                    <w:pStyle w:val="TableBodyText"/>
                  </w:pPr>
                  <w:r>
                    <w:tab/>
                  </w:r>
                </w:p>
              </w:tc>
              <w:tc>
                <w:tcPr>
                  <w:tcW w:w="788" w:type="pct"/>
                  <w:shd w:val="clear" w:color="auto" w:fill="auto"/>
                </w:tcPr>
                <w:p w14:paraId="028E6613" w14:textId="77777777" w:rsidR="00FC14FC" w:rsidRDefault="00FC14FC" w:rsidP="00D11B9D">
                  <w:pPr>
                    <w:pStyle w:val="TableBodyText"/>
                    <w:jc w:val="left"/>
                  </w:pPr>
                  <w:r>
                    <w:t>Corporate</w:t>
                  </w:r>
                </w:p>
              </w:tc>
              <w:tc>
                <w:tcPr>
                  <w:tcW w:w="665" w:type="pct"/>
                  <w:shd w:val="clear" w:color="auto" w:fill="auto"/>
                </w:tcPr>
                <w:p w14:paraId="2BEE99DB" w14:textId="77777777" w:rsidR="00FC14FC" w:rsidRDefault="00FC14FC" w:rsidP="00D11B9D">
                  <w:pPr>
                    <w:pStyle w:val="TableBodyText"/>
                  </w:pPr>
                  <w:r>
                    <w:t>6.09</w:t>
                  </w:r>
                </w:p>
              </w:tc>
              <w:tc>
                <w:tcPr>
                  <w:tcW w:w="498" w:type="pct"/>
                  <w:vMerge w:val="restart"/>
                  <w:shd w:val="clear" w:color="auto" w:fill="auto"/>
                  <w:vAlign w:val="center"/>
                </w:tcPr>
                <w:p w14:paraId="7B912DD0" w14:textId="77777777" w:rsidR="00FC14FC" w:rsidRDefault="00FC14FC" w:rsidP="00D11B9D">
                  <w:pPr>
                    <w:pStyle w:val="TableBodyText"/>
                  </w:pPr>
                  <w:r>
                    <w:t>6.10</w:t>
                  </w:r>
                </w:p>
              </w:tc>
              <w:tc>
                <w:tcPr>
                  <w:tcW w:w="498" w:type="pct"/>
                  <w:vMerge w:val="restart"/>
                  <w:shd w:val="clear" w:color="auto" w:fill="auto"/>
                  <w:vAlign w:val="center"/>
                </w:tcPr>
                <w:p w14:paraId="0B9791CE" w14:textId="77777777" w:rsidR="00FC14FC" w:rsidRDefault="00FC14FC" w:rsidP="00D11B9D">
                  <w:pPr>
                    <w:pStyle w:val="TableBodyText"/>
                  </w:pPr>
                  <w:r>
                    <w:t>6.57</w:t>
                  </w:r>
                </w:p>
              </w:tc>
              <w:tc>
                <w:tcPr>
                  <w:tcW w:w="1926" w:type="pct"/>
                  <w:shd w:val="clear" w:color="auto" w:fill="auto"/>
                </w:tcPr>
                <w:p w14:paraId="50C14E72" w14:textId="77777777" w:rsidR="00FC14FC" w:rsidRDefault="00FC14FC" w:rsidP="00D11B9D">
                  <w:pPr>
                    <w:pStyle w:val="TableBodyText"/>
                  </w:pPr>
                  <w:r>
                    <w:t>Performance below both benchmarks</w:t>
                  </w:r>
                </w:p>
              </w:tc>
            </w:tr>
            <w:tr w:rsidR="00FC14FC" w14:paraId="3468B91A" w14:textId="77777777" w:rsidTr="00D11B9D">
              <w:tc>
                <w:tcPr>
                  <w:tcW w:w="625" w:type="pct"/>
                  <w:vMerge/>
                  <w:shd w:val="clear" w:color="auto" w:fill="auto"/>
                </w:tcPr>
                <w:p w14:paraId="398CE09A" w14:textId="77777777" w:rsidR="00FC14FC" w:rsidRDefault="00FC14FC" w:rsidP="00D11B9D">
                  <w:pPr>
                    <w:pStyle w:val="TableBodyText"/>
                  </w:pPr>
                </w:p>
              </w:tc>
              <w:tc>
                <w:tcPr>
                  <w:tcW w:w="788" w:type="pct"/>
                  <w:shd w:val="clear" w:color="auto" w:fill="auto"/>
                </w:tcPr>
                <w:p w14:paraId="6C91411E" w14:textId="77777777" w:rsidR="00FC14FC" w:rsidRDefault="00FC14FC" w:rsidP="00D11B9D">
                  <w:pPr>
                    <w:pStyle w:val="TableBodyText"/>
                    <w:jc w:val="left"/>
                  </w:pPr>
                  <w:r>
                    <w:t>Industry</w:t>
                  </w:r>
                </w:p>
              </w:tc>
              <w:tc>
                <w:tcPr>
                  <w:tcW w:w="665" w:type="pct"/>
                  <w:shd w:val="clear" w:color="auto" w:fill="auto"/>
                </w:tcPr>
                <w:p w14:paraId="1B7C1F8D" w14:textId="77777777" w:rsidR="00FC14FC" w:rsidRDefault="00FC14FC" w:rsidP="00D11B9D">
                  <w:pPr>
                    <w:pStyle w:val="TableBodyText"/>
                  </w:pPr>
                  <w:r>
                    <w:t>7.88</w:t>
                  </w:r>
                </w:p>
              </w:tc>
              <w:tc>
                <w:tcPr>
                  <w:tcW w:w="498" w:type="pct"/>
                  <w:vMerge/>
                  <w:shd w:val="clear" w:color="auto" w:fill="auto"/>
                  <w:vAlign w:val="center"/>
                </w:tcPr>
                <w:p w14:paraId="03D31D3F" w14:textId="77777777" w:rsidR="00FC14FC" w:rsidRDefault="00FC14FC" w:rsidP="00D11B9D">
                  <w:pPr>
                    <w:pStyle w:val="TableBodyText"/>
                  </w:pPr>
                </w:p>
              </w:tc>
              <w:tc>
                <w:tcPr>
                  <w:tcW w:w="498" w:type="pct"/>
                  <w:vMerge/>
                  <w:shd w:val="clear" w:color="auto" w:fill="auto"/>
                  <w:vAlign w:val="center"/>
                </w:tcPr>
                <w:p w14:paraId="5515B621" w14:textId="77777777" w:rsidR="00FC14FC" w:rsidRDefault="00FC14FC" w:rsidP="00D11B9D">
                  <w:pPr>
                    <w:pStyle w:val="TableBodyText"/>
                  </w:pPr>
                </w:p>
              </w:tc>
              <w:tc>
                <w:tcPr>
                  <w:tcW w:w="1926" w:type="pct"/>
                  <w:shd w:val="clear" w:color="auto" w:fill="auto"/>
                </w:tcPr>
                <w:p w14:paraId="3CF8EB54" w14:textId="77777777" w:rsidR="00FC14FC" w:rsidRDefault="00FC14FC" w:rsidP="00D11B9D">
                  <w:pPr>
                    <w:pStyle w:val="TableBodyText"/>
                  </w:pPr>
                  <w:r>
                    <w:t>Performance above both benchmarks</w:t>
                  </w:r>
                </w:p>
              </w:tc>
            </w:tr>
            <w:tr w:rsidR="00FC14FC" w14:paraId="29D6A6B6" w14:textId="77777777" w:rsidTr="00D11B9D">
              <w:tc>
                <w:tcPr>
                  <w:tcW w:w="625" w:type="pct"/>
                  <w:vMerge/>
                  <w:shd w:val="clear" w:color="auto" w:fill="auto"/>
                </w:tcPr>
                <w:p w14:paraId="3091EE24" w14:textId="77777777" w:rsidR="00FC14FC" w:rsidRDefault="00FC14FC" w:rsidP="00D11B9D">
                  <w:pPr>
                    <w:pStyle w:val="TableBodyText"/>
                  </w:pPr>
                </w:p>
              </w:tc>
              <w:tc>
                <w:tcPr>
                  <w:tcW w:w="788" w:type="pct"/>
                  <w:shd w:val="clear" w:color="auto" w:fill="auto"/>
                </w:tcPr>
                <w:p w14:paraId="6969B0CB" w14:textId="77777777" w:rsidR="00FC14FC" w:rsidRDefault="00FC14FC" w:rsidP="00D11B9D">
                  <w:pPr>
                    <w:pStyle w:val="TableBodyText"/>
                    <w:jc w:val="left"/>
                  </w:pPr>
                  <w:r>
                    <w:t>Public sector</w:t>
                  </w:r>
                </w:p>
              </w:tc>
              <w:tc>
                <w:tcPr>
                  <w:tcW w:w="665" w:type="pct"/>
                  <w:shd w:val="clear" w:color="auto" w:fill="auto"/>
                </w:tcPr>
                <w:p w14:paraId="16B05429" w14:textId="77777777" w:rsidR="00FC14FC" w:rsidRDefault="00FC14FC" w:rsidP="00D11B9D">
                  <w:pPr>
                    <w:pStyle w:val="TableBodyText"/>
                  </w:pPr>
                  <w:r>
                    <w:t>6.81</w:t>
                  </w:r>
                </w:p>
              </w:tc>
              <w:tc>
                <w:tcPr>
                  <w:tcW w:w="498" w:type="pct"/>
                  <w:vMerge/>
                  <w:shd w:val="clear" w:color="auto" w:fill="auto"/>
                  <w:vAlign w:val="center"/>
                </w:tcPr>
                <w:p w14:paraId="05995867" w14:textId="77777777" w:rsidR="00FC14FC" w:rsidRDefault="00FC14FC" w:rsidP="00D11B9D">
                  <w:pPr>
                    <w:pStyle w:val="TableBodyText"/>
                  </w:pPr>
                </w:p>
              </w:tc>
              <w:tc>
                <w:tcPr>
                  <w:tcW w:w="498" w:type="pct"/>
                  <w:vMerge/>
                  <w:shd w:val="clear" w:color="auto" w:fill="auto"/>
                  <w:vAlign w:val="center"/>
                </w:tcPr>
                <w:p w14:paraId="66E12109" w14:textId="77777777" w:rsidR="00FC14FC" w:rsidRDefault="00FC14FC" w:rsidP="00D11B9D">
                  <w:pPr>
                    <w:pStyle w:val="TableBodyText"/>
                  </w:pPr>
                </w:p>
              </w:tc>
              <w:tc>
                <w:tcPr>
                  <w:tcW w:w="1926" w:type="pct"/>
                  <w:shd w:val="clear" w:color="auto" w:fill="auto"/>
                </w:tcPr>
                <w:p w14:paraId="65BD4A42" w14:textId="77777777" w:rsidR="00FC14FC" w:rsidRDefault="00FC14FC" w:rsidP="00D11B9D">
                  <w:pPr>
                    <w:pStyle w:val="TableBodyText"/>
                  </w:pPr>
                  <w:r>
                    <w:t>Performance above both benchmarks</w:t>
                  </w:r>
                </w:p>
              </w:tc>
            </w:tr>
            <w:tr w:rsidR="00FC14FC" w14:paraId="5F04AD4A" w14:textId="77777777" w:rsidTr="00D11B9D">
              <w:tc>
                <w:tcPr>
                  <w:tcW w:w="625" w:type="pct"/>
                  <w:vMerge/>
                  <w:shd w:val="clear" w:color="auto" w:fill="auto"/>
                </w:tcPr>
                <w:p w14:paraId="2AC65AB4" w14:textId="77777777" w:rsidR="00FC14FC" w:rsidRDefault="00FC14FC" w:rsidP="00D11B9D">
                  <w:pPr>
                    <w:pStyle w:val="TableBodyText"/>
                  </w:pPr>
                </w:p>
              </w:tc>
              <w:tc>
                <w:tcPr>
                  <w:tcW w:w="788" w:type="pct"/>
                  <w:shd w:val="clear" w:color="auto" w:fill="auto"/>
                </w:tcPr>
                <w:p w14:paraId="169262EA" w14:textId="77777777" w:rsidR="00FC14FC" w:rsidRDefault="00FC14FC" w:rsidP="00D11B9D">
                  <w:pPr>
                    <w:pStyle w:val="TableBodyText"/>
                    <w:jc w:val="left"/>
                  </w:pPr>
                  <w:r>
                    <w:t>Retail</w:t>
                  </w:r>
                </w:p>
              </w:tc>
              <w:tc>
                <w:tcPr>
                  <w:tcW w:w="665" w:type="pct"/>
                  <w:shd w:val="clear" w:color="auto" w:fill="auto"/>
                </w:tcPr>
                <w:p w14:paraId="08E97557" w14:textId="77777777" w:rsidR="00FC14FC" w:rsidRDefault="00FC14FC" w:rsidP="00D11B9D">
                  <w:pPr>
                    <w:pStyle w:val="TableBodyText"/>
                  </w:pPr>
                  <w:r>
                    <w:t>6.52</w:t>
                  </w:r>
                </w:p>
              </w:tc>
              <w:tc>
                <w:tcPr>
                  <w:tcW w:w="498" w:type="pct"/>
                  <w:vMerge/>
                  <w:shd w:val="clear" w:color="auto" w:fill="auto"/>
                  <w:vAlign w:val="center"/>
                </w:tcPr>
                <w:p w14:paraId="7F474545" w14:textId="77777777" w:rsidR="00FC14FC" w:rsidRDefault="00FC14FC" w:rsidP="00D11B9D">
                  <w:pPr>
                    <w:pStyle w:val="TableBodyText"/>
                  </w:pPr>
                </w:p>
              </w:tc>
              <w:tc>
                <w:tcPr>
                  <w:tcW w:w="498" w:type="pct"/>
                  <w:vMerge/>
                  <w:shd w:val="clear" w:color="auto" w:fill="auto"/>
                  <w:vAlign w:val="center"/>
                </w:tcPr>
                <w:p w14:paraId="6C3970E2" w14:textId="77777777" w:rsidR="00FC14FC" w:rsidRDefault="00FC14FC" w:rsidP="00D11B9D">
                  <w:pPr>
                    <w:pStyle w:val="TableBodyText"/>
                  </w:pPr>
                </w:p>
              </w:tc>
              <w:tc>
                <w:tcPr>
                  <w:tcW w:w="1926" w:type="pct"/>
                  <w:shd w:val="clear" w:color="auto" w:fill="auto"/>
                </w:tcPr>
                <w:p w14:paraId="72AC8203" w14:textId="77777777" w:rsidR="00FC14FC" w:rsidRDefault="00FC14FC" w:rsidP="00D11B9D">
                  <w:pPr>
                    <w:pStyle w:val="TableBodyText"/>
                  </w:pPr>
                  <w:r>
                    <w:t>Performance above BP1, but not BP2</w:t>
                  </w:r>
                </w:p>
              </w:tc>
            </w:tr>
            <w:tr w:rsidR="00FC14FC" w14:paraId="3A642995" w14:textId="77777777" w:rsidTr="00D11B9D">
              <w:tc>
                <w:tcPr>
                  <w:tcW w:w="625" w:type="pct"/>
                  <w:vMerge w:val="restart"/>
                  <w:shd w:val="clear" w:color="auto" w:fill="F2F2F2" w:themeFill="background1" w:themeFillShade="F2"/>
                </w:tcPr>
                <w:p w14:paraId="5178E7FE" w14:textId="77777777" w:rsidR="00FC14FC" w:rsidRDefault="00FC14FC" w:rsidP="00D11B9D">
                  <w:pPr>
                    <w:pStyle w:val="TableBodyText"/>
                    <w:jc w:val="left"/>
                  </w:pPr>
                  <w:r>
                    <w:t>5% tax</w:t>
                  </w:r>
                </w:p>
              </w:tc>
              <w:tc>
                <w:tcPr>
                  <w:tcW w:w="788" w:type="pct"/>
                  <w:shd w:val="clear" w:color="auto" w:fill="F2F2F2" w:themeFill="background1" w:themeFillShade="F2"/>
                </w:tcPr>
                <w:p w14:paraId="2668DBA2" w14:textId="77777777" w:rsidR="00FC14FC" w:rsidRDefault="00FC14FC" w:rsidP="00D11B9D">
                  <w:pPr>
                    <w:pStyle w:val="TableBodyText"/>
                    <w:jc w:val="left"/>
                  </w:pPr>
                  <w:r>
                    <w:t>Corporate</w:t>
                  </w:r>
                </w:p>
              </w:tc>
              <w:tc>
                <w:tcPr>
                  <w:tcW w:w="665" w:type="pct"/>
                  <w:shd w:val="clear" w:color="auto" w:fill="F2F2F2" w:themeFill="background1" w:themeFillShade="F2"/>
                </w:tcPr>
                <w:p w14:paraId="1FBE9FF5" w14:textId="77777777" w:rsidR="00FC14FC" w:rsidRDefault="00FC14FC" w:rsidP="00D11B9D">
                  <w:pPr>
                    <w:pStyle w:val="TableBodyText"/>
                  </w:pPr>
                  <w:r>
                    <w:t>6.09</w:t>
                  </w:r>
                </w:p>
              </w:tc>
              <w:tc>
                <w:tcPr>
                  <w:tcW w:w="498" w:type="pct"/>
                  <w:vMerge w:val="restart"/>
                  <w:shd w:val="clear" w:color="auto" w:fill="F2F2F2" w:themeFill="background1" w:themeFillShade="F2"/>
                  <w:vAlign w:val="center"/>
                </w:tcPr>
                <w:p w14:paraId="6F0B4621" w14:textId="77777777" w:rsidR="00FC14FC" w:rsidRDefault="00FC14FC" w:rsidP="00D11B9D">
                  <w:pPr>
                    <w:pStyle w:val="TableBodyText"/>
                  </w:pPr>
                  <w:r>
                    <w:t>5.60</w:t>
                  </w:r>
                </w:p>
              </w:tc>
              <w:tc>
                <w:tcPr>
                  <w:tcW w:w="498" w:type="pct"/>
                  <w:vMerge w:val="restart"/>
                  <w:shd w:val="clear" w:color="auto" w:fill="F2F2F2" w:themeFill="background1" w:themeFillShade="F2"/>
                  <w:vAlign w:val="center"/>
                </w:tcPr>
                <w:p w14:paraId="1E8E4ECF" w14:textId="77777777" w:rsidR="00FC14FC" w:rsidRDefault="00FC14FC" w:rsidP="00D11B9D">
                  <w:pPr>
                    <w:pStyle w:val="TableBodyText"/>
                  </w:pPr>
                  <w:r>
                    <w:t>6.13</w:t>
                  </w:r>
                </w:p>
              </w:tc>
              <w:tc>
                <w:tcPr>
                  <w:tcW w:w="1926" w:type="pct"/>
                  <w:shd w:val="clear" w:color="auto" w:fill="F2F2F2" w:themeFill="background1" w:themeFillShade="F2"/>
                </w:tcPr>
                <w:p w14:paraId="5472278D" w14:textId="77777777" w:rsidR="00FC14FC" w:rsidRDefault="00FC14FC" w:rsidP="00D11B9D">
                  <w:pPr>
                    <w:pStyle w:val="TableBodyText"/>
                  </w:pPr>
                  <w:r>
                    <w:t>Performance above BP1, but not BP2</w:t>
                  </w:r>
                </w:p>
              </w:tc>
            </w:tr>
            <w:tr w:rsidR="00FC14FC" w14:paraId="4853CFE3" w14:textId="77777777" w:rsidTr="00D11B9D">
              <w:tc>
                <w:tcPr>
                  <w:tcW w:w="625" w:type="pct"/>
                  <w:vMerge/>
                  <w:shd w:val="clear" w:color="auto" w:fill="F2F2F2" w:themeFill="background1" w:themeFillShade="F2"/>
                </w:tcPr>
                <w:p w14:paraId="2F9C1F68" w14:textId="77777777" w:rsidR="00FC14FC" w:rsidRDefault="00FC14FC" w:rsidP="00D11B9D">
                  <w:pPr>
                    <w:pStyle w:val="TableBodyText"/>
                  </w:pPr>
                </w:p>
              </w:tc>
              <w:tc>
                <w:tcPr>
                  <w:tcW w:w="788" w:type="pct"/>
                  <w:shd w:val="clear" w:color="auto" w:fill="F2F2F2" w:themeFill="background1" w:themeFillShade="F2"/>
                </w:tcPr>
                <w:p w14:paraId="136DB04D" w14:textId="77777777" w:rsidR="00FC14FC" w:rsidRDefault="00FC14FC" w:rsidP="00D11B9D">
                  <w:pPr>
                    <w:pStyle w:val="TableBodyText"/>
                    <w:jc w:val="left"/>
                  </w:pPr>
                  <w:r>
                    <w:t>Industry</w:t>
                  </w:r>
                </w:p>
              </w:tc>
              <w:tc>
                <w:tcPr>
                  <w:tcW w:w="665" w:type="pct"/>
                  <w:shd w:val="clear" w:color="auto" w:fill="F2F2F2" w:themeFill="background1" w:themeFillShade="F2"/>
                </w:tcPr>
                <w:p w14:paraId="72113371" w14:textId="77777777" w:rsidR="00FC14FC" w:rsidRDefault="00FC14FC" w:rsidP="00D11B9D">
                  <w:pPr>
                    <w:pStyle w:val="TableBodyText"/>
                  </w:pPr>
                  <w:r>
                    <w:t>7.88</w:t>
                  </w:r>
                </w:p>
              </w:tc>
              <w:tc>
                <w:tcPr>
                  <w:tcW w:w="498" w:type="pct"/>
                  <w:vMerge/>
                  <w:shd w:val="clear" w:color="auto" w:fill="F2F2F2" w:themeFill="background1" w:themeFillShade="F2"/>
                </w:tcPr>
                <w:p w14:paraId="18EF5C1B" w14:textId="77777777" w:rsidR="00FC14FC" w:rsidRDefault="00FC14FC" w:rsidP="00D11B9D">
                  <w:pPr>
                    <w:pStyle w:val="TableBodyText"/>
                  </w:pPr>
                </w:p>
              </w:tc>
              <w:tc>
                <w:tcPr>
                  <w:tcW w:w="498" w:type="pct"/>
                  <w:vMerge/>
                  <w:shd w:val="clear" w:color="auto" w:fill="F2F2F2" w:themeFill="background1" w:themeFillShade="F2"/>
                </w:tcPr>
                <w:p w14:paraId="31AD3A92" w14:textId="77777777" w:rsidR="00FC14FC" w:rsidRDefault="00FC14FC" w:rsidP="00D11B9D">
                  <w:pPr>
                    <w:pStyle w:val="TableBodyText"/>
                  </w:pPr>
                </w:p>
              </w:tc>
              <w:tc>
                <w:tcPr>
                  <w:tcW w:w="1926" w:type="pct"/>
                  <w:shd w:val="clear" w:color="auto" w:fill="F2F2F2" w:themeFill="background1" w:themeFillShade="F2"/>
                </w:tcPr>
                <w:p w14:paraId="5DACC6CF" w14:textId="77777777" w:rsidR="00FC14FC" w:rsidRDefault="00FC14FC" w:rsidP="00D11B9D">
                  <w:pPr>
                    <w:pStyle w:val="TableBodyText"/>
                  </w:pPr>
                  <w:r>
                    <w:t>Performance above both benchmarks</w:t>
                  </w:r>
                </w:p>
              </w:tc>
            </w:tr>
            <w:tr w:rsidR="00FC14FC" w14:paraId="6869C04D" w14:textId="77777777" w:rsidTr="00D11B9D">
              <w:tc>
                <w:tcPr>
                  <w:tcW w:w="625" w:type="pct"/>
                  <w:vMerge/>
                  <w:shd w:val="clear" w:color="auto" w:fill="F2F2F2" w:themeFill="background1" w:themeFillShade="F2"/>
                </w:tcPr>
                <w:p w14:paraId="525B0564" w14:textId="77777777" w:rsidR="00FC14FC" w:rsidRDefault="00FC14FC" w:rsidP="00D11B9D">
                  <w:pPr>
                    <w:pStyle w:val="TableBodyText"/>
                  </w:pPr>
                </w:p>
              </w:tc>
              <w:tc>
                <w:tcPr>
                  <w:tcW w:w="788" w:type="pct"/>
                  <w:shd w:val="clear" w:color="auto" w:fill="F2F2F2" w:themeFill="background1" w:themeFillShade="F2"/>
                </w:tcPr>
                <w:p w14:paraId="08EAA393" w14:textId="77777777" w:rsidR="00FC14FC" w:rsidRDefault="00FC14FC" w:rsidP="00D11B9D">
                  <w:pPr>
                    <w:pStyle w:val="TableBodyText"/>
                    <w:jc w:val="left"/>
                  </w:pPr>
                  <w:r>
                    <w:t>Public sector</w:t>
                  </w:r>
                </w:p>
              </w:tc>
              <w:tc>
                <w:tcPr>
                  <w:tcW w:w="665" w:type="pct"/>
                  <w:shd w:val="clear" w:color="auto" w:fill="F2F2F2" w:themeFill="background1" w:themeFillShade="F2"/>
                </w:tcPr>
                <w:p w14:paraId="2C91F481" w14:textId="77777777" w:rsidR="00FC14FC" w:rsidRDefault="00FC14FC" w:rsidP="00D11B9D">
                  <w:pPr>
                    <w:pStyle w:val="TableBodyText"/>
                  </w:pPr>
                  <w:r>
                    <w:t>6.81</w:t>
                  </w:r>
                </w:p>
              </w:tc>
              <w:tc>
                <w:tcPr>
                  <w:tcW w:w="498" w:type="pct"/>
                  <w:vMerge/>
                  <w:shd w:val="clear" w:color="auto" w:fill="F2F2F2" w:themeFill="background1" w:themeFillShade="F2"/>
                </w:tcPr>
                <w:p w14:paraId="765DB1E1" w14:textId="77777777" w:rsidR="00FC14FC" w:rsidRDefault="00FC14FC" w:rsidP="00D11B9D">
                  <w:pPr>
                    <w:pStyle w:val="TableBodyText"/>
                  </w:pPr>
                </w:p>
              </w:tc>
              <w:tc>
                <w:tcPr>
                  <w:tcW w:w="498" w:type="pct"/>
                  <w:vMerge/>
                  <w:shd w:val="clear" w:color="auto" w:fill="F2F2F2" w:themeFill="background1" w:themeFillShade="F2"/>
                </w:tcPr>
                <w:p w14:paraId="037E0DB6" w14:textId="77777777" w:rsidR="00FC14FC" w:rsidRDefault="00FC14FC" w:rsidP="00D11B9D">
                  <w:pPr>
                    <w:pStyle w:val="TableBodyText"/>
                  </w:pPr>
                </w:p>
              </w:tc>
              <w:tc>
                <w:tcPr>
                  <w:tcW w:w="1926" w:type="pct"/>
                  <w:shd w:val="clear" w:color="auto" w:fill="F2F2F2" w:themeFill="background1" w:themeFillShade="F2"/>
                </w:tcPr>
                <w:p w14:paraId="15E0B418" w14:textId="77777777" w:rsidR="00FC14FC" w:rsidRDefault="00FC14FC" w:rsidP="00D11B9D">
                  <w:pPr>
                    <w:pStyle w:val="TableBodyText"/>
                  </w:pPr>
                  <w:r>
                    <w:t>Performance above both benchmarks</w:t>
                  </w:r>
                </w:p>
              </w:tc>
            </w:tr>
            <w:tr w:rsidR="00FC14FC" w14:paraId="2D2549FA" w14:textId="77777777" w:rsidTr="00D11B9D">
              <w:tc>
                <w:tcPr>
                  <w:tcW w:w="625" w:type="pct"/>
                  <w:vMerge/>
                  <w:tcBorders>
                    <w:bottom w:val="single" w:sz="6" w:space="0" w:color="BFBFBF"/>
                  </w:tcBorders>
                  <w:shd w:val="clear" w:color="auto" w:fill="F2F2F2" w:themeFill="background1" w:themeFillShade="F2"/>
                </w:tcPr>
                <w:p w14:paraId="3C034408" w14:textId="77777777" w:rsidR="00FC14FC" w:rsidRDefault="00FC14FC" w:rsidP="00D11B9D">
                  <w:pPr>
                    <w:pStyle w:val="TableBodyText"/>
                  </w:pPr>
                </w:p>
              </w:tc>
              <w:tc>
                <w:tcPr>
                  <w:tcW w:w="788" w:type="pct"/>
                  <w:tcBorders>
                    <w:bottom w:val="single" w:sz="6" w:space="0" w:color="BFBFBF"/>
                  </w:tcBorders>
                  <w:shd w:val="clear" w:color="auto" w:fill="F2F2F2" w:themeFill="background1" w:themeFillShade="F2"/>
                </w:tcPr>
                <w:p w14:paraId="6455BC9F" w14:textId="77777777" w:rsidR="00FC14FC" w:rsidRDefault="00FC14FC" w:rsidP="00D11B9D">
                  <w:pPr>
                    <w:pStyle w:val="TableBodyText"/>
                    <w:jc w:val="left"/>
                  </w:pPr>
                  <w:r>
                    <w:t>Retail</w:t>
                  </w:r>
                </w:p>
              </w:tc>
              <w:tc>
                <w:tcPr>
                  <w:tcW w:w="665" w:type="pct"/>
                  <w:tcBorders>
                    <w:bottom w:val="single" w:sz="6" w:space="0" w:color="BFBFBF"/>
                  </w:tcBorders>
                  <w:shd w:val="clear" w:color="auto" w:fill="F2F2F2" w:themeFill="background1" w:themeFillShade="F2"/>
                </w:tcPr>
                <w:p w14:paraId="4832182C" w14:textId="77777777" w:rsidR="00FC14FC" w:rsidRDefault="00FC14FC" w:rsidP="00D11B9D">
                  <w:pPr>
                    <w:pStyle w:val="TableBodyText"/>
                  </w:pPr>
                  <w:r>
                    <w:t>6.52</w:t>
                  </w:r>
                </w:p>
              </w:tc>
              <w:tc>
                <w:tcPr>
                  <w:tcW w:w="498" w:type="pct"/>
                  <w:vMerge/>
                  <w:tcBorders>
                    <w:bottom w:val="single" w:sz="6" w:space="0" w:color="BFBFBF"/>
                  </w:tcBorders>
                  <w:shd w:val="clear" w:color="auto" w:fill="F2F2F2" w:themeFill="background1" w:themeFillShade="F2"/>
                </w:tcPr>
                <w:p w14:paraId="44D625DA" w14:textId="77777777" w:rsidR="00FC14FC" w:rsidRDefault="00FC14FC" w:rsidP="00D11B9D">
                  <w:pPr>
                    <w:pStyle w:val="TableBodyText"/>
                  </w:pPr>
                </w:p>
              </w:tc>
              <w:tc>
                <w:tcPr>
                  <w:tcW w:w="498" w:type="pct"/>
                  <w:vMerge/>
                  <w:tcBorders>
                    <w:bottom w:val="single" w:sz="6" w:space="0" w:color="BFBFBF"/>
                  </w:tcBorders>
                  <w:shd w:val="clear" w:color="auto" w:fill="F2F2F2" w:themeFill="background1" w:themeFillShade="F2"/>
                </w:tcPr>
                <w:p w14:paraId="6676FC2D" w14:textId="77777777" w:rsidR="00FC14FC" w:rsidRDefault="00FC14FC" w:rsidP="00D11B9D">
                  <w:pPr>
                    <w:pStyle w:val="TableBodyText"/>
                  </w:pPr>
                </w:p>
              </w:tc>
              <w:tc>
                <w:tcPr>
                  <w:tcW w:w="1926" w:type="pct"/>
                  <w:tcBorders>
                    <w:bottom w:val="single" w:sz="6" w:space="0" w:color="BFBFBF"/>
                  </w:tcBorders>
                  <w:shd w:val="clear" w:color="auto" w:fill="F2F2F2" w:themeFill="background1" w:themeFillShade="F2"/>
                </w:tcPr>
                <w:p w14:paraId="7DB53E55" w14:textId="77777777" w:rsidR="00FC14FC" w:rsidRDefault="00FC14FC" w:rsidP="00D11B9D">
                  <w:pPr>
                    <w:pStyle w:val="TableBodyText"/>
                  </w:pPr>
                  <w:r>
                    <w:t>Performance above both benchmarks</w:t>
                  </w:r>
                </w:p>
              </w:tc>
            </w:tr>
          </w:tbl>
          <w:p w14:paraId="0A93C27B" w14:textId="77777777" w:rsidR="00FC14FC" w:rsidRDefault="00FC14FC" w:rsidP="00D11B9D">
            <w:pPr>
              <w:pStyle w:val="Box"/>
            </w:pPr>
          </w:p>
        </w:tc>
      </w:tr>
      <w:tr w:rsidR="00FC14FC" w14:paraId="43F73BFE" w14:textId="77777777" w:rsidTr="00D11B9D">
        <w:tc>
          <w:tcPr>
            <w:tcW w:w="5000" w:type="pct"/>
            <w:tcBorders>
              <w:top w:val="nil"/>
              <w:left w:val="nil"/>
              <w:bottom w:val="nil"/>
              <w:right w:val="nil"/>
            </w:tcBorders>
            <w:shd w:val="clear" w:color="auto" w:fill="auto"/>
          </w:tcPr>
          <w:p w14:paraId="38522F8E" w14:textId="77777777" w:rsidR="00FC14FC" w:rsidRDefault="00FC14FC" w:rsidP="00D11B9D">
            <w:pPr>
              <w:pStyle w:val="Note"/>
              <w:rPr>
                <w:i/>
              </w:rPr>
            </w:pPr>
            <w:r w:rsidRPr="008E77FE">
              <w:rPr>
                <w:rStyle w:val="NoteLabel"/>
              </w:rPr>
              <w:t>a</w:t>
            </w:r>
            <w:r>
              <w:t xml:space="preserve"> Benchmarks are option</w:t>
            </w:r>
            <w:r>
              <w:noBreakHyphen/>
              <w:t>type level, not option</w:t>
            </w:r>
            <w:r>
              <w:noBreakHyphen/>
              <w:t xml:space="preserve">type </w:t>
            </w:r>
            <w:r>
              <w:rPr>
                <w:i/>
              </w:rPr>
              <w:t xml:space="preserve">and </w:t>
            </w:r>
            <w:r>
              <w:t>fund</w:t>
            </w:r>
            <w:r>
              <w:noBreakHyphen/>
              <w:t>type level.</w:t>
            </w:r>
            <w:r w:rsidRPr="008E77FE">
              <w:rPr>
                <w:rStyle w:val="NoteLabel"/>
              </w:rPr>
              <w:t xml:space="preserve"> </w:t>
            </w:r>
            <w:r>
              <w:rPr>
                <w:rStyle w:val="NoteLabel"/>
              </w:rPr>
              <w:t>b</w:t>
            </w:r>
            <w:r>
              <w:t xml:space="preserve"> Figures in parentheses refer to the share of growth assets. </w:t>
            </w:r>
            <w:r>
              <w:rPr>
                <w:rStyle w:val="NoteLabel"/>
              </w:rPr>
              <w:t>c</w:t>
            </w:r>
            <w:r>
              <w:t xml:space="preserve"> </w:t>
            </w:r>
            <w:r w:rsidRPr="00247263">
              <w:t>Net returns are estimated less investment fees, taxes and implicit asset</w:t>
            </w:r>
            <w:r>
              <w:noBreakHyphen/>
            </w:r>
            <w:r w:rsidRPr="00247263">
              <w:t>based administration fees. This means that some options may be reported gross of</w:t>
            </w:r>
            <w:r>
              <w:t xml:space="preserve"> </w:t>
            </w:r>
            <w:r w:rsidRPr="00247263">
              <w:t>asset</w:t>
            </w:r>
            <w:r>
              <w:t>-</w:t>
            </w:r>
            <w:r w:rsidRPr="00247263">
              <w:t>based administration fees.</w:t>
            </w:r>
            <w:r>
              <w:rPr>
                <w:b/>
                <w:bCs/>
              </w:rPr>
              <w:t xml:space="preserve"> </w:t>
            </w:r>
            <w:r>
              <w:rPr>
                <w:rStyle w:val="NoteLabel"/>
              </w:rPr>
              <w:t>d</w:t>
            </w:r>
            <w:r>
              <w:rPr>
                <w:b/>
                <w:bCs/>
              </w:rPr>
              <w:t xml:space="preserve"> </w:t>
            </w:r>
            <w:r>
              <w:t xml:space="preserve">The option type categories have been taken as given from SuperRatings data. </w:t>
            </w:r>
            <w:r>
              <w:rPr>
                <w:rStyle w:val="NoteLabel"/>
              </w:rPr>
              <w:t>e</w:t>
            </w:r>
            <w:r>
              <w:t xml:space="preserve"> </w:t>
            </w:r>
            <w:r w:rsidRPr="002D557A">
              <w:t>Th</w:t>
            </w:r>
            <w:r>
              <w:t>e</w:t>
            </w:r>
            <w:r w:rsidRPr="002D557A">
              <w:t xml:space="preserve"> analysis excludes legacy products.</w:t>
            </w:r>
            <w:r w:rsidRPr="00057D85">
              <w:rPr>
                <w:b/>
              </w:rPr>
              <w:t xml:space="preserve"> </w:t>
            </w:r>
            <w:r w:rsidRPr="003C7906">
              <w:t>na</w:t>
            </w:r>
            <w:r>
              <w:rPr>
                <w:b/>
              </w:rPr>
              <w:t xml:space="preserve"> </w:t>
            </w:r>
            <w:r>
              <w:t>Not available.</w:t>
            </w:r>
          </w:p>
        </w:tc>
      </w:tr>
      <w:tr w:rsidR="00FC14FC" w14:paraId="74BBF669" w14:textId="77777777" w:rsidTr="00D11B9D">
        <w:tc>
          <w:tcPr>
            <w:tcW w:w="5000" w:type="pct"/>
            <w:tcBorders>
              <w:top w:val="nil"/>
              <w:left w:val="nil"/>
              <w:bottom w:val="nil"/>
              <w:right w:val="nil"/>
            </w:tcBorders>
            <w:shd w:val="clear" w:color="auto" w:fill="auto"/>
          </w:tcPr>
          <w:p w14:paraId="7EC55E34" w14:textId="77777777" w:rsidR="00FC14FC" w:rsidRDefault="00FC14FC" w:rsidP="00D11B9D">
            <w:pPr>
              <w:pStyle w:val="Source"/>
            </w:pPr>
            <w:r>
              <w:rPr>
                <w:i/>
              </w:rPr>
              <w:t>Sources</w:t>
            </w:r>
            <w:r w:rsidRPr="00167F06">
              <w:t xml:space="preserve">: </w:t>
            </w:r>
            <w:r>
              <w:t xml:space="preserve">PC analysis of unpublished APRA data, financial market index data (various providers), Rainmaker data and SuperRatings data. </w:t>
            </w:r>
          </w:p>
        </w:tc>
      </w:tr>
      <w:tr w:rsidR="00FC14FC" w14:paraId="2CD8AEC6" w14:textId="77777777" w:rsidTr="00D11B9D">
        <w:tc>
          <w:tcPr>
            <w:tcW w:w="5000" w:type="pct"/>
            <w:tcBorders>
              <w:top w:val="nil"/>
              <w:left w:val="nil"/>
              <w:bottom w:val="single" w:sz="6" w:space="0" w:color="78A22F"/>
              <w:right w:val="nil"/>
            </w:tcBorders>
            <w:shd w:val="clear" w:color="auto" w:fill="auto"/>
          </w:tcPr>
          <w:p w14:paraId="69E90E5B" w14:textId="77777777" w:rsidR="00FC14FC" w:rsidRDefault="00FC14FC" w:rsidP="00D11B9D">
            <w:pPr>
              <w:pStyle w:val="Box"/>
              <w:spacing w:before="0" w:line="120" w:lineRule="exact"/>
            </w:pPr>
          </w:p>
        </w:tc>
      </w:tr>
      <w:tr w:rsidR="00FC14FC" w:rsidRPr="003C7906" w14:paraId="463F90C9" w14:textId="77777777" w:rsidTr="00D11B9D">
        <w:tc>
          <w:tcPr>
            <w:tcW w:w="5000" w:type="pct"/>
            <w:tcBorders>
              <w:top w:val="single" w:sz="6" w:space="0" w:color="78A22F"/>
              <w:left w:val="nil"/>
              <w:bottom w:val="nil"/>
              <w:right w:val="nil"/>
            </w:tcBorders>
          </w:tcPr>
          <w:p w14:paraId="0FB5A31F" w14:textId="77777777" w:rsidR="00FC14FC" w:rsidRPr="003C7906" w:rsidRDefault="00FC14FC" w:rsidP="00D11B9D">
            <w:pPr>
              <w:pStyle w:val="BoxSpaceBelow"/>
            </w:pPr>
          </w:p>
        </w:tc>
      </w:tr>
    </w:tbl>
    <w:p w14:paraId="0FA25586" w14:textId="77777777" w:rsidR="00FC14FC" w:rsidRPr="00387727" w:rsidRDefault="00FC14FC" w:rsidP="00FC14FC">
      <w:pPr>
        <w:pStyle w:val="Heading3"/>
        <w:spacing w:before="360"/>
      </w:pPr>
      <w:r w:rsidRPr="00387727">
        <w:t>Retirement and accumulation</w:t>
      </w:r>
    </w:p>
    <w:p w14:paraId="61B7BBBC" w14:textId="77777777" w:rsidR="00FC14FC" w:rsidRPr="00387727" w:rsidRDefault="00FC14FC" w:rsidP="00FC14FC">
      <w:pPr>
        <w:pStyle w:val="BodyText"/>
      </w:pPr>
      <w:r>
        <w:t>T</w:t>
      </w:r>
      <w:r w:rsidRPr="00387727">
        <w:t>he accumulation segment beat</w:t>
      </w:r>
      <w:r>
        <w:t xml:space="preserve"> both benchmarks, </w:t>
      </w:r>
      <w:r w:rsidRPr="00387727">
        <w:t>while the retirement segment fell below both</w:t>
      </w:r>
      <w:r>
        <w:t xml:space="preserve"> (chapter 2)</w:t>
      </w:r>
      <w:r w:rsidRPr="00387727">
        <w:t xml:space="preserve">. A </w:t>
      </w:r>
      <w:r>
        <w:t>five</w:t>
      </w:r>
      <w:r w:rsidRPr="00387727">
        <w:t xml:space="preserve"> per cent tax rate (only applicable to the accumulation stage) results in the accumulation stage beat</w:t>
      </w:r>
      <w:r>
        <w:t>ing</w:t>
      </w:r>
      <w:r w:rsidRPr="00387727">
        <w:t xml:space="preserve"> both BPs</w:t>
      </w:r>
      <w:r>
        <w:t xml:space="preserve"> (alternative tax rates were not applied to the retirement stage analysis)</w:t>
      </w:r>
      <w:r w:rsidRPr="00387727">
        <w:t>. The results are also sensitive to the time period used (table 4.</w:t>
      </w:r>
      <w:r>
        <w:t>34</w:t>
      </w:r>
      <w:r w:rsidRPr="00387727">
        <w:t>).</w:t>
      </w:r>
      <w:r>
        <w:t xml:space="preserve"> </w:t>
      </w:r>
      <w:r w:rsidRPr="00387727">
        <w:lastRenderedPageBreak/>
        <w:t>Both the retirement and accumulation segments handled volatility better than their BPs (figure 4.1</w:t>
      </w:r>
      <w:r>
        <w:t>6</w:t>
      </w:r>
      <w:r w:rsidRPr="00387727">
        <w:t>). The results are different when analysing Rainmaker data (figure 4.1</w:t>
      </w:r>
      <w:r>
        <w:t>7</w:t>
      </w:r>
      <w:r w:rsidRPr="00387727">
        <w:t xml:space="preserve">). </w:t>
      </w:r>
    </w:p>
    <w:p w14:paraId="60AA1521"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312523DE" w14:textId="77777777" w:rsidTr="00D11B9D">
        <w:trPr>
          <w:tblHeader/>
        </w:trPr>
        <w:tc>
          <w:tcPr>
            <w:tcW w:w="5000" w:type="pct"/>
            <w:tcBorders>
              <w:top w:val="single" w:sz="6" w:space="0" w:color="78A22F"/>
              <w:left w:val="nil"/>
              <w:bottom w:val="nil"/>
              <w:right w:val="nil"/>
            </w:tcBorders>
            <w:shd w:val="clear" w:color="auto" w:fill="auto"/>
          </w:tcPr>
          <w:p w14:paraId="77F97A29" w14:textId="77777777" w:rsidR="00FC14FC" w:rsidRDefault="00FC14FC" w:rsidP="00D11B9D">
            <w:pPr>
              <w:pStyle w:val="TableTitle"/>
            </w:pPr>
            <w:r>
              <w:rPr>
                <w:b w:val="0"/>
              </w:rPr>
              <w:t>Table 4.34</w:t>
            </w:r>
            <w:r>
              <w:tab/>
              <w:t>Retirement and accumulation segment</w:t>
            </w:r>
            <w:r w:rsidRPr="002F1DA8">
              <w:rPr>
                <w:rStyle w:val="NoteLabel"/>
              </w:rPr>
              <w:t>a</w:t>
            </w:r>
            <w:r>
              <w:rPr>
                <w:rStyle w:val="NoteLabel"/>
              </w:rPr>
              <w:t>,b,c</w:t>
            </w:r>
          </w:p>
          <w:p w14:paraId="38D07BAB" w14:textId="77777777" w:rsidR="00FC14FC" w:rsidRPr="00784A05" w:rsidRDefault="00FC14FC" w:rsidP="00D11B9D">
            <w:pPr>
              <w:pStyle w:val="Subtitle"/>
            </w:pPr>
            <w:r>
              <w:t>Alternative approaches</w:t>
            </w:r>
          </w:p>
        </w:tc>
      </w:tr>
      <w:tr w:rsidR="00FC14FC" w14:paraId="31943FF2"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51"/>
              <w:gridCol w:w="851"/>
              <w:gridCol w:w="874"/>
              <w:gridCol w:w="1560"/>
              <w:gridCol w:w="2669"/>
            </w:tblGrid>
            <w:tr w:rsidR="00FC14FC" w14:paraId="399997DC" w14:textId="77777777" w:rsidTr="00D11B9D">
              <w:trPr>
                <w:tblHeader/>
              </w:trPr>
              <w:tc>
                <w:tcPr>
                  <w:tcW w:w="1500" w:type="pct"/>
                  <w:tcBorders>
                    <w:top w:val="single" w:sz="6" w:space="0" w:color="BFBFBF"/>
                    <w:bottom w:val="single" w:sz="6" w:space="0" w:color="BFBFBF"/>
                  </w:tcBorders>
                  <w:shd w:val="clear" w:color="auto" w:fill="auto"/>
                  <w:tcMar>
                    <w:top w:w="28" w:type="dxa"/>
                  </w:tcMar>
                </w:tcPr>
                <w:p w14:paraId="78DDBFD4" w14:textId="77777777" w:rsidR="00FC14FC" w:rsidRDefault="00FC14FC" w:rsidP="00D11B9D">
                  <w:pPr>
                    <w:pStyle w:val="TableColumnHeading"/>
                    <w:jc w:val="left"/>
                  </w:pPr>
                  <w:r>
                    <w:t>Benchmark type</w:t>
                  </w:r>
                </w:p>
              </w:tc>
              <w:tc>
                <w:tcPr>
                  <w:tcW w:w="500" w:type="pct"/>
                  <w:tcBorders>
                    <w:top w:val="single" w:sz="6" w:space="0" w:color="BFBFBF"/>
                    <w:bottom w:val="single" w:sz="6" w:space="0" w:color="BFBFBF"/>
                  </w:tcBorders>
                  <w:shd w:val="clear" w:color="auto" w:fill="auto"/>
                </w:tcPr>
                <w:p w14:paraId="6E153374" w14:textId="77777777" w:rsidR="00FC14FC" w:rsidRDefault="00FC14FC" w:rsidP="00D11B9D">
                  <w:pPr>
                    <w:pStyle w:val="TableColumnHeading"/>
                  </w:pPr>
                  <w:r>
                    <w:t>BP1 (%)</w:t>
                  </w:r>
                </w:p>
              </w:tc>
              <w:tc>
                <w:tcPr>
                  <w:tcW w:w="514" w:type="pct"/>
                  <w:tcBorders>
                    <w:top w:val="single" w:sz="6" w:space="0" w:color="BFBFBF"/>
                    <w:bottom w:val="single" w:sz="6" w:space="0" w:color="BFBFBF"/>
                  </w:tcBorders>
                  <w:shd w:val="clear" w:color="auto" w:fill="auto"/>
                </w:tcPr>
                <w:p w14:paraId="3E63EAB1" w14:textId="77777777" w:rsidR="00FC14FC" w:rsidRDefault="00FC14FC" w:rsidP="00D11B9D">
                  <w:pPr>
                    <w:pStyle w:val="TableColumnHeading"/>
                  </w:pPr>
                  <w:r>
                    <w:t>BP2 (%)</w:t>
                  </w:r>
                </w:p>
              </w:tc>
              <w:tc>
                <w:tcPr>
                  <w:tcW w:w="917" w:type="pct"/>
                  <w:tcBorders>
                    <w:top w:val="single" w:sz="6" w:space="0" w:color="BFBFBF"/>
                    <w:bottom w:val="single" w:sz="6" w:space="0" w:color="BFBFBF"/>
                  </w:tcBorders>
                  <w:shd w:val="clear" w:color="auto" w:fill="auto"/>
                  <w:tcMar>
                    <w:top w:w="28" w:type="dxa"/>
                  </w:tcMar>
                </w:tcPr>
                <w:p w14:paraId="1A2F6464" w14:textId="77777777" w:rsidR="00FC14FC" w:rsidRDefault="00FC14FC" w:rsidP="00D11B9D">
                  <w:pPr>
                    <w:pStyle w:val="TableColumnHeading"/>
                  </w:pPr>
                  <w:r>
                    <w:t>Actual return (%)</w:t>
                  </w:r>
                </w:p>
              </w:tc>
              <w:tc>
                <w:tcPr>
                  <w:tcW w:w="1569" w:type="pct"/>
                  <w:tcBorders>
                    <w:top w:val="single" w:sz="6" w:space="0" w:color="BFBFBF"/>
                    <w:bottom w:val="single" w:sz="6" w:space="0" w:color="BFBFBF"/>
                  </w:tcBorders>
                  <w:shd w:val="clear" w:color="auto" w:fill="auto"/>
                  <w:tcMar>
                    <w:top w:w="28" w:type="dxa"/>
                  </w:tcMar>
                </w:tcPr>
                <w:p w14:paraId="272B0CDF" w14:textId="77777777" w:rsidR="00FC14FC" w:rsidRDefault="00FC14FC" w:rsidP="00D11B9D">
                  <w:pPr>
                    <w:pStyle w:val="TableColumnHeading"/>
                    <w:ind w:right="28"/>
                    <w:jc w:val="left"/>
                  </w:pPr>
                  <w:r>
                    <w:t>Result</w:t>
                  </w:r>
                </w:p>
              </w:tc>
            </w:tr>
            <w:tr w:rsidR="00FC14FC" w14:paraId="360CCB00" w14:textId="77777777" w:rsidTr="00D11B9D">
              <w:tc>
                <w:tcPr>
                  <w:tcW w:w="1500" w:type="pct"/>
                  <w:tcBorders>
                    <w:top w:val="single" w:sz="6" w:space="0" w:color="BFBFBF"/>
                  </w:tcBorders>
                  <w:shd w:val="clear" w:color="auto" w:fill="auto"/>
                </w:tcPr>
                <w:p w14:paraId="5463AC63" w14:textId="77777777" w:rsidR="00FC14FC" w:rsidRPr="0099013B" w:rsidRDefault="00FC14FC" w:rsidP="00D11B9D">
                  <w:pPr>
                    <w:pStyle w:val="TableUnitsRow"/>
                    <w:jc w:val="left"/>
                    <w:rPr>
                      <w:b/>
                    </w:rPr>
                  </w:pPr>
                  <w:r>
                    <w:rPr>
                      <w:b/>
                    </w:rPr>
                    <w:t>Accumulation</w:t>
                  </w:r>
                </w:p>
              </w:tc>
              <w:tc>
                <w:tcPr>
                  <w:tcW w:w="500" w:type="pct"/>
                  <w:tcBorders>
                    <w:top w:val="single" w:sz="6" w:space="0" w:color="BFBFBF"/>
                  </w:tcBorders>
                  <w:shd w:val="clear" w:color="auto" w:fill="auto"/>
                </w:tcPr>
                <w:p w14:paraId="0ED92729" w14:textId="77777777" w:rsidR="00FC14FC" w:rsidRDefault="00FC14FC" w:rsidP="00D11B9D">
                  <w:pPr>
                    <w:pStyle w:val="TableUnitsRow"/>
                  </w:pPr>
                </w:p>
              </w:tc>
              <w:tc>
                <w:tcPr>
                  <w:tcW w:w="514" w:type="pct"/>
                  <w:tcBorders>
                    <w:top w:val="single" w:sz="6" w:space="0" w:color="BFBFBF"/>
                  </w:tcBorders>
                  <w:shd w:val="clear" w:color="auto" w:fill="auto"/>
                </w:tcPr>
                <w:p w14:paraId="3BC01787" w14:textId="77777777" w:rsidR="00FC14FC" w:rsidRDefault="00FC14FC" w:rsidP="00D11B9D">
                  <w:pPr>
                    <w:pStyle w:val="TableUnitsRow"/>
                  </w:pPr>
                </w:p>
              </w:tc>
              <w:tc>
                <w:tcPr>
                  <w:tcW w:w="917" w:type="pct"/>
                  <w:tcBorders>
                    <w:top w:val="single" w:sz="6" w:space="0" w:color="BFBFBF"/>
                  </w:tcBorders>
                  <w:shd w:val="clear" w:color="auto" w:fill="auto"/>
                </w:tcPr>
                <w:p w14:paraId="53536265" w14:textId="77777777" w:rsidR="00FC14FC" w:rsidRDefault="00FC14FC" w:rsidP="00D11B9D">
                  <w:pPr>
                    <w:pStyle w:val="TableUnitsRow"/>
                  </w:pPr>
                </w:p>
              </w:tc>
              <w:tc>
                <w:tcPr>
                  <w:tcW w:w="1569" w:type="pct"/>
                  <w:tcBorders>
                    <w:top w:val="single" w:sz="6" w:space="0" w:color="BFBFBF"/>
                  </w:tcBorders>
                  <w:shd w:val="clear" w:color="auto" w:fill="auto"/>
                </w:tcPr>
                <w:p w14:paraId="40F29A0D" w14:textId="77777777" w:rsidR="00FC14FC" w:rsidRDefault="00FC14FC" w:rsidP="00D11B9D">
                  <w:pPr>
                    <w:pStyle w:val="TableUnitsRow"/>
                    <w:ind w:right="28"/>
                    <w:jc w:val="left"/>
                  </w:pPr>
                </w:p>
              </w:tc>
            </w:tr>
            <w:tr w:rsidR="00FC14FC" w14:paraId="5E2B3DF2" w14:textId="77777777" w:rsidTr="00D11B9D">
              <w:tc>
                <w:tcPr>
                  <w:tcW w:w="1500" w:type="pct"/>
                  <w:shd w:val="clear" w:color="auto" w:fill="auto"/>
                </w:tcPr>
                <w:p w14:paraId="23D49685" w14:textId="77777777" w:rsidR="00FC14FC" w:rsidRDefault="00FC14FC" w:rsidP="00D11B9D">
                  <w:pPr>
                    <w:pStyle w:val="TableUnitsRow"/>
                    <w:jc w:val="left"/>
                  </w:pPr>
                  <w:r>
                    <w:t>2005–2017 (chapter 2)</w:t>
                  </w:r>
                </w:p>
              </w:tc>
              <w:tc>
                <w:tcPr>
                  <w:tcW w:w="500" w:type="pct"/>
                  <w:shd w:val="clear" w:color="auto" w:fill="auto"/>
                </w:tcPr>
                <w:p w14:paraId="2D9F25CA" w14:textId="77777777" w:rsidR="00FC14FC" w:rsidRDefault="00FC14FC" w:rsidP="00D11B9D">
                  <w:pPr>
                    <w:pStyle w:val="TableUnitsRow"/>
                  </w:pPr>
                  <w:r>
                    <w:t xml:space="preserve">5.96 </w:t>
                  </w:r>
                </w:p>
              </w:tc>
              <w:tc>
                <w:tcPr>
                  <w:tcW w:w="514" w:type="pct"/>
                  <w:shd w:val="clear" w:color="auto" w:fill="auto"/>
                </w:tcPr>
                <w:p w14:paraId="4D797612" w14:textId="77777777" w:rsidR="00FC14FC" w:rsidRDefault="00FC14FC" w:rsidP="00D11B9D">
                  <w:pPr>
                    <w:pStyle w:val="TableUnitsRow"/>
                  </w:pPr>
                  <w:r>
                    <w:t>6.37</w:t>
                  </w:r>
                </w:p>
              </w:tc>
              <w:tc>
                <w:tcPr>
                  <w:tcW w:w="917" w:type="pct"/>
                  <w:shd w:val="clear" w:color="auto" w:fill="auto"/>
                </w:tcPr>
                <w:p w14:paraId="47B37983" w14:textId="77777777" w:rsidR="00FC14FC" w:rsidRDefault="00FC14FC" w:rsidP="00D11B9D">
                  <w:pPr>
                    <w:pStyle w:val="TableUnitsRow"/>
                  </w:pPr>
                  <w:r>
                    <w:t>6.84</w:t>
                  </w:r>
                </w:p>
              </w:tc>
              <w:tc>
                <w:tcPr>
                  <w:tcW w:w="1569" w:type="pct"/>
                  <w:shd w:val="clear" w:color="auto" w:fill="auto"/>
                </w:tcPr>
                <w:p w14:paraId="4B4982C9" w14:textId="77777777" w:rsidR="00FC14FC" w:rsidRDefault="00FC14FC" w:rsidP="00D11B9D">
                  <w:pPr>
                    <w:pStyle w:val="TableUnitsRow"/>
                    <w:ind w:right="28"/>
                    <w:jc w:val="left"/>
                  </w:pPr>
                  <w:r>
                    <w:t>Beats both benchmarks</w:t>
                  </w:r>
                </w:p>
              </w:tc>
            </w:tr>
            <w:tr w:rsidR="00FC14FC" w14:paraId="5BA8D697" w14:textId="77777777" w:rsidTr="00D11B9D">
              <w:tc>
                <w:tcPr>
                  <w:tcW w:w="1500" w:type="pct"/>
                  <w:shd w:val="clear" w:color="auto" w:fill="F2F2F2" w:themeFill="background1" w:themeFillShade="F2"/>
                </w:tcPr>
                <w:p w14:paraId="3BF46074" w14:textId="77777777" w:rsidR="00FC14FC" w:rsidRDefault="00FC14FC" w:rsidP="00D11B9D">
                  <w:pPr>
                    <w:pStyle w:val="TableBodyText"/>
                    <w:jc w:val="left"/>
                  </w:pPr>
                  <w:r>
                    <w:t xml:space="preserve">2005–2017, 7.5% tax rate </w:t>
                  </w:r>
                </w:p>
              </w:tc>
              <w:tc>
                <w:tcPr>
                  <w:tcW w:w="500" w:type="pct"/>
                  <w:shd w:val="clear" w:color="auto" w:fill="F2F2F2" w:themeFill="background1" w:themeFillShade="F2"/>
                </w:tcPr>
                <w:p w14:paraId="29251F6E" w14:textId="77777777" w:rsidR="00FC14FC" w:rsidRDefault="00FC14FC" w:rsidP="00D11B9D">
                  <w:pPr>
                    <w:pStyle w:val="TableBodyText"/>
                  </w:pPr>
                  <w:r>
                    <w:t xml:space="preserve">6.14 </w:t>
                  </w:r>
                </w:p>
              </w:tc>
              <w:tc>
                <w:tcPr>
                  <w:tcW w:w="514" w:type="pct"/>
                  <w:shd w:val="clear" w:color="auto" w:fill="F2F2F2" w:themeFill="background1" w:themeFillShade="F2"/>
                </w:tcPr>
                <w:p w14:paraId="103377E9" w14:textId="77777777" w:rsidR="00FC14FC" w:rsidRDefault="00FC14FC" w:rsidP="00D11B9D">
                  <w:pPr>
                    <w:pStyle w:val="TableBodyText"/>
                  </w:pPr>
                  <w:r w:rsidDel="00DC137A">
                    <w:t>6.</w:t>
                  </w:r>
                  <w:r>
                    <w:t>52</w:t>
                  </w:r>
                </w:p>
              </w:tc>
              <w:tc>
                <w:tcPr>
                  <w:tcW w:w="917" w:type="pct"/>
                  <w:shd w:val="clear" w:color="auto" w:fill="F2F2F2" w:themeFill="background1" w:themeFillShade="F2"/>
                </w:tcPr>
                <w:p w14:paraId="218BDAEC" w14:textId="77777777" w:rsidR="00FC14FC" w:rsidRDefault="00FC14FC" w:rsidP="00D11B9D">
                  <w:pPr>
                    <w:pStyle w:val="TableBodyText"/>
                  </w:pPr>
                  <w:r>
                    <w:t>6.84</w:t>
                  </w:r>
                </w:p>
              </w:tc>
              <w:tc>
                <w:tcPr>
                  <w:tcW w:w="1569" w:type="pct"/>
                  <w:shd w:val="clear" w:color="auto" w:fill="F2F2F2" w:themeFill="background1" w:themeFillShade="F2"/>
                </w:tcPr>
                <w:p w14:paraId="0D5A48D5" w14:textId="77777777" w:rsidR="00FC14FC" w:rsidRDefault="00FC14FC" w:rsidP="00D11B9D">
                  <w:pPr>
                    <w:pStyle w:val="TableBodyText"/>
                    <w:ind w:right="28"/>
                    <w:jc w:val="left"/>
                  </w:pPr>
                  <w:r>
                    <w:t>Beats both benchmarks</w:t>
                  </w:r>
                </w:p>
              </w:tc>
            </w:tr>
            <w:tr w:rsidR="00FC14FC" w14:paraId="126BCC92" w14:textId="77777777" w:rsidTr="00D11B9D">
              <w:tc>
                <w:tcPr>
                  <w:tcW w:w="1500" w:type="pct"/>
                  <w:shd w:val="clear" w:color="auto" w:fill="auto"/>
                </w:tcPr>
                <w:p w14:paraId="773D3612" w14:textId="77777777" w:rsidR="00FC14FC" w:rsidRDefault="00FC14FC" w:rsidP="00D11B9D">
                  <w:pPr>
                    <w:pStyle w:val="TableBodyText"/>
                    <w:jc w:val="left"/>
                  </w:pPr>
                  <w:r>
                    <w:t>2008</w:t>
                  </w:r>
                  <w:r>
                    <w:noBreakHyphen/>
                    <w:t>2017</w:t>
                  </w:r>
                </w:p>
              </w:tc>
              <w:tc>
                <w:tcPr>
                  <w:tcW w:w="500" w:type="pct"/>
                  <w:shd w:val="clear" w:color="auto" w:fill="auto"/>
                </w:tcPr>
                <w:p w14:paraId="02503ADE" w14:textId="77777777" w:rsidR="00FC14FC" w:rsidRDefault="00FC14FC" w:rsidP="00D11B9D">
                  <w:pPr>
                    <w:pStyle w:val="TableBodyText"/>
                  </w:pPr>
                  <w:r>
                    <w:t xml:space="preserve">3.58 </w:t>
                  </w:r>
                </w:p>
              </w:tc>
              <w:tc>
                <w:tcPr>
                  <w:tcW w:w="514" w:type="pct"/>
                  <w:shd w:val="clear" w:color="auto" w:fill="auto"/>
                </w:tcPr>
                <w:p w14:paraId="5AEF0088" w14:textId="77777777" w:rsidR="00FC14FC" w:rsidRDefault="00FC14FC" w:rsidP="00D11B9D">
                  <w:pPr>
                    <w:pStyle w:val="TableBodyText"/>
                  </w:pPr>
                  <w:r>
                    <w:t>4.24</w:t>
                  </w:r>
                </w:p>
              </w:tc>
              <w:tc>
                <w:tcPr>
                  <w:tcW w:w="917" w:type="pct"/>
                  <w:shd w:val="clear" w:color="auto" w:fill="auto"/>
                </w:tcPr>
                <w:p w14:paraId="1DF44FDB" w14:textId="77777777" w:rsidR="00FC14FC" w:rsidRDefault="00FC14FC" w:rsidP="00D11B9D">
                  <w:pPr>
                    <w:pStyle w:val="TableBodyText"/>
                  </w:pPr>
                  <w:r>
                    <w:t>4.58</w:t>
                  </w:r>
                </w:p>
              </w:tc>
              <w:tc>
                <w:tcPr>
                  <w:tcW w:w="1569" w:type="pct"/>
                  <w:shd w:val="clear" w:color="auto" w:fill="auto"/>
                </w:tcPr>
                <w:p w14:paraId="40A844FF" w14:textId="77777777" w:rsidR="00FC14FC" w:rsidRDefault="00FC14FC" w:rsidP="00D11B9D">
                  <w:pPr>
                    <w:pStyle w:val="TableBodyText"/>
                    <w:ind w:right="28"/>
                    <w:jc w:val="left"/>
                  </w:pPr>
                  <w:r>
                    <w:t xml:space="preserve">Beats both </w:t>
                  </w:r>
                  <w:r w:rsidDel="00EE6CA5">
                    <w:t>benchmarks</w:t>
                  </w:r>
                </w:p>
              </w:tc>
            </w:tr>
            <w:tr w:rsidR="00FC14FC" w14:paraId="402248B6" w14:textId="77777777" w:rsidTr="00D11B9D">
              <w:tc>
                <w:tcPr>
                  <w:tcW w:w="1500" w:type="pct"/>
                  <w:shd w:val="clear" w:color="auto" w:fill="F2F2F2" w:themeFill="background1" w:themeFillShade="F2"/>
                </w:tcPr>
                <w:p w14:paraId="4C93C006" w14:textId="77777777" w:rsidR="00FC14FC" w:rsidRDefault="00FC14FC" w:rsidP="00D11B9D">
                  <w:pPr>
                    <w:pStyle w:val="TableBodyText"/>
                    <w:jc w:val="left"/>
                  </w:pPr>
                  <w:r>
                    <w:t>2013</w:t>
                  </w:r>
                  <w:r>
                    <w:noBreakHyphen/>
                    <w:t>2017</w:t>
                  </w:r>
                </w:p>
              </w:tc>
              <w:tc>
                <w:tcPr>
                  <w:tcW w:w="500" w:type="pct"/>
                  <w:shd w:val="clear" w:color="auto" w:fill="F2F2F2" w:themeFill="background1" w:themeFillShade="F2"/>
                </w:tcPr>
                <w:p w14:paraId="5B3A8EDA" w14:textId="77777777" w:rsidR="00FC14FC" w:rsidRDefault="00FC14FC" w:rsidP="00D11B9D">
                  <w:pPr>
                    <w:pStyle w:val="TableBodyText"/>
                  </w:pPr>
                  <w:r>
                    <w:t xml:space="preserve">9.83 </w:t>
                  </w:r>
                </w:p>
              </w:tc>
              <w:tc>
                <w:tcPr>
                  <w:tcW w:w="514" w:type="pct"/>
                  <w:shd w:val="clear" w:color="auto" w:fill="F2F2F2" w:themeFill="background1" w:themeFillShade="F2"/>
                </w:tcPr>
                <w:p w14:paraId="708737E1" w14:textId="77777777" w:rsidR="00FC14FC" w:rsidRDefault="00FC14FC" w:rsidP="00D11B9D">
                  <w:pPr>
                    <w:pStyle w:val="TableBodyText"/>
                  </w:pPr>
                  <w:r>
                    <w:t>9.89</w:t>
                  </w:r>
                </w:p>
              </w:tc>
              <w:tc>
                <w:tcPr>
                  <w:tcW w:w="917" w:type="pct"/>
                  <w:shd w:val="clear" w:color="auto" w:fill="F2F2F2" w:themeFill="background1" w:themeFillShade="F2"/>
                </w:tcPr>
                <w:p w14:paraId="0E77A827" w14:textId="77777777" w:rsidR="00FC14FC" w:rsidRDefault="00FC14FC" w:rsidP="00D11B9D">
                  <w:pPr>
                    <w:pStyle w:val="TableBodyText"/>
                  </w:pPr>
                  <w:r>
                    <w:t>9.60</w:t>
                  </w:r>
                </w:p>
              </w:tc>
              <w:tc>
                <w:tcPr>
                  <w:tcW w:w="1569" w:type="pct"/>
                  <w:shd w:val="clear" w:color="auto" w:fill="F2F2F2" w:themeFill="background1" w:themeFillShade="F2"/>
                </w:tcPr>
                <w:p w14:paraId="1F7AABEC" w14:textId="77777777" w:rsidR="00FC14FC" w:rsidRDefault="00FC14FC" w:rsidP="00D11B9D">
                  <w:pPr>
                    <w:pStyle w:val="TableBodyText"/>
                    <w:ind w:right="28"/>
                    <w:jc w:val="left"/>
                  </w:pPr>
                  <w:r>
                    <w:t>Falls below both benchmarks</w:t>
                  </w:r>
                </w:p>
              </w:tc>
            </w:tr>
            <w:tr w:rsidR="00FC14FC" w14:paraId="01E51008" w14:textId="77777777" w:rsidTr="00D11B9D">
              <w:tc>
                <w:tcPr>
                  <w:tcW w:w="1500" w:type="pct"/>
                  <w:shd w:val="clear" w:color="auto" w:fill="auto"/>
                </w:tcPr>
                <w:p w14:paraId="7E4C4EFF" w14:textId="77777777" w:rsidR="00FC14FC" w:rsidRPr="00B17E9A" w:rsidRDefault="00FC14FC" w:rsidP="00D11B9D">
                  <w:pPr>
                    <w:pStyle w:val="TableBodyText"/>
                    <w:spacing w:before="40"/>
                    <w:jc w:val="left"/>
                    <w:rPr>
                      <w:b/>
                    </w:rPr>
                  </w:pPr>
                  <w:r>
                    <w:rPr>
                      <w:b/>
                    </w:rPr>
                    <w:t>Retirement</w:t>
                  </w:r>
                </w:p>
              </w:tc>
              <w:tc>
                <w:tcPr>
                  <w:tcW w:w="500" w:type="pct"/>
                  <w:shd w:val="clear" w:color="auto" w:fill="auto"/>
                </w:tcPr>
                <w:p w14:paraId="507F8785" w14:textId="77777777" w:rsidR="00FC14FC" w:rsidRDefault="00FC14FC" w:rsidP="00D11B9D">
                  <w:pPr>
                    <w:pStyle w:val="TableBodyText"/>
                  </w:pPr>
                </w:p>
              </w:tc>
              <w:tc>
                <w:tcPr>
                  <w:tcW w:w="514" w:type="pct"/>
                  <w:shd w:val="clear" w:color="auto" w:fill="auto"/>
                </w:tcPr>
                <w:p w14:paraId="477ECEF6" w14:textId="77777777" w:rsidR="00FC14FC" w:rsidRDefault="00FC14FC" w:rsidP="00D11B9D">
                  <w:pPr>
                    <w:pStyle w:val="TableBodyText"/>
                  </w:pPr>
                </w:p>
              </w:tc>
              <w:tc>
                <w:tcPr>
                  <w:tcW w:w="917" w:type="pct"/>
                  <w:shd w:val="clear" w:color="auto" w:fill="auto"/>
                </w:tcPr>
                <w:p w14:paraId="66D67E71" w14:textId="77777777" w:rsidR="00FC14FC" w:rsidRDefault="00FC14FC" w:rsidP="00D11B9D">
                  <w:pPr>
                    <w:pStyle w:val="TableBodyText"/>
                  </w:pPr>
                </w:p>
              </w:tc>
              <w:tc>
                <w:tcPr>
                  <w:tcW w:w="1569" w:type="pct"/>
                  <w:shd w:val="clear" w:color="auto" w:fill="auto"/>
                </w:tcPr>
                <w:p w14:paraId="4DBDB567" w14:textId="77777777" w:rsidR="00FC14FC" w:rsidRDefault="00FC14FC" w:rsidP="00D11B9D">
                  <w:pPr>
                    <w:pStyle w:val="TableBodyText"/>
                    <w:ind w:right="28"/>
                    <w:jc w:val="left"/>
                  </w:pPr>
                </w:p>
              </w:tc>
            </w:tr>
            <w:tr w:rsidR="00FC14FC" w14:paraId="5992A2FB" w14:textId="77777777" w:rsidTr="00D11B9D">
              <w:tc>
                <w:tcPr>
                  <w:tcW w:w="1500" w:type="pct"/>
                  <w:shd w:val="clear" w:color="auto" w:fill="auto"/>
                </w:tcPr>
                <w:p w14:paraId="4BA4ADB1" w14:textId="77777777" w:rsidR="00FC14FC" w:rsidRDefault="00FC14FC" w:rsidP="00D11B9D">
                  <w:pPr>
                    <w:pStyle w:val="TableBodyText"/>
                    <w:jc w:val="left"/>
                  </w:pPr>
                  <w:r>
                    <w:t>2005–2016 (chapter 2)</w:t>
                  </w:r>
                </w:p>
              </w:tc>
              <w:tc>
                <w:tcPr>
                  <w:tcW w:w="500" w:type="pct"/>
                  <w:shd w:val="clear" w:color="auto" w:fill="auto"/>
                </w:tcPr>
                <w:p w14:paraId="07A82E48" w14:textId="77777777" w:rsidR="00FC14FC" w:rsidRDefault="00FC14FC" w:rsidP="00D11B9D">
                  <w:pPr>
                    <w:pStyle w:val="TableUnitsRow"/>
                  </w:pPr>
                  <w:r w:rsidDel="00DC137A">
                    <w:t>6.</w:t>
                  </w:r>
                  <w:r>
                    <w:t xml:space="preserve">56 </w:t>
                  </w:r>
                </w:p>
              </w:tc>
              <w:tc>
                <w:tcPr>
                  <w:tcW w:w="514" w:type="pct"/>
                  <w:shd w:val="clear" w:color="auto" w:fill="auto"/>
                </w:tcPr>
                <w:p w14:paraId="5A043581" w14:textId="77777777" w:rsidR="00FC14FC" w:rsidRDefault="00FC14FC" w:rsidP="00D11B9D">
                  <w:pPr>
                    <w:pStyle w:val="TableBodyText"/>
                  </w:pPr>
                  <w:r>
                    <w:t>6.62</w:t>
                  </w:r>
                </w:p>
              </w:tc>
              <w:tc>
                <w:tcPr>
                  <w:tcW w:w="917" w:type="pct"/>
                  <w:shd w:val="clear" w:color="auto" w:fill="auto"/>
                </w:tcPr>
                <w:p w14:paraId="6E857C4A" w14:textId="77777777" w:rsidR="00FC14FC" w:rsidRDefault="00FC14FC" w:rsidP="00D11B9D">
                  <w:pPr>
                    <w:pStyle w:val="TableBodyText"/>
                  </w:pPr>
                  <w:r>
                    <w:t>6.07</w:t>
                  </w:r>
                </w:p>
              </w:tc>
              <w:tc>
                <w:tcPr>
                  <w:tcW w:w="1569" w:type="pct"/>
                  <w:shd w:val="clear" w:color="auto" w:fill="auto"/>
                </w:tcPr>
                <w:p w14:paraId="11FE0857" w14:textId="77777777" w:rsidR="00FC14FC" w:rsidRDefault="00FC14FC" w:rsidP="00D11B9D">
                  <w:pPr>
                    <w:pStyle w:val="TableBodyText"/>
                    <w:ind w:right="28"/>
                    <w:jc w:val="left"/>
                  </w:pPr>
                  <w:r>
                    <w:t>Falls below both benchmarks</w:t>
                  </w:r>
                </w:p>
              </w:tc>
            </w:tr>
            <w:tr w:rsidR="00FC14FC" w14:paraId="1AEA32F9" w14:textId="77777777" w:rsidTr="00D11B9D">
              <w:tc>
                <w:tcPr>
                  <w:tcW w:w="1500" w:type="pct"/>
                  <w:shd w:val="clear" w:color="auto" w:fill="F2F2F2" w:themeFill="background1" w:themeFillShade="F2"/>
                </w:tcPr>
                <w:p w14:paraId="69836BEB" w14:textId="77777777" w:rsidR="00FC14FC" w:rsidRDefault="00FC14FC" w:rsidP="00D11B9D">
                  <w:pPr>
                    <w:pStyle w:val="TableBodyText"/>
                    <w:jc w:val="left"/>
                  </w:pPr>
                  <w:r>
                    <w:t>2008–2017</w:t>
                  </w:r>
                </w:p>
              </w:tc>
              <w:tc>
                <w:tcPr>
                  <w:tcW w:w="500" w:type="pct"/>
                  <w:shd w:val="clear" w:color="auto" w:fill="F2F2F2" w:themeFill="background1" w:themeFillShade="F2"/>
                </w:tcPr>
                <w:p w14:paraId="71D0166C" w14:textId="77777777" w:rsidR="00FC14FC" w:rsidRDefault="00FC14FC" w:rsidP="00D11B9D">
                  <w:pPr>
                    <w:pStyle w:val="TableBodyText"/>
                  </w:pPr>
                  <w:r>
                    <w:t>4.03</w:t>
                  </w:r>
                </w:p>
              </w:tc>
              <w:tc>
                <w:tcPr>
                  <w:tcW w:w="514" w:type="pct"/>
                  <w:shd w:val="clear" w:color="auto" w:fill="F2F2F2" w:themeFill="background1" w:themeFillShade="F2"/>
                </w:tcPr>
                <w:p w14:paraId="56F91755" w14:textId="77777777" w:rsidR="00FC14FC" w:rsidRDefault="00FC14FC" w:rsidP="00D11B9D">
                  <w:pPr>
                    <w:pStyle w:val="TableBodyText"/>
                  </w:pPr>
                  <w:r>
                    <w:t>4.48</w:t>
                  </w:r>
                </w:p>
              </w:tc>
              <w:tc>
                <w:tcPr>
                  <w:tcW w:w="917" w:type="pct"/>
                  <w:shd w:val="clear" w:color="auto" w:fill="F2F2F2" w:themeFill="background1" w:themeFillShade="F2"/>
                </w:tcPr>
                <w:p w14:paraId="2D00F983" w14:textId="77777777" w:rsidR="00FC14FC" w:rsidRDefault="00FC14FC" w:rsidP="00D11B9D">
                  <w:pPr>
                    <w:pStyle w:val="TableBodyText"/>
                  </w:pPr>
                  <w:r>
                    <w:t>4.95</w:t>
                  </w:r>
                </w:p>
              </w:tc>
              <w:tc>
                <w:tcPr>
                  <w:tcW w:w="1569" w:type="pct"/>
                  <w:shd w:val="clear" w:color="auto" w:fill="F2F2F2" w:themeFill="background1" w:themeFillShade="F2"/>
                </w:tcPr>
                <w:p w14:paraId="1970E412" w14:textId="77777777" w:rsidR="00FC14FC" w:rsidRDefault="00FC14FC" w:rsidP="00D11B9D">
                  <w:pPr>
                    <w:pStyle w:val="TableBodyText"/>
                    <w:ind w:right="28"/>
                    <w:jc w:val="left"/>
                  </w:pPr>
                  <w:r>
                    <w:t>Beats both benchmarks</w:t>
                  </w:r>
                </w:p>
              </w:tc>
            </w:tr>
            <w:tr w:rsidR="00FC14FC" w14:paraId="3E4B641E" w14:textId="77777777" w:rsidTr="00D11B9D">
              <w:tc>
                <w:tcPr>
                  <w:tcW w:w="1500" w:type="pct"/>
                  <w:tcBorders>
                    <w:bottom w:val="single" w:sz="6" w:space="0" w:color="BFBFBF"/>
                  </w:tcBorders>
                  <w:shd w:val="clear" w:color="auto" w:fill="auto"/>
                </w:tcPr>
                <w:p w14:paraId="25B24949" w14:textId="77777777" w:rsidR="00FC14FC" w:rsidRDefault="00FC14FC" w:rsidP="00D11B9D">
                  <w:pPr>
                    <w:pStyle w:val="TableBodyText"/>
                    <w:jc w:val="left"/>
                  </w:pPr>
                  <w:r>
                    <w:t>2013–2017</w:t>
                  </w:r>
                </w:p>
              </w:tc>
              <w:tc>
                <w:tcPr>
                  <w:tcW w:w="500" w:type="pct"/>
                  <w:tcBorders>
                    <w:bottom w:val="single" w:sz="6" w:space="0" w:color="BFBFBF"/>
                  </w:tcBorders>
                  <w:shd w:val="clear" w:color="auto" w:fill="auto"/>
                </w:tcPr>
                <w:p w14:paraId="43B22C4B" w14:textId="77777777" w:rsidR="00FC14FC" w:rsidRDefault="00FC14FC" w:rsidP="00D11B9D">
                  <w:pPr>
                    <w:pStyle w:val="TableBodyText"/>
                  </w:pPr>
                  <w:r>
                    <w:t xml:space="preserve">8.98 </w:t>
                  </w:r>
                </w:p>
              </w:tc>
              <w:tc>
                <w:tcPr>
                  <w:tcW w:w="514" w:type="pct"/>
                  <w:tcBorders>
                    <w:bottom w:val="single" w:sz="6" w:space="0" w:color="BFBFBF"/>
                  </w:tcBorders>
                  <w:shd w:val="clear" w:color="auto" w:fill="auto"/>
                </w:tcPr>
                <w:p w14:paraId="255A0A9F" w14:textId="77777777" w:rsidR="00FC14FC" w:rsidRDefault="00FC14FC" w:rsidP="00D11B9D">
                  <w:pPr>
                    <w:pStyle w:val="TableBodyText"/>
                  </w:pPr>
                  <w:r>
                    <w:t>8.94</w:t>
                  </w:r>
                </w:p>
              </w:tc>
              <w:tc>
                <w:tcPr>
                  <w:tcW w:w="917" w:type="pct"/>
                  <w:tcBorders>
                    <w:bottom w:val="single" w:sz="6" w:space="0" w:color="BFBFBF"/>
                  </w:tcBorders>
                  <w:shd w:val="clear" w:color="auto" w:fill="auto"/>
                </w:tcPr>
                <w:p w14:paraId="0A563348" w14:textId="77777777" w:rsidR="00FC14FC" w:rsidRDefault="00FC14FC" w:rsidP="00D11B9D">
                  <w:pPr>
                    <w:pStyle w:val="TableBodyText"/>
                  </w:pPr>
                  <w:r>
                    <w:t>9.09</w:t>
                  </w:r>
                </w:p>
              </w:tc>
              <w:tc>
                <w:tcPr>
                  <w:tcW w:w="1569" w:type="pct"/>
                  <w:tcBorders>
                    <w:bottom w:val="single" w:sz="6" w:space="0" w:color="BFBFBF"/>
                  </w:tcBorders>
                  <w:shd w:val="clear" w:color="auto" w:fill="auto"/>
                </w:tcPr>
                <w:p w14:paraId="27FA0981" w14:textId="77777777" w:rsidR="00FC14FC" w:rsidRDefault="00FC14FC" w:rsidP="00D11B9D">
                  <w:pPr>
                    <w:pStyle w:val="TableBodyText"/>
                    <w:ind w:right="28"/>
                    <w:jc w:val="left"/>
                  </w:pPr>
                  <w:r>
                    <w:t xml:space="preserve">Beats both </w:t>
                  </w:r>
                  <w:r w:rsidDel="00A67B6A">
                    <w:t>benchmarks</w:t>
                  </w:r>
                </w:p>
              </w:tc>
            </w:tr>
          </w:tbl>
          <w:p w14:paraId="6D4CACF6" w14:textId="77777777" w:rsidR="00FC14FC" w:rsidRDefault="00FC14FC" w:rsidP="00D11B9D">
            <w:pPr>
              <w:pStyle w:val="Box"/>
            </w:pPr>
          </w:p>
        </w:tc>
      </w:tr>
      <w:tr w:rsidR="00FC14FC" w14:paraId="254F13C6" w14:textId="77777777" w:rsidTr="00D11B9D">
        <w:tc>
          <w:tcPr>
            <w:tcW w:w="5000" w:type="pct"/>
            <w:tcBorders>
              <w:top w:val="nil"/>
              <w:left w:val="nil"/>
              <w:bottom w:val="nil"/>
              <w:right w:val="nil"/>
            </w:tcBorders>
            <w:shd w:val="clear" w:color="auto" w:fill="auto"/>
          </w:tcPr>
          <w:p w14:paraId="1F65F405" w14:textId="77777777" w:rsidR="00FC14FC" w:rsidRDefault="00FC14FC" w:rsidP="00D11B9D">
            <w:pPr>
              <w:pStyle w:val="Source"/>
              <w:rPr>
                <w:i/>
              </w:rPr>
            </w:pPr>
            <w:r>
              <w:rPr>
                <w:rStyle w:val="NoteLabel"/>
              </w:rPr>
              <w:t>a</w:t>
            </w:r>
            <w:r w:rsidRPr="00247263">
              <w:t xml:space="preserve"> Net returns are estimated less investment fees, taxes and implicit asset</w:t>
            </w:r>
            <w:r>
              <w:noBreakHyphen/>
            </w:r>
            <w:r w:rsidRPr="00247263">
              <w:t>based administration fees. This means that some options may be reported gross of</w:t>
            </w:r>
            <w:r>
              <w:t xml:space="preserve"> </w:t>
            </w:r>
            <w:r w:rsidRPr="00247263">
              <w:t>asset</w:t>
            </w:r>
            <w:r>
              <w:t>-</w:t>
            </w:r>
            <w:r w:rsidRPr="00247263">
              <w:t>based administration fees.</w:t>
            </w:r>
            <w:r>
              <w:rPr>
                <w:b/>
                <w:bCs/>
              </w:rPr>
              <w:t xml:space="preserve"> </w:t>
            </w:r>
            <w:r>
              <w:rPr>
                <w:rStyle w:val="NoteLabel"/>
              </w:rPr>
              <w:t>b</w:t>
            </w:r>
            <w:r>
              <w:rPr>
                <w:b/>
                <w:bCs/>
              </w:rPr>
              <w:t xml:space="preserve"> </w:t>
            </w:r>
            <w:r>
              <w:t xml:space="preserve">The option type categories have been taken as given from SuperRatings data. </w:t>
            </w:r>
            <w:r>
              <w:rPr>
                <w:rStyle w:val="NoteLabel"/>
              </w:rPr>
              <w:t>c</w:t>
            </w:r>
            <w:r>
              <w:t xml:space="preserve"> </w:t>
            </w:r>
            <w:r w:rsidRPr="002D557A">
              <w:t>Th</w:t>
            </w:r>
            <w:r>
              <w:t>e</w:t>
            </w:r>
            <w:r w:rsidRPr="002D557A">
              <w:t xml:space="preserve"> analysis excludes legacy products.</w:t>
            </w:r>
          </w:p>
        </w:tc>
      </w:tr>
      <w:tr w:rsidR="00FC14FC" w14:paraId="1E27C4E7" w14:textId="77777777" w:rsidTr="00D11B9D">
        <w:tc>
          <w:tcPr>
            <w:tcW w:w="5000" w:type="pct"/>
            <w:tcBorders>
              <w:top w:val="nil"/>
              <w:left w:val="nil"/>
              <w:bottom w:val="nil"/>
              <w:right w:val="nil"/>
            </w:tcBorders>
            <w:shd w:val="clear" w:color="auto" w:fill="auto"/>
          </w:tcPr>
          <w:p w14:paraId="65B64FFF" w14:textId="77777777" w:rsidR="00FC14FC" w:rsidRDefault="00FC14FC" w:rsidP="00D11B9D">
            <w:pPr>
              <w:pStyle w:val="Source"/>
            </w:pPr>
            <w:r>
              <w:rPr>
                <w:i/>
              </w:rPr>
              <w:t>Sources</w:t>
            </w:r>
            <w:r w:rsidRPr="00167F06">
              <w:t xml:space="preserve">: </w:t>
            </w:r>
            <w:r>
              <w:t xml:space="preserve">PC analysis of unpublished APRA </w:t>
            </w:r>
            <w:r w:rsidDel="00DF46E2">
              <w:t>data</w:t>
            </w:r>
            <w:r>
              <w:t>, financial market index data (various providers), Rainmaker data and SuperRatings data.</w:t>
            </w:r>
          </w:p>
        </w:tc>
      </w:tr>
      <w:tr w:rsidR="00FC14FC" w14:paraId="479DF596" w14:textId="77777777" w:rsidTr="00D11B9D">
        <w:tc>
          <w:tcPr>
            <w:tcW w:w="5000" w:type="pct"/>
            <w:tcBorders>
              <w:top w:val="nil"/>
              <w:left w:val="nil"/>
              <w:bottom w:val="single" w:sz="6" w:space="0" w:color="78A22F"/>
              <w:right w:val="nil"/>
            </w:tcBorders>
            <w:shd w:val="clear" w:color="auto" w:fill="auto"/>
          </w:tcPr>
          <w:p w14:paraId="76B98E88" w14:textId="77777777" w:rsidR="00FC14FC" w:rsidRDefault="00FC14FC" w:rsidP="00D11B9D">
            <w:pPr>
              <w:pStyle w:val="Box"/>
              <w:spacing w:before="0" w:line="120" w:lineRule="exact"/>
            </w:pPr>
          </w:p>
        </w:tc>
      </w:tr>
      <w:tr w:rsidR="00FC14FC" w:rsidRPr="000863A5" w14:paraId="58A0F74F" w14:textId="77777777" w:rsidTr="00D11B9D">
        <w:tc>
          <w:tcPr>
            <w:tcW w:w="5000" w:type="pct"/>
            <w:tcBorders>
              <w:top w:val="single" w:sz="6" w:space="0" w:color="78A22F"/>
              <w:left w:val="nil"/>
              <w:bottom w:val="nil"/>
              <w:right w:val="nil"/>
            </w:tcBorders>
          </w:tcPr>
          <w:p w14:paraId="11E350D7" w14:textId="77777777" w:rsidR="00FC14FC" w:rsidRPr="00626D32" w:rsidRDefault="00FC14FC" w:rsidP="00D11B9D">
            <w:pPr>
              <w:pStyle w:val="BoxSpaceBelow"/>
            </w:pPr>
          </w:p>
        </w:tc>
      </w:tr>
    </w:tbl>
    <w:p w14:paraId="323C7C2C" w14:textId="77777777" w:rsidR="00FC14FC" w:rsidRDefault="00FC14FC" w:rsidP="00FC14FC">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7C4AB24E" w14:textId="77777777" w:rsidTr="00D11B9D">
        <w:trPr>
          <w:tblHeader/>
        </w:trPr>
        <w:tc>
          <w:tcPr>
            <w:tcW w:w="5000" w:type="pct"/>
            <w:tcBorders>
              <w:top w:val="single" w:sz="6" w:space="0" w:color="78A22F"/>
              <w:left w:val="nil"/>
              <w:bottom w:val="nil"/>
              <w:right w:val="nil"/>
            </w:tcBorders>
            <w:shd w:val="clear" w:color="auto" w:fill="auto"/>
          </w:tcPr>
          <w:p w14:paraId="55748218" w14:textId="77777777" w:rsidR="00FC14FC" w:rsidRDefault="00FC14FC" w:rsidP="00D11B9D">
            <w:pPr>
              <w:pStyle w:val="FigureTitle"/>
            </w:pPr>
            <w:r w:rsidRPr="00784A05">
              <w:rPr>
                <w:b w:val="0"/>
              </w:rPr>
              <w:t xml:space="preserve">Figure </w:t>
            </w:r>
            <w:r>
              <w:rPr>
                <w:b w:val="0"/>
              </w:rPr>
              <w:t>4.16</w:t>
            </w:r>
            <w:r>
              <w:tab/>
              <w:t>Accumulation and retirement segments</w:t>
            </w:r>
            <w:r w:rsidRPr="00F97E62">
              <w:rPr>
                <w:rStyle w:val="NoteLabel"/>
              </w:rPr>
              <w:t>a</w:t>
            </w:r>
            <w:r>
              <w:rPr>
                <w:rStyle w:val="NoteLabel"/>
              </w:rPr>
              <w:t>,b,c</w:t>
            </w:r>
          </w:p>
          <w:p w14:paraId="71AFB1F3" w14:textId="77777777" w:rsidR="00FC14FC" w:rsidRPr="00176D3F" w:rsidRDefault="00FC14FC" w:rsidP="00D11B9D">
            <w:pPr>
              <w:pStyle w:val="Subtitle"/>
            </w:pPr>
            <w:r>
              <w:t>Volatility, 2005–2016</w:t>
            </w:r>
          </w:p>
        </w:tc>
      </w:tr>
      <w:tr w:rsidR="00FC14FC" w14:paraId="338D3B0D"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325F9294" w14:textId="77777777" w:rsidTr="00D11B9D">
              <w:trPr>
                <w:tblHeader/>
                <w:jc w:val="center"/>
              </w:trPr>
              <w:tc>
                <w:tcPr>
                  <w:tcW w:w="5000" w:type="pct"/>
                  <w:tcBorders>
                    <w:top w:val="nil"/>
                    <w:bottom w:val="nil"/>
                  </w:tcBorders>
                </w:tcPr>
                <w:p w14:paraId="58A7646D" w14:textId="77777777" w:rsidR="00FC14FC" w:rsidRDefault="00FC14FC" w:rsidP="00D11B9D">
                  <w:pPr>
                    <w:pStyle w:val="Figure"/>
                    <w:spacing w:before="60" w:after="60"/>
                    <w:rPr>
                      <w:rFonts w:ascii="Arial" w:hAnsi="Arial" w:cs="Arial"/>
                      <w:sz w:val="18"/>
                      <w:szCs w:val="18"/>
                    </w:rPr>
                  </w:pPr>
                  <w:r w:rsidRPr="00F16724">
                    <w:rPr>
                      <w:rFonts w:ascii="Arial" w:hAnsi="Arial" w:cs="Arial"/>
                      <w:noProof/>
                      <w:sz w:val="18"/>
                      <w:szCs w:val="18"/>
                    </w:rPr>
                    <w:drawing>
                      <wp:inline distT="0" distB="0" distL="0" distR="0" wp14:anchorId="6F077F3D" wp14:editId="0DA947F7">
                        <wp:extent cx="4669108" cy="2274570"/>
                        <wp:effectExtent l="0" t="0" r="0" b="0"/>
                        <wp:docPr id="15" name="Picture 15" descr="Fig 4.16. This bar charts shows the 13-year standard deviation (volatility) of the accumulation and retirement segments. It shows both being much less volatile than their BP1, and roughly commensurate with BP2. " title="Accumulation and retirement seg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9" cstate="print">
                                  <a:extLst>
                                    <a:ext uri="{28A0092B-C50C-407E-A947-70E740481C1C}">
                                      <a14:useLocalDpi xmlns:a14="http://schemas.microsoft.com/office/drawing/2010/main" val="0"/>
                                    </a:ext>
                                  </a:extLst>
                                </a:blip>
                                <a:srcRect t="8627"/>
                                <a:stretch/>
                              </pic:blipFill>
                              <pic:spPr bwMode="auto">
                                <a:xfrm>
                                  <a:off x="0" y="0"/>
                                  <a:ext cx="4687407" cy="2283485"/>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1418"/>
                    <w:gridCol w:w="2452"/>
                    <w:gridCol w:w="2312"/>
                    <w:gridCol w:w="2312"/>
                  </w:tblGrid>
                  <w:tr w:rsidR="00FC14FC" w14:paraId="098B94F4" w14:textId="77777777" w:rsidTr="00D11B9D">
                    <w:tc>
                      <w:tcPr>
                        <w:tcW w:w="1418" w:type="dxa"/>
                        <w:shd w:val="clear" w:color="auto" w:fill="F2F2F2" w:themeFill="background1" w:themeFillShade="F2"/>
                      </w:tcPr>
                      <w:p w14:paraId="28C4A0CF"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7076" w:type="dxa"/>
                        <w:gridSpan w:val="3"/>
                        <w:shd w:val="clear" w:color="auto" w:fill="F2F2F2" w:themeFill="background1" w:themeFillShade="F2"/>
                      </w:tcPr>
                      <w:p w14:paraId="1A59FEAB"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r w:rsidRPr="002B579E">
                          <w:rPr>
                            <w:rFonts w:asciiTheme="minorHAnsi" w:hAnsi="Arial" w:cstheme="minorBidi"/>
                            <w:color w:val="000000" w:themeColor="text1"/>
                            <w:kern w:val="24"/>
                            <w:sz w:val="18"/>
                            <w:szCs w:val="18"/>
                          </w:rPr>
                          <w:t>SuperRatings data</w:t>
                        </w:r>
                        <w:r>
                          <w:rPr>
                            <w:rFonts w:asciiTheme="minorHAnsi" w:hAnsi="Arial" w:cstheme="minorBidi"/>
                            <w:color w:val="000000" w:themeColor="text1"/>
                            <w:kern w:val="24"/>
                            <w:sz w:val="18"/>
                            <w:szCs w:val="18"/>
                          </w:rPr>
                          <w:t xml:space="preserve"> and financial market index data (various providers).</w:t>
                        </w:r>
                      </w:p>
                    </w:tc>
                  </w:tr>
                  <w:tr w:rsidR="00FC14FC" w14:paraId="0E865705" w14:textId="77777777" w:rsidTr="00D11B9D">
                    <w:tc>
                      <w:tcPr>
                        <w:tcW w:w="1418" w:type="dxa"/>
                        <w:shd w:val="clear" w:color="auto" w:fill="F2F2F2" w:themeFill="background1" w:themeFillShade="F2"/>
                      </w:tcPr>
                      <w:p w14:paraId="4ADE1C46"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7076" w:type="dxa"/>
                        <w:gridSpan w:val="3"/>
                        <w:shd w:val="clear" w:color="auto" w:fill="F2F2F2" w:themeFill="background1" w:themeFillShade="F2"/>
                      </w:tcPr>
                      <w:p w14:paraId="45EF75C8"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Segment </w:t>
                        </w:r>
                        <w:r w:rsidRPr="002B579E">
                          <w:rPr>
                            <w:rFonts w:asciiTheme="minorHAnsi" w:hAnsi="Arial" w:cstheme="minorBidi"/>
                            <w:color w:val="000000" w:themeColor="text1"/>
                            <w:kern w:val="24"/>
                            <w:sz w:val="18"/>
                            <w:szCs w:val="18"/>
                          </w:rPr>
                          <w:t>tailored BP1, BP2.</w:t>
                        </w:r>
                      </w:p>
                    </w:tc>
                  </w:tr>
                  <w:tr w:rsidR="00FC14FC" w14:paraId="3F23AE21" w14:textId="77777777" w:rsidTr="00D11B9D">
                    <w:tc>
                      <w:tcPr>
                        <w:tcW w:w="1418" w:type="dxa"/>
                        <w:shd w:val="clear" w:color="auto" w:fill="F2F2F2" w:themeFill="background1" w:themeFillShade="F2"/>
                      </w:tcPr>
                      <w:p w14:paraId="52C51ABB" w14:textId="77777777" w:rsidR="00FC14FC" w:rsidRPr="00321FA8" w:rsidRDefault="00FC14FC" w:rsidP="00D11B9D">
                        <w:pPr>
                          <w:pStyle w:val="Figure"/>
                          <w:spacing w:before="0" w:after="0"/>
                          <w:jc w:val="left"/>
                          <w:rPr>
                            <w:rStyle w:val="NoteLabel"/>
                          </w:rPr>
                        </w:pPr>
                        <w:r w:rsidRPr="002D6D85">
                          <w:rPr>
                            <w:rFonts w:asciiTheme="minorHAnsi" w:hAnsi="Arial" w:cstheme="minorBidi"/>
                            <w:b/>
                            <w:color w:val="000000" w:themeColor="text1"/>
                            <w:kern w:val="24"/>
                            <w:sz w:val="18"/>
                            <w:szCs w:val="18"/>
                          </w:rPr>
                          <w:t>Coverage</w:t>
                        </w:r>
                        <w:r>
                          <w:rPr>
                            <w:rStyle w:val="NoteLabel"/>
                          </w:rPr>
                          <w:t>a</w:t>
                        </w:r>
                      </w:p>
                    </w:tc>
                    <w:tc>
                      <w:tcPr>
                        <w:tcW w:w="7076" w:type="dxa"/>
                        <w:gridSpan w:val="3"/>
                        <w:shd w:val="clear" w:color="auto" w:fill="F2F2F2" w:themeFill="background1" w:themeFillShade="F2"/>
                      </w:tcPr>
                      <w:p w14:paraId="6E9F4F73"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This chart shows accumulation options from APRA</w:t>
                        </w:r>
                        <w:r>
                          <w:rPr>
                            <w:rFonts w:asciiTheme="minorHAnsi" w:hAnsi="Arial" w:cstheme="minorBidi"/>
                            <w:color w:val="000000" w:themeColor="text1"/>
                            <w:kern w:val="24"/>
                            <w:sz w:val="18"/>
                            <w:szCs w:val="18"/>
                          </w:rPr>
                          <w:noBreakHyphen/>
                          <w:t>regulated funds.</w:t>
                        </w:r>
                      </w:p>
                      <w:p w14:paraId="70B7CE9C"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In 2005, funds in the dataset represented up to 61% of total assets and 64% of member accounts of APRA</w:t>
                        </w:r>
                        <w:r>
                          <w:rPr>
                            <w:rFonts w:asciiTheme="minorHAnsi" w:hAnsi="Arial" w:cstheme="minorBidi"/>
                            <w:color w:val="000000" w:themeColor="text1"/>
                            <w:kern w:val="24"/>
                            <w:sz w:val="18"/>
                            <w:szCs w:val="18"/>
                          </w:rPr>
                          <w:noBreakHyphen/>
                          <w:t>regulated funds.</w:t>
                        </w:r>
                      </w:p>
                      <w:p w14:paraId="567E1CCC" w14:textId="77777777" w:rsidR="00FC14FC" w:rsidRPr="008B39D4"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In 2017, funds in the dataset represented up to</w:t>
                        </w:r>
                        <w:r w:rsidRPr="002B579E">
                          <w:rPr>
                            <w:rFonts w:asciiTheme="minorHAnsi" w:hAnsi="Arial" w:cstheme="minorBidi"/>
                            <w:color w:val="000000" w:themeColor="text1"/>
                            <w:kern w:val="24"/>
                            <w:sz w:val="18"/>
                            <w:szCs w:val="18"/>
                          </w:rPr>
                          <w:t xml:space="preserve"> </w:t>
                        </w:r>
                        <w:r>
                          <w:rPr>
                            <w:rFonts w:asciiTheme="minorHAnsi" w:hAnsi="Arial" w:cstheme="minorBidi"/>
                            <w:color w:val="000000" w:themeColor="text1"/>
                            <w:kern w:val="24"/>
                            <w:sz w:val="18"/>
                            <w:szCs w:val="18"/>
                          </w:rPr>
                          <w:t>85</w:t>
                        </w:r>
                        <w:r w:rsidRPr="002B579E">
                          <w:rPr>
                            <w:rFonts w:asciiTheme="minorHAnsi" w:hAnsi="Arial" w:cstheme="minorBidi"/>
                            <w:color w:val="000000" w:themeColor="text1"/>
                            <w:kern w:val="24"/>
                            <w:sz w:val="18"/>
                            <w:szCs w:val="18"/>
                          </w:rPr>
                          <w:t xml:space="preserve">% of total assets and </w:t>
                        </w:r>
                        <w:r>
                          <w:rPr>
                            <w:rFonts w:asciiTheme="minorHAnsi" w:hAnsi="Arial" w:cstheme="minorBidi"/>
                            <w:color w:val="000000" w:themeColor="text1"/>
                            <w:kern w:val="24"/>
                            <w:sz w:val="18"/>
                            <w:szCs w:val="18"/>
                          </w:rPr>
                          <w:t>82</w:t>
                        </w:r>
                        <w:r w:rsidRPr="002B579E">
                          <w:rPr>
                            <w:rFonts w:asciiTheme="minorHAnsi" w:hAnsi="Arial" w:cstheme="minorBidi"/>
                            <w:color w:val="000000" w:themeColor="text1"/>
                            <w:kern w:val="24"/>
                            <w:sz w:val="18"/>
                            <w:szCs w:val="18"/>
                          </w:rPr>
                          <w:t>% of member accounts</w:t>
                        </w:r>
                        <w:r>
                          <w:rPr>
                            <w:rFonts w:asciiTheme="minorHAnsi" w:hAnsi="Arial" w:cstheme="minorBidi"/>
                            <w:color w:val="000000" w:themeColor="text1"/>
                            <w:kern w:val="24"/>
                            <w:sz w:val="18"/>
                            <w:szCs w:val="18"/>
                          </w:rPr>
                          <w:t xml:space="preserve"> of APRA</w:t>
                        </w:r>
                        <w:r>
                          <w:rPr>
                            <w:rFonts w:asciiTheme="minorHAnsi" w:hAnsi="Arial" w:cstheme="minorBidi"/>
                            <w:color w:val="000000" w:themeColor="text1"/>
                            <w:kern w:val="24"/>
                            <w:sz w:val="18"/>
                            <w:szCs w:val="18"/>
                          </w:rPr>
                          <w:noBreakHyphen/>
                          <w:t>regulated funds.</w:t>
                        </w:r>
                      </w:p>
                    </w:tc>
                  </w:tr>
                  <w:tr w:rsidR="00FC14FC" w14:paraId="254D7147" w14:textId="77777777" w:rsidTr="00D11B9D">
                    <w:tc>
                      <w:tcPr>
                        <w:tcW w:w="1418" w:type="dxa"/>
                        <w:shd w:val="clear" w:color="auto" w:fill="F2F2F2" w:themeFill="background1" w:themeFillShade="F2"/>
                      </w:tcPr>
                      <w:p w14:paraId="56DBF0AB"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452" w:type="dxa"/>
                        <w:shd w:val="clear" w:color="auto" w:fill="F2F2F2" w:themeFill="background1" w:themeFillShade="F2"/>
                      </w:tcPr>
                      <w:p w14:paraId="4EACB14D"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521AC75D"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685F264E"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26FF7CB2" w14:textId="77777777" w:rsidR="00FC14FC" w:rsidRPr="00B1465D" w:rsidRDefault="00FC14FC" w:rsidP="00D11B9D">
                  <w:pPr>
                    <w:pStyle w:val="Figure"/>
                    <w:spacing w:before="60" w:after="60"/>
                    <w:rPr>
                      <w:rFonts w:ascii="Arial" w:hAnsi="Arial" w:cs="Arial"/>
                      <w:sz w:val="18"/>
                      <w:szCs w:val="18"/>
                    </w:rPr>
                  </w:pPr>
                </w:p>
              </w:tc>
            </w:tr>
          </w:tbl>
          <w:p w14:paraId="17871069" w14:textId="77777777" w:rsidR="00FC14FC" w:rsidRDefault="00FC14FC" w:rsidP="00D11B9D">
            <w:pPr>
              <w:pStyle w:val="Figure"/>
            </w:pPr>
          </w:p>
        </w:tc>
      </w:tr>
      <w:tr w:rsidR="00FC14FC" w:rsidRPr="00176D3F" w14:paraId="638DA862" w14:textId="77777777" w:rsidTr="00D11B9D">
        <w:tc>
          <w:tcPr>
            <w:tcW w:w="5000" w:type="pct"/>
            <w:tcBorders>
              <w:top w:val="nil"/>
              <w:left w:val="nil"/>
              <w:bottom w:val="nil"/>
              <w:right w:val="nil"/>
            </w:tcBorders>
            <w:shd w:val="clear" w:color="auto" w:fill="auto"/>
          </w:tcPr>
          <w:p w14:paraId="4C1F3052" w14:textId="77777777" w:rsidR="00FC14FC" w:rsidRPr="00176D3F" w:rsidRDefault="00FC14FC" w:rsidP="00D11B9D">
            <w:pPr>
              <w:pStyle w:val="Note"/>
            </w:pPr>
            <w:r>
              <w:rPr>
                <w:rStyle w:val="NoteLabel"/>
              </w:rPr>
              <w:t>a</w:t>
            </w:r>
            <w:r>
              <w:t xml:space="preserve"> These coverage estimates are likely to be overestimates due to the estimation method (section 4.1).</w:t>
            </w:r>
            <w:r>
              <w:rPr>
                <w:rStyle w:val="NoteLabel"/>
              </w:rPr>
              <w:t>b</w:t>
            </w:r>
            <w:r>
              <w:t xml:space="preserve"> </w:t>
            </w:r>
            <w:r w:rsidRPr="00247263">
              <w:t>Net returns are estimated less investment fees, taxes and implicit asset</w:t>
            </w:r>
            <w:r>
              <w:t>-</w:t>
            </w:r>
            <w:r w:rsidRPr="00247263">
              <w:t>based administration fees. This means that some options may be reported gross of asset</w:t>
            </w:r>
            <w:r>
              <w:t>-</w:t>
            </w:r>
            <w:r w:rsidRPr="00247263">
              <w:t>based administration fees.</w:t>
            </w:r>
            <w:r>
              <w:t xml:space="preserve"> </w:t>
            </w:r>
            <w:r>
              <w:rPr>
                <w:rStyle w:val="NoteLabel"/>
              </w:rPr>
              <w:t>c</w:t>
            </w:r>
            <w:r>
              <w:t xml:space="preserve"> Coverage estimates are likely to be overestimates due to the estimation method (section 4.1).</w:t>
            </w:r>
            <w:r w:rsidRPr="002D557A">
              <w:t>Th</w:t>
            </w:r>
            <w:r>
              <w:t>e</w:t>
            </w:r>
            <w:r w:rsidRPr="002D557A">
              <w:t xml:space="preserve"> analysis excludes legacy products</w:t>
            </w:r>
            <w:r>
              <w:t>.</w:t>
            </w:r>
          </w:p>
        </w:tc>
      </w:tr>
      <w:tr w:rsidR="00FC14FC" w14:paraId="224AE700" w14:textId="77777777" w:rsidTr="00D11B9D">
        <w:tc>
          <w:tcPr>
            <w:tcW w:w="5000" w:type="pct"/>
            <w:tcBorders>
              <w:top w:val="nil"/>
              <w:left w:val="nil"/>
              <w:bottom w:val="single" w:sz="6" w:space="0" w:color="78A22F"/>
              <w:right w:val="nil"/>
            </w:tcBorders>
            <w:shd w:val="clear" w:color="auto" w:fill="auto"/>
          </w:tcPr>
          <w:p w14:paraId="4C819556" w14:textId="77777777" w:rsidR="00FC14FC" w:rsidRDefault="00FC14FC" w:rsidP="00D11B9D">
            <w:pPr>
              <w:pStyle w:val="Figurespace"/>
            </w:pPr>
          </w:p>
        </w:tc>
      </w:tr>
      <w:tr w:rsidR="00FC14FC" w:rsidRPr="000863A5" w14:paraId="65F8A559" w14:textId="77777777" w:rsidTr="00D11B9D">
        <w:tc>
          <w:tcPr>
            <w:tcW w:w="5000" w:type="pct"/>
            <w:tcBorders>
              <w:top w:val="single" w:sz="6" w:space="0" w:color="78A22F"/>
              <w:left w:val="nil"/>
              <w:bottom w:val="nil"/>
              <w:right w:val="nil"/>
            </w:tcBorders>
          </w:tcPr>
          <w:p w14:paraId="2E8CADEA" w14:textId="77777777" w:rsidR="00FC14FC" w:rsidRPr="00626D32" w:rsidRDefault="00FC14FC" w:rsidP="00D11B9D">
            <w:pPr>
              <w:pStyle w:val="BoxSpaceBelow"/>
            </w:pPr>
          </w:p>
        </w:tc>
      </w:tr>
    </w:tbl>
    <w:p w14:paraId="0EEC4225"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2D221AAE" w14:textId="77777777" w:rsidTr="00D11B9D">
        <w:trPr>
          <w:tblHeader/>
        </w:trPr>
        <w:tc>
          <w:tcPr>
            <w:tcW w:w="5000" w:type="pct"/>
            <w:tcBorders>
              <w:top w:val="single" w:sz="6" w:space="0" w:color="78A22F"/>
              <w:left w:val="nil"/>
              <w:bottom w:val="nil"/>
              <w:right w:val="nil"/>
            </w:tcBorders>
            <w:shd w:val="clear" w:color="auto" w:fill="auto"/>
          </w:tcPr>
          <w:p w14:paraId="18B22DC1" w14:textId="77777777" w:rsidR="00FC14FC" w:rsidRDefault="00FC14FC" w:rsidP="00D11B9D">
            <w:pPr>
              <w:pStyle w:val="FigureTitle"/>
            </w:pPr>
            <w:r w:rsidRPr="00784A05">
              <w:rPr>
                <w:b w:val="0"/>
              </w:rPr>
              <w:t xml:space="preserve">Figure </w:t>
            </w:r>
            <w:r>
              <w:rPr>
                <w:b w:val="0"/>
              </w:rPr>
              <w:t>4.17</w:t>
            </w:r>
            <w:r>
              <w:tab/>
              <w:t>Accumulation and retirement segments returns</w:t>
            </w:r>
          </w:p>
          <w:p w14:paraId="06921451" w14:textId="77777777" w:rsidR="00FC14FC" w:rsidRPr="00176D3F" w:rsidRDefault="00FC14FC" w:rsidP="00D11B9D">
            <w:pPr>
              <w:pStyle w:val="Subtitle"/>
            </w:pPr>
            <w:r>
              <w:t>Rainmaker data, 2005–2017</w:t>
            </w:r>
          </w:p>
        </w:tc>
      </w:tr>
      <w:tr w:rsidR="00FC14FC" w14:paraId="107B5E67"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C14FC" w:rsidRPr="00B1465D" w14:paraId="2C1BF2F1" w14:textId="77777777" w:rsidTr="00D11B9D">
              <w:trPr>
                <w:tblHeader/>
                <w:jc w:val="center"/>
              </w:trPr>
              <w:tc>
                <w:tcPr>
                  <w:tcW w:w="5000" w:type="pct"/>
                  <w:tcBorders>
                    <w:top w:val="nil"/>
                    <w:bottom w:val="nil"/>
                  </w:tcBorders>
                </w:tcPr>
                <w:p w14:paraId="106641FB" w14:textId="77777777" w:rsidR="00FC14FC" w:rsidRDefault="00FC14FC" w:rsidP="00D11B9D">
                  <w:pPr>
                    <w:pStyle w:val="Figure"/>
                    <w:spacing w:before="60" w:after="60"/>
                    <w:rPr>
                      <w:rFonts w:ascii="Arial" w:hAnsi="Arial" w:cs="Arial"/>
                      <w:sz w:val="18"/>
                      <w:szCs w:val="18"/>
                    </w:rPr>
                  </w:pPr>
                  <w:r w:rsidRPr="00F16724">
                    <w:rPr>
                      <w:rFonts w:ascii="Arial" w:hAnsi="Arial" w:cs="Arial"/>
                      <w:noProof/>
                      <w:sz w:val="18"/>
                      <w:szCs w:val="18"/>
                    </w:rPr>
                    <w:drawing>
                      <wp:inline distT="0" distB="0" distL="0" distR="0" wp14:anchorId="323A8B80" wp14:editId="0B066CE5">
                        <wp:extent cx="5402580" cy="2880360"/>
                        <wp:effectExtent l="0" t="0" r="0" b="0"/>
                        <wp:docPr id="27" name="Picture 27" descr="Fig 4.17. This bar chart shows the 13 year returns to the accumulation and retirement segment using Rainmaker data. It shows the accumulation segment underperforming its BP1 but not BP2, and the retirement segment outperforming both BPs." title="Accumulation and retirement segment retu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402580" cy="2880360"/>
                                </a:xfrm>
                                <a:prstGeom prst="rect">
                                  <a:avLst/>
                                </a:prstGeom>
                                <a:noFill/>
                                <a:ln>
                                  <a:noFill/>
                                </a:ln>
                              </pic:spPr>
                            </pic:pic>
                          </a:graphicData>
                        </a:graphic>
                      </wp:inline>
                    </w:drawing>
                  </w:r>
                </w:p>
                <w:tbl>
                  <w:tblPr>
                    <w:tblW w:w="0" w:type="auto"/>
                    <w:tblLook w:val="04A0" w:firstRow="1" w:lastRow="0" w:firstColumn="1" w:lastColumn="0" w:noHBand="0" w:noVBand="1"/>
                  </w:tblPr>
                  <w:tblGrid>
                    <w:gridCol w:w="1418"/>
                    <w:gridCol w:w="2452"/>
                    <w:gridCol w:w="2312"/>
                    <w:gridCol w:w="2312"/>
                  </w:tblGrid>
                  <w:tr w:rsidR="00FC14FC" w14:paraId="167CB02F" w14:textId="77777777" w:rsidTr="00D11B9D">
                    <w:tc>
                      <w:tcPr>
                        <w:tcW w:w="1418" w:type="dxa"/>
                        <w:shd w:val="clear" w:color="auto" w:fill="F2F2F2" w:themeFill="background1" w:themeFillShade="F2"/>
                      </w:tcPr>
                      <w:p w14:paraId="3DFDF993"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7076" w:type="dxa"/>
                        <w:gridSpan w:val="3"/>
                        <w:shd w:val="clear" w:color="auto" w:fill="F2F2F2" w:themeFill="background1" w:themeFillShade="F2"/>
                      </w:tcPr>
                      <w:p w14:paraId="535C4981"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PC analysis of Rainmaker</w:t>
                        </w:r>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 xml:space="preserve"> and financial market index data (various providers).</w:t>
                        </w:r>
                      </w:p>
                    </w:tc>
                  </w:tr>
                  <w:tr w:rsidR="00FC14FC" w14:paraId="255AA496" w14:textId="77777777" w:rsidTr="00D11B9D">
                    <w:tc>
                      <w:tcPr>
                        <w:tcW w:w="1418" w:type="dxa"/>
                        <w:shd w:val="clear" w:color="auto" w:fill="F2F2F2" w:themeFill="background1" w:themeFillShade="F2"/>
                      </w:tcPr>
                      <w:p w14:paraId="487FB824"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7076" w:type="dxa"/>
                        <w:gridSpan w:val="3"/>
                        <w:shd w:val="clear" w:color="auto" w:fill="F2F2F2" w:themeFill="background1" w:themeFillShade="F2"/>
                      </w:tcPr>
                      <w:p w14:paraId="66C81857"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Segment </w:t>
                        </w:r>
                        <w:r w:rsidRPr="002B579E">
                          <w:rPr>
                            <w:rFonts w:asciiTheme="minorHAnsi" w:hAnsi="Arial" w:cstheme="minorBidi"/>
                            <w:color w:val="000000" w:themeColor="text1"/>
                            <w:kern w:val="24"/>
                            <w:sz w:val="18"/>
                            <w:szCs w:val="18"/>
                          </w:rPr>
                          <w:t>tailored BP1, BP2.</w:t>
                        </w:r>
                      </w:p>
                    </w:tc>
                  </w:tr>
                  <w:tr w:rsidR="00FC14FC" w14:paraId="169D7822" w14:textId="77777777" w:rsidTr="00D11B9D">
                    <w:tc>
                      <w:tcPr>
                        <w:tcW w:w="1418" w:type="dxa"/>
                        <w:shd w:val="clear" w:color="auto" w:fill="F2F2F2" w:themeFill="background1" w:themeFillShade="F2"/>
                      </w:tcPr>
                      <w:p w14:paraId="2168E64F" w14:textId="77777777" w:rsidR="00FC14FC" w:rsidRPr="00321FA8" w:rsidRDefault="00FC14FC" w:rsidP="00D11B9D">
                        <w:pPr>
                          <w:pStyle w:val="Figure"/>
                          <w:spacing w:before="0" w:after="0"/>
                          <w:jc w:val="left"/>
                          <w:rPr>
                            <w:rStyle w:val="NoteLabel"/>
                          </w:rPr>
                        </w:pPr>
                        <w:r w:rsidRPr="002D6D85">
                          <w:rPr>
                            <w:rFonts w:asciiTheme="minorHAnsi" w:hAnsi="Arial" w:cstheme="minorBidi"/>
                            <w:b/>
                            <w:color w:val="000000" w:themeColor="text1"/>
                            <w:kern w:val="24"/>
                            <w:sz w:val="18"/>
                            <w:szCs w:val="18"/>
                          </w:rPr>
                          <w:t>Coverage</w:t>
                        </w:r>
                        <w:r>
                          <w:rPr>
                            <w:rStyle w:val="NoteLabel"/>
                          </w:rPr>
                          <w:t>a</w:t>
                        </w:r>
                      </w:p>
                    </w:tc>
                    <w:tc>
                      <w:tcPr>
                        <w:tcW w:w="7076" w:type="dxa"/>
                        <w:gridSpan w:val="3"/>
                        <w:shd w:val="clear" w:color="auto" w:fill="F2F2F2" w:themeFill="background1" w:themeFillShade="F2"/>
                      </w:tcPr>
                      <w:p w14:paraId="50583A0B"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This chart shows accumulation options from APRA</w:t>
                        </w:r>
                        <w:r>
                          <w:rPr>
                            <w:rFonts w:asciiTheme="minorHAnsi" w:hAnsi="Arial" w:cstheme="minorBidi"/>
                            <w:color w:val="000000" w:themeColor="text1"/>
                            <w:kern w:val="24"/>
                            <w:sz w:val="18"/>
                            <w:szCs w:val="18"/>
                          </w:rPr>
                          <w:noBreakHyphen/>
                          <w:t>regulated</w:t>
                        </w:r>
                        <w:r w:rsidRPr="002B579E">
                          <w:rPr>
                            <w:rFonts w:asciiTheme="minorHAnsi" w:hAnsi="Arial" w:cstheme="minorBidi"/>
                            <w:color w:val="000000" w:themeColor="text1"/>
                            <w:kern w:val="24"/>
                            <w:sz w:val="18"/>
                            <w:szCs w:val="18"/>
                          </w:rPr>
                          <w:t xml:space="preserve"> f</w:t>
                        </w:r>
                        <w:r>
                          <w:rPr>
                            <w:rFonts w:asciiTheme="minorHAnsi" w:hAnsi="Arial" w:cstheme="minorBidi"/>
                            <w:color w:val="000000" w:themeColor="text1"/>
                            <w:kern w:val="24"/>
                            <w:sz w:val="18"/>
                            <w:szCs w:val="18"/>
                          </w:rPr>
                          <w:t>unds.</w:t>
                        </w:r>
                      </w:p>
                      <w:p w14:paraId="63B78D90" w14:textId="77777777" w:rsidR="00FC14FC"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 xml:space="preserve">In </w:t>
                        </w:r>
                        <w:r w:rsidRPr="002B579E">
                          <w:rPr>
                            <w:rFonts w:asciiTheme="minorHAnsi" w:hAnsi="Arial" w:cstheme="minorBidi"/>
                            <w:color w:val="000000" w:themeColor="text1"/>
                            <w:kern w:val="24"/>
                            <w:sz w:val="18"/>
                            <w:szCs w:val="18"/>
                          </w:rPr>
                          <w:t>2004</w:t>
                        </w:r>
                        <w:r>
                          <w:rPr>
                            <w:rFonts w:asciiTheme="minorHAnsi" w:hAnsi="Arial" w:cstheme="minorBidi"/>
                            <w:color w:val="000000" w:themeColor="text1"/>
                            <w:kern w:val="24"/>
                            <w:sz w:val="18"/>
                            <w:szCs w:val="18"/>
                          </w:rPr>
                          <w:t>, funds in the dataset represented up to 30% of total assets and 42</w:t>
                        </w:r>
                        <w:r w:rsidRPr="002B579E">
                          <w:rPr>
                            <w:rFonts w:asciiTheme="minorHAnsi" w:hAnsi="Arial" w:cstheme="minorBidi"/>
                            <w:color w:val="000000" w:themeColor="text1"/>
                            <w:kern w:val="24"/>
                            <w:sz w:val="18"/>
                            <w:szCs w:val="18"/>
                          </w:rPr>
                          <w:t>% of member accounts</w:t>
                        </w:r>
                        <w:r>
                          <w:rPr>
                            <w:rFonts w:asciiTheme="minorHAnsi" w:hAnsi="Arial" w:cstheme="minorBidi"/>
                            <w:color w:val="000000" w:themeColor="text1"/>
                            <w:kern w:val="24"/>
                            <w:sz w:val="18"/>
                            <w:szCs w:val="18"/>
                          </w:rPr>
                          <w:t xml:space="preserve"> of APRA</w:t>
                        </w:r>
                        <w:r>
                          <w:rPr>
                            <w:rFonts w:asciiTheme="minorHAnsi" w:hAnsi="Arial" w:cstheme="minorBidi"/>
                            <w:color w:val="000000" w:themeColor="text1"/>
                            <w:kern w:val="24"/>
                            <w:sz w:val="18"/>
                            <w:szCs w:val="18"/>
                          </w:rPr>
                          <w:noBreakHyphen/>
                          <w:t>regulated funds</w:t>
                        </w:r>
                      </w:p>
                      <w:p w14:paraId="13BEB7CA" w14:textId="77777777" w:rsidR="00FC14FC" w:rsidRPr="008B39D4"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 xml:space="preserve">In </w:t>
                        </w:r>
                        <w:r w:rsidRPr="002B579E">
                          <w:rPr>
                            <w:rFonts w:asciiTheme="minorHAnsi" w:hAnsi="Arial" w:cstheme="minorBidi"/>
                            <w:color w:val="000000" w:themeColor="text1"/>
                            <w:kern w:val="24"/>
                            <w:sz w:val="18"/>
                            <w:szCs w:val="18"/>
                          </w:rPr>
                          <w:t>201</w:t>
                        </w:r>
                        <w:r>
                          <w:rPr>
                            <w:rFonts w:asciiTheme="minorHAnsi" w:hAnsi="Arial" w:cstheme="minorBidi"/>
                            <w:color w:val="000000" w:themeColor="text1"/>
                            <w:kern w:val="24"/>
                            <w:sz w:val="18"/>
                            <w:szCs w:val="18"/>
                          </w:rPr>
                          <w:t>7, funds in the dataset represented up to 77% of total assets and 92</w:t>
                        </w:r>
                        <w:r w:rsidRPr="002B579E">
                          <w:rPr>
                            <w:rFonts w:asciiTheme="minorHAnsi" w:hAnsi="Arial" w:cstheme="minorBidi"/>
                            <w:color w:val="000000" w:themeColor="text1"/>
                            <w:kern w:val="24"/>
                            <w:sz w:val="18"/>
                            <w:szCs w:val="18"/>
                          </w:rPr>
                          <w:t>% of member accounts</w:t>
                        </w:r>
                        <w:r>
                          <w:rPr>
                            <w:rFonts w:asciiTheme="minorHAnsi" w:hAnsi="Arial" w:cstheme="minorBidi"/>
                            <w:color w:val="000000" w:themeColor="text1"/>
                            <w:kern w:val="24"/>
                            <w:sz w:val="18"/>
                            <w:szCs w:val="18"/>
                          </w:rPr>
                          <w:t xml:space="preserve"> of APRA</w:t>
                        </w:r>
                        <w:r>
                          <w:rPr>
                            <w:rFonts w:asciiTheme="minorHAnsi" w:hAnsi="Arial" w:cstheme="minorBidi"/>
                            <w:color w:val="000000" w:themeColor="text1"/>
                            <w:kern w:val="24"/>
                            <w:sz w:val="18"/>
                            <w:szCs w:val="18"/>
                          </w:rPr>
                          <w:noBreakHyphen/>
                          <w:t>regulated funds</w:t>
                        </w:r>
                      </w:p>
                    </w:tc>
                  </w:tr>
                  <w:tr w:rsidR="00FC14FC" w14:paraId="2882AD58" w14:textId="77777777" w:rsidTr="00D11B9D">
                    <w:tc>
                      <w:tcPr>
                        <w:tcW w:w="1418" w:type="dxa"/>
                        <w:shd w:val="clear" w:color="auto" w:fill="F2F2F2" w:themeFill="background1" w:themeFillShade="F2"/>
                      </w:tcPr>
                      <w:p w14:paraId="32166939"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452" w:type="dxa"/>
                        <w:shd w:val="clear" w:color="auto" w:fill="F2F2F2" w:themeFill="background1" w:themeFillShade="F2"/>
                      </w:tcPr>
                      <w:p w14:paraId="20CF8461"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54163A74"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73CD5D56"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3840E19C" w14:textId="77777777" w:rsidR="00FC14FC" w:rsidRPr="00B1465D" w:rsidRDefault="00FC14FC" w:rsidP="00D11B9D">
                  <w:pPr>
                    <w:pStyle w:val="Figure"/>
                    <w:spacing w:before="60" w:after="60"/>
                    <w:rPr>
                      <w:rFonts w:ascii="Arial" w:hAnsi="Arial" w:cs="Arial"/>
                      <w:sz w:val="18"/>
                      <w:szCs w:val="18"/>
                    </w:rPr>
                  </w:pPr>
                </w:p>
              </w:tc>
            </w:tr>
          </w:tbl>
          <w:p w14:paraId="4743D627" w14:textId="77777777" w:rsidR="00FC14FC" w:rsidRDefault="00FC14FC" w:rsidP="00D11B9D">
            <w:pPr>
              <w:pStyle w:val="Figure"/>
            </w:pPr>
          </w:p>
        </w:tc>
      </w:tr>
      <w:tr w:rsidR="00FC14FC" w:rsidRPr="00176D3F" w14:paraId="494BC423" w14:textId="77777777" w:rsidTr="00D11B9D">
        <w:tc>
          <w:tcPr>
            <w:tcW w:w="5000" w:type="pct"/>
            <w:tcBorders>
              <w:top w:val="nil"/>
              <w:left w:val="nil"/>
              <w:bottom w:val="nil"/>
              <w:right w:val="nil"/>
            </w:tcBorders>
            <w:shd w:val="clear" w:color="auto" w:fill="auto"/>
          </w:tcPr>
          <w:p w14:paraId="67E14CCA" w14:textId="77777777" w:rsidR="00FC14FC" w:rsidRPr="00176D3F" w:rsidRDefault="00FC14FC" w:rsidP="00D11B9D">
            <w:pPr>
              <w:pStyle w:val="Note"/>
            </w:pPr>
            <w:r>
              <w:rPr>
                <w:rStyle w:val="NoteLabel"/>
              </w:rPr>
              <w:t>a</w:t>
            </w:r>
            <w:r>
              <w:t xml:space="preserve"> These coverage estimates are likely to be overestimates due to the estimation method (section 4.1). </w:t>
            </w:r>
            <w:r w:rsidRPr="002D557A">
              <w:t>Th</w:t>
            </w:r>
            <w:r>
              <w:t>e</w:t>
            </w:r>
            <w:r w:rsidRPr="002D557A">
              <w:t xml:space="preserve"> analysis excludes legacy products</w:t>
            </w:r>
            <w:r>
              <w:t>.</w:t>
            </w:r>
          </w:p>
        </w:tc>
      </w:tr>
      <w:tr w:rsidR="00FC14FC" w14:paraId="5AC5DA9E" w14:textId="77777777" w:rsidTr="00D11B9D">
        <w:tc>
          <w:tcPr>
            <w:tcW w:w="5000" w:type="pct"/>
            <w:tcBorders>
              <w:top w:val="nil"/>
              <w:left w:val="nil"/>
              <w:bottom w:val="single" w:sz="6" w:space="0" w:color="78A22F"/>
              <w:right w:val="nil"/>
            </w:tcBorders>
            <w:shd w:val="clear" w:color="auto" w:fill="auto"/>
          </w:tcPr>
          <w:p w14:paraId="7AB05BFC" w14:textId="77777777" w:rsidR="00FC14FC" w:rsidRDefault="00FC14FC" w:rsidP="00D11B9D">
            <w:pPr>
              <w:pStyle w:val="Figurespace"/>
            </w:pPr>
          </w:p>
        </w:tc>
      </w:tr>
      <w:tr w:rsidR="00FC14FC" w:rsidRPr="000863A5" w14:paraId="5FE03424" w14:textId="77777777" w:rsidTr="00D11B9D">
        <w:tc>
          <w:tcPr>
            <w:tcW w:w="5000" w:type="pct"/>
            <w:tcBorders>
              <w:top w:val="single" w:sz="6" w:space="0" w:color="78A22F"/>
              <w:left w:val="nil"/>
              <w:bottom w:val="nil"/>
              <w:right w:val="nil"/>
            </w:tcBorders>
          </w:tcPr>
          <w:p w14:paraId="7360B3D7" w14:textId="77777777" w:rsidR="00FC14FC" w:rsidRPr="00626D32" w:rsidRDefault="00FC14FC" w:rsidP="00D11B9D">
            <w:pPr>
              <w:pStyle w:val="BoxSpaceBelow"/>
            </w:pPr>
          </w:p>
        </w:tc>
      </w:tr>
    </w:tbl>
    <w:p w14:paraId="373D3ECB" w14:textId="77777777" w:rsidR="00FC14FC" w:rsidRPr="00387727" w:rsidRDefault="00FC14FC" w:rsidP="00FC14FC">
      <w:pPr>
        <w:pStyle w:val="Heading3"/>
      </w:pPr>
      <w:r w:rsidRPr="00387727">
        <w:t>Fund</w:t>
      </w:r>
      <w:r w:rsidRPr="00387727">
        <w:noBreakHyphen/>
        <w:t>level analysis</w:t>
      </w:r>
    </w:p>
    <w:p w14:paraId="439EB2EF" w14:textId="77777777" w:rsidR="00FC14FC" w:rsidRDefault="00FC14FC" w:rsidP="00FC14FC">
      <w:pPr>
        <w:pStyle w:val="BodyText"/>
      </w:pPr>
      <w:r>
        <w:t>In chapter 2, analysis on the distribution of fund performance shows that about two in five funds in the sample underperformed a tailored BP2 by more than 25 basis points. The dataset used for the analysis was based on funds with a MySuper product in 2017 that could be tracked back over earlier years. The method is robust with respect to mergers involving a larger fund absorbing a smaller fund. In cases where multiple funds were combined to form a new merged fund (with a different name), the largest of the preceding funds was linked to the new merged fund.</w:t>
      </w:r>
    </w:p>
    <w:p w14:paraId="3A4355B7" w14:textId="77777777" w:rsidR="00FC14FC" w:rsidRDefault="00FC14FC" w:rsidP="00FC14FC">
      <w:pPr>
        <w:pStyle w:val="BodyText"/>
      </w:pPr>
      <w:r>
        <w:t xml:space="preserve">However, only funds with a MySuper product were considered in this analysis so that the default asset allocation adjustments could be applied (section 4.2). An analysis was also conducted using the entire sample of funds available by fixing each fund’s asset allocation over time to their 2017 asset allocation. While the Commission prefers applying the default </w:t>
      </w:r>
      <w:r>
        <w:lastRenderedPageBreak/>
        <w:t xml:space="preserve">asset allocation adjustment, this alternative approach was undertaken to allow for an assessment of all funds in the system. </w:t>
      </w:r>
    </w:p>
    <w:p w14:paraId="443C0D9F" w14:textId="77777777" w:rsidR="00FC14FC" w:rsidRDefault="00FC14FC" w:rsidP="00FC14FC">
      <w:pPr>
        <w:pStyle w:val="BodyText"/>
      </w:pPr>
      <w:r>
        <w:t>Subject to this assumption, the analysis shows that the extent of underperformance in the system is much larger than the analysis in chapter 2 would suggest, with over 50 per cent of assets and members in underperforming funds (figure 4.18). Nonetheless, the result that retail funds are overrepresented in the underperforming funds still holds — with almost all the member accounts and assets in retail funds being in these funds (table 4.35). While a higher number of retail funds perform well above their benchmark in this analysis, all are small.</w:t>
      </w:r>
    </w:p>
    <w:p w14:paraId="4EE352D2"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40A50616" w14:textId="77777777" w:rsidTr="00D11B9D">
        <w:trPr>
          <w:tblHeader/>
        </w:trPr>
        <w:tc>
          <w:tcPr>
            <w:tcW w:w="5000" w:type="pct"/>
            <w:tcBorders>
              <w:top w:val="single" w:sz="6" w:space="0" w:color="78A22F"/>
              <w:left w:val="nil"/>
              <w:bottom w:val="nil"/>
              <w:right w:val="nil"/>
            </w:tcBorders>
            <w:shd w:val="clear" w:color="auto" w:fill="auto"/>
          </w:tcPr>
          <w:p w14:paraId="01ED15C3" w14:textId="77777777" w:rsidR="00FC14FC" w:rsidRDefault="00FC14FC" w:rsidP="00D11B9D">
            <w:pPr>
              <w:pStyle w:val="FigureTitle"/>
            </w:pPr>
            <w:r w:rsidRPr="00784A05">
              <w:rPr>
                <w:b w:val="0"/>
              </w:rPr>
              <w:t xml:space="preserve">Figure </w:t>
            </w:r>
            <w:r>
              <w:rPr>
                <w:b w:val="0"/>
              </w:rPr>
              <w:t>4.18</w:t>
            </w:r>
            <w:r>
              <w:tab/>
              <w:t>Distribution of fund performance under static asset allocations</w:t>
            </w:r>
          </w:p>
          <w:p w14:paraId="7F689AA6" w14:textId="77777777" w:rsidR="00FC14FC" w:rsidRDefault="00FC14FC" w:rsidP="00D11B9D">
            <w:pPr>
              <w:pStyle w:val="Subtitle"/>
            </w:pPr>
            <w:r>
              <w:t>Performance relative to individual funds’ benchmark portfolios, 2005–2017</w:t>
            </w:r>
          </w:p>
          <w:p w14:paraId="6B01D714" w14:textId="77777777" w:rsidR="00FC14FC" w:rsidRPr="00176D3F" w:rsidRDefault="00FC14FC" w:rsidP="00D11B9D">
            <w:pPr>
              <w:pStyle w:val="Subtitle"/>
            </w:pPr>
            <w:r>
              <w:t>Size of circles indicates the size of each fund’s assets under management</w:t>
            </w:r>
            <w:r w:rsidRPr="00784A05" w:rsidDel="00320920">
              <w:t xml:space="preserve"> </w:t>
            </w:r>
          </w:p>
        </w:tc>
      </w:tr>
      <w:tr w:rsidR="00FC14FC" w14:paraId="1A17D77C"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4CD27C2E" w14:textId="77777777" w:rsidTr="00D11B9D">
              <w:trPr>
                <w:tblHeader/>
                <w:jc w:val="center"/>
              </w:trPr>
              <w:tc>
                <w:tcPr>
                  <w:tcW w:w="5000" w:type="pct"/>
                  <w:tcBorders>
                    <w:top w:val="nil"/>
                    <w:bottom w:val="nil"/>
                  </w:tcBorders>
                </w:tcPr>
                <w:p w14:paraId="15E76285" w14:textId="77777777" w:rsidR="00FC14FC" w:rsidRDefault="00FC14FC" w:rsidP="00D11B9D">
                  <w:pPr>
                    <w:pStyle w:val="Figure"/>
                    <w:spacing w:before="60" w:after="60"/>
                    <w:rPr>
                      <w:rFonts w:ascii="Arial" w:hAnsi="Arial" w:cs="Arial"/>
                      <w:sz w:val="18"/>
                      <w:szCs w:val="18"/>
                    </w:rPr>
                  </w:pPr>
                  <w:r w:rsidRPr="00B6536A">
                    <w:rPr>
                      <w:rFonts w:ascii="Arial" w:hAnsi="Arial" w:cs="Arial"/>
                      <w:noProof/>
                      <w:sz w:val="18"/>
                      <w:szCs w:val="18"/>
                    </w:rPr>
                    <w:drawing>
                      <wp:inline distT="0" distB="0" distL="0" distR="0" wp14:anchorId="108C33EF" wp14:editId="6DB107C7">
                        <wp:extent cx="5234940" cy="4326764"/>
                        <wp:effectExtent l="0" t="0" r="0" b="0"/>
                        <wp:docPr id="10" name="Picture 10" descr="Fig 4.18. This bubble chart shows the 13 year performance of individual funds relative to a tailored BP2 using a static 2017 asset allocation. It shows 90 of the 145 funds underperforming." title="Distribution of fund performance under static asset al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238627" cy="4329811"/>
                                </a:xfrm>
                                <a:prstGeom prst="rect">
                                  <a:avLst/>
                                </a:prstGeom>
                                <a:noFill/>
                                <a:ln>
                                  <a:noFill/>
                                </a:ln>
                              </pic:spPr>
                            </pic:pic>
                          </a:graphicData>
                        </a:graphic>
                      </wp:inline>
                    </w:drawing>
                  </w:r>
                </w:p>
                <w:tbl>
                  <w:tblPr>
                    <w:tblW w:w="5000" w:type="pct"/>
                    <w:tblLook w:val="04A0" w:firstRow="1" w:lastRow="0" w:firstColumn="1" w:lastColumn="0" w:noHBand="0" w:noVBand="1"/>
                  </w:tblPr>
                  <w:tblGrid>
                    <w:gridCol w:w="1609"/>
                    <w:gridCol w:w="2788"/>
                    <w:gridCol w:w="1600"/>
                    <w:gridCol w:w="2507"/>
                  </w:tblGrid>
                  <w:tr w:rsidR="00FC14FC" w14:paraId="182CAE81" w14:textId="77777777" w:rsidTr="00D11B9D">
                    <w:tc>
                      <w:tcPr>
                        <w:tcW w:w="946" w:type="pct"/>
                        <w:shd w:val="clear" w:color="auto" w:fill="F2F2F2" w:themeFill="background1" w:themeFillShade="F2"/>
                      </w:tcPr>
                      <w:p w14:paraId="68BB4AB3"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4054" w:type="pct"/>
                        <w:gridSpan w:val="3"/>
                        <w:shd w:val="clear" w:color="auto" w:fill="F2F2F2" w:themeFill="background1" w:themeFillShade="F2"/>
                      </w:tcPr>
                      <w:p w14:paraId="742DB2AE"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unpublished APRA </w:t>
                        </w:r>
                        <w:r w:rsidRPr="00D079E5" w:rsidDel="00DF46E2">
                          <w:rPr>
                            <w:rFonts w:asciiTheme="minorHAnsi" w:hAnsi="Arial" w:cstheme="minorBidi"/>
                            <w:color w:val="000000" w:themeColor="text1"/>
                            <w:kern w:val="24"/>
                            <w:sz w:val="18"/>
                            <w:szCs w:val="18"/>
                          </w:rPr>
                          <w:t>data</w:t>
                        </w:r>
                        <w:r>
                          <w:rPr>
                            <w:rFonts w:asciiTheme="minorHAnsi" w:hAnsi="Arial" w:cstheme="minorBidi"/>
                            <w:color w:val="000000" w:themeColor="text1"/>
                            <w:kern w:val="24"/>
                            <w:sz w:val="18"/>
                            <w:szCs w:val="18"/>
                          </w:rPr>
                          <w:t xml:space="preserve"> and financial market index data (various providers).</w:t>
                        </w:r>
                      </w:p>
                    </w:tc>
                  </w:tr>
                  <w:tr w:rsidR="00FC14FC" w14:paraId="49136652" w14:textId="77777777" w:rsidTr="00D11B9D">
                    <w:tc>
                      <w:tcPr>
                        <w:tcW w:w="946" w:type="pct"/>
                        <w:shd w:val="clear" w:color="auto" w:fill="F2F2F2" w:themeFill="background1" w:themeFillShade="F2"/>
                      </w:tcPr>
                      <w:p w14:paraId="052F56EB"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4054" w:type="pct"/>
                        <w:gridSpan w:val="3"/>
                        <w:shd w:val="clear" w:color="auto" w:fill="F2F2F2" w:themeFill="background1" w:themeFillShade="F2"/>
                      </w:tcPr>
                      <w:p w14:paraId="042636DD" w14:textId="77777777" w:rsidR="00FC14FC" w:rsidRDefault="00FC14FC" w:rsidP="00D11B9D">
                        <w:pPr>
                          <w:pStyle w:val="Figure"/>
                          <w:spacing w:before="0" w:after="0"/>
                          <w:jc w:val="left"/>
                          <w:rPr>
                            <w:rFonts w:ascii="Arial" w:hAnsi="Arial" w:cs="Arial"/>
                            <w:sz w:val="18"/>
                            <w:szCs w:val="18"/>
                          </w:rPr>
                        </w:pPr>
                        <w:r>
                          <w:rPr>
                            <w:rFonts w:ascii="Arial" w:hAnsi="Arial" w:cs="Arial"/>
                            <w:sz w:val="18"/>
                            <w:szCs w:val="18"/>
                          </w:rPr>
                          <w:t>Fund tailored BP2.</w:t>
                        </w:r>
                      </w:p>
                    </w:tc>
                  </w:tr>
                  <w:tr w:rsidR="00FC14FC" w:rsidRPr="0032089A" w14:paraId="150848DD" w14:textId="77777777" w:rsidTr="00D11B9D">
                    <w:tc>
                      <w:tcPr>
                        <w:tcW w:w="946" w:type="pct"/>
                        <w:shd w:val="clear" w:color="auto" w:fill="F2F2F2" w:themeFill="background1" w:themeFillShade="F2"/>
                      </w:tcPr>
                      <w:p w14:paraId="08492DCF"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54" w:type="pct"/>
                        <w:gridSpan w:val="3"/>
                        <w:shd w:val="clear" w:color="auto" w:fill="F2F2F2" w:themeFill="background1" w:themeFillShade="F2"/>
                      </w:tcPr>
                      <w:p w14:paraId="7A6F25C1" w14:textId="77777777" w:rsidR="00FC14FC" w:rsidRPr="0032089A" w:rsidRDefault="00FC14FC" w:rsidP="00D11B9D">
                        <w:pPr>
                          <w:pStyle w:val="NormalWeb"/>
                          <w:rPr>
                            <w:color w:val="000000" w:themeColor="text1"/>
                            <w:sz w:val="18"/>
                            <w:szCs w:val="18"/>
                          </w:rPr>
                        </w:pPr>
                        <w:r w:rsidRPr="00D079E5">
                          <w:rPr>
                            <w:rFonts w:asciiTheme="minorHAnsi" w:hAnsi="Arial" w:cstheme="minorBidi"/>
                            <w:color w:val="000000" w:themeColor="text1"/>
                            <w:kern w:val="24"/>
                            <w:sz w:val="18"/>
                            <w:szCs w:val="18"/>
                          </w:rPr>
                          <w:t xml:space="preserve">All </w:t>
                        </w:r>
                        <w:r>
                          <w:rPr>
                            <w:rFonts w:asciiTheme="minorHAnsi" w:hAnsi="Arial" w:cstheme="minorBidi"/>
                            <w:color w:val="000000" w:themeColor="text1"/>
                            <w:kern w:val="24"/>
                            <w:sz w:val="18"/>
                            <w:szCs w:val="18"/>
                          </w:rPr>
                          <w:t>APRA</w:t>
                        </w:r>
                        <w:r>
                          <w:rPr>
                            <w:rFonts w:asciiTheme="minorHAnsi" w:hAnsi="Arial" w:cstheme="minorBidi"/>
                            <w:color w:val="000000" w:themeColor="text1"/>
                            <w:kern w:val="24"/>
                            <w:sz w:val="18"/>
                            <w:szCs w:val="18"/>
                          </w:rPr>
                          <w:noBreakHyphen/>
                          <w:t>regulated</w:t>
                        </w:r>
                        <w:r w:rsidRPr="00D079E5">
                          <w:rPr>
                            <w:rFonts w:asciiTheme="minorHAnsi" w:hAnsi="Arial" w:cstheme="minorBidi"/>
                            <w:color w:val="000000" w:themeColor="text1"/>
                            <w:kern w:val="24"/>
                            <w:sz w:val="18"/>
                            <w:szCs w:val="18"/>
                          </w:rPr>
                          <w:t xml:space="preserve"> </w:t>
                        </w:r>
                        <w:r>
                          <w:rPr>
                            <w:rFonts w:asciiTheme="minorHAnsi" w:hAnsi="Arial" w:cstheme="minorBidi"/>
                            <w:color w:val="000000" w:themeColor="text1"/>
                            <w:kern w:val="24"/>
                            <w:sz w:val="18"/>
                            <w:szCs w:val="18"/>
                          </w:rPr>
                          <w:t xml:space="preserve">funds which were still operating in 2017. </w:t>
                        </w:r>
                        <w:r>
                          <w:rPr>
                            <w:rFonts w:ascii="Arial" w:eastAsia="+mn-ea" w:hAnsi="Arial" w:cs="Arial"/>
                            <w:color w:val="000000" w:themeColor="text1"/>
                            <w:kern w:val="24"/>
                            <w:sz w:val="18"/>
                            <w:szCs w:val="18"/>
                          </w:rPr>
                          <w:t>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only superannuation funds</w:t>
                        </w:r>
                        <w:r>
                          <w:rPr>
                            <w:rFonts w:asciiTheme="minorHAnsi" w:hAnsi="Arial" w:cstheme="minorBidi"/>
                            <w:color w:val="000000" w:themeColor="text1"/>
                            <w:kern w:val="24"/>
                            <w:sz w:val="18"/>
                            <w:szCs w:val="18"/>
                          </w:rPr>
                          <w:t>. Over the whole system, the figure represents 145</w:t>
                        </w:r>
                        <w:r w:rsidRPr="00D079E5">
                          <w:rPr>
                            <w:rFonts w:asciiTheme="minorHAnsi" w:hAnsi="Arial" w:cstheme="minorBidi"/>
                            <w:color w:val="000000" w:themeColor="text1"/>
                            <w:kern w:val="24"/>
                            <w:sz w:val="18"/>
                            <w:szCs w:val="18"/>
                          </w:rPr>
                          <w:t xml:space="preserve"> funds</w:t>
                        </w:r>
                        <w:r>
                          <w:rPr>
                            <w:rFonts w:asciiTheme="minorHAnsi" w:hAnsi="Arial" w:cstheme="minorBidi"/>
                            <w:color w:val="000000" w:themeColor="text1"/>
                            <w:kern w:val="24"/>
                            <w:sz w:val="18"/>
                            <w:szCs w:val="18"/>
                          </w:rPr>
                          <w:t>, 52% of assets and 70</w:t>
                        </w:r>
                        <w:r w:rsidRPr="00D079E5">
                          <w:rPr>
                            <w:rFonts w:asciiTheme="minorHAnsi" w:hAnsi="Arial" w:cstheme="minorBidi"/>
                            <w:color w:val="000000" w:themeColor="text1"/>
                            <w:kern w:val="24"/>
                            <w:sz w:val="18"/>
                            <w:szCs w:val="18"/>
                          </w:rPr>
                          <w:t xml:space="preserve">% of member accounts in </w:t>
                        </w:r>
                        <w:r>
                          <w:rPr>
                            <w:rFonts w:asciiTheme="minorHAnsi" w:hAnsi="Arial" w:cstheme="minorBidi"/>
                            <w:color w:val="000000" w:themeColor="text1"/>
                            <w:kern w:val="24"/>
                            <w:sz w:val="18"/>
                            <w:szCs w:val="18"/>
                          </w:rPr>
                          <w:t>2017.</w:t>
                        </w:r>
                      </w:p>
                    </w:tc>
                  </w:tr>
                  <w:tr w:rsidR="00FC14FC" w:rsidDel="009516F9" w14:paraId="2D70FE0E" w14:textId="77777777" w:rsidTr="00D11B9D">
                    <w:tc>
                      <w:tcPr>
                        <w:tcW w:w="946" w:type="pct"/>
                        <w:shd w:val="clear" w:color="auto" w:fill="F2F2F2" w:themeFill="background1" w:themeFillShade="F2"/>
                      </w:tcPr>
                      <w:p w14:paraId="79E0018D" w14:textId="77777777" w:rsidR="00FC14FC" w:rsidRPr="00311D4D" w:rsidRDefault="00FC14FC" w:rsidP="00D11B9D">
                        <w:pPr>
                          <w:pStyle w:val="Figure"/>
                          <w:spacing w:before="0" w:after="0"/>
                          <w:jc w:val="left"/>
                          <w:rPr>
                            <w:rFonts w:ascii="Arial" w:hAnsi="Arial" w:cs="Arial"/>
                            <w:b/>
                            <w:sz w:val="18"/>
                            <w:szCs w:val="18"/>
                          </w:rPr>
                        </w:pPr>
                        <w:r w:rsidRPr="005F68B0">
                          <w:rPr>
                            <w:rFonts w:ascii="Arial" w:hAnsi="Arial" w:cs="Arial"/>
                            <w:b/>
                            <w:sz w:val="18"/>
                            <w:szCs w:val="18"/>
                          </w:rPr>
                          <w:t>Survivor bias</w:t>
                        </w:r>
                      </w:p>
                    </w:tc>
                    <w:tc>
                      <w:tcPr>
                        <w:tcW w:w="1639" w:type="pct"/>
                        <w:shd w:val="clear" w:color="auto" w:fill="F2F2F2" w:themeFill="background1" w:themeFillShade="F2"/>
                      </w:tcPr>
                      <w:p w14:paraId="21A87210" w14:textId="77777777" w:rsidR="00FC14FC" w:rsidDel="009516F9" w:rsidRDefault="00FC14FC" w:rsidP="00D11B9D">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Yes.</w:t>
                        </w:r>
                      </w:p>
                    </w:tc>
                    <w:tc>
                      <w:tcPr>
                        <w:tcW w:w="941" w:type="pct"/>
                        <w:shd w:val="clear" w:color="auto" w:fill="F2F2F2" w:themeFill="background1" w:themeFillShade="F2"/>
                      </w:tcPr>
                      <w:p w14:paraId="562CA2C2" w14:textId="77777777" w:rsidR="00FC14FC" w:rsidRPr="005F68B0" w:rsidDel="009516F9" w:rsidRDefault="00FC14FC" w:rsidP="00D11B9D">
                        <w:pPr>
                          <w:pStyle w:val="Figure"/>
                          <w:spacing w:before="0" w:after="0"/>
                          <w:jc w:val="left"/>
                          <w:rPr>
                            <w:rFonts w:asciiTheme="minorHAnsi" w:hAnsi="Arial" w:cstheme="minorBidi"/>
                            <w:b/>
                            <w:color w:val="000000" w:themeColor="text1"/>
                            <w:kern w:val="24"/>
                            <w:sz w:val="18"/>
                            <w:szCs w:val="18"/>
                          </w:rPr>
                        </w:pPr>
                        <w:r w:rsidRPr="005F68B0">
                          <w:rPr>
                            <w:rFonts w:asciiTheme="minorHAnsi" w:hAnsi="Arial" w:cstheme="minorBidi"/>
                            <w:b/>
                            <w:color w:val="000000" w:themeColor="text1"/>
                            <w:kern w:val="24"/>
                            <w:sz w:val="18"/>
                            <w:szCs w:val="18"/>
                          </w:rPr>
                          <w:t>Selection bias</w:t>
                        </w:r>
                      </w:p>
                    </w:tc>
                    <w:tc>
                      <w:tcPr>
                        <w:tcW w:w="1474" w:type="pct"/>
                        <w:shd w:val="clear" w:color="auto" w:fill="F2F2F2" w:themeFill="background1" w:themeFillShade="F2"/>
                      </w:tcPr>
                      <w:p w14:paraId="096CC93E" w14:textId="77777777" w:rsidR="00FC14FC" w:rsidDel="009516F9" w:rsidRDefault="00FC14FC" w:rsidP="00D11B9D">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r>
                  <w:tr w:rsidR="00FC14FC" w14:paraId="230D9D38" w14:textId="77777777" w:rsidTr="00D11B9D">
                    <w:tc>
                      <w:tcPr>
                        <w:tcW w:w="946" w:type="pct"/>
                        <w:shd w:val="clear" w:color="auto" w:fill="F2F2F2" w:themeFill="background1" w:themeFillShade="F2"/>
                      </w:tcPr>
                      <w:p w14:paraId="62CF3135" w14:textId="77777777" w:rsidR="00FC14FC" w:rsidRPr="0062066A" w:rsidRDefault="00FC14FC" w:rsidP="00D11B9D">
                        <w:pPr>
                          <w:pStyle w:val="Figure"/>
                          <w:spacing w:before="0" w:after="0"/>
                          <w:jc w:val="left"/>
                          <w:rPr>
                            <w:rFonts w:ascii="Arial" w:hAnsi="Arial" w:cs="Arial"/>
                            <w:b/>
                            <w:sz w:val="18"/>
                            <w:szCs w:val="18"/>
                          </w:rPr>
                        </w:pPr>
                        <w:r w:rsidRPr="0062066A">
                          <w:rPr>
                            <w:rFonts w:ascii="Arial" w:hAnsi="Arial" w:cs="Arial"/>
                            <w:b/>
                            <w:sz w:val="18"/>
                            <w:szCs w:val="18"/>
                          </w:rPr>
                          <w:t>Further results</w:t>
                        </w:r>
                      </w:p>
                    </w:tc>
                    <w:tc>
                      <w:tcPr>
                        <w:tcW w:w="4054" w:type="pct"/>
                        <w:gridSpan w:val="3"/>
                        <w:shd w:val="clear" w:color="auto" w:fill="F2F2F2" w:themeFill="background1" w:themeFillShade="F2"/>
                      </w:tcPr>
                      <w:p w14:paraId="419F9B17"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12 funds performed less than 0.25 percentage points below BP2 (0.9 million member accounts and $177.0.3 billion in assets).</w:t>
                        </w:r>
                      </w:p>
                    </w:tc>
                  </w:tr>
                </w:tbl>
                <w:p w14:paraId="5C553B58" w14:textId="77777777" w:rsidR="00FC14FC" w:rsidRPr="00B1465D" w:rsidRDefault="00FC14FC" w:rsidP="00D11B9D">
                  <w:pPr>
                    <w:pStyle w:val="Figure"/>
                    <w:spacing w:before="60" w:after="60"/>
                    <w:rPr>
                      <w:rFonts w:ascii="Arial" w:hAnsi="Arial" w:cs="Arial"/>
                      <w:sz w:val="18"/>
                      <w:szCs w:val="18"/>
                    </w:rPr>
                  </w:pPr>
                </w:p>
              </w:tc>
            </w:tr>
          </w:tbl>
          <w:p w14:paraId="41F2C90D" w14:textId="77777777" w:rsidR="00FC14FC" w:rsidRDefault="00FC14FC" w:rsidP="00D11B9D">
            <w:pPr>
              <w:pStyle w:val="Figure"/>
            </w:pPr>
          </w:p>
        </w:tc>
      </w:tr>
      <w:tr w:rsidR="00FC14FC" w14:paraId="1A6A144D" w14:textId="77777777" w:rsidTr="00D11B9D">
        <w:tc>
          <w:tcPr>
            <w:tcW w:w="5000" w:type="pct"/>
            <w:tcBorders>
              <w:top w:val="nil"/>
              <w:left w:val="nil"/>
              <w:bottom w:val="single" w:sz="6" w:space="0" w:color="78A22F"/>
              <w:right w:val="nil"/>
            </w:tcBorders>
            <w:shd w:val="clear" w:color="auto" w:fill="auto"/>
          </w:tcPr>
          <w:p w14:paraId="1FB268C5" w14:textId="77777777" w:rsidR="00FC14FC" w:rsidRDefault="00FC14FC" w:rsidP="00D11B9D">
            <w:pPr>
              <w:pStyle w:val="Figurespace"/>
            </w:pPr>
          </w:p>
        </w:tc>
      </w:tr>
      <w:tr w:rsidR="00FC14FC" w:rsidRPr="000863A5" w14:paraId="08B9CB6A" w14:textId="77777777" w:rsidTr="00D11B9D">
        <w:tc>
          <w:tcPr>
            <w:tcW w:w="5000" w:type="pct"/>
            <w:tcBorders>
              <w:top w:val="single" w:sz="6" w:space="0" w:color="78A22F"/>
              <w:left w:val="nil"/>
              <w:bottom w:val="nil"/>
              <w:right w:val="nil"/>
            </w:tcBorders>
          </w:tcPr>
          <w:p w14:paraId="7299936E" w14:textId="77777777" w:rsidR="00FC14FC" w:rsidRPr="00626D32" w:rsidRDefault="00FC14FC" w:rsidP="00D11B9D">
            <w:pPr>
              <w:pStyle w:val="BoxSpaceBelow"/>
            </w:pPr>
          </w:p>
        </w:tc>
      </w:tr>
    </w:tbl>
    <w:p w14:paraId="5ABD5D13" w14:textId="77777777" w:rsidR="00FC14FC" w:rsidRDefault="00FC14FC" w:rsidP="00FC14FC">
      <w:pPr>
        <w:pStyle w:val="BodyText"/>
      </w:pPr>
      <w:r>
        <w:t xml:space="preserve">Of the 90 underperforming funds, 52 are funds which also have a MySuper product. In other words, 38 of the underperforming funds are funds without a MySuper product. This indicates that the use of a 2017 static asset allocation results in generally higher benchmarks when compared with use of the default asset allocation adjustment. </w:t>
      </w:r>
    </w:p>
    <w:p w14:paraId="2DA88B41"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6B72F048" w14:textId="77777777" w:rsidTr="00D11B9D">
        <w:trPr>
          <w:tblHeader/>
        </w:trPr>
        <w:tc>
          <w:tcPr>
            <w:tcW w:w="5000" w:type="pct"/>
            <w:tcBorders>
              <w:top w:val="single" w:sz="6" w:space="0" w:color="78A22F"/>
              <w:left w:val="nil"/>
              <w:bottom w:val="nil"/>
              <w:right w:val="nil"/>
            </w:tcBorders>
            <w:shd w:val="clear" w:color="auto" w:fill="auto"/>
          </w:tcPr>
          <w:p w14:paraId="35F2FEED" w14:textId="77777777" w:rsidR="00FC14FC" w:rsidRDefault="00FC14FC" w:rsidP="00D11B9D">
            <w:pPr>
              <w:pStyle w:val="TableTitle"/>
            </w:pPr>
            <w:r>
              <w:rPr>
                <w:b w:val="0"/>
              </w:rPr>
              <w:t>Table 4.35</w:t>
            </w:r>
            <w:r>
              <w:tab/>
              <w:t>Composition of underperforming funds</w:t>
            </w:r>
          </w:p>
          <w:p w14:paraId="462A9A6C" w14:textId="77777777" w:rsidR="00FC14FC" w:rsidRPr="00784A05" w:rsidRDefault="00FC14FC" w:rsidP="00D11B9D">
            <w:pPr>
              <w:pStyle w:val="Subtitle"/>
            </w:pPr>
            <w:r>
              <w:t>2005–2017, with 2017 static asset allocation</w:t>
            </w:r>
          </w:p>
        </w:tc>
      </w:tr>
      <w:tr w:rsidR="00FC14FC" w14:paraId="003B6F77"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23"/>
              <w:gridCol w:w="1055"/>
              <w:gridCol w:w="1090"/>
              <w:gridCol w:w="1120"/>
              <w:gridCol w:w="1366"/>
              <w:gridCol w:w="1490"/>
              <w:gridCol w:w="1461"/>
            </w:tblGrid>
            <w:tr w:rsidR="00FC14FC" w14:paraId="5DB5F0F2" w14:textId="77777777" w:rsidTr="00D11B9D">
              <w:trPr>
                <w:tblHeader/>
              </w:trPr>
              <w:tc>
                <w:tcPr>
                  <w:tcW w:w="542" w:type="pct"/>
                  <w:tcBorders>
                    <w:top w:val="single" w:sz="6" w:space="0" w:color="BFBFBF"/>
                    <w:bottom w:val="single" w:sz="6" w:space="0" w:color="BFBFBF"/>
                  </w:tcBorders>
                  <w:shd w:val="clear" w:color="auto" w:fill="auto"/>
                  <w:tcMar>
                    <w:top w:w="28" w:type="dxa"/>
                  </w:tcMar>
                  <w:vAlign w:val="bottom"/>
                </w:tcPr>
                <w:p w14:paraId="3378EC33" w14:textId="77777777" w:rsidR="00FC14FC" w:rsidRDefault="00FC14FC" w:rsidP="00D11B9D">
                  <w:pPr>
                    <w:pStyle w:val="TableColumnHeading"/>
                    <w:jc w:val="left"/>
                  </w:pPr>
                  <w:r>
                    <w:t>Fund type</w:t>
                  </w:r>
                </w:p>
              </w:tc>
              <w:tc>
                <w:tcPr>
                  <w:tcW w:w="620" w:type="pct"/>
                  <w:tcBorders>
                    <w:top w:val="single" w:sz="6" w:space="0" w:color="BFBFBF"/>
                    <w:bottom w:val="single" w:sz="6" w:space="0" w:color="BFBFBF"/>
                  </w:tcBorders>
                  <w:vAlign w:val="bottom"/>
                </w:tcPr>
                <w:p w14:paraId="410A25B0" w14:textId="77777777" w:rsidR="00FC14FC" w:rsidRDefault="00FC14FC" w:rsidP="00D11B9D">
                  <w:pPr>
                    <w:pStyle w:val="TableColumnHeading"/>
                  </w:pPr>
                  <w:r>
                    <w:t>Number of funds in population</w:t>
                  </w:r>
                  <w:r>
                    <w:rPr>
                      <w:rStyle w:val="NoteLabel"/>
                    </w:rPr>
                    <w:t>a</w:t>
                  </w:r>
                </w:p>
              </w:tc>
              <w:tc>
                <w:tcPr>
                  <w:tcW w:w="641" w:type="pct"/>
                  <w:tcBorders>
                    <w:top w:val="single" w:sz="6" w:space="0" w:color="BFBFBF"/>
                    <w:bottom w:val="single" w:sz="6" w:space="0" w:color="BFBFBF"/>
                  </w:tcBorders>
                  <w:shd w:val="clear" w:color="auto" w:fill="auto"/>
                  <w:vAlign w:val="bottom"/>
                </w:tcPr>
                <w:p w14:paraId="3D549D84" w14:textId="77777777" w:rsidR="00FC14FC" w:rsidRPr="00185176" w:rsidRDefault="00FC14FC" w:rsidP="00D11B9D">
                  <w:pPr>
                    <w:pStyle w:val="TableColumnHeading"/>
                  </w:pPr>
                  <w:r>
                    <w:t>% of population in sample (number of funds)</w:t>
                  </w:r>
                </w:p>
              </w:tc>
              <w:tc>
                <w:tcPr>
                  <w:tcW w:w="658" w:type="pct"/>
                  <w:tcBorders>
                    <w:top w:val="single" w:sz="6" w:space="0" w:color="BFBFBF"/>
                    <w:bottom w:val="single" w:sz="6" w:space="0" w:color="BFBFBF"/>
                  </w:tcBorders>
                  <w:shd w:val="clear" w:color="auto" w:fill="auto"/>
                  <w:vAlign w:val="bottom"/>
                </w:tcPr>
                <w:p w14:paraId="722B9CDA" w14:textId="77777777" w:rsidR="00FC14FC" w:rsidRPr="00185176" w:rsidRDefault="00FC14FC" w:rsidP="00D11B9D">
                  <w:pPr>
                    <w:pStyle w:val="TableColumnHeading"/>
                  </w:pPr>
                  <w:r w:rsidRPr="00185176">
                    <w:t>Composition of under</w:t>
                  </w:r>
                  <w:r>
                    <w:t>-</w:t>
                  </w:r>
                  <w:r w:rsidRPr="00185176">
                    <w:t>performers (%)</w:t>
                  </w:r>
                </w:p>
              </w:tc>
              <w:tc>
                <w:tcPr>
                  <w:tcW w:w="803" w:type="pct"/>
                  <w:tcBorders>
                    <w:top w:val="single" w:sz="6" w:space="0" w:color="BFBFBF"/>
                    <w:bottom w:val="single" w:sz="6" w:space="0" w:color="BFBFBF"/>
                  </w:tcBorders>
                  <w:shd w:val="clear" w:color="auto" w:fill="auto"/>
                  <w:tcMar>
                    <w:top w:w="28" w:type="dxa"/>
                  </w:tcMar>
                  <w:vAlign w:val="bottom"/>
                </w:tcPr>
                <w:p w14:paraId="0E2D577A" w14:textId="77777777" w:rsidR="00FC14FC" w:rsidRDefault="00FC14FC" w:rsidP="00D11B9D">
                  <w:pPr>
                    <w:pStyle w:val="TableColumnHeading"/>
                    <w:ind w:right="28"/>
                  </w:pPr>
                  <w:r w:rsidRPr="00F42E7F">
                    <w:t>% of funds (in each fund type) that are underperforming</w:t>
                  </w:r>
                </w:p>
              </w:tc>
              <w:tc>
                <w:tcPr>
                  <w:tcW w:w="876" w:type="pct"/>
                  <w:tcBorders>
                    <w:top w:val="single" w:sz="6" w:space="0" w:color="BFBFBF"/>
                    <w:bottom w:val="single" w:sz="6" w:space="0" w:color="BFBFBF"/>
                  </w:tcBorders>
                  <w:shd w:val="clear" w:color="auto" w:fill="auto"/>
                  <w:vAlign w:val="bottom"/>
                </w:tcPr>
                <w:p w14:paraId="7C819598" w14:textId="77777777" w:rsidR="00FC14FC" w:rsidRDefault="00FC14FC" w:rsidP="00D11B9D">
                  <w:pPr>
                    <w:pStyle w:val="TableColumnHeading"/>
                    <w:ind w:right="28"/>
                  </w:pPr>
                  <w:r w:rsidRPr="00F42E7F">
                    <w:t>% of asset</w:t>
                  </w:r>
                  <w:r>
                    <w:t>s (in each fund type) in underperforming funds</w:t>
                  </w:r>
                </w:p>
              </w:tc>
              <w:tc>
                <w:tcPr>
                  <w:tcW w:w="859" w:type="pct"/>
                  <w:tcBorders>
                    <w:top w:val="single" w:sz="6" w:space="0" w:color="BFBFBF"/>
                    <w:bottom w:val="single" w:sz="6" w:space="0" w:color="BFBFBF"/>
                  </w:tcBorders>
                  <w:shd w:val="clear" w:color="auto" w:fill="auto"/>
                  <w:vAlign w:val="bottom"/>
                </w:tcPr>
                <w:p w14:paraId="1254E3DB" w14:textId="77777777" w:rsidR="00FC14FC" w:rsidRDefault="00FC14FC" w:rsidP="00D11B9D">
                  <w:pPr>
                    <w:pStyle w:val="TableColumnHeading"/>
                    <w:ind w:right="28"/>
                  </w:pPr>
                  <w:r w:rsidRPr="00F42E7F">
                    <w:t xml:space="preserve">% of accounts (in each fund type) </w:t>
                  </w:r>
                  <w:r>
                    <w:t>in underperforming funds</w:t>
                  </w:r>
                </w:p>
              </w:tc>
            </w:tr>
            <w:tr w:rsidR="00FC14FC" w14:paraId="0A94E3E1" w14:textId="77777777" w:rsidTr="00D11B9D">
              <w:tc>
                <w:tcPr>
                  <w:tcW w:w="542" w:type="pct"/>
                  <w:tcBorders>
                    <w:top w:val="single" w:sz="6" w:space="0" w:color="BFBFBF"/>
                  </w:tcBorders>
                  <w:shd w:val="clear" w:color="auto" w:fill="auto"/>
                  <w:vAlign w:val="bottom"/>
                </w:tcPr>
                <w:p w14:paraId="27E94A15" w14:textId="77777777" w:rsidR="00FC14FC" w:rsidRDefault="00FC14FC" w:rsidP="00D11B9D">
                  <w:pPr>
                    <w:pStyle w:val="TableUnitsRow"/>
                    <w:jc w:val="left"/>
                  </w:pPr>
                  <w:r>
                    <w:t>Corporate</w:t>
                  </w:r>
                </w:p>
              </w:tc>
              <w:tc>
                <w:tcPr>
                  <w:tcW w:w="620" w:type="pct"/>
                  <w:tcBorders>
                    <w:top w:val="single" w:sz="6" w:space="0" w:color="BFBFBF"/>
                  </w:tcBorders>
                  <w:vAlign w:val="bottom"/>
                </w:tcPr>
                <w:p w14:paraId="3BCBDD1F" w14:textId="77777777" w:rsidR="00FC14FC" w:rsidRDefault="00FC14FC" w:rsidP="00D11B9D">
                  <w:pPr>
                    <w:pStyle w:val="TableUnitsRow"/>
                  </w:pPr>
                  <w:r>
                    <w:t>23</w:t>
                  </w:r>
                </w:p>
              </w:tc>
              <w:tc>
                <w:tcPr>
                  <w:tcW w:w="641" w:type="pct"/>
                  <w:tcBorders>
                    <w:top w:val="single" w:sz="6" w:space="0" w:color="BFBFBF"/>
                  </w:tcBorders>
                  <w:shd w:val="clear" w:color="auto" w:fill="auto"/>
                  <w:vAlign w:val="bottom"/>
                </w:tcPr>
                <w:p w14:paraId="16EED1C5" w14:textId="77777777" w:rsidR="00FC14FC" w:rsidRDefault="00FC14FC" w:rsidP="00D11B9D">
                  <w:pPr>
                    <w:pStyle w:val="TableUnitsRow"/>
                  </w:pPr>
                  <w:r>
                    <w:t>100 (23)</w:t>
                  </w:r>
                </w:p>
              </w:tc>
              <w:tc>
                <w:tcPr>
                  <w:tcW w:w="658" w:type="pct"/>
                  <w:tcBorders>
                    <w:top w:val="single" w:sz="6" w:space="0" w:color="BFBFBF"/>
                  </w:tcBorders>
                  <w:shd w:val="clear" w:color="auto" w:fill="auto"/>
                  <w:vAlign w:val="bottom"/>
                </w:tcPr>
                <w:p w14:paraId="62F22E6F" w14:textId="77777777" w:rsidR="00FC14FC" w:rsidRDefault="00FC14FC" w:rsidP="00D11B9D">
                  <w:pPr>
                    <w:pStyle w:val="TableUnitsRow"/>
                  </w:pPr>
                  <w:r>
                    <w:t>11</w:t>
                  </w:r>
                </w:p>
              </w:tc>
              <w:tc>
                <w:tcPr>
                  <w:tcW w:w="803" w:type="pct"/>
                  <w:tcBorders>
                    <w:top w:val="single" w:sz="6" w:space="0" w:color="BFBFBF"/>
                  </w:tcBorders>
                  <w:shd w:val="clear" w:color="auto" w:fill="auto"/>
                  <w:vAlign w:val="bottom"/>
                </w:tcPr>
                <w:p w14:paraId="7FEC372E" w14:textId="77777777" w:rsidR="00FC14FC" w:rsidRDefault="00FC14FC" w:rsidP="00D11B9D">
                  <w:pPr>
                    <w:pStyle w:val="TableUnitsRow"/>
                    <w:ind w:right="28"/>
                  </w:pPr>
                  <w:r>
                    <w:t>43</w:t>
                  </w:r>
                </w:p>
              </w:tc>
              <w:tc>
                <w:tcPr>
                  <w:tcW w:w="876" w:type="pct"/>
                  <w:tcBorders>
                    <w:top w:val="single" w:sz="6" w:space="0" w:color="BFBFBF"/>
                  </w:tcBorders>
                  <w:shd w:val="clear" w:color="auto" w:fill="auto"/>
                  <w:vAlign w:val="bottom"/>
                </w:tcPr>
                <w:p w14:paraId="240DDE44" w14:textId="77777777" w:rsidR="00FC14FC" w:rsidRDefault="00FC14FC" w:rsidP="00D11B9D">
                  <w:pPr>
                    <w:pStyle w:val="TableUnitsRow"/>
                    <w:ind w:right="28"/>
                  </w:pPr>
                  <w:r>
                    <w:t>24</w:t>
                  </w:r>
                </w:p>
              </w:tc>
              <w:tc>
                <w:tcPr>
                  <w:tcW w:w="859" w:type="pct"/>
                  <w:tcBorders>
                    <w:top w:val="single" w:sz="6" w:space="0" w:color="BFBFBF"/>
                  </w:tcBorders>
                  <w:shd w:val="clear" w:color="auto" w:fill="auto"/>
                  <w:vAlign w:val="bottom"/>
                </w:tcPr>
                <w:p w14:paraId="4314A89A" w14:textId="77777777" w:rsidR="00FC14FC" w:rsidRDefault="00FC14FC" w:rsidP="00D11B9D">
                  <w:pPr>
                    <w:pStyle w:val="TableUnitsRow"/>
                    <w:ind w:right="28"/>
                  </w:pPr>
                  <w:r>
                    <w:t>22</w:t>
                  </w:r>
                </w:p>
              </w:tc>
            </w:tr>
            <w:tr w:rsidR="00FC14FC" w14:paraId="56E23D85" w14:textId="77777777" w:rsidTr="00D11B9D">
              <w:tc>
                <w:tcPr>
                  <w:tcW w:w="542" w:type="pct"/>
                  <w:shd w:val="clear" w:color="auto" w:fill="F2F2F2" w:themeFill="background1" w:themeFillShade="F2"/>
                  <w:vAlign w:val="bottom"/>
                </w:tcPr>
                <w:p w14:paraId="0CF6F09B" w14:textId="77777777" w:rsidR="00FC14FC" w:rsidRDefault="00FC14FC" w:rsidP="00D11B9D">
                  <w:pPr>
                    <w:pStyle w:val="TableBodyText"/>
                    <w:jc w:val="left"/>
                  </w:pPr>
                  <w:r>
                    <w:t>Industry</w:t>
                  </w:r>
                </w:p>
              </w:tc>
              <w:tc>
                <w:tcPr>
                  <w:tcW w:w="620" w:type="pct"/>
                  <w:shd w:val="clear" w:color="auto" w:fill="F2F2F2" w:themeFill="background1" w:themeFillShade="F2"/>
                  <w:vAlign w:val="bottom"/>
                </w:tcPr>
                <w:p w14:paraId="787910D2" w14:textId="77777777" w:rsidR="00FC14FC" w:rsidRDefault="00FC14FC" w:rsidP="00D11B9D">
                  <w:pPr>
                    <w:pStyle w:val="TableBodyText"/>
                  </w:pPr>
                  <w:r>
                    <w:t>40</w:t>
                  </w:r>
                </w:p>
              </w:tc>
              <w:tc>
                <w:tcPr>
                  <w:tcW w:w="641" w:type="pct"/>
                  <w:shd w:val="clear" w:color="auto" w:fill="F2F2F2" w:themeFill="background1" w:themeFillShade="F2"/>
                  <w:vAlign w:val="bottom"/>
                </w:tcPr>
                <w:p w14:paraId="57873010" w14:textId="77777777" w:rsidR="00FC14FC" w:rsidRDefault="00FC14FC" w:rsidP="00D11B9D">
                  <w:pPr>
                    <w:pStyle w:val="TableBodyText"/>
                  </w:pPr>
                  <w:r>
                    <w:t xml:space="preserve">100 (40) </w:t>
                  </w:r>
                </w:p>
              </w:tc>
              <w:tc>
                <w:tcPr>
                  <w:tcW w:w="658" w:type="pct"/>
                  <w:shd w:val="clear" w:color="auto" w:fill="F2F2F2" w:themeFill="background1" w:themeFillShade="F2"/>
                  <w:vAlign w:val="bottom"/>
                </w:tcPr>
                <w:p w14:paraId="784BC5AD" w14:textId="77777777" w:rsidR="00FC14FC" w:rsidRDefault="00FC14FC" w:rsidP="00D11B9D">
                  <w:pPr>
                    <w:pStyle w:val="TableBodyText"/>
                  </w:pPr>
                  <w:r>
                    <w:t>28</w:t>
                  </w:r>
                </w:p>
              </w:tc>
              <w:tc>
                <w:tcPr>
                  <w:tcW w:w="803" w:type="pct"/>
                  <w:shd w:val="clear" w:color="auto" w:fill="F2F2F2" w:themeFill="background1" w:themeFillShade="F2"/>
                  <w:vAlign w:val="bottom"/>
                </w:tcPr>
                <w:p w14:paraId="0DEB8552" w14:textId="77777777" w:rsidR="00FC14FC" w:rsidRDefault="00FC14FC" w:rsidP="00D11B9D">
                  <w:pPr>
                    <w:pStyle w:val="TableBodyText"/>
                    <w:ind w:right="28"/>
                  </w:pPr>
                  <w:r>
                    <w:t>63</w:t>
                  </w:r>
                </w:p>
              </w:tc>
              <w:tc>
                <w:tcPr>
                  <w:tcW w:w="876" w:type="pct"/>
                  <w:shd w:val="clear" w:color="auto" w:fill="F2F2F2" w:themeFill="background1" w:themeFillShade="F2"/>
                  <w:vAlign w:val="bottom"/>
                </w:tcPr>
                <w:p w14:paraId="1F665DDA" w14:textId="77777777" w:rsidR="00FC14FC" w:rsidRDefault="00FC14FC" w:rsidP="00D11B9D">
                  <w:pPr>
                    <w:pStyle w:val="TableBodyText"/>
                    <w:ind w:right="28"/>
                  </w:pPr>
                  <w:r>
                    <w:t>36</w:t>
                  </w:r>
                </w:p>
              </w:tc>
              <w:tc>
                <w:tcPr>
                  <w:tcW w:w="859" w:type="pct"/>
                  <w:shd w:val="clear" w:color="auto" w:fill="F2F2F2" w:themeFill="background1" w:themeFillShade="F2"/>
                  <w:vAlign w:val="bottom"/>
                </w:tcPr>
                <w:p w14:paraId="352B3D7A" w14:textId="77777777" w:rsidR="00FC14FC" w:rsidRDefault="00FC14FC" w:rsidP="00D11B9D">
                  <w:pPr>
                    <w:pStyle w:val="TableBodyText"/>
                    <w:ind w:right="28"/>
                  </w:pPr>
                  <w:r>
                    <w:t>45</w:t>
                  </w:r>
                </w:p>
              </w:tc>
            </w:tr>
            <w:tr w:rsidR="00FC14FC" w14:paraId="47FC5902" w14:textId="77777777" w:rsidTr="00D11B9D">
              <w:tc>
                <w:tcPr>
                  <w:tcW w:w="542" w:type="pct"/>
                  <w:shd w:val="clear" w:color="auto" w:fill="auto"/>
                  <w:vAlign w:val="bottom"/>
                </w:tcPr>
                <w:p w14:paraId="405F0D1B" w14:textId="77777777" w:rsidR="00FC14FC" w:rsidRDefault="00FC14FC" w:rsidP="00D11B9D">
                  <w:pPr>
                    <w:pStyle w:val="TableBodyText"/>
                    <w:jc w:val="left"/>
                  </w:pPr>
                  <w:r>
                    <w:t>Public Sector</w:t>
                  </w:r>
                </w:p>
              </w:tc>
              <w:tc>
                <w:tcPr>
                  <w:tcW w:w="620" w:type="pct"/>
                  <w:vAlign w:val="bottom"/>
                </w:tcPr>
                <w:p w14:paraId="19868CF8" w14:textId="77777777" w:rsidR="00FC14FC" w:rsidRDefault="00FC14FC" w:rsidP="00D11B9D">
                  <w:pPr>
                    <w:pStyle w:val="TableBodyText"/>
                  </w:pPr>
                  <w:r>
                    <w:t>17</w:t>
                  </w:r>
                </w:p>
              </w:tc>
              <w:tc>
                <w:tcPr>
                  <w:tcW w:w="641" w:type="pct"/>
                  <w:shd w:val="clear" w:color="auto" w:fill="auto"/>
                  <w:vAlign w:val="bottom"/>
                </w:tcPr>
                <w:p w14:paraId="59DAB67F" w14:textId="77777777" w:rsidR="00FC14FC" w:rsidRDefault="00FC14FC" w:rsidP="00D11B9D">
                  <w:pPr>
                    <w:pStyle w:val="TableBodyText"/>
                  </w:pPr>
                  <w:r>
                    <w:t>76 (13)</w:t>
                  </w:r>
                </w:p>
              </w:tc>
              <w:tc>
                <w:tcPr>
                  <w:tcW w:w="658" w:type="pct"/>
                  <w:shd w:val="clear" w:color="auto" w:fill="auto"/>
                  <w:vAlign w:val="bottom"/>
                </w:tcPr>
                <w:p w14:paraId="36980D04" w14:textId="77777777" w:rsidR="00FC14FC" w:rsidRDefault="00FC14FC" w:rsidP="00D11B9D">
                  <w:pPr>
                    <w:pStyle w:val="TableBodyText"/>
                  </w:pPr>
                  <w:r>
                    <w:t>8</w:t>
                  </w:r>
                </w:p>
              </w:tc>
              <w:tc>
                <w:tcPr>
                  <w:tcW w:w="803" w:type="pct"/>
                  <w:shd w:val="clear" w:color="auto" w:fill="auto"/>
                  <w:vAlign w:val="bottom"/>
                </w:tcPr>
                <w:p w14:paraId="023814FE" w14:textId="77777777" w:rsidR="00FC14FC" w:rsidRDefault="00FC14FC" w:rsidP="00D11B9D">
                  <w:pPr>
                    <w:pStyle w:val="TableBodyText"/>
                    <w:ind w:right="28"/>
                  </w:pPr>
                  <w:r>
                    <w:t>54</w:t>
                  </w:r>
                </w:p>
              </w:tc>
              <w:tc>
                <w:tcPr>
                  <w:tcW w:w="876" w:type="pct"/>
                  <w:shd w:val="clear" w:color="auto" w:fill="auto"/>
                  <w:vAlign w:val="bottom"/>
                </w:tcPr>
                <w:p w14:paraId="3C8A1324" w14:textId="77777777" w:rsidR="00FC14FC" w:rsidRDefault="00FC14FC" w:rsidP="00D11B9D">
                  <w:pPr>
                    <w:pStyle w:val="TableBodyText"/>
                    <w:ind w:right="28"/>
                  </w:pPr>
                  <w:r>
                    <w:t>29</w:t>
                  </w:r>
                </w:p>
              </w:tc>
              <w:tc>
                <w:tcPr>
                  <w:tcW w:w="859" w:type="pct"/>
                  <w:shd w:val="clear" w:color="auto" w:fill="auto"/>
                  <w:vAlign w:val="bottom"/>
                </w:tcPr>
                <w:p w14:paraId="180D0EC5" w14:textId="77777777" w:rsidR="00FC14FC" w:rsidRDefault="00FC14FC" w:rsidP="00D11B9D">
                  <w:pPr>
                    <w:pStyle w:val="TableBodyText"/>
                    <w:ind w:right="28"/>
                  </w:pPr>
                  <w:r>
                    <w:t>38</w:t>
                  </w:r>
                </w:p>
              </w:tc>
            </w:tr>
            <w:tr w:rsidR="00FC14FC" w14:paraId="0E85E546" w14:textId="77777777" w:rsidTr="00D11B9D">
              <w:tc>
                <w:tcPr>
                  <w:tcW w:w="542" w:type="pct"/>
                  <w:tcBorders>
                    <w:bottom w:val="single" w:sz="6" w:space="0" w:color="BFBFBF"/>
                  </w:tcBorders>
                  <w:shd w:val="clear" w:color="auto" w:fill="F2F2F2" w:themeFill="background1" w:themeFillShade="F2"/>
                  <w:vAlign w:val="bottom"/>
                </w:tcPr>
                <w:p w14:paraId="36EF7978" w14:textId="77777777" w:rsidR="00FC14FC" w:rsidRDefault="00FC14FC" w:rsidP="00D11B9D">
                  <w:pPr>
                    <w:pStyle w:val="TableBodyText"/>
                    <w:jc w:val="left"/>
                  </w:pPr>
                  <w:r>
                    <w:t>Retail</w:t>
                  </w:r>
                </w:p>
              </w:tc>
              <w:tc>
                <w:tcPr>
                  <w:tcW w:w="620" w:type="pct"/>
                  <w:tcBorders>
                    <w:bottom w:val="single" w:sz="6" w:space="0" w:color="BFBFBF"/>
                  </w:tcBorders>
                  <w:shd w:val="clear" w:color="auto" w:fill="F2F2F2" w:themeFill="background1" w:themeFillShade="F2"/>
                  <w:vAlign w:val="bottom"/>
                </w:tcPr>
                <w:p w14:paraId="1C13BEF9" w14:textId="77777777" w:rsidR="00FC14FC" w:rsidRDefault="00FC14FC" w:rsidP="00D11B9D">
                  <w:pPr>
                    <w:pStyle w:val="TableBodyText"/>
                  </w:pPr>
                  <w:r>
                    <w:t>107</w:t>
                  </w:r>
                </w:p>
              </w:tc>
              <w:tc>
                <w:tcPr>
                  <w:tcW w:w="641" w:type="pct"/>
                  <w:tcBorders>
                    <w:bottom w:val="single" w:sz="6" w:space="0" w:color="BFBFBF"/>
                  </w:tcBorders>
                  <w:shd w:val="clear" w:color="auto" w:fill="F2F2F2" w:themeFill="background1" w:themeFillShade="F2"/>
                  <w:vAlign w:val="bottom"/>
                </w:tcPr>
                <w:p w14:paraId="3C9209C9" w14:textId="77777777" w:rsidR="00FC14FC" w:rsidRDefault="00FC14FC" w:rsidP="00D11B9D">
                  <w:pPr>
                    <w:pStyle w:val="TableBodyText"/>
                  </w:pPr>
                  <w:r>
                    <w:t>64 (69)</w:t>
                  </w:r>
                </w:p>
              </w:tc>
              <w:tc>
                <w:tcPr>
                  <w:tcW w:w="658" w:type="pct"/>
                  <w:tcBorders>
                    <w:bottom w:val="single" w:sz="6" w:space="0" w:color="BFBFBF"/>
                  </w:tcBorders>
                  <w:shd w:val="clear" w:color="auto" w:fill="F2F2F2" w:themeFill="background1" w:themeFillShade="F2"/>
                  <w:vAlign w:val="bottom"/>
                </w:tcPr>
                <w:p w14:paraId="498E27C1" w14:textId="77777777" w:rsidR="00FC14FC" w:rsidRDefault="00FC14FC" w:rsidP="00D11B9D">
                  <w:pPr>
                    <w:pStyle w:val="TableBodyText"/>
                  </w:pPr>
                  <w:r>
                    <w:t>53</w:t>
                  </w:r>
                </w:p>
              </w:tc>
              <w:tc>
                <w:tcPr>
                  <w:tcW w:w="803" w:type="pct"/>
                  <w:tcBorders>
                    <w:bottom w:val="single" w:sz="6" w:space="0" w:color="BFBFBF"/>
                  </w:tcBorders>
                  <w:shd w:val="clear" w:color="auto" w:fill="F2F2F2" w:themeFill="background1" w:themeFillShade="F2"/>
                  <w:vAlign w:val="bottom"/>
                </w:tcPr>
                <w:p w14:paraId="6D97F8BE" w14:textId="77777777" w:rsidR="00FC14FC" w:rsidRDefault="00FC14FC" w:rsidP="00D11B9D">
                  <w:pPr>
                    <w:pStyle w:val="TableBodyText"/>
                    <w:ind w:right="28"/>
                  </w:pPr>
                  <w:r>
                    <w:t>70</w:t>
                  </w:r>
                </w:p>
              </w:tc>
              <w:tc>
                <w:tcPr>
                  <w:tcW w:w="876" w:type="pct"/>
                  <w:tcBorders>
                    <w:bottom w:val="single" w:sz="6" w:space="0" w:color="BFBFBF"/>
                  </w:tcBorders>
                  <w:shd w:val="clear" w:color="auto" w:fill="F2F2F2" w:themeFill="background1" w:themeFillShade="F2"/>
                  <w:vAlign w:val="bottom"/>
                </w:tcPr>
                <w:p w14:paraId="7A2E84DC" w14:textId="77777777" w:rsidR="00FC14FC" w:rsidRDefault="00FC14FC" w:rsidP="00D11B9D">
                  <w:pPr>
                    <w:pStyle w:val="TableBodyText"/>
                    <w:ind w:right="28"/>
                  </w:pPr>
                  <w:r>
                    <w:t>99.5</w:t>
                  </w:r>
                </w:p>
              </w:tc>
              <w:tc>
                <w:tcPr>
                  <w:tcW w:w="859" w:type="pct"/>
                  <w:tcBorders>
                    <w:bottom w:val="single" w:sz="6" w:space="0" w:color="BFBFBF"/>
                  </w:tcBorders>
                  <w:shd w:val="clear" w:color="auto" w:fill="F2F2F2" w:themeFill="background1" w:themeFillShade="F2"/>
                  <w:vAlign w:val="bottom"/>
                </w:tcPr>
                <w:p w14:paraId="65ABE53B" w14:textId="77777777" w:rsidR="00FC14FC" w:rsidRDefault="00FC14FC" w:rsidP="00D11B9D">
                  <w:pPr>
                    <w:pStyle w:val="TableBodyText"/>
                    <w:ind w:right="28"/>
                  </w:pPr>
                  <w:r>
                    <w:t>99.7</w:t>
                  </w:r>
                </w:p>
              </w:tc>
            </w:tr>
          </w:tbl>
          <w:p w14:paraId="41B963EE" w14:textId="77777777" w:rsidR="00FC14FC" w:rsidRDefault="00FC14FC" w:rsidP="00D11B9D">
            <w:pPr>
              <w:pStyle w:val="Box"/>
            </w:pPr>
          </w:p>
        </w:tc>
      </w:tr>
      <w:tr w:rsidR="00FC14FC" w14:paraId="5E8DDA9B" w14:textId="77777777" w:rsidTr="00D11B9D">
        <w:tc>
          <w:tcPr>
            <w:tcW w:w="5000" w:type="pct"/>
            <w:tcBorders>
              <w:top w:val="nil"/>
              <w:left w:val="nil"/>
              <w:bottom w:val="nil"/>
              <w:right w:val="nil"/>
            </w:tcBorders>
            <w:shd w:val="clear" w:color="auto" w:fill="auto"/>
          </w:tcPr>
          <w:p w14:paraId="032FDF15" w14:textId="77777777" w:rsidR="00FC14FC" w:rsidRDefault="00FC14FC" w:rsidP="00D11B9D">
            <w:pPr>
              <w:pStyle w:val="Note"/>
              <w:rPr>
                <w:i/>
              </w:rPr>
            </w:pPr>
            <w:r>
              <w:rPr>
                <w:rStyle w:val="NoteLabel"/>
              </w:rPr>
              <w:t>a</w:t>
            </w:r>
            <w:r>
              <w:t xml:space="preserve"> The population of funds in this table includes all APRA</w:t>
            </w:r>
            <w:r>
              <w:noBreakHyphen/>
              <w:t>regulated funds which have provided annual returns for every year over the period 2005–2017, and which are not insurance only or eligible rollover funds.</w:t>
            </w:r>
          </w:p>
        </w:tc>
      </w:tr>
      <w:tr w:rsidR="00FC14FC" w14:paraId="72827B69" w14:textId="77777777" w:rsidTr="00D11B9D">
        <w:tc>
          <w:tcPr>
            <w:tcW w:w="5000" w:type="pct"/>
            <w:tcBorders>
              <w:top w:val="nil"/>
              <w:left w:val="nil"/>
              <w:bottom w:val="nil"/>
              <w:right w:val="nil"/>
            </w:tcBorders>
            <w:shd w:val="clear" w:color="auto" w:fill="auto"/>
          </w:tcPr>
          <w:p w14:paraId="03085A72" w14:textId="77777777" w:rsidR="00FC14FC" w:rsidRDefault="00FC14FC" w:rsidP="00D11B9D">
            <w:pPr>
              <w:pStyle w:val="Source"/>
            </w:pPr>
            <w:r>
              <w:rPr>
                <w:i/>
              </w:rPr>
              <w:t>Sources</w:t>
            </w:r>
            <w:r w:rsidRPr="00167F06">
              <w:t xml:space="preserve">: </w:t>
            </w:r>
            <w:r>
              <w:rPr>
                <w:rFonts w:asciiTheme="minorHAnsi" w:cstheme="minorBidi"/>
                <w:color w:val="000000" w:themeColor="text1"/>
                <w:kern w:val="24"/>
                <w:szCs w:val="18"/>
              </w:rPr>
              <w:t xml:space="preserve">PC analysis of </w:t>
            </w:r>
            <w:r>
              <w:t>unpublished APRA data</w:t>
            </w:r>
            <w:r>
              <w:rPr>
                <w:rFonts w:asciiTheme="minorHAnsi" w:cstheme="minorBidi"/>
                <w:color w:val="000000" w:themeColor="text1"/>
                <w:kern w:val="24"/>
                <w:szCs w:val="18"/>
              </w:rPr>
              <w:t xml:space="preserve"> and financial market index data (various providers).</w:t>
            </w:r>
          </w:p>
        </w:tc>
      </w:tr>
      <w:tr w:rsidR="00FC14FC" w14:paraId="3B0A5A21" w14:textId="77777777" w:rsidTr="00D11B9D">
        <w:tc>
          <w:tcPr>
            <w:tcW w:w="5000" w:type="pct"/>
            <w:tcBorders>
              <w:top w:val="nil"/>
              <w:left w:val="nil"/>
              <w:bottom w:val="single" w:sz="6" w:space="0" w:color="78A22F"/>
              <w:right w:val="nil"/>
            </w:tcBorders>
            <w:shd w:val="clear" w:color="auto" w:fill="auto"/>
          </w:tcPr>
          <w:p w14:paraId="12C56D9A" w14:textId="77777777" w:rsidR="00FC14FC" w:rsidRDefault="00FC14FC" w:rsidP="00D11B9D">
            <w:pPr>
              <w:pStyle w:val="Box"/>
              <w:spacing w:before="0" w:line="120" w:lineRule="exact"/>
            </w:pPr>
          </w:p>
        </w:tc>
      </w:tr>
      <w:tr w:rsidR="00FC14FC" w:rsidRPr="000863A5" w14:paraId="37A33EDB" w14:textId="77777777" w:rsidTr="00D11B9D">
        <w:tc>
          <w:tcPr>
            <w:tcW w:w="5000" w:type="pct"/>
            <w:tcBorders>
              <w:top w:val="single" w:sz="6" w:space="0" w:color="78A22F"/>
              <w:left w:val="nil"/>
              <w:bottom w:val="nil"/>
              <w:right w:val="nil"/>
            </w:tcBorders>
          </w:tcPr>
          <w:p w14:paraId="17306BC6" w14:textId="77777777" w:rsidR="00FC14FC" w:rsidRPr="00626D32" w:rsidRDefault="00FC14FC" w:rsidP="00D11B9D">
            <w:pPr>
              <w:pStyle w:val="BoxSpaceBelow"/>
            </w:pPr>
          </w:p>
        </w:tc>
      </w:tr>
    </w:tbl>
    <w:p w14:paraId="0CAF2CAE" w14:textId="77777777" w:rsidR="00FC14FC" w:rsidRDefault="00FC14FC" w:rsidP="00FC14FC">
      <w:pPr>
        <w:pStyle w:val="BodyText"/>
      </w:pPr>
      <w:r>
        <w:t>The sensitivity of the results (using the default asset allocation adjustment method) to tax and administration fees was tested by varying assumptions from the use of reported tax and reported administration expense ratios. In particular, this has been done by constructing fund</w:t>
      </w:r>
      <w:r>
        <w:noBreakHyphen/>
        <w:t xml:space="preserve">tailored benchmarks using system median administration fees, or both of these, in place of the Commission’s preferred assumptions (table 4.36). </w:t>
      </w:r>
    </w:p>
    <w:p w14:paraId="3751CFE0" w14:textId="77777777" w:rsidR="00FC14FC" w:rsidRDefault="00FC14FC" w:rsidP="00FC14FC">
      <w:pPr>
        <w:pStyle w:val="BodyText"/>
      </w:pPr>
      <w:r>
        <w:t xml:space="preserve">Allowing for higher taxes and potentially higher administration fees reduces the magnitude of underperformance and increases the magnitude of performance above benchmarks, but under each set of assumptions, there remains a substantial tail of underperforming funds. In each case, retail funds are overrepresented amongst the underperforming funds. </w:t>
      </w:r>
    </w:p>
    <w:p w14:paraId="58A094D9"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FC14FC" w14:paraId="6BFD2154" w14:textId="77777777" w:rsidTr="00D11B9D">
        <w:trPr>
          <w:tblHeader/>
        </w:trPr>
        <w:tc>
          <w:tcPr>
            <w:tcW w:w="5000" w:type="pct"/>
            <w:tcBorders>
              <w:top w:val="single" w:sz="6" w:space="0" w:color="78A22F"/>
              <w:left w:val="nil"/>
              <w:bottom w:val="nil"/>
              <w:right w:val="nil"/>
            </w:tcBorders>
            <w:shd w:val="clear" w:color="auto" w:fill="auto"/>
          </w:tcPr>
          <w:p w14:paraId="237B25D2" w14:textId="77777777" w:rsidR="00FC14FC" w:rsidRDefault="00FC14FC" w:rsidP="00D11B9D">
            <w:pPr>
              <w:pStyle w:val="TableTitle"/>
            </w:pPr>
            <w:r>
              <w:rPr>
                <w:b w:val="0"/>
              </w:rPr>
              <w:t>Table 4.36</w:t>
            </w:r>
            <w:r>
              <w:tab/>
              <w:t>Fund</w:t>
            </w:r>
            <w:r>
              <w:noBreakHyphen/>
              <w:t>level tailored benchmarking</w:t>
            </w:r>
            <w:r w:rsidRPr="00DC5DB1">
              <w:rPr>
                <w:rStyle w:val="NoteLabel"/>
              </w:rPr>
              <w:t>a</w:t>
            </w:r>
          </w:p>
          <w:p w14:paraId="4666ACB9" w14:textId="77777777" w:rsidR="00FC14FC" w:rsidRPr="00784A05" w:rsidRDefault="00FC14FC" w:rsidP="00D11B9D">
            <w:pPr>
              <w:pStyle w:val="Subtitle"/>
            </w:pPr>
            <w:r>
              <w:t>Alternative approaches</w:t>
            </w:r>
          </w:p>
        </w:tc>
      </w:tr>
      <w:tr w:rsidR="00FC14FC" w14:paraId="438A5CAE" w14:textId="77777777" w:rsidTr="00D11B9D">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2535"/>
              <w:gridCol w:w="2106"/>
              <w:gridCol w:w="1932"/>
              <w:gridCol w:w="1952"/>
            </w:tblGrid>
            <w:tr w:rsidR="00FC14FC" w14:paraId="7BE818B0" w14:textId="77777777" w:rsidTr="00D11B9D">
              <w:trPr>
                <w:tblHeader/>
              </w:trPr>
              <w:tc>
                <w:tcPr>
                  <w:tcW w:w="1487" w:type="pct"/>
                  <w:tcBorders>
                    <w:top w:val="single" w:sz="6" w:space="0" w:color="BFBFBF"/>
                    <w:bottom w:val="single" w:sz="6" w:space="0" w:color="BFBFBF"/>
                  </w:tcBorders>
                  <w:shd w:val="clear" w:color="auto" w:fill="auto"/>
                  <w:tcMar>
                    <w:top w:w="28" w:type="dxa"/>
                  </w:tcMar>
                </w:tcPr>
                <w:p w14:paraId="68F47179" w14:textId="77777777" w:rsidR="00FC14FC" w:rsidRPr="00D50276" w:rsidRDefault="00FC14FC" w:rsidP="00D11B9D">
                  <w:pPr>
                    <w:pStyle w:val="TableColumnHeading"/>
                    <w:jc w:val="left"/>
                    <w:rPr>
                      <w:rFonts w:asciiTheme="minorHAnsi" w:hAnsiTheme="minorHAnsi" w:cstheme="minorHAnsi"/>
                      <w:szCs w:val="18"/>
                    </w:rPr>
                  </w:pPr>
                </w:p>
              </w:tc>
              <w:tc>
                <w:tcPr>
                  <w:tcW w:w="1235" w:type="pct"/>
                  <w:tcBorders>
                    <w:top w:val="single" w:sz="6" w:space="0" w:color="BFBFBF"/>
                    <w:bottom w:val="single" w:sz="6" w:space="0" w:color="BFBFBF"/>
                  </w:tcBorders>
                </w:tcPr>
                <w:p w14:paraId="04B226C5" w14:textId="77777777" w:rsidR="00FC14FC" w:rsidRPr="00D50276" w:rsidRDefault="00FC14FC" w:rsidP="00D11B9D">
                  <w:pPr>
                    <w:pStyle w:val="TableColumnHeading"/>
                    <w:rPr>
                      <w:rFonts w:asciiTheme="minorHAnsi" w:hAnsiTheme="minorHAnsi" w:cstheme="minorHAnsi"/>
                      <w:szCs w:val="18"/>
                    </w:rPr>
                  </w:pPr>
                </w:p>
              </w:tc>
              <w:tc>
                <w:tcPr>
                  <w:tcW w:w="1133" w:type="pct"/>
                  <w:tcBorders>
                    <w:top w:val="single" w:sz="6" w:space="0" w:color="BFBFBF"/>
                    <w:bottom w:val="single" w:sz="6" w:space="0" w:color="BFBFBF"/>
                  </w:tcBorders>
                  <w:shd w:val="clear" w:color="auto" w:fill="auto"/>
                  <w:tcMar>
                    <w:top w:w="28" w:type="dxa"/>
                  </w:tcMar>
                </w:tcPr>
                <w:p w14:paraId="4186180D" w14:textId="77777777" w:rsidR="00FC14FC" w:rsidRPr="00D50276" w:rsidRDefault="00FC14FC" w:rsidP="00D11B9D">
                  <w:pPr>
                    <w:pStyle w:val="TableColumnHeading"/>
                    <w:rPr>
                      <w:rFonts w:asciiTheme="minorHAnsi" w:hAnsiTheme="minorHAnsi" w:cstheme="minorHAnsi"/>
                      <w:szCs w:val="18"/>
                    </w:rPr>
                  </w:pPr>
                  <w:r w:rsidRPr="00D50276">
                    <w:rPr>
                      <w:rFonts w:asciiTheme="minorHAnsi" w:hAnsiTheme="minorHAnsi" w:cstheme="minorHAnsi"/>
                      <w:szCs w:val="18"/>
                    </w:rPr>
                    <w:t>Own tax, own admin expense (Baseline)</w:t>
                  </w:r>
                </w:p>
              </w:tc>
              <w:tc>
                <w:tcPr>
                  <w:tcW w:w="1145" w:type="pct"/>
                  <w:tcBorders>
                    <w:top w:val="single" w:sz="6" w:space="0" w:color="BFBFBF"/>
                    <w:bottom w:val="single" w:sz="6" w:space="0" w:color="BFBFBF"/>
                  </w:tcBorders>
                  <w:shd w:val="clear" w:color="auto" w:fill="auto"/>
                  <w:tcMar>
                    <w:top w:w="28" w:type="dxa"/>
                  </w:tcMar>
                </w:tcPr>
                <w:p w14:paraId="5055854F" w14:textId="77777777" w:rsidR="00FC14FC" w:rsidRPr="00D50276" w:rsidRDefault="00FC14FC" w:rsidP="00D11B9D">
                  <w:pPr>
                    <w:pStyle w:val="TableColumnHeading"/>
                    <w:ind w:right="28"/>
                    <w:rPr>
                      <w:rFonts w:asciiTheme="minorHAnsi" w:hAnsiTheme="minorHAnsi" w:cstheme="minorHAnsi"/>
                      <w:szCs w:val="18"/>
                    </w:rPr>
                  </w:pPr>
                  <w:r w:rsidRPr="00D50276">
                    <w:rPr>
                      <w:rFonts w:asciiTheme="minorHAnsi" w:hAnsiTheme="minorHAnsi" w:cstheme="minorHAnsi"/>
                      <w:szCs w:val="18"/>
                    </w:rPr>
                    <w:t>Own tax, system median admin expense</w:t>
                  </w:r>
                </w:p>
              </w:tc>
            </w:tr>
            <w:tr w:rsidR="00FC14FC" w14:paraId="5B147484" w14:textId="77777777" w:rsidTr="00D11B9D">
              <w:trPr>
                <w:trHeight w:val="288"/>
              </w:trPr>
              <w:tc>
                <w:tcPr>
                  <w:tcW w:w="5000" w:type="pct"/>
                  <w:gridSpan w:val="4"/>
                  <w:tcBorders>
                    <w:top w:val="single" w:sz="6" w:space="0" w:color="BFBFBF"/>
                  </w:tcBorders>
                  <w:shd w:val="clear" w:color="auto" w:fill="auto"/>
                </w:tcPr>
                <w:p w14:paraId="120814D9" w14:textId="77777777" w:rsidR="00FC14FC" w:rsidRPr="003D5B6C" w:rsidRDefault="00FC14FC" w:rsidP="00D11B9D">
                  <w:pPr>
                    <w:pStyle w:val="TableColumnHeading"/>
                    <w:jc w:val="left"/>
                    <w:rPr>
                      <w:b/>
                      <w:i w:val="0"/>
                    </w:rPr>
                  </w:pPr>
                  <w:r w:rsidRPr="003D5B6C">
                    <w:rPr>
                      <w:b/>
                      <w:i w:val="0"/>
                    </w:rPr>
                    <w:t>Number of funds in sample</w:t>
                  </w:r>
                </w:p>
              </w:tc>
            </w:tr>
            <w:tr w:rsidR="00FC14FC" w14:paraId="5DC3DFF2" w14:textId="77777777" w:rsidTr="00D11B9D">
              <w:trPr>
                <w:trHeight w:val="288"/>
              </w:trPr>
              <w:tc>
                <w:tcPr>
                  <w:tcW w:w="1487" w:type="pct"/>
                  <w:tcBorders>
                    <w:top w:val="single" w:sz="6" w:space="0" w:color="BFBFBF"/>
                  </w:tcBorders>
                  <w:shd w:val="clear" w:color="auto" w:fill="auto"/>
                </w:tcPr>
                <w:p w14:paraId="3AC6C1D2" w14:textId="77777777" w:rsidR="00FC14FC" w:rsidRDefault="00FC14FC" w:rsidP="00D11B9D">
                  <w:pPr>
                    <w:pStyle w:val="TableBodyText"/>
                    <w:spacing w:before="40"/>
                    <w:jc w:val="left"/>
                    <w:rPr>
                      <w:rFonts w:asciiTheme="minorHAnsi" w:hAnsiTheme="minorHAnsi" w:cstheme="minorHAnsi"/>
                      <w:szCs w:val="18"/>
                    </w:rPr>
                  </w:pPr>
                </w:p>
              </w:tc>
              <w:tc>
                <w:tcPr>
                  <w:tcW w:w="1235" w:type="pct"/>
                  <w:tcBorders>
                    <w:top w:val="single" w:sz="6" w:space="0" w:color="BFBFBF"/>
                  </w:tcBorders>
                  <w:shd w:val="clear" w:color="auto" w:fill="auto"/>
                  <w:vAlign w:val="bottom"/>
                </w:tcPr>
                <w:p w14:paraId="76067545" w14:textId="77777777" w:rsidR="00FC14FC" w:rsidRPr="00D50276" w:rsidRDefault="00FC14FC" w:rsidP="00D11B9D">
                  <w:pPr>
                    <w:pStyle w:val="TableBodyText"/>
                    <w:spacing w:before="40"/>
                    <w:jc w:val="left"/>
                    <w:rPr>
                      <w:rFonts w:asciiTheme="minorHAnsi" w:hAnsiTheme="minorHAnsi" w:cstheme="minorHAnsi"/>
                      <w:szCs w:val="18"/>
                    </w:rPr>
                  </w:pPr>
                  <w:r w:rsidRPr="00D50276">
                    <w:rPr>
                      <w:rFonts w:asciiTheme="minorHAnsi" w:hAnsiTheme="minorHAnsi" w:cstheme="minorHAnsi"/>
                      <w:color w:val="000000"/>
                      <w:szCs w:val="18"/>
                    </w:rPr>
                    <w:t>Corporate</w:t>
                  </w:r>
                </w:p>
              </w:tc>
              <w:tc>
                <w:tcPr>
                  <w:tcW w:w="1133" w:type="pct"/>
                  <w:tcBorders>
                    <w:top w:val="single" w:sz="6" w:space="0" w:color="BFBFBF"/>
                  </w:tcBorders>
                  <w:shd w:val="clear" w:color="auto" w:fill="auto"/>
                  <w:vAlign w:val="bottom"/>
                </w:tcPr>
                <w:p w14:paraId="70CDCC0E" w14:textId="77777777" w:rsidR="00FC14FC" w:rsidRDefault="00FC14FC" w:rsidP="00D11B9D">
                  <w:pPr>
                    <w:pStyle w:val="TableBodyText"/>
                    <w:spacing w:before="40"/>
                    <w:rPr>
                      <w:rFonts w:asciiTheme="minorHAnsi" w:hAnsiTheme="minorHAnsi" w:cstheme="minorHAnsi"/>
                      <w:color w:val="000000"/>
                      <w:szCs w:val="18"/>
                    </w:rPr>
                  </w:pPr>
                  <w:r>
                    <w:rPr>
                      <w:rFonts w:asciiTheme="minorHAnsi" w:hAnsiTheme="minorHAnsi" w:cstheme="minorHAnsi"/>
                      <w:color w:val="000000"/>
                      <w:szCs w:val="18"/>
                    </w:rPr>
                    <w:t>13</w:t>
                  </w:r>
                </w:p>
              </w:tc>
              <w:tc>
                <w:tcPr>
                  <w:tcW w:w="1145" w:type="pct"/>
                  <w:tcBorders>
                    <w:top w:val="single" w:sz="6" w:space="0" w:color="BFBFBF"/>
                  </w:tcBorders>
                  <w:shd w:val="clear" w:color="auto" w:fill="auto"/>
                  <w:vAlign w:val="bottom"/>
                </w:tcPr>
                <w:p w14:paraId="221A15D2" w14:textId="77777777" w:rsidR="00FC14FC" w:rsidRDefault="00FC14FC" w:rsidP="00D11B9D">
                  <w:pPr>
                    <w:pStyle w:val="TableBodyText"/>
                    <w:spacing w:before="40"/>
                    <w:ind w:right="28"/>
                    <w:rPr>
                      <w:rFonts w:asciiTheme="minorHAnsi" w:hAnsiTheme="minorHAnsi" w:cstheme="minorHAnsi"/>
                      <w:color w:val="000000"/>
                      <w:szCs w:val="18"/>
                    </w:rPr>
                  </w:pPr>
                  <w:r>
                    <w:rPr>
                      <w:rFonts w:asciiTheme="minorHAnsi" w:hAnsiTheme="minorHAnsi" w:cstheme="minorHAnsi"/>
                      <w:color w:val="000000"/>
                      <w:szCs w:val="18"/>
                    </w:rPr>
                    <w:t>13</w:t>
                  </w:r>
                </w:p>
              </w:tc>
            </w:tr>
            <w:tr w:rsidR="00FC14FC" w14:paraId="4D7B5E82" w14:textId="77777777" w:rsidTr="00D11B9D">
              <w:trPr>
                <w:trHeight w:val="235"/>
              </w:trPr>
              <w:tc>
                <w:tcPr>
                  <w:tcW w:w="1487" w:type="pct"/>
                  <w:shd w:val="clear" w:color="auto" w:fill="auto"/>
                </w:tcPr>
                <w:p w14:paraId="3E732BC5"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auto"/>
                  <w:vAlign w:val="bottom"/>
                </w:tcPr>
                <w:p w14:paraId="6362EAC6"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Industry </w:t>
                  </w:r>
                </w:p>
              </w:tc>
              <w:tc>
                <w:tcPr>
                  <w:tcW w:w="1133" w:type="pct"/>
                  <w:shd w:val="clear" w:color="auto" w:fill="auto"/>
                  <w:vAlign w:val="bottom"/>
                </w:tcPr>
                <w:p w14:paraId="64D58F56"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38</w:t>
                  </w:r>
                </w:p>
              </w:tc>
              <w:tc>
                <w:tcPr>
                  <w:tcW w:w="1145" w:type="pct"/>
                  <w:shd w:val="clear" w:color="auto" w:fill="auto"/>
                  <w:vAlign w:val="bottom"/>
                </w:tcPr>
                <w:p w14:paraId="6FE8B52C"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38</w:t>
                  </w:r>
                </w:p>
              </w:tc>
            </w:tr>
            <w:tr w:rsidR="00FC14FC" w14:paraId="1E4B038A" w14:textId="77777777" w:rsidTr="00D11B9D">
              <w:trPr>
                <w:trHeight w:val="248"/>
              </w:trPr>
              <w:tc>
                <w:tcPr>
                  <w:tcW w:w="1487" w:type="pct"/>
                  <w:shd w:val="clear" w:color="auto" w:fill="auto"/>
                </w:tcPr>
                <w:p w14:paraId="10E56F15"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auto"/>
                  <w:vAlign w:val="bottom"/>
                </w:tcPr>
                <w:p w14:paraId="4CE3218A"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Public Sector</w:t>
                  </w:r>
                </w:p>
              </w:tc>
              <w:tc>
                <w:tcPr>
                  <w:tcW w:w="1133" w:type="pct"/>
                  <w:shd w:val="clear" w:color="auto" w:fill="auto"/>
                  <w:vAlign w:val="bottom"/>
                </w:tcPr>
                <w:p w14:paraId="408A8BB7"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6</w:t>
                  </w:r>
                </w:p>
              </w:tc>
              <w:tc>
                <w:tcPr>
                  <w:tcW w:w="1145" w:type="pct"/>
                  <w:shd w:val="clear" w:color="auto" w:fill="auto"/>
                  <w:vAlign w:val="bottom"/>
                </w:tcPr>
                <w:p w14:paraId="1E1ECA7E"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6</w:t>
                  </w:r>
                </w:p>
              </w:tc>
            </w:tr>
            <w:tr w:rsidR="00FC14FC" w14:paraId="2558B7EA" w14:textId="77777777" w:rsidTr="00D11B9D">
              <w:trPr>
                <w:trHeight w:val="248"/>
              </w:trPr>
              <w:tc>
                <w:tcPr>
                  <w:tcW w:w="1487" w:type="pct"/>
                  <w:shd w:val="clear" w:color="auto" w:fill="auto"/>
                </w:tcPr>
                <w:p w14:paraId="3ED38EB6"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auto"/>
                  <w:vAlign w:val="bottom"/>
                </w:tcPr>
                <w:p w14:paraId="5516C431" w14:textId="77777777" w:rsidR="00FC14FC"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Retail </w:t>
                  </w:r>
                </w:p>
              </w:tc>
              <w:tc>
                <w:tcPr>
                  <w:tcW w:w="1133" w:type="pct"/>
                  <w:shd w:val="clear" w:color="auto" w:fill="auto"/>
                  <w:vAlign w:val="bottom"/>
                </w:tcPr>
                <w:p w14:paraId="6571711A" w14:textId="77777777" w:rsidR="00FC14FC"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11</w:t>
                  </w:r>
                </w:p>
              </w:tc>
              <w:tc>
                <w:tcPr>
                  <w:tcW w:w="1145" w:type="pct"/>
                  <w:shd w:val="clear" w:color="auto" w:fill="auto"/>
                  <w:vAlign w:val="bottom"/>
                </w:tcPr>
                <w:p w14:paraId="4C0CE276" w14:textId="77777777" w:rsidR="00FC14FC"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11</w:t>
                  </w:r>
                </w:p>
              </w:tc>
            </w:tr>
            <w:tr w:rsidR="00FC14FC" w14:paraId="6E6DFD0B" w14:textId="77777777" w:rsidTr="00D11B9D">
              <w:trPr>
                <w:trHeight w:val="248"/>
              </w:trPr>
              <w:tc>
                <w:tcPr>
                  <w:tcW w:w="5000" w:type="pct"/>
                  <w:gridSpan w:val="4"/>
                  <w:shd w:val="clear" w:color="auto" w:fill="F2F2F2" w:themeFill="background1" w:themeFillShade="F2"/>
                </w:tcPr>
                <w:p w14:paraId="579446D3" w14:textId="77777777" w:rsidR="00FC14FC" w:rsidRPr="003D5B6C" w:rsidRDefault="00FC14FC" w:rsidP="00D11B9D">
                  <w:pPr>
                    <w:pStyle w:val="TableColumnHeading"/>
                    <w:jc w:val="left"/>
                    <w:rPr>
                      <w:b/>
                      <w:i w:val="0"/>
                    </w:rPr>
                  </w:pPr>
                  <w:r w:rsidRPr="003D5B6C">
                    <w:rPr>
                      <w:b/>
                      <w:i w:val="0"/>
                    </w:rPr>
                    <w:t>Number of funds in population</w:t>
                  </w:r>
                  <w:r w:rsidRPr="003D5B6C">
                    <w:rPr>
                      <w:rStyle w:val="NoteLabel"/>
                      <w:i w:val="0"/>
                    </w:rPr>
                    <w:t>b</w:t>
                  </w:r>
                </w:p>
              </w:tc>
            </w:tr>
            <w:tr w:rsidR="00FC14FC" w14:paraId="198BDAB2" w14:textId="77777777" w:rsidTr="00D11B9D">
              <w:trPr>
                <w:trHeight w:val="235"/>
              </w:trPr>
              <w:tc>
                <w:tcPr>
                  <w:tcW w:w="1487" w:type="pct"/>
                  <w:shd w:val="clear" w:color="auto" w:fill="F2F2F2" w:themeFill="background1" w:themeFillShade="F2"/>
                </w:tcPr>
                <w:p w14:paraId="0C917A86" w14:textId="77777777" w:rsidR="00FC14FC" w:rsidRDefault="00FC14FC" w:rsidP="00D11B9D">
                  <w:pPr>
                    <w:pStyle w:val="TableBodyText"/>
                    <w:jc w:val="left"/>
                    <w:rPr>
                      <w:rFonts w:asciiTheme="minorHAnsi" w:hAnsiTheme="minorHAnsi" w:cstheme="minorHAnsi"/>
                      <w:color w:val="000000"/>
                      <w:szCs w:val="18"/>
                    </w:rPr>
                  </w:pPr>
                </w:p>
              </w:tc>
              <w:tc>
                <w:tcPr>
                  <w:tcW w:w="1235" w:type="pct"/>
                  <w:shd w:val="clear" w:color="auto" w:fill="F2F2F2" w:themeFill="background1" w:themeFillShade="F2"/>
                  <w:vAlign w:val="bottom"/>
                </w:tcPr>
                <w:p w14:paraId="44160CF8"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Corporate</w:t>
                  </w:r>
                </w:p>
              </w:tc>
              <w:tc>
                <w:tcPr>
                  <w:tcW w:w="1133" w:type="pct"/>
                  <w:shd w:val="clear" w:color="auto" w:fill="F2F2F2" w:themeFill="background1" w:themeFillShade="F2"/>
                  <w:vAlign w:val="bottom"/>
                </w:tcPr>
                <w:p w14:paraId="1CFC58F8"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23</w:t>
                  </w:r>
                </w:p>
              </w:tc>
              <w:tc>
                <w:tcPr>
                  <w:tcW w:w="1145" w:type="pct"/>
                  <w:shd w:val="clear" w:color="auto" w:fill="F2F2F2" w:themeFill="background1" w:themeFillShade="F2"/>
                  <w:vAlign w:val="bottom"/>
                </w:tcPr>
                <w:p w14:paraId="17EDD187"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23</w:t>
                  </w:r>
                </w:p>
              </w:tc>
            </w:tr>
            <w:tr w:rsidR="00FC14FC" w14:paraId="160CFB2A" w14:textId="77777777" w:rsidTr="00D11B9D">
              <w:trPr>
                <w:trHeight w:val="248"/>
              </w:trPr>
              <w:tc>
                <w:tcPr>
                  <w:tcW w:w="1487" w:type="pct"/>
                  <w:shd w:val="clear" w:color="auto" w:fill="F2F2F2" w:themeFill="background1" w:themeFillShade="F2"/>
                  <w:vAlign w:val="bottom"/>
                </w:tcPr>
                <w:p w14:paraId="2551B06A"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F2F2F2" w:themeFill="background1" w:themeFillShade="F2"/>
                  <w:vAlign w:val="bottom"/>
                </w:tcPr>
                <w:p w14:paraId="49E98C81"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Industry </w:t>
                  </w:r>
                </w:p>
              </w:tc>
              <w:tc>
                <w:tcPr>
                  <w:tcW w:w="1133" w:type="pct"/>
                  <w:shd w:val="clear" w:color="auto" w:fill="F2F2F2" w:themeFill="background1" w:themeFillShade="F2"/>
                  <w:vAlign w:val="bottom"/>
                </w:tcPr>
                <w:p w14:paraId="1FBFFAF8"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40</w:t>
                  </w:r>
                </w:p>
              </w:tc>
              <w:tc>
                <w:tcPr>
                  <w:tcW w:w="1145" w:type="pct"/>
                  <w:shd w:val="clear" w:color="auto" w:fill="F2F2F2" w:themeFill="background1" w:themeFillShade="F2"/>
                  <w:vAlign w:val="bottom"/>
                </w:tcPr>
                <w:p w14:paraId="230BC839"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40</w:t>
                  </w:r>
                </w:p>
              </w:tc>
            </w:tr>
            <w:tr w:rsidR="00FC14FC" w14:paraId="5322C052" w14:textId="77777777" w:rsidTr="00D11B9D">
              <w:trPr>
                <w:trHeight w:val="248"/>
              </w:trPr>
              <w:tc>
                <w:tcPr>
                  <w:tcW w:w="1487" w:type="pct"/>
                  <w:shd w:val="clear" w:color="auto" w:fill="F2F2F2" w:themeFill="background1" w:themeFillShade="F2"/>
                  <w:vAlign w:val="bottom"/>
                </w:tcPr>
                <w:p w14:paraId="0B0C468A"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F2F2F2" w:themeFill="background1" w:themeFillShade="F2"/>
                  <w:vAlign w:val="bottom"/>
                </w:tcPr>
                <w:p w14:paraId="70FACC29"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Public Sector</w:t>
                  </w:r>
                </w:p>
              </w:tc>
              <w:tc>
                <w:tcPr>
                  <w:tcW w:w="1133" w:type="pct"/>
                  <w:shd w:val="clear" w:color="auto" w:fill="F2F2F2" w:themeFill="background1" w:themeFillShade="F2"/>
                  <w:vAlign w:val="bottom"/>
                </w:tcPr>
                <w:p w14:paraId="60772B4B"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17</w:t>
                  </w:r>
                </w:p>
              </w:tc>
              <w:tc>
                <w:tcPr>
                  <w:tcW w:w="1145" w:type="pct"/>
                  <w:shd w:val="clear" w:color="auto" w:fill="F2F2F2" w:themeFill="background1" w:themeFillShade="F2"/>
                  <w:vAlign w:val="bottom"/>
                </w:tcPr>
                <w:p w14:paraId="56C4B363"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17</w:t>
                  </w:r>
                </w:p>
              </w:tc>
            </w:tr>
            <w:tr w:rsidR="00FC14FC" w14:paraId="4B7DAAD5" w14:textId="77777777" w:rsidTr="00D11B9D">
              <w:trPr>
                <w:trHeight w:val="248"/>
              </w:trPr>
              <w:tc>
                <w:tcPr>
                  <w:tcW w:w="1487" w:type="pct"/>
                  <w:shd w:val="clear" w:color="auto" w:fill="F2F2F2" w:themeFill="background1" w:themeFillShade="F2"/>
                  <w:vAlign w:val="bottom"/>
                </w:tcPr>
                <w:p w14:paraId="7738DE15" w14:textId="77777777" w:rsidR="00FC14FC" w:rsidRDefault="00FC14FC" w:rsidP="00D11B9D">
                  <w:pPr>
                    <w:pStyle w:val="TableBodyText"/>
                    <w:jc w:val="left"/>
                    <w:rPr>
                      <w:rFonts w:asciiTheme="minorHAnsi" w:hAnsiTheme="minorHAnsi" w:cstheme="minorHAnsi"/>
                      <w:szCs w:val="18"/>
                    </w:rPr>
                  </w:pPr>
                </w:p>
              </w:tc>
              <w:tc>
                <w:tcPr>
                  <w:tcW w:w="1235" w:type="pct"/>
                  <w:shd w:val="clear" w:color="auto" w:fill="F2F2F2" w:themeFill="background1" w:themeFillShade="F2"/>
                  <w:vAlign w:val="bottom"/>
                </w:tcPr>
                <w:p w14:paraId="5BACB2BB"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Retail </w:t>
                  </w:r>
                </w:p>
              </w:tc>
              <w:tc>
                <w:tcPr>
                  <w:tcW w:w="1133" w:type="pct"/>
                  <w:shd w:val="clear" w:color="auto" w:fill="F2F2F2" w:themeFill="background1" w:themeFillShade="F2"/>
                  <w:vAlign w:val="bottom"/>
                </w:tcPr>
                <w:p w14:paraId="0B518761"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107</w:t>
                  </w:r>
                </w:p>
              </w:tc>
              <w:tc>
                <w:tcPr>
                  <w:tcW w:w="1145" w:type="pct"/>
                  <w:shd w:val="clear" w:color="auto" w:fill="F2F2F2" w:themeFill="background1" w:themeFillShade="F2"/>
                  <w:vAlign w:val="bottom"/>
                </w:tcPr>
                <w:p w14:paraId="51C346BD" w14:textId="77777777" w:rsidR="00FC14FC"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107</w:t>
                  </w:r>
                </w:p>
              </w:tc>
            </w:tr>
            <w:tr w:rsidR="00FC14FC" w14:paraId="03F9878B" w14:textId="77777777" w:rsidTr="00D11B9D">
              <w:trPr>
                <w:trHeight w:val="231"/>
              </w:trPr>
              <w:tc>
                <w:tcPr>
                  <w:tcW w:w="5000" w:type="pct"/>
                  <w:gridSpan w:val="4"/>
                  <w:shd w:val="clear" w:color="auto" w:fill="auto"/>
                </w:tcPr>
                <w:p w14:paraId="2F0F95FB" w14:textId="77777777" w:rsidR="00FC14FC" w:rsidRPr="003D5B6C" w:rsidRDefault="00FC14FC" w:rsidP="00D11B9D">
                  <w:pPr>
                    <w:pStyle w:val="TableColumnHeading"/>
                    <w:jc w:val="left"/>
                    <w:rPr>
                      <w:b/>
                      <w:i w:val="0"/>
                    </w:rPr>
                  </w:pPr>
                  <w:r w:rsidRPr="003D5B6C">
                    <w:rPr>
                      <w:b/>
                      <w:i w:val="0"/>
                    </w:rPr>
                    <w:t>Funds performing above BP2</w:t>
                  </w:r>
                </w:p>
              </w:tc>
            </w:tr>
            <w:tr w:rsidR="00FC14FC" w14:paraId="7944A8ED" w14:textId="77777777" w:rsidTr="00D11B9D">
              <w:trPr>
                <w:trHeight w:val="248"/>
              </w:trPr>
              <w:tc>
                <w:tcPr>
                  <w:tcW w:w="1487" w:type="pct"/>
                  <w:shd w:val="clear" w:color="auto" w:fill="auto"/>
                </w:tcPr>
                <w:p w14:paraId="16D18C4E"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auto"/>
                </w:tcPr>
                <w:p w14:paraId="000057A5" w14:textId="77777777" w:rsidR="00FC14FC"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szCs w:val="18"/>
                    </w:rPr>
                    <w:t>Number of funds</w:t>
                  </w:r>
                </w:p>
              </w:tc>
              <w:tc>
                <w:tcPr>
                  <w:tcW w:w="1133" w:type="pct"/>
                  <w:shd w:val="clear" w:color="auto" w:fill="auto"/>
                  <w:vAlign w:val="bottom"/>
                </w:tcPr>
                <w:p w14:paraId="282EF71C"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26</w:t>
                  </w:r>
                </w:p>
              </w:tc>
              <w:tc>
                <w:tcPr>
                  <w:tcW w:w="1145" w:type="pct"/>
                  <w:shd w:val="clear" w:color="auto" w:fill="auto"/>
                  <w:vAlign w:val="bottom"/>
                </w:tcPr>
                <w:p w14:paraId="2CCAC06C"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32</w:t>
                  </w:r>
                </w:p>
              </w:tc>
            </w:tr>
            <w:tr w:rsidR="00FC14FC" w14:paraId="538C40EF" w14:textId="77777777" w:rsidTr="00D11B9D">
              <w:trPr>
                <w:trHeight w:val="235"/>
              </w:trPr>
              <w:tc>
                <w:tcPr>
                  <w:tcW w:w="1487" w:type="pct"/>
                  <w:shd w:val="clear" w:color="auto" w:fill="auto"/>
                  <w:vAlign w:val="bottom"/>
                </w:tcPr>
                <w:p w14:paraId="5A11870E" w14:textId="77777777" w:rsidR="00FC14FC" w:rsidRDefault="00FC14FC" w:rsidP="00D11B9D">
                  <w:pPr>
                    <w:pStyle w:val="TableBodyText"/>
                    <w:jc w:val="left"/>
                    <w:rPr>
                      <w:rFonts w:asciiTheme="minorHAnsi" w:hAnsiTheme="minorHAnsi" w:cstheme="minorHAnsi"/>
                      <w:szCs w:val="18"/>
                    </w:rPr>
                  </w:pPr>
                </w:p>
              </w:tc>
              <w:tc>
                <w:tcPr>
                  <w:tcW w:w="1235" w:type="pct"/>
                  <w:shd w:val="clear" w:color="auto" w:fill="auto"/>
                  <w:vAlign w:val="bottom"/>
                </w:tcPr>
                <w:p w14:paraId="6D7700C5" w14:textId="77777777" w:rsidR="00FC14FC"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Accounts (m) </w:t>
                  </w:r>
                </w:p>
              </w:tc>
              <w:tc>
                <w:tcPr>
                  <w:tcW w:w="1133" w:type="pct"/>
                  <w:shd w:val="clear" w:color="auto" w:fill="auto"/>
                  <w:vAlign w:val="bottom"/>
                </w:tcPr>
                <w:p w14:paraId="096579DC"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7.2</w:t>
                  </w:r>
                </w:p>
              </w:tc>
              <w:tc>
                <w:tcPr>
                  <w:tcW w:w="1145" w:type="pct"/>
                  <w:shd w:val="clear" w:color="auto" w:fill="auto"/>
                  <w:vAlign w:val="bottom"/>
                </w:tcPr>
                <w:p w14:paraId="15009CCE"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7.7</w:t>
                  </w:r>
                </w:p>
              </w:tc>
            </w:tr>
            <w:tr w:rsidR="00FC14FC" w14:paraId="444F8ACB" w14:textId="77777777" w:rsidTr="00D11B9D">
              <w:trPr>
                <w:trHeight w:val="248"/>
              </w:trPr>
              <w:tc>
                <w:tcPr>
                  <w:tcW w:w="1487" w:type="pct"/>
                  <w:shd w:val="clear" w:color="auto" w:fill="auto"/>
                  <w:vAlign w:val="bottom"/>
                </w:tcPr>
                <w:p w14:paraId="46A3F035"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auto"/>
                  <w:vAlign w:val="bottom"/>
                </w:tcPr>
                <w:p w14:paraId="1A4303DD"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Assets ($b)</w:t>
                  </w:r>
                </w:p>
              </w:tc>
              <w:tc>
                <w:tcPr>
                  <w:tcW w:w="1133" w:type="pct"/>
                  <w:shd w:val="clear" w:color="auto" w:fill="auto"/>
                  <w:vAlign w:val="bottom"/>
                </w:tcPr>
                <w:p w14:paraId="17F7EA43" w14:textId="77777777" w:rsidR="00FC14FC" w:rsidRPr="00D50276" w:rsidRDefault="00FC14FC" w:rsidP="00D11B9D">
                  <w:pPr>
                    <w:pStyle w:val="TableBodyText"/>
                    <w:rPr>
                      <w:rFonts w:asciiTheme="minorHAnsi" w:hAnsiTheme="minorHAnsi" w:cstheme="minorHAnsi"/>
                      <w:szCs w:val="18"/>
                    </w:rPr>
                  </w:pPr>
                  <w:r w:rsidRPr="00D50276">
                    <w:rPr>
                      <w:rFonts w:asciiTheme="minorHAnsi" w:hAnsiTheme="minorHAnsi" w:cstheme="minorHAnsi"/>
                      <w:color w:val="000000"/>
                      <w:szCs w:val="18"/>
                    </w:rPr>
                    <w:t>4</w:t>
                  </w:r>
                  <w:r>
                    <w:rPr>
                      <w:rFonts w:asciiTheme="minorHAnsi" w:hAnsiTheme="minorHAnsi" w:cstheme="minorHAnsi"/>
                      <w:color w:val="000000"/>
                      <w:szCs w:val="18"/>
                    </w:rPr>
                    <w:t>05</w:t>
                  </w:r>
                </w:p>
              </w:tc>
              <w:tc>
                <w:tcPr>
                  <w:tcW w:w="1145" w:type="pct"/>
                  <w:shd w:val="clear" w:color="auto" w:fill="auto"/>
                  <w:vAlign w:val="bottom"/>
                </w:tcPr>
                <w:p w14:paraId="1CE2CFED"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443</w:t>
                  </w:r>
                </w:p>
              </w:tc>
            </w:tr>
            <w:tr w:rsidR="00FC14FC" w14:paraId="36D09E47" w14:textId="77777777" w:rsidTr="00D11B9D">
              <w:tc>
                <w:tcPr>
                  <w:tcW w:w="5000" w:type="pct"/>
                  <w:gridSpan w:val="4"/>
                  <w:shd w:val="clear" w:color="auto" w:fill="F2F2F2" w:themeFill="background1" w:themeFillShade="F2"/>
                  <w:vAlign w:val="bottom"/>
                </w:tcPr>
                <w:p w14:paraId="3A8C6377" w14:textId="77777777" w:rsidR="00FC14FC" w:rsidRPr="003D5B6C" w:rsidRDefault="00FC14FC" w:rsidP="00D11B9D">
                  <w:pPr>
                    <w:pStyle w:val="TableColumnHeading"/>
                    <w:jc w:val="left"/>
                    <w:rPr>
                      <w:b/>
                      <w:i w:val="0"/>
                    </w:rPr>
                  </w:pPr>
                  <w:r w:rsidRPr="003D5B6C">
                    <w:rPr>
                      <w:b/>
                      <w:i w:val="0"/>
                    </w:rPr>
                    <w:t>Funds less than 0.25% under BP2</w:t>
                  </w:r>
                </w:p>
              </w:tc>
            </w:tr>
            <w:tr w:rsidR="00FC14FC" w14:paraId="4D72274A" w14:textId="77777777" w:rsidTr="00D11B9D">
              <w:trPr>
                <w:trHeight w:val="235"/>
              </w:trPr>
              <w:tc>
                <w:tcPr>
                  <w:tcW w:w="1487" w:type="pct"/>
                  <w:shd w:val="clear" w:color="auto" w:fill="F2F2F2" w:themeFill="background1" w:themeFillShade="F2"/>
                </w:tcPr>
                <w:p w14:paraId="7C54DFA8" w14:textId="77777777" w:rsidR="00FC14FC" w:rsidRDefault="00FC14FC" w:rsidP="00D11B9D">
                  <w:pPr>
                    <w:pStyle w:val="TableBodyText"/>
                    <w:jc w:val="left"/>
                    <w:rPr>
                      <w:rFonts w:asciiTheme="minorHAnsi" w:hAnsiTheme="minorHAnsi" w:cstheme="minorHAnsi"/>
                      <w:szCs w:val="18"/>
                    </w:rPr>
                  </w:pPr>
                </w:p>
              </w:tc>
              <w:tc>
                <w:tcPr>
                  <w:tcW w:w="1235" w:type="pct"/>
                  <w:shd w:val="clear" w:color="auto" w:fill="F2F2F2" w:themeFill="background1" w:themeFillShade="F2"/>
                </w:tcPr>
                <w:p w14:paraId="5F153660"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szCs w:val="18"/>
                    </w:rPr>
                    <w:t>Number of funds</w:t>
                  </w:r>
                </w:p>
              </w:tc>
              <w:tc>
                <w:tcPr>
                  <w:tcW w:w="1133" w:type="pct"/>
                  <w:shd w:val="clear" w:color="auto" w:fill="F2F2F2" w:themeFill="background1" w:themeFillShade="F2"/>
                  <w:vAlign w:val="bottom"/>
                </w:tcPr>
                <w:p w14:paraId="4BD3F4F0"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13</w:t>
                  </w:r>
                </w:p>
              </w:tc>
              <w:tc>
                <w:tcPr>
                  <w:tcW w:w="1145" w:type="pct"/>
                  <w:shd w:val="clear" w:color="auto" w:fill="F2F2F2" w:themeFill="background1" w:themeFillShade="F2"/>
                  <w:vAlign w:val="bottom"/>
                </w:tcPr>
                <w:p w14:paraId="1D6882E4"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7</w:t>
                  </w:r>
                </w:p>
              </w:tc>
            </w:tr>
            <w:tr w:rsidR="00FC14FC" w14:paraId="3CBE0281" w14:textId="77777777" w:rsidTr="00D11B9D">
              <w:trPr>
                <w:trHeight w:val="248"/>
              </w:trPr>
              <w:tc>
                <w:tcPr>
                  <w:tcW w:w="1487" w:type="pct"/>
                  <w:shd w:val="clear" w:color="auto" w:fill="F2F2F2" w:themeFill="background1" w:themeFillShade="F2"/>
                </w:tcPr>
                <w:p w14:paraId="2F5A2025"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F2F2F2" w:themeFill="background1" w:themeFillShade="F2"/>
                  <w:vAlign w:val="bottom"/>
                </w:tcPr>
                <w:p w14:paraId="2F8FF240"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Accounts (m) </w:t>
                  </w:r>
                </w:p>
              </w:tc>
              <w:tc>
                <w:tcPr>
                  <w:tcW w:w="1133" w:type="pct"/>
                  <w:shd w:val="clear" w:color="auto" w:fill="F2F2F2" w:themeFill="background1" w:themeFillShade="F2"/>
                  <w:vAlign w:val="bottom"/>
                </w:tcPr>
                <w:p w14:paraId="404D4DAD"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2.4</w:t>
                  </w:r>
                </w:p>
              </w:tc>
              <w:tc>
                <w:tcPr>
                  <w:tcW w:w="1145" w:type="pct"/>
                  <w:shd w:val="clear" w:color="auto" w:fill="F2F2F2" w:themeFill="background1" w:themeFillShade="F2"/>
                  <w:vAlign w:val="bottom"/>
                </w:tcPr>
                <w:p w14:paraId="70A9CA2D" w14:textId="77777777" w:rsidR="00FC14FC" w:rsidRPr="00D50276" w:rsidRDefault="00FC14FC" w:rsidP="00D11B9D">
                  <w:pPr>
                    <w:pStyle w:val="TableBodyText"/>
                    <w:ind w:right="28"/>
                    <w:rPr>
                      <w:rFonts w:asciiTheme="minorHAnsi" w:hAnsiTheme="minorHAnsi" w:cstheme="minorHAnsi"/>
                      <w:szCs w:val="18"/>
                    </w:rPr>
                  </w:pPr>
                  <w:r w:rsidRPr="00D50276">
                    <w:rPr>
                      <w:rFonts w:asciiTheme="minorHAnsi" w:hAnsiTheme="minorHAnsi" w:cstheme="minorHAnsi"/>
                      <w:color w:val="000000"/>
                      <w:szCs w:val="18"/>
                    </w:rPr>
                    <w:t>0.</w:t>
                  </w:r>
                  <w:r>
                    <w:rPr>
                      <w:rFonts w:asciiTheme="minorHAnsi" w:hAnsiTheme="minorHAnsi" w:cstheme="minorHAnsi"/>
                      <w:color w:val="000000"/>
                      <w:szCs w:val="18"/>
                    </w:rPr>
                    <w:t>4</w:t>
                  </w:r>
                </w:p>
              </w:tc>
            </w:tr>
            <w:tr w:rsidR="00FC14FC" w14:paraId="4B3084CB" w14:textId="77777777" w:rsidTr="00D11B9D">
              <w:trPr>
                <w:trHeight w:val="248"/>
              </w:trPr>
              <w:tc>
                <w:tcPr>
                  <w:tcW w:w="1487" w:type="pct"/>
                  <w:shd w:val="clear" w:color="auto" w:fill="F2F2F2" w:themeFill="background1" w:themeFillShade="F2"/>
                </w:tcPr>
                <w:p w14:paraId="6072E6E7" w14:textId="77777777" w:rsidR="00FC14FC" w:rsidRPr="00ED3723" w:rsidRDefault="00FC14FC" w:rsidP="00D11B9D">
                  <w:pPr>
                    <w:pStyle w:val="TableBodyText"/>
                    <w:jc w:val="left"/>
                    <w:rPr>
                      <w:rFonts w:asciiTheme="minorHAnsi" w:hAnsiTheme="minorHAnsi" w:cstheme="minorHAnsi"/>
                      <w:szCs w:val="18"/>
                    </w:rPr>
                  </w:pPr>
                </w:p>
              </w:tc>
              <w:tc>
                <w:tcPr>
                  <w:tcW w:w="1235" w:type="pct"/>
                  <w:shd w:val="clear" w:color="auto" w:fill="F2F2F2" w:themeFill="background1" w:themeFillShade="F2"/>
                  <w:vAlign w:val="bottom"/>
                </w:tcPr>
                <w:p w14:paraId="3311162B"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Assets ($b)</w:t>
                  </w:r>
                </w:p>
              </w:tc>
              <w:tc>
                <w:tcPr>
                  <w:tcW w:w="1133" w:type="pct"/>
                  <w:shd w:val="clear" w:color="auto" w:fill="F2F2F2" w:themeFill="background1" w:themeFillShade="F2"/>
                  <w:vAlign w:val="bottom"/>
                </w:tcPr>
                <w:p w14:paraId="318C38D4"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85</w:t>
                  </w:r>
                </w:p>
              </w:tc>
              <w:tc>
                <w:tcPr>
                  <w:tcW w:w="1145" w:type="pct"/>
                  <w:shd w:val="clear" w:color="auto" w:fill="F2F2F2" w:themeFill="background1" w:themeFillShade="F2"/>
                  <w:vAlign w:val="bottom"/>
                </w:tcPr>
                <w:p w14:paraId="6B6CE23F"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23</w:t>
                  </w:r>
                </w:p>
              </w:tc>
            </w:tr>
            <w:tr w:rsidR="00FC14FC" w14:paraId="3FB2DDFD" w14:textId="77777777" w:rsidTr="00D11B9D">
              <w:tc>
                <w:tcPr>
                  <w:tcW w:w="5000" w:type="pct"/>
                  <w:gridSpan w:val="4"/>
                  <w:shd w:val="clear" w:color="auto" w:fill="auto"/>
                  <w:vAlign w:val="bottom"/>
                </w:tcPr>
                <w:p w14:paraId="1F634DF8" w14:textId="77777777" w:rsidR="00FC14FC" w:rsidRPr="003D5B6C" w:rsidRDefault="00FC14FC" w:rsidP="00D11B9D">
                  <w:pPr>
                    <w:pStyle w:val="TableColumnHeading"/>
                    <w:jc w:val="left"/>
                    <w:rPr>
                      <w:b/>
                      <w:i w:val="0"/>
                    </w:rPr>
                  </w:pPr>
                  <w:r w:rsidRPr="003D5B6C">
                    <w:rPr>
                      <w:b/>
                      <w:i w:val="0"/>
                    </w:rPr>
                    <w:t>Underperforming funds</w:t>
                  </w:r>
                  <w:r>
                    <w:rPr>
                      <w:b/>
                      <w:i w:val="0"/>
                    </w:rPr>
                    <w:t xml:space="preserve"> </w:t>
                  </w:r>
                  <w:r w:rsidRPr="003D5B6C">
                    <w:rPr>
                      <w:b/>
                      <w:i w:val="0"/>
                    </w:rPr>
                    <w:t>(under BP2 – 0.25%)</w:t>
                  </w:r>
                </w:p>
              </w:tc>
            </w:tr>
            <w:tr w:rsidR="00FC14FC" w14:paraId="144A91C8" w14:textId="77777777" w:rsidTr="00D11B9D">
              <w:trPr>
                <w:trHeight w:val="235"/>
              </w:trPr>
              <w:tc>
                <w:tcPr>
                  <w:tcW w:w="1487" w:type="pct"/>
                  <w:shd w:val="clear" w:color="auto" w:fill="auto"/>
                </w:tcPr>
                <w:p w14:paraId="4BFB03E8" w14:textId="77777777" w:rsidR="00FC14FC" w:rsidRPr="00D50276" w:rsidRDefault="00FC14FC" w:rsidP="00D11B9D">
                  <w:pPr>
                    <w:pStyle w:val="TableBodyText"/>
                    <w:jc w:val="left"/>
                    <w:rPr>
                      <w:rFonts w:asciiTheme="minorHAnsi" w:hAnsiTheme="minorHAnsi" w:cstheme="minorHAnsi"/>
                      <w:szCs w:val="18"/>
                    </w:rPr>
                  </w:pPr>
                </w:p>
              </w:tc>
              <w:tc>
                <w:tcPr>
                  <w:tcW w:w="1235" w:type="pct"/>
                  <w:shd w:val="clear" w:color="auto" w:fill="auto"/>
                </w:tcPr>
                <w:p w14:paraId="77D1C2AE" w14:textId="77777777" w:rsidR="00FC14FC"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szCs w:val="18"/>
                    </w:rPr>
                    <w:t>Number of funds</w:t>
                  </w:r>
                </w:p>
              </w:tc>
              <w:tc>
                <w:tcPr>
                  <w:tcW w:w="1133" w:type="pct"/>
                  <w:shd w:val="clear" w:color="auto" w:fill="auto"/>
                  <w:vAlign w:val="bottom"/>
                </w:tcPr>
                <w:p w14:paraId="45268087" w14:textId="77777777" w:rsidR="00FC14FC" w:rsidRDefault="00FC14FC" w:rsidP="00D11B9D">
                  <w:pPr>
                    <w:pStyle w:val="TableBodyText"/>
                    <w:rPr>
                      <w:rFonts w:asciiTheme="minorHAnsi" w:hAnsiTheme="minorHAnsi" w:cstheme="minorHAnsi"/>
                      <w:color w:val="000000"/>
                      <w:szCs w:val="18"/>
                    </w:rPr>
                  </w:pPr>
                  <w:r w:rsidRPr="00D50276">
                    <w:rPr>
                      <w:rFonts w:asciiTheme="minorHAnsi" w:hAnsiTheme="minorHAnsi" w:cstheme="minorHAnsi"/>
                      <w:color w:val="000000"/>
                      <w:szCs w:val="18"/>
                    </w:rPr>
                    <w:t>2</w:t>
                  </w:r>
                  <w:r>
                    <w:rPr>
                      <w:rFonts w:asciiTheme="minorHAnsi" w:hAnsiTheme="minorHAnsi" w:cstheme="minorHAnsi"/>
                      <w:color w:val="000000"/>
                      <w:szCs w:val="18"/>
                    </w:rPr>
                    <w:t>9</w:t>
                  </w:r>
                </w:p>
              </w:tc>
              <w:tc>
                <w:tcPr>
                  <w:tcW w:w="1145" w:type="pct"/>
                  <w:shd w:val="clear" w:color="auto" w:fill="auto"/>
                  <w:vAlign w:val="bottom"/>
                </w:tcPr>
                <w:p w14:paraId="711D837F"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29</w:t>
                  </w:r>
                </w:p>
              </w:tc>
            </w:tr>
            <w:tr w:rsidR="00FC14FC" w14:paraId="348E9D2B" w14:textId="77777777" w:rsidTr="00D11B9D">
              <w:trPr>
                <w:trHeight w:val="248"/>
              </w:trPr>
              <w:tc>
                <w:tcPr>
                  <w:tcW w:w="1487" w:type="pct"/>
                  <w:shd w:val="clear" w:color="auto" w:fill="auto"/>
                </w:tcPr>
                <w:p w14:paraId="0BC755D7" w14:textId="77777777" w:rsidR="00FC14FC" w:rsidRDefault="00FC14FC" w:rsidP="00D11B9D">
                  <w:pPr>
                    <w:pStyle w:val="TableBodyText"/>
                    <w:jc w:val="left"/>
                    <w:rPr>
                      <w:rFonts w:asciiTheme="minorHAnsi" w:hAnsiTheme="minorHAnsi" w:cstheme="minorHAnsi"/>
                      <w:szCs w:val="18"/>
                    </w:rPr>
                  </w:pPr>
                </w:p>
              </w:tc>
              <w:tc>
                <w:tcPr>
                  <w:tcW w:w="1235" w:type="pct"/>
                  <w:shd w:val="clear" w:color="auto" w:fill="auto"/>
                  <w:vAlign w:val="bottom"/>
                </w:tcPr>
                <w:p w14:paraId="7934C4B6" w14:textId="77777777" w:rsidR="00FC14FC"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Accounts (m) </w:t>
                  </w:r>
                </w:p>
              </w:tc>
              <w:tc>
                <w:tcPr>
                  <w:tcW w:w="1133" w:type="pct"/>
                  <w:shd w:val="clear" w:color="auto" w:fill="auto"/>
                  <w:vAlign w:val="bottom"/>
                </w:tcPr>
                <w:p w14:paraId="786B6F60"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5.0</w:t>
                  </w:r>
                </w:p>
              </w:tc>
              <w:tc>
                <w:tcPr>
                  <w:tcW w:w="1145" w:type="pct"/>
                  <w:shd w:val="clear" w:color="auto" w:fill="auto"/>
                  <w:vAlign w:val="bottom"/>
                </w:tcPr>
                <w:p w14:paraId="4C9CC06B"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6.4</w:t>
                  </w:r>
                </w:p>
              </w:tc>
            </w:tr>
            <w:tr w:rsidR="00FC14FC" w14:paraId="2510A83D" w14:textId="77777777" w:rsidTr="00D11B9D">
              <w:trPr>
                <w:trHeight w:val="248"/>
              </w:trPr>
              <w:tc>
                <w:tcPr>
                  <w:tcW w:w="1487" w:type="pct"/>
                  <w:shd w:val="clear" w:color="auto" w:fill="auto"/>
                </w:tcPr>
                <w:p w14:paraId="5E303B5C" w14:textId="77777777" w:rsidR="00FC14FC" w:rsidRPr="00D50276" w:rsidRDefault="00FC14FC" w:rsidP="00D11B9D">
                  <w:pPr>
                    <w:pStyle w:val="TableBodyText"/>
                    <w:jc w:val="left"/>
                    <w:rPr>
                      <w:rFonts w:asciiTheme="minorHAnsi" w:hAnsiTheme="minorHAnsi" w:cstheme="minorHAnsi"/>
                      <w:szCs w:val="18"/>
                    </w:rPr>
                  </w:pPr>
                </w:p>
              </w:tc>
              <w:tc>
                <w:tcPr>
                  <w:tcW w:w="1235" w:type="pct"/>
                  <w:shd w:val="clear" w:color="auto" w:fill="auto"/>
                  <w:vAlign w:val="bottom"/>
                </w:tcPr>
                <w:p w14:paraId="7B620FDC" w14:textId="77777777" w:rsidR="00FC14FC" w:rsidRPr="00D50276" w:rsidRDefault="00FC14FC" w:rsidP="00D11B9D">
                  <w:pPr>
                    <w:pStyle w:val="TableBodyText"/>
                    <w:jc w:val="left"/>
                    <w:rPr>
                      <w:rFonts w:asciiTheme="minorHAnsi" w:hAnsiTheme="minorHAnsi" w:cstheme="minorHAnsi"/>
                      <w:szCs w:val="18"/>
                    </w:rPr>
                  </w:pPr>
                  <w:r w:rsidRPr="00D50276">
                    <w:rPr>
                      <w:rFonts w:asciiTheme="minorHAnsi" w:hAnsiTheme="minorHAnsi" w:cstheme="minorHAnsi"/>
                      <w:color w:val="000000"/>
                      <w:szCs w:val="18"/>
                    </w:rPr>
                    <w:t>Assets ($b)</w:t>
                  </w:r>
                </w:p>
              </w:tc>
              <w:tc>
                <w:tcPr>
                  <w:tcW w:w="1133" w:type="pct"/>
                  <w:shd w:val="clear" w:color="auto" w:fill="auto"/>
                  <w:vAlign w:val="bottom"/>
                </w:tcPr>
                <w:p w14:paraId="7C076A26"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color w:val="000000"/>
                      <w:szCs w:val="18"/>
                    </w:rPr>
                    <w:t>269</w:t>
                  </w:r>
                </w:p>
              </w:tc>
              <w:tc>
                <w:tcPr>
                  <w:tcW w:w="1145" w:type="pct"/>
                  <w:shd w:val="clear" w:color="auto" w:fill="auto"/>
                  <w:vAlign w:val="bottom"/>
                </w:tcPr>
                <w:p w14:paraId="43801E21"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color w:val="000000"/>
                      <w:szCs w:val="18"/>
                    </w:rPr>
                    <w:t>293</w:t>
                  </w:r>
                </w:p>
              </w:tc>
            </w:tr>
            <w:tr w:rsidR="00FC14FC" w:rsidRPr="003C3EDF" w14:paraId="7130BE52" w14:textId="77777777" w:rsidTr="00D11B9D">
              <w:trPr>
                <w:trHeight w:val="235"/>
              </w:trPr>
              <w:tc>
                <w:tcPr>
                  <w:tcW w:w="5000" w:type="pct"/>
                  <w:gridSpan w:val="4"/>
                  <w:shd w:val="clear" w:color="auto" w:fill="F2F2F2" w:themeFill="background1" w:themeFillShade="F2"/>
                </w:tcPr>
                <w:p w14:paraId="0B12F43F" w14:textId="77777777" w:rsidR="00FC14FC" w:rsidRPr="003D5B6C" w:rsidRDefault="00FC14FC" w:rsidP="00D11B9D">
                  <w:pPr>
                    <w:pStyle w:val="TableColumnHeading"/>
                    <w:jc w:val="left"/>
                    <w:rPr>
                      <w:b/>
                      <w:i w:val="0"/>
                      <w:color w:val="000000"/>
                    </w:rPr>
                  </w:pPr>
                  <w:r w:rsidRPr="003D5B6C">
                    <w:rPr>
                      <w:b/>
                      <w:i w:val="0"/>
                    </w:rPr>
                    <w:t>Composition of underperformers (%)</w:t>
                  </w:r>
                </w:p>
              </w:tc>
            </w:tr>
            <w:tr w:rsidR="00FC14FC" w:rsidRPr="003C3EDF" w14:paraId="4F9F23AE" w14:textId="77777777" w:rsidTr="00D11B9D">
              <w:trPr>
                <w:trHeight w:val="235"/>
              </w:trPr>
              <w:tc>
                <w:tcPr>
                  <w:tcW w:w="1487" w:type="pct"/>
                  <w:shd w:val="clear" w:color="auto" w:fill="F2F2F2" w:themeFill="background1" w:themeFillShade="F2"/>
                </w:tcPr>
                <w:p w14:paraId="76023AC9" w14:textId="77777777" w:rsidR="00FC14FC" w:rsidRPr="00B30C56" w:rsidRDefault="00FC14FC" w:rsidP="00D11B9D">
                  <w:pPr>
                    <w:pStyle w:val="TableBodyText"/>
                    <w:jc w:val="left"/>
                    <w:rPr>
                      <w:b/>
                    </w:rPr>
                  </w:pPr>
                </w:p>
              </w:tc>
              <w:tc>
                <w:tcPr>
                  <w:tcW w:w="1235" w:type="pct"/>
                  <w:shd w:val="clear" w:color="auto" w:fill="F2F2F2" w:themeFill="background1" w:themeFillShade="F2"/>
                  <w:vAlign w:val="bottom"/>
                </w:tcPr>
                <w:p w14:paraId="4E96198B"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Corporate</w:t>
                  </w:r>
                </w:p>
              </w:tc>
              <w:tc>
                <w:tcPr>
                  <w:tcW w:w="1133" w:type="pct"/>
                  <w:shd w:val="clear" w:color="auto" w:fill="F2F2F2" w:themeFill="background1" w:themeFillShade="F2"/>
                  <w:vAlign w:val="bottom"/>
                </w:tcPr>
                <w:p w14:paraId="6F5ED251"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10</w:t>
                  </w:r>
                </w:p>
              </w:tc>
              <w:tc>
                <w:tcPr>
                  <w:tcW w:w="1145" w:type="pct"/>
                  <w:shd w:val="clear" w:color="auto" w:fill="F2F2F2" w:themeFill="background1" w:themeFillShade="F2"/>
                  <w:vAlign w:val="bottom"/>
                </w:tcPr>
                <w:p w14:paraId="23B7720D"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7</w:t>
                  </w:r>
                </w:p>
              </w:tc>
            </w:tr>
            <w:tr w:rsidR="00FC14FC" w:rsidRPr="003C3EDF" w14:paraId="61095BE4" w14:textId="77777777" w:rsidTr="00D11B9D">
              <w:trPr>
                <w:trHeight w:val="235"/>
              </w:trPr>
              <w:tc>
                <w:tcPr>
                  <w:tcW w:w="1487" w:type="pct"/>
                  <w:shd w:val="clear" w:color="auto" w:fill="F2F2F2" w:themeFill="background1" w:themeFillShade="F2"/>
                </w:tcPr>
                <w:p w14:paraId="2728A494" w14:textId="77777777" w:rsidR="00FC14FC" w:rsidRPr="00B30C56" w:rsidRDefault="00FC14FC" w:rsidP="00D11B9D">
                  <w:pPr>
                    <w:pStyle w:val="TableBodyText"/>
                    <w:jc w:val="left"/>
                    <w:rPr>
                      <w:b/>
                    </w:rPr>
                  </w:pPr>
                </w:p>
              </w:tc>
              <w:tc>
                <w:tcPr>
                  <w:tcW w:w="1235" w:type="pct"/>
                  <w:shd w:val="clear" w:color="auto" w:fill="F2F2F2" w:themeFill="background1" w:themeFillShade="F2"/>
                  <w:vAlign w:val="bottom"/>
                </w:tcPr>
                <w:p w14:paraId="5D3E777D"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Industry </w:t>
                  </w:r>
                </w:p>
              </w:tc>
              <w:tc>
                <w:tcPr>
                  <w:tcW w:w="1133" w:type="pct"/>
                  <w:shd w:val="clear" w:color="auto" w:fill="F2F2F2" w:themeFill="background1" w:themeFillShade="F2"/>
                  <w:vAlign w:val="bottom"/>
                </w:tcPr>
                <w:p w14:paraId="407AD951"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48</w:t>
                  </w:r>
                </w:p>
              </w:tc>
              <w:tc>
                <w:tcPr>
                  <w:tcW w:w="1145" w:type="pct"/>
                  <w:shd w:val="clear" w:color="auto" w:fill="F2F2F2" w:themeFill="background1" w:themeFillShade="F2"/>
                  <w:vAlign w:val="bottom"/>
                </w:tcPr>
                <w:p w14:paraId="43EFC946"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52</w:t>
                  </w:r>
                </w:p>
              </w:tc>
            </w:tr>
            <w:tr w:rsidR="00FC14FC" w:rsidRPr="003C3EDF" w14:paraId="64B29E38" w14:textId="77777777" w:rsidTr="00D11B9D">
              <w:trPr>
                <w:trHeight w:val="235"/>
              </w:trPr>
              <w:tc>
                <w:tcPr>
                  <w:tcW w:w="1487" w:type="pct"/>
                  <w:shd w:val="clear" w:color="auto" w:fill="F2F2F2" w:themeFill="background1" w:themeFillShade="F2"/>
                </w:tcPr>
                <w:p w14:paraId="3F173563" w14:textId="77777777" w:rsidR="00FC14FC" w:rsidRPr="00B30C56" w:rsidRDefault="00FC14FC" w:rsidP="00D11B9D">
                  <w:pPr>
                    <w:pStyle w:val="TableBodyText"/>
                    <w:jc w:val="left"/>
                    <w:rPr>
                      <w:b/>
                    </w:rPr>
                  </w:pPr>
                </w:p>
              </w:tc>
              <w:tc>
                <w:tcPr>
                  <w:tcW w:w="1235" w:type="pct"/>
                  <w:shd w:val="clear" w:color="auto" w:fill="F2F2F2" w:themeFill="background1" w:themeFillShade="F2"/>
                  <w:vAlign w:val="bottom"/>
                </w:tcPr>
                <w:p w14:paraId="7867DE98"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Public Sector</w:t>
                  </w:r>
                </w:p>
              </w:tc>
              <w:tc>
                <w:tcPr>
                  <w:tcW w:w="1133" w:type="pct"/>
                  <w:shd w:val="clear" w:color="auto" w:fill="F2F2F2" w:themeFill="background1" w:themeFillShade="F2"/>
                  <w:vAlign w:val="bottom"/>
                </w:tcPr>
                <w:p w14:paraId="43D35FEF" w14:textId="77777777" w:rsidR="00FC14FC" w:rsidRDefault="00FC14FC" w:rsidP="00D11B9D">
                  <w:pPr>
                    <w:pStyle w:val="TableBodyText"/>
                    <w:rPr>
                      <w:rFonts w:asciiTheme="minorHAnsi" w:hAnsiTheme="minorHAnsi" w:cstheme="minorHAnsi"/>
                      <w:color w:val="000000"/>
                      <w:szCs w:val="18"/>
                    </w:rPr>
                  </w:pPr>
                  <w:r w:rsidRPr="00D50276">
                    <w:rPr>
                      <w:rFonts w:asciiTheme="minorHAnsi" w:hAnsiTheme="minorHAnsi" w:cstheme="minorHAnsi"/>
                      <w:color w:val="000000"/>
                      <w:szCs w:val="18"/>
                    </w:rPr>
                    <w:t>10</w:t>
                  </w:r>
                </w:p>
              </w:tc>
              <w:tc>
                <w:tcPr>
                  <w:tcW w:w="1145" w:type="pct"/>
                  <w:shd w:val="clear" w:color="auto" w:fill="F2F2F2" w:themeFill="background1" w:themeFillShade="F2"/>
                  <w:vAlign w:val="bottom"/>
                </w:tcPr>
                <w:p w14:paraId="1F143143"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10</w:t>
                  </w:r>
                </w:p>
              </w:tc>
            </w:tr>
            <w:tr w:rsidR="00FC14FC" w:rsidRPr="003C3EDF" w14:paraId="5F1E8521" w14:textId="77777777" w:rsidTr="00D11B9D">
              <w:trPr>
                <w:trHeight w:val="235"/>
              </w:trPr>
              <w:tc>
                <w:tcPr>
                  <w:tcW w:w="1487" w:type="pct"/>
                  <w:shd w:val="clear" w:color="auto" w:fill="F2F2F2" w:themeFill="background1" w:themeFillShade="F2"/>
                </w:tcPr>
                <w:p w14:paraId="336CC41A" w14:textId="77777777" w:rsidR="00FC14FC" w:rsidRPr="00B30C56" w:rsidRDefault="00FC14FC" w:rsidP="00D11B9D">
                  <w:pPr>
                    <w:pStyle w:val="TableBodyText"/>
                    <w:jc w:val="left"/>
                    <w:rPr>
                      <w:b/>
                    </w:rPr>
                  </w:pPr>
                </w:p>
              </w:tc>
              <w:tc>
                <w:tcPr>
                  <w:tcW w:w="1235" w:type="pct"/>
                  <w:shd w:val="clear" w:color="auto" w:fill="F2F2F2" w:themeFill="background1" w:themeFillShade="F2"/>
                  <w:vAlign w:val="bottom"/>
                </w:tcPr>
                <w:p w14:paraId="6EABF9A7"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Retail </w:t>
                  </w:r>
                </w:p>
              </w:tc>
              <w:tc>
                <w:tcPr>
                  <w:tcW w:w="1133" w:type="pct"/>
                  <w:shd w:val="clear" w:color="auto" w:fill="F2F2F2" w:themeFill="background1" w:themeFillShade="F2"/>
                  <w:vAlign w:val="bottom"/>
                </w:tcPr>
                <w:p w14:paraId="56955E33"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31</w:t>
                  </w:r>
                </w:p>
              </w:tc>
              <w:tc>
                <w:tcPr>
                  <w:tcW w:w="1145" w:type="pct"/>
                  <w:shd w:val="clear" w:color="auto" w:fill="F2F2F2" w:themeFill="background1" w:themeFillShade="F2"/>
                  <w:vAlign w:val="bottom"/>
                </w:tcPr>
                <w:p w14:paraId="3B4B9EF9"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31</w:t>
                  </w:r>
                </w:p>
              </w:tc>
            </w:tr>
            <w:tr w:rsidR="00FC14FC" w:rsidRPr="003C3EDF" w14:paraId="0B1452D7" w14:textId="77777777" w:rsidTr="00D11B9D">
              <w:trPr>
                <w:trHeight w:val="235"/>
              </w:trPr>
              <w:tc>
                <w:tcPr>
                  <w:tcW w:w="5000" w:type="pct"/>
                  <w:gridSpan w:val="4"/>
                  <w:shd w:val="clear" w:color="auto" w:fill="auto"/>
                </w:tcPr>
                <w:p w14:paraId="30E6388D" w14:textId="77777777" w:rsidR="00FC14FC" w:rsidRPr="003D5B6C" w:rsidRDefault="00FC14FC" w:rsidP="00D11B9D">
                  <w:pPr>
                    <w:pStyle w:val="TableColumnHeading"/>
                    <w:jc w:val="left"/>
                    <w:rPr>
                      <w:rFonts w:asciiTheme="minorHAnsi" w:hAnsiTheme="minorHAnsi" w:cstheme="minorHAnsi"/>
                      <w:b/>
                      <w:i w:val="0"/>
                      <w:color w:val="000000"/>
                      <w:szCs w:val="18"/>
                    </w:rPr>
                  </w:pPr>
                  <w:r w:rsidRPr="003D5B6C">
                    <w:rPr>
                      <w:b/>
                      <w:i w:val="0"/>
                    </w:rPr>
                    <w:t>% of funds (in each fund type) that are underperforming</w:t>
                  </w:r>
                </w:p>
              </w:tc>
            </w:tr>
            <w:tr w:rsidR="00FC14FC" w:rsidRPr="003C3EDF" w14:paraId="37D9D219" w14:textId="77777777" w:rsidTr="00D11B9D">
              <w:trPr>
                <w:trHeight w:val="235"/>
              </w:trPr>
              <w:tc>
                <w:tcPr>
                  <w:tcW w:w="1487" w:type="pct"/>
                  <w:shd w:val="clear" w:color="auto" w:fill="auto"/>
                </w:tcPr>
                <w:p w14:paraId="25BABEE0" w14:textId="77777777" w:rsidR="00FC14FC" w:rsidRPr="00B30C56" w:rsidRDefault="00FC14FC" w:rsidP="00D11B9D">
                  <w:pPr>
                    <w:pStyle w:val="TableBodyText"/>
                    <w:jc w:val="left"/>
                    <w:rPr>
                      <w:b/>
                    </w:rPr>
                  </w:pPr>
                </w:p>
              </w:tc>
              <w:tc>
                <w:tcPr>
                  <w:tcW w:w="1235" w:type="pct"/>
                  <w:shd w:val="clear" w:color="auto" w:fill="auto"/>
                  <w:vAlign w:val="bottom"/>
                </w:tcPr>
                <w:p w14:paraId="083956C5"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Corporate</w:t>
                  </w:r>
                </w:p>
              </w:tc>
              <w:tc>
                <w:tcPr>
                  <w:tcW w:w="1133" w:type="pct"/>
                  <w:shd w:val="clear" w:color="auto" w:fill="auto"/>
                  <w:vAlign w:val="bottom"/>
                </w:tcPr>
                <w:p w14:paraId="1AC26A4F"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23</w:t>
                  </w:r>
                </w:p>
              </w:tc>
              <w:tc>
                <w:tcPr>
                  <w:tcW w:w="1145" w:type="pct"/>
                  <w:shd w:val="clear" w:color="auto" w:fill="auto"/>
                  <w:vAlign w:val="bottom"/>
                </w:tcPr>
                <w:p w14:paraId="2F7508A8"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15</w:t>
                  </w:r>
                </w:p>
              </w:tc>
            </w:tr>
            <w:tr w:rsidR="00FC14FC" w:rsidRPr="003C3EDF" w14:paraId="7EB78161" w14:textId="77777777" w:rsidTr="00D11B9D">
              <w:trPr>
                <w:trHeight w:val="235"/>
              </w:trPr>
              <w:tc>
                <w:tcPr>
                  <w:tcW w:w="1487" w:type="pct"/>
                  <w:shd w:val="clear" w:color="auto" w:fill="auto"/>
                </w:tcPr>
                <w:p w14:paraId="3A5DE458" w14:textId="77777777" w:rsidR="00FC14FC" w:rsidRPr="00B30C56" w:rsidRDefault="00FC14FC" w:rsidP="00D11B9D">
                  <w:pPr>
                    <w:pStyle w:val="TableBodyText"/>
                    <w:jc w:val="left"/>
                    <w:rPr>
                      <w:b/>
                    </w:rPr>
                  </w:pPr>
                </w:p>
              </w:tc>
              <w:tc>
                <w:tcPr>
                  <w:tcW w:w="1235" w:type="pct"/>
                  <w:shd w:val="clear" w:color="auto" w:fill="auto"/>
                  <w:vAlign w:val="bottom"/>
                </w:tcPr>
                <w:p w14:paraId="3F0DE6F3"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Industry </w:t>
                  </w:r>
                </w:p>
              </w:tc>
              <w:tc>
                <w:tcPr>
                  <w:tcW w:w="1133" w:type="pct"/>
                  <w:shd w:val="clear" w:color="auto" w:fill="auto"/>
                  <w:vAlign w:val="bottom"/>
                </w:tcPr>
                <w:p w14:paraId="1361D019"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37</w:t>
                  </w:r>
                </w:p>
              </w:tc>
              <w:tc>
                <w:tcPr>
                  <w:tcW w:w="1145" w:type="pct"/>
                  <w:shd w:val="clear" w:color="auto" w:fill="auto"/>
                  <w:vAlign w:val="bottom"/>
                </w:tcPr>
                <w:p w14:paraId="2A78FE10"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39</w:t>
                  </w:r>
                </w:p>
              </w:tc>
            </w:tr>
            <w:tr w:rsidR="00FC14FC" w:rsidRPr="003C3EDF" w14:paraId="1672BF39" w14:textId="77777777" w:rsidTr="00D11B9D">
              <w:trPr>
                <w:trHeight w:val="235"/>
              </w:trPr>
              <w:tc>
                <w:tcPr>
                  <w:tcW w:w="1487" w:type="pct"/>
                  <w:shd w:val="clear" w:color="auto" w:fill="auto"/>
                </w:tcPr>
                <w:p w14:paraId="60EB50B6" w14:textId="77777777" w:rsidR="00FC14FC" w:rsidRPr="00B30C56" w:rsidRDefault="00FC14FC" w:rsidP="00D11B9D">
                  <w:pPr>
                    <w:pStyle w:val="TableBodyText"/>
                    <w:jc w:val="left"/>
                    <w:rPr>
                      <w:b/>
                    </w:rPr>
                  </w:pPr>
                </w:p>
              </w:tc>
              <w:tc>
                <w:tcPr>
                  <w:tcW w:w="1235" w:type="pct"/>
                  <w:shd w:val="clear" w:color="auto" w:fill="auto"/>
                  <w:vAlign w:val="bottom"/>
                </w:tcPr>
                <w:p w14:paraId="3E84344D"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Public Sector</w:t>
                  </w:r>
                </w:p>
              </w:tc>
              <w:tc>
                <w:tcPr>
                  <w:tcW w:w="1133" w:type="pct"/>
                  <w:shd w:val="clear" w:color="auto" w:fill="auto"/>
                  <w:vAlign w:val="bottom"/>
                </w:tcPr>
                <w:p w14:paraId="70D7542C"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50</w:t>
                  </w:r>
                </w:p>
              </w:tc>
              <w:tc>
                <w:tcPr>
                  <w:tcW w:w="1145" w:type="pct"/>
                  <w:shd w:val="clear" w:color="auto" w:fill="auto"/>
                  <w:vAlign w:val="bottom"/>
                </w:tcPr>
                <w:p w14:paraId="0FC512E6"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50</w:t>
                  </w:r>
                </w:p>
              </w:tc>
            </w:tr>
            <w:tr w:rsidR="00FC14FC" w:rsidRPr="003C3EDF" w14:paraId="6C42F8AF" w14:textId="77777777" w:rsidTr="00D11B9D">
              <w:trPr>
                <w:trHeight w:val="235"/>
              </w:trPr>
              <w:tc>
                <w:tcPr>
                  <w:tcW w:w="1487" w:type="pct"/>
                  <w:tcBorders>
                    <w:bottom w:val="single" w:sz="6" w:space="0" w:color="BFBFBF"/>
                  </w:tcBorders>
                  <w:shd w:val="clear" w:color="auto" w:fill="auto"/>
                </w:tcPr>
                <w:p w14:paraId="4B1EB3FD" w14:textId="77777777" w:rsidR="00FC14FC" w:rsidRDefault="00FC14FC" w:rsidP="00D11B9D">
                  <w:pPr>
                    <w:pStyle w:val="TableBodyText"/>
                    <w:jc w:val="left"/>
                    <w:rPr>
                      <w:b/>
                    </w:rPr>
                  </w:pPr>
                </w:p>
              </w:tc>
              <w:tc>
                <w:tcPr>
                  <w:tcW w:w="1235" w:type="pct"/>
                  <w:tcBorders>
                    <w:bottom w:val="single" w:sz="6" w:space="0" w:color="BFBFBF"/>
                  </w:tcBorders>
                  <w:shd w:val="clear" w:color="auto" w:fill="auto"/>
                  <w:vAlign w:val="bottom"/>
                </w:tcPr>
                <w:p w14:paraId="73EBD948" w14:textId="77777777" w:rsidR="00FC14FC" w:rsidRPr="00D50276" w:rsidRDefault="00FC14FC" w:rsidP="00D11B9D">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Retail </w:t>
                  </w:r>
                </w:p>
              </w:tc>
              <w:tc>
                <w:tcPr>
                  <w:tcW w:w="1133" w:type="pct"/>
                  <w:tcBorders>
                    <w:bottom w:val="single" w:sz="6" w:space="0" w:color="BFBFBF"/>
                  </w:tcBorders>
                  <w:shd w:val="clear" w:color="auto" w:fill="auto"/>
                  <w:vAlign w:val="bottom"/>
                </w:tcPr>
                <w:p w14:paraId="39FBA055"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82</w:t>
                  </w:r>
                </w:p>
              </w:tc>
              <w:tc>
                <w:tcPr>
                  <w:tcW w:w="1145" w:type="pct"/>
                  <w:tcBorders>
                    <w:bottom w:val="single" w:sz="6" w:space="0" w:color="BFBFBF"/>
                  </w:tcBorders>
                  <w:shd w:val="clear" w:color="auto" w:fill="auto"/>
                  <w:vAlign w:val="bottom"/>
                </w:tcPr>
                <w:p w14:paraId="0542BC6B"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82</w:t>
                  </w:r>
                </w:p>
              </w:tc>
            </w:tr>
          </w:tbl>
          <w:p w14:paraId="604B4B08" w14:textId="77777777" w:rsidR="00FC14FC" w:rsidRDefault="00FC14FC" w:rsidP="00D11B9D">
            <w:pPr>
              <w:pStyle w:val="Box"/>
            </w:pPr>
          </w:p>
        </w:tc>
      </w:tr>
      <w:tr w:rsidR="00FC14FC" w14:paraId="10008422" w14:textId="77777777" w:rsidTr="00D11B9D">
        <w:tc>
          <w:tcPr>
            <w:tcW w:w="5000" w:type="pct"/>
            <w:tcBorders>
              <w:top w:val="nil"/>
              <w:left w:val="nil"/>
              <w:bottom w:val="nil"/>
              <w:right w:val="nil"/>
            </w:tcBorders>
            <w:shd w:val="clear" w:color="auto" w:fill="auto"/>
          </w:tcPr>
          <w:p w14:paraId="2E1252D5" w14:textId="77777777" w:rsidR="00FC14FC" w:rsidRDefault="00FC14FC" w:rsidP="00D11B9D">
            <w:pPr>
              <w:pStyle w:val="Continued"/>
              <w:rPr>
                <w:i/>
              </w:rPr>
            </w:pPr>
            <w:r w:rsidRPr="009B565F">
              <w:rPr>
                <w:rStyle w:val="NoteLabel"/>
              </w:rPr>
              <w:t>(continued next page)</w:t>
            </w:r>
          </w:p>
        </w:tc>
      </w:tr>
      <w:tr w:rsidR="00FC14FC" w14:paraId="02142007" w14:textId="77777777" w:rsidTr="00D11B9D">
        <w:tc>
          <w:tcPr>
            <w:tcW w:w="5000" w:type="pct"/>
            <w:tcBorders>
              <w:top w:val="nil"/>
              <w:left w:val="nil"/>
              <w:bottom w:val="single" w:sz="6" w:space="0" w:color="78A22F"/>
              <w:right w:val="nil"/>
            </w:tcBorders>
            <w:shd w:val="clear" w:color="auto" w:fill="auto"/>
          </w:tcPr>
          <w:p w14:paraId="7ED9BC27" w14:textId="77777777" w:rsidR="00FC14FC" w:rsidRDefault="00FC14FC" w:rsidP="00D11B9D">
            <w:pPr>
              <w:pStyle w:val="Box"/>
              <w:spacing w:before="0" w:line="120" w:lineRule="exact"/>
            </w:pPr>
          </w:p>
        </w:tc>
      </w:tr>
      <w:tr w:rsidR="00FC14FC" w:rsidRPr="000863A5" w14:paraId="586F20AD" w14:textId="77777777" w:rsidTr="00D11B9D">
        <w:tc>
          <w:tcPr>
            <w:tcW w:w="5000" w:type="pct"/>
            <w:tcBorders>
              <w:top w:val="single" w:sz="6" w:space="0" w:color="78A22F"/>
              <w:left w:val="nil"/>
              <w:bottom w:val="nil"/>
              <w:right w:val="nil"/>
            </w:tcBorders>
          </w:tcPr>
          <w:p w14:paraId="591D69C2" w14:textId="77777777" w:rsidR="00FC14FC" w:rsidRPr="00626D32" w:rsidRDefault="00FC14FC" w:rsidP="00D11B9D">
            <w:pPr>
              <w:pStyle w:val="BoxSpaceBelow"/>
            </w:pPr>
          </w:p>
        </w:tc>
      </w:tr>
    </w:tbl>
    <w:p w14:paraId="3A457E97"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FC14FC" w14:paraId="4A30102F" w14:textId="77777777" w:rsidTr="00D11B9D">
        <w:trPr>
          <w:tblHeader/>
        </w:trPr>
        <w:tc>
          <w:tcPr>
            <w:tcW w:w="5000" w:type="pct"/>
            <w:tcBorders>
              <w:top w:val="single" w:sz="6" w:space="0" w:color="78A22F"/>
              <w:left w:val="nil"/>
              <w:bottom w:val="nil"/>
              <w:right w:val="nil"/>
            </w:tcBorders>
            <w:shd w:val="clear" w:color="auto" w:fill="auto"/>
          </w:tcPr>
          <w:p w14:paraId="1716365B" w14:textId="77777777" w:rsidR="00FC14FC" w:rsidRPr="00784A05" w:rsidRDefault="00FC14FC" w:rsidP="00D11B9D">
            <w:pPr>
              <w:pStyle w:val="TableTitle"/>
            </w:pPr>
            <w:r>
              <w:rPr>
                <w:b w:val="0"/>
              </w:rPr>
              <w:t>Table 4.36</w:t>
            </w:r>
            <w:r>
              <w:tab/>
            </w:r>
            <w:r w:rsidRPr="00126730">
              <w:rPr>
                <w:b w:val="0"/>
                <w:sz w:val="18"/>
                <w:szCs w:val="18"/>
              </w:rPr>
              <w:t>(continued)</w:t>
            </w:r>
          </w:p>
        </w:tc>
      </w:tr>
      <w:tr w:rsidR="00FC14FC" w14:paraId="0B628100" w14:textId="77777777" w:rsidTr="00D11B9D">
        <w:tc>
          <w:tcPr>
            <w:tcW w:w="5000" w:type="pct"/>
            <w:tcBorders>
              <w:top w:val="nil"/>
              <w:left w:val="nil"/>
              <w:bottom w:val="single" w:sz="4" w:space="0" w:color="BFBFBF" w:themeColor="background1" w:themeShade="BF"/>
              <w:right w:val="nil"/>
            </w:tcBorders>
            <w:shd w:val="clear" w:color="auto" w:fill="auto"/>
          </w:tcPr>
          <w:tbl>
            <w:tblPr>
              <w:tblW w:w="4931" w:type="pct"/>
              <w:tblCellMar>
                <w:top w:w="28" w:type="dxa"/>
                <w:left w:w="0" w:type="dxa"/>
                <w:right w:w="0" w:type="dxa"/>
              </w:tblCellMar>
              <w:tblLook w:val="0000" w:firstRow="0" w:lastRow="0" w:firstColumn="0" w:lastColumn="0" w:noHBand="0" w:noVBand="0"/>
            </w:tblPr>
            <w:tblGrid>
              <w:gridCol w:w="2144"/>
              <w:gridCol w:w="1683"/>
              <w:gridCol w:w="2256"/>
              <w:gridCol w:w="2305"/>
            </w:tblGrid>
            <w:tr w:rsidR="00FC14FC" w14:paraId="385480B5" w14:textId="77777777" w:rsidTr="00D11B9D">
              <w:trPr>
                <w:tblHeader/>
              </w:trPr>
              <w:tc>
                <w:tcPr>
                  <w:tcW w:w="2281" w:type="pct"/>
                  <w:gridSpan w:val="2"/>
                  <w:tcBorders>
                    <w:top w:val="single" w:sz="6" w:space="0" w:color="BFBFBF"/>
                    <w:bottom w:val="single" w:sz="6" w:space="0" w:color="BFBFBF"/>
                  </w:tcBorders>
                  <w:shd w:val="clear" w:color="auto" w:fill="auto"/>
                  <w:tcMar>
                    <w:top w:w="28" w:type="dxa"/>
                  </w:tcMar>
                </w:tcPr>
                <w:p w14:paraId="30E9ADB9" w14:textId="77777777" w:rsidR="00FC14FC" w:rsidRPr="00D50276" w:rsidRDefault="00FC14FC" w:rsidP="00D11B9D">
                  <w:pPr>
                    <w:pStyle w:val="TableColumnHeading"/>
                    <w:rPr>
                      <w:rFonts w:asciiTheme="minorHAnsi" w:hAnsiTheme="minorHAnsi" w:cstheme="minorHAnsi"/>
                      <w:szCs w:val="18"/>
                    </w:rPr>
                  </w:pPr>
                </w:p>
              </w:tc>
              <w:tc>
                <w:tcPr>
                  <w:tcW w:w="1345" w:type="pct"/>
                  <w:tcBorders>
                    <w:top w:val="single" w:sz="6" w:space="0" w:color="BFBFBF"/>
                    <w:bottom w:val="single" w:sz="6" w:space="0" w:color="BFBFBF"/>
                  </w:tcBorders>
                  <w:shd w:val="clear" w:color="auto" w:fill="auto"/>
                  <w:tcMar>
                    <w:top w:w="28" w:type="dxa"/>
                  </w:tcMar>
                </w:tcPr>
                <w:p w14:paraId="0FBA5319" w14:textId="77777777" w:rsidR="00FC14FC" w:rsidRPr="00D50276" w:rsidRDefault="00FC14FC" w:rsidP="00D11B9D">
                  <w:pPr>
                    <w:pStyle w:val="TableColumnHeading"/>
                    <w:rPr>
                      <w:rFonts w:asciiTheme="minorHAnsi" w:hAnsiTheme="minorHAnsi" w:cstheme="minorHAnsi"/>
                      <w:szCs w:val="18"/>
                    </w:rPr>
                  </w:pPr>
                  <w:r w:rsidRPr="00D50276">
                    <w:rPr>
                      <w:rFonts w:asciiTheme="minorHAnsi" w:hAnsiTheme="minorHAnsi" w:cstheme="minorHAnsi"/>
                      <w:szCs w:val="18"/>
                    </w:rPr>
                    <w:t>Own tax, own admin expense (Baseline)</w:t>
                  </w:r>
                </w:p>
              </w:tc>
              <w:tc>
                <w:tcPr>
                  <w:tcW w:w="1374" w:type="pct"/>
                  <w:tcBorders>
                    <w:top w:val="single" w:sz="6" w:space="0" w:color="BFBFBF"/>
                    <w:bottom w:val="single" w:sz="6" w:space="0" w:color="BFBFBF"/>
                  </w:tcBorders>
                  <w:shd w:val="clear" w:color="auto" w:fill="auto"/>
                  <w:tcMar>
                    <w:top w:w="28" w:type="dxa"/>
                  </w:tcMar>
                </w:tcPr>
                <w:p w14:paraId="7A12A518" w14:textId="77777777" w:rsidR="00FC14FC" w:rsidRPr="00D50276" w:rsidRDefault="00FC14FC" w:rsidP="00D11B9D">
                  <w:pPr>
                    <w:pStyle w:val="TableColumnHeading"/>
                    <w:ind w:right="28"/>
                    <w:rPr>
                      <w:rFonts w:asciiTheme="minorHAnsi" w:hAnsiTheme="minorHAnsi" w:cstheme="minorHAnsi"/>
                      <w:szCs w:val="18"/>
                    </w:rPr>
                  </w:pPr>
                  <w:r w:rsidRPr="00D50276">
                    <w:rPr>
                      <w:rFonts w:asciiTheme="minorHAnsi" w:hAnsiTheme="minorHAnsi" w:cstheme="minorHAnsi"/>
                      <w:szCs w:val="18"/>
                    </w:rPr>
                    <w:t>Own tax, system median admin expense</w:t>
                  </w:r>
                </w:p>
              </w:tc>
            </w:tr>
            <w:tr w:rsidR="00FC14FC" w14:paraId="014732A0" w14:textId="77777777" w:rsidTr="00D11B9D">
              <w:tc>
                <w:tcPr>
                  <w:tcW w:w="5000" w:type="pct"/>
                  <w:gridSpan w:val="4"/>
                  <w:shd w:val="clear" w:color="auto" w:fill="auto"/>
                  <w:vAlign w:val="bottom"/>
                </w:tcPr>
                <w:p w14:paraId="1CDA6451" w14:textId="77777777" w:rsidR="00FC14FC" w:rsidRPr="003D5B6C" w:rsidRDefault="00FC14FC" w:rsidP="00D11B9D">
                  <w:pPr>
                    <w:pStyle w:val="TableColumnHeading"/>
                    <w:jc w:val="left"/>
                    <w:rPr>
                      <w:rFonts w:asciiTheme="minorHAnsi" w:hAnsiTheme="minorHAnsi" w:cstheme="minorHAnsi"/>
                      <w:b/>
                      <w:i w:val="0"/>
                      <w:szCs w:val="18"/>
                    </w:rPr>
                  </w:pPr>
                  <w:r w:rsidRPr="003D5B6C">
                    <w:rPr>
                      <w:b/>
                      <w:i w:val="0"/>
                    </w:rPr>
                    <w:t xml:space="preserve">% of assets (in each fund type) that are in underperforming funds </w:t>
                  </w:r>
                </w:p>
              </w:tc>
            </w:tr>
            <w:tr w:rsidR="00FC14FC" w14:paraId="60212A86" w14:textId="77777777" w:rsidTr="00D11B9D">
              <w:tc>
                <w:tcPr>
                  <w:tcW w:w="1278" w:type="pct"/>
                  <w:shd w:val="clear" w:color="auto" w:fill="auto"/>
                </w:tcPr>
                <w:p w14:paraId="236DC445" w14:textId="77777777" w:rsidR="00FC14FC" w:rsidRPr="00ED3723" w:rsidRDefault="00FC14FC" w:rsidP="00D11B9D">
                  <w:pPr>
                    <w:pStyle w:val="TableBodyText"/>
                    <w:jc w:val="left"/>
                    <w:rPr>
                      <w:rFonts w:asciiTheme="minorHAnsi" w:hAnsiTheme="minorHAnsi" w:cstheme="minorHAnsi"/>
                      <w:szCs w:val="18"/>
                    </w:rPr>
                  </w:pPr>
                </w:p>
              </w:tc>
              <w:tc>
                <w:tcPr>
                  <w:tcW w:w="1003" w:type="pct"/>
                  <w:shd w:val="clear" w:color="auto" w:fill="auto"/>
                </w:tcPr>
                <w:p w14:paraId="450F61FC" w14:textId="77777777" w:rsidR="00FC14FC" w:rsidRPr="003777CB" w:rsidRDefault="00FC14FC" w:rsidP="00D11B9D">
                  <w:pPr>
                    <w:pStyle w:val="TableBodyText"/>
                    <w:jc w:val="left"/>
                  </w:pPr>
                  <w:r w:rsidRPr="003777CB">
                    <w:t>Corporate</w:t>
                  </w:r>
                </w:p>
              </w:tc>
              <w:tc>
                <w:tcPr>
                  <w:tcW w:w="1345" w:type="pct"/>
                  <w:shd w:val="clear" w:color="auto" w:fill="auto"/>
                  <w:vAlign w:val="bottom"/>
                </w:tcPr>
                <w:p w14:paraId="7A2EDA7F"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szCs w:val="18"/>
                    </w:rPr>
                    <w:t>28</w:t>
                  </w:r>
                </w:p>
              </w:tc>
              <w:tc>
                <w:tcPr>
                  <w:tcW w:w="1374" w:type="pct"/>
                  <w:shd w:val="clear" w:color="auto" w:fill="auto"/>
                  <w:vAlign w:val="bottom"/>
                </w:tcPr>
                <w:p w14:paraId="7281297A"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szCs w:val="18"/>
                    </w:rPr>
                    <w:t>6</w:t>
                  </w:r>
                </w:p>
              </w:tc>
            </w:tr>
            <w:tr w:rsidR="00FC14FC" w14:paraId="43C8B8F4" w14:textId="77777777" w:rsidTr="00D11B9D">
              <w:tc>
                <w:tcPr>
                  <w:tcW w:w="1278" w:type="pct"/>
                  <w:shd w:val="clear" w:color="auto" w:fill="auto"/>
                </w:tcPr>
                <w:p w14:paraId="73694499" w14:textId="77777777" w:rsidR="00FC14FC" w:rsidRPr="00ED3723" w:rsidRDefault="00FC14FC" w:rsidP="00D11B9D">
                  <w:pPr>
                    <w:pStyle w:val="TableBodyText"/>
                    <w:jc w:val="left"/>
                    <w:rPr>
                      <w:rFonts w:asciiTheme="minorHAnsi" w:hAnsiTheme="minorHAnsi" w:cstheme="minorHAnsi"/>
                      <w:szCs w:val="18"/>
                    </w:rPr>
                  </w:pPr>
                </w:p>
              </w:tc>
              <w:tc>
                <w:tcPr>
                  <w:tcW w:w="1003" w:type="pct"/>
                  <w:shd w:val="clear" w:color="auto" w:fill="auto"/>
                  <w:vAlign w:val="bottom"/>
                </w:tcPr>
                <w:p w14:paraId="28798D55" w14:textId="77777777" w:rsidR="00FC14FC" w:rsidRPr="003777CB" w:rsidRDefault="00FC14FC" w:rsidP="00D11B9D">
                  <w:pPr>
                    <w:pStyle w:val="TableBodyText"/>
                    <w:jc w:val="left"/>
                  </w:pPr>
                  <w:r w:rsidRPr="003777CB">
                    <w:t xml:space="preserve">Industry </w:t>
                  </w:r>
                </w:p>
              </w:tc>
              <w:tc>
                <w:tcPr>
                  <w:tcW w:w="1345" w:type="pct"/>
                  <w:shd w:val="clear" w:color="auto" w:fill="auto"/>
                </w:tcPr>
                <w:p w14:paraId="5A2FB125" w14:textId="77777777" w:rsidR="00FC14FC" w:rsidRDefault="00FC14FC" w:rsidP="00D11B9D">
                  <w:pPr>
                    <w:pStyle w:val="TableBodyText"/>
                    <w:rPr>
                      <w:rFonts w:asciiTheme="minorHAnsi" w:hAnsiTheme="minorHAnsi" w:cstheme="minorHAnsi"/>
                      <w:szCs w:val="18"/>
                    </w:rPr>
                  </w:pPr>
                  <w:r>
                    <w:rPr>
                      <w:rFonts w:asciiTheme="minorHAnsi" w:hAnsiTheme="minorHAnsi" w:cstheme="minorHAnsi"/>
                      <w:szCs w:val="18"/>
                    </w:rPr>
                    <w:t>10</w:t>
                  </w:r>
                </w:p>
              </w:tc>
              <w:tc>
                <w:tcPr>
                  <w:tcW w:w="1374" w:type="pct"/>
                  <w:shd w:val="clear" w:color="auto" w:fill="auto"/>
                  <w:vAlign w:val="bottom"/>
                </w:tcPr>
                <w:p w14:paraId="72ABCC47" w14:textId="77777777" w:rsidR="00FC14FC" w:rsidRDefault="00FC14FC" w:rsidP="00D11B9D">
                  <w:pPr>
                    <w:pStyle w:val="TableBodyText"/>
                    <w:ind w:right="28"/>
                    <w:rPr>
                      <w:rFonts w:asciiTheme="minorHAnsi" w:hAnsiTheme="minorHAnsi" w:cstheme="minorHAnsi"/>
                      <w:szCs w:val="18"/>
                    </w:rPr>
                  </w:pPr>
                  <w:r>
                    <w:rPr>
                      <w:rFonts w:asciiTheme="minorHAnsi" w:hAnsiTheme="minorHAnsi" w:cstheme="minorHAnsi"/>
                      <w:szCs w:val="18"/>
                    </w:rPr>
                    <w:t>17</w:t>
                  </w:r>
                </w:p>
              </w:tc>
            </w:tr>
            <w:tr w:rsidR="00FC14FC" w14:paraId="3A9B49B5" w14:textId="77777777" w:rsidTr="00D11B9D">
              <w:tc>
                <w:tcPr>
                  <w:tcW w:w="1278" w:type="pct"/>
                  <w:shd w:val="clear" w:color="auto" w:fill="auto"/>
                </w:tcPr>
                <w:p w14:paraId="066C378B" w14:textId="77777777" w:rsidR="00FC14FC" w:rsidRDefault="00FC14FC" w:rsidP="00D11B9D">
                  <w:pPr>
                    <w:pStyle w:val="TableBodyText"/>
                    <w:jc w:val="left"/>
                    <w:rPr>
                      <w:rFonts w:asciiTheme="minorHAnsi" w:hAnsiTheme="minorHAnsi" w:cstheme="minorHAnsi"/>
                      <w:szCs w:val="18"/>
                    </w:rPr>
                  </w:pPr>
                </w:p>
              </w:tc>
              <w:tc>
                <w:tcPr>
                  <w:tcW w:w="1003" w:type="pct"/>
                  <w:shd w:val="clear" w:color="auto" w:fill="auto"/>
                  <w:vAlign w:val="bottom"/>
                </w:tcPr>
                <w:p w14:paraId="009B8D3E" w14:textId="77777777" w:rsidR="00FC14FC" w:rsidRPr="003777CB" w:rsidRDefault="00FC14FC" w:rsidP="00D11B9D">
                  <w:pPr>
                    <w:pStyle w:val="TableBodyText"/>
                    <w:jc w:val="left"/>
                  </w:pPr>
                  <w:r w:rsidRPr="003777CB">
                    <w:t>Public Sector</w:t>
                  </w:r>
                </w:p>
              </w:tc>
              <w:tc>
                <w:tcPr>
                  <w:tcW w:w="1345" w:type="pct"/>
                  <w:shd w:val="clear" w:color="auto" w:fill="auto"/>
                  <w:vAlign w:val="bottom"/>
                </w:tcPr>
                <w:p w14:paraId="6A862A69" w14:textId="77777777" w:rsidR="00FC14FC" w:rsidRDefault="00FC14FC" w:rsidP="00D11B9D">
                  <w:pPr>
                    <w:pStyle w:val="TableBodyText"/>
                    <w:rPr>
                      <w:rFonts w:asciiTheme="minorHAnsi" w:hAnsiTheme="minorHAnsi" w:cstheme="minorHAnsi"/>
                      <w:szCs w:val="18"/>
                    </w:rPr>
                  </w:pPr>
                  <w:r>
                    <w:rPr>
                      <w:rFonts w:asciiTheme="minorHAnsi" w:hAnsiTheme="minorHAnsi" w:cstheme="minorHAnsi"/>
                      <w:szCs w:val="18"/>
                    </w:rPr>
                    <w:t>34</w:t>
                  </w:r>
                </w:p>
              </w:tc>
              <w:tc>
                <w:tcPr>
                  <w:tcW w:w="1374" w:type="pct"/>
                  <w:shd w:val="clear" w:color="auto" w:fill="auto"/>
                  <w:vAlign w:val="bottom"/>
                </w:tcPr>
                <w:p w14:paraId="3815E267" w14:textId="77777777" w:rsidR="00FC14FC" w:rsidRDefault="00FC14FC" w:rsidP="00D11B9D">
                  <w:pPr>
                    <w:pStyle w:val="TableBodyText"/>
                    <w:ind w:right="28"/>
                    <w:rPr>
                      <w:rFonts w:asciiTheme="minorHAnsi" w:hAnsiTheme="minorHAnsi" w:cstheme="minorHAnsi"/>
                      <w:szCs w:val="18"/>
                    </w:rPr>
                  </w:pPr>
                  <w:r>
                    <w:rPr>
                      <w:rFonts w:asciiTheme="minorHAnsi" w:hAnsiTheme="minorHAnsi" w:cstheme="minorHAnsi"/>
                      <w:szCs w:val="18"/>
                    </w:rPr>
                    <w:t>34</w:t>
                  </w:r>
                </w:p>
              </w:tc>
            </w:tr>
            <w:tr w:rsidR="00FC14FC" w14:paraId="04C03204" w14:textId="77777777" w:rsidTr="00D11B9D">
              <w:tc>
                <w:tcPr>
                  <w:tcW w:w="1278" w:type="pct"/>
                  <w:shd w:val="clear" w:color="auto" w:fill="auto"/>
                </w:tcPr>
                <w:p w14:paraId="726778BF" w14:textId="77777777" w:rsidR="00FC14FC" w:rsidRPr="00ED3723" w:rsidRDefault="00FC14FC" w:rsidP="00D11B9D">
                  <w:pPr>
                    <w:pStyle w:val="TableBodyText"/>
                    <w:jc w:val="left"/>
                    <w:rPr>
                      <w:rFonts w:asciiTheme="minorHAnsi" w:hAnsiTheme="minorHAnsi" w:cstheme="minorHAnsi"/>
                      <w:szCs w:val="18"/>
                    </w:rPr>
                  </w:pPr>
                </w:p>
              </w:tc>
              <w:tc>
                <w:tcPr>
                  <w:tcW w:w="1003" w:type="pct"/>
                  <w:shd w:val="clear" w:color="auto" w:fill="auto"/>
                </w:tcPr>
                <w:p w14:paraId="069028FB" w14:textId="77777777" w:rsidR="00FC14FC" w:rsidRPr="003777CB" w:rsidRDefault="00FC14FC" w:rsidP="00D11B9D">
                  <w:pPr>
                    <w:pStyle w:val="TableBodyText"/>
                    <w:jc w:val="left"/>
                  </w:pPr>
                  <w:r w:rsidRPr="003777CB">
                    <w:t xml:space="preserve">Retail </w:t>
                  </w:r>
                </w:p>
              </w:tc>
              <w:tc>
                <w:tcPr>
                  <w:tcW w:w="1345" w:type="pct"/>
                  <w:shd w:val="clear" w:color="auto" w:fill="auto"/>
                  <w:vAlign w:val="bottom"/>
                </w:tcPr>
                <w:p w14:paraId="6380E6BE" w14:textId="77777777" w:rsidR="00FC14FC" w:rsidRPr="00D50276" w:rsidRDefault="00FC14FC" w:rsidP="00D11B9D">
                  <w:pPr>
                    <w:pStyle w:val="TableBodyText"/>
                    <w:rPr>
                      <w:rFonts w:asciiTheme="minorHAnsi" w:hAnsiTheme="minorHAnsi" w:cstheme="minorHAnsi"/>
                      <w:szCs w:val="18"/>
                    </w:rPr>
                  </w:pPr>
                  <w:r>
                    <w:rPr>
                      <w:rFonts w:asciiTheme="minorHAnsi" w:hAnsiTheme="minorHAnsi" w:cstheme="minorHAnsi"/>
                      <w:szCs w:val="18"/>
                    </w:rPr>
                    <w:t>99</w:t>
                  </w:r>
                </w:p>
              </w:tc>
              <w:tc>
                <w:tcPr>
                  <w:tcW w:w="1374" w:type="pct"/>
                  <w:shd w:val="clear" w:color="auto" w:fill="auto"/>
                  <w:vAlign w:val="bottom"/>
                </w:tcPr>
                <w:p w14:paraId="632104C0" w14:textId="77777777" w:rsidR="00FC14FC" w:rsidRPr="00D50276" w:rsidRDefault="00FC14FC" w:rsidP="00D11B9D">
                  <w:pPr>
                    <w:pStyle w:val="TableBodyText"/>
                    <w:ind w:right="28"/>
                    <w:rPr>
                      <w:rFonts w:asciiTheme="minorHAnsi" w:hAnsiTheme="minorHAnsi" w:cstheme="minorHAnsi"/>
                      <w:szCs w:val="18"/>
                    </w:rPr>
                  </w:pPr>
                  <w:r>
                    <w:rPr>
                      <w:rFonts w:asciiTheme="minorHAnsi" w:hAnsiTheme="minorHAnsi" w:cstheme="minorHAnsi"/>
                      <w:szCs w:val="18"/>
                    </w:rPr>
                    <w:t>99</w:t>
                  </w:r>
                </w:p>
              </w:tc>
            </w:tr>
            <w:tr w:rsidR="00FC14FC" w14:paraId="536F590A" w14:textId="77777777" w:rsidTr="00D11B9D">
              <w:tc>
                <w:tcPr>
                  <w:tcW w:w="5000" w:type="pct"/>
                  <w:gridSpan w:val="4"/>
                  <w:shd w:val="clear" w:color="auto" w:fill="F2F2F2" w:themeFill="background1" w:themeFillShade="F2"/>
                  <w:vAlign w:val="bottom"/>
                </w:tcPr>
                <w:p w14:paraId="5C4B6505" w14:textId="77777777" w:rsidR="00FC14FC" w:rsidRPr="003D5B6C" w:rsidRDefault="00FC14FC" w:rsidP="00D11B9D">
                  <w:pPr>
                    <w:pStyle w:val="TableColumnHeading"/>
                    <w:jc w:val="left"/>
                    <w:rPr>
                      <w:rFonts w:asciiTheme="minorHAnsi" w:hAnsiTheme="minorHAnsi" w:cstheme="minorHAnsi"/>
                      <w:b/>
                      <w:i w:val="0"/>
                      <w:szCs w:val="18"/>
                    </w:rPr>
                  </w:pPr>
                  <w:r w:rsidRPr="003D5B6C">
                    <w:rPr>
                      <w:b/>
                      <w:i w:val="0"/>
                    </w:rPr>
                    <w:t xml:space="preserve">% of accounts (in each fund type) that are in underperforming funds </w:t>
                  </w:r>
                </w:p>
              </w:tc>
            </w:tr>
            <w:tr w:rsidR="00FC14FC" w14:paraId="77600A76" w14:textId="77777777" w:rsidTr="00D11B9D">
              <w:tc>
                <w:tcPr>
                  <w:tcW w:w="1278" w:type="pct"/>
                  <w:shd w:val="clear" w:color="auto" w:fill="F2F2F2" w:themeFill="background1" w:themeFillShade="F2"/>
                </w:tcPr>
                <w:p w14:paraId="71B7C7DF" w14:textId="77777777" w:rsidR="00FC14FC" w:rsidRPr="00ED3723" w:rsidRDefault="00FC14FC" w:rsidP="00D11B9D">
                  <w:pPr>
                    <w:pStyle w:val="TableBodyText"/>
                    <w:jc w:val="left"/>
                    <w:rPr>
                      <w:rFonts w:asciiTheme="minorHAnsi" w:hAnsiTheme="minorHAnsi" w:cstheme="minorHAnsi"/>
                      <w:szCs w:val="18"/>
                    </w:rPr>
                  </w:pPr>
                </w:p>
              </w:tc>
              <w:tc>
                <w:tcPr>
                  <w:tcW w:w="1003" w:type="pct"/>
                  <w:shd w:val="clear" w:color="auto" w:fill="F2F2F2" w:themeFill="background1" w:themeFillShade="F2"/>
                  <w:vAlign w:val="bottom"/>
                </w:tcPr>
                <w:p w14:paraId="327B9DCA" w14:textId="77777777" w:rsidR="00FC14FC" w:rsidRPr="003777CB" w:rsidRDefault="00FC14FC" w:rsidP="00D11B9D">
                  <w:pPr>
                    <w:pStyle w:val="TableBodyText"/>
                    <w:jc w:val="left"/>
                  </w:pPr>
                  <w:r w:rsidRPr="003777CB">
                    <w:t>Corporate</w:t>
                  </w:r>
                </w:p>
              </w:tc>
              <w:tc>
                <w:tcPr>
                  <w:tcW w:w="1345" w:type="pct"/>
                  <w:shd w:val="clear" w:color="auto" w:fill="F2F2F2" w:themeFill="background1" w:themeFillShade="F2"/>
                </w:tcPr>
                <w:p w14:paraId="4B6117E3"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22</w:t>
                  </w:r>
                </w:p>
              </w:tc>
              <w:tc>
                <w:tcPr>
                  <w:tcW w:w="1374" w:type="pct"/>
                  <w:shd w:val="clear" w:color="auto" w:fill="F2F2F2" w:themeFill="background1" w:themeFillShade="F2"/>
                  <w:vAlign w:val="bottom"/>
                </w:tcPr>
                <w:p w14:paraId="66DE4092"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8</w:t>
                  </w:r>
                </w:p>
              </w:tc>
            </w:tr>
            <w:tr w:rsidR="00FC14FC" w14:paraId="5D117040" w14:textId="77777777" w:rsidTr="00D11B9D">
              <w:tc>
                <w:tcPr>
                  <w:tcW w:w="1278" w:type="pct"/>
                  <w:shd w:val="clear" w:color="auto" w:fill="F2F2F2" w:themeFill="background1" w:themeFillShade="F2"/>
                </w:tcPr>
                <w:p w14:paraId="3A7E4083" w14:textId="77777777" w:rsidR="00FC14FC" w:rsidRDefault="00FC14FC" w:rsidP="00D11B9D">
                  <w:pPr>
                    <w:pStyle w:val="TableBodyText"/>
                    <w:jc w:val="left"/>
                    <w:rPr>
                      <w:rFonts w:asciiTheme="minorHAnsi" w:hAnsiTheme="minorHAnsi" w:cstheme="minorHAnsi"/>
                      <w:szCs w:val="18"/>
                    </w:rPr>
                  </w:pPr>
                </w:p>
              </w:tc>
              <w:tc>
                <w:tcPr>
                  <w:tcW w:w="1003" w:type="pct"/>
                  <w:shd w:val="clear" w:color="auto" w:fill="F2F2F2" w:themeFill="background1" w:themeFillShade="F2"/>
                  <w:vAlign w:val="bottom"/>
                </w:tcPr>
                <w:p w14:paraId="187DADF2" w14:textId="77777777" w:rsidR="00FC14FC" w:rsidRPr="003777CB" w:rsidRDefault="00FC14FC" w:rsidP="00D11B9D">
                  <w:pPr>
                    <w:pStyle w:val="TableBodyText"/>
                    <w:jc w:val="left"/>
                  </w:pPr>
                  <w:r w:rsidRPr="003777CB">
                    <w:t xml:space="preserve">Industry </w:t>
                  </w:r>
                </w:p>
              </w:tc>
              <w:tc>
                <w:tcPr>
                  <w:tcW w:w="1345" w:type="pct"/>
                  <w:shd w:val="clear" w:color="auto" w:fill="F2F2F2" w:themeFill="background1" w:themeFillShade="F2"/>
                </w:tcPr>
                <w:p w14:paraId="2886D3EA" w14:textId="77777777" w:rsidR="00FC14FC"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9</w:t>
                  </w:r>
                </w:p>
              </w:tc>
              <w:tc>
                <w:tcPr>
                  <w:tcW w:w="1374" w:type="pct"/>
                  <w:shd w:val="clear" w:color="auto" w:fill="F2F2F2" w:themeFill="background1" w:themeFillShade="F2"/>
                  <w:vAlign w:val="bottom"/>
                </w:tcPr>
                <w:p w14:paraId="577C77EC" w14:textId="77777777" w:rsidR="00FC14FC"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24</w:t>
                  </w:r>
                </w:p>
              </w:tc>
            </w:tr>
            <w:tr w:rsidR="00FC14FC" w14:paraId="46E6AD35" w14:textId="77777777" w:rsidTr="00D11B9D">
              <w:tc>
                <w:tcPr>
                  <w:tcW w:w="1278" w:type="pct"/>
                  <w:shd w:val="clear" w:color="auto" w:fill="F2F2F2" w:themeFill="background1" w:themeFillShade="F2"/>
                </w:tcPr>
                <w:p w14:paraId="010C2716" w14:textId="77777777" w:rsidR="00FC14FC" w:rsidRPr="00ED3723" w:rsidRDefault="00FC14FC" w:rsidP="00D11B9D">
                  <w:pPr>
                    <w:pStyle w:val="TableBodyText"/>
                    <w:jc w:val="left"/>
                    <w:rPr>
                      <w:rFonts w:asciiTheme="minorHAnsi" w:hAnsiTheme="minorHAnsi" w:cstheme="minorHAnsi"/>
                      <w:szCs w:val="18"/>
                    </w:rPr>
                  </w:pPr>
                </w:p>
              </w:tc>
              <w:tc>
                <w:tcPr>
                  <w:tcW w:w="1003" w:type="pct"/>
                  <w:shd w:val="clear" w:color="auto" w:fill="F2F2F2" w:themeFill="background1" w:themeFillShade="F2"/>
                </w:tcPr>
                <w:p w14:paraId="4A4436AE" w14:textId="77777777" w:rsidR="00FC14FC" w:rsidRPr="003777CB" w:rsidRDefault="00FC14FC" w:rsidP="00D11B9D">
                  <w:pPr>
                    <w:pStyle w:val="TableBodyText"/>
                    <w:jc w:val="left"/>
                  </w:pPr>
                  <w:r w:rsidRPr="003777CB">
                    <w:t>Public Sector</w:t>
                  </w:r>
                </w:p>
              </w:tc>
              <w:tc>
                <w:tcPr>
                  <w:tcW w:w="1345" w:type="pct"/>
                  <w:shd w:val="clear" w:color="auto" w:fill="F2F2F2" w:themeFill="background1" w:themeFillShade="F2"/>
                  <w:vAlign w:val="bottom"/>
                </w:tcPr>
                <w:p w14:paraId="35F29A30" w14:textId="77777777" w:rsidR="00FC14FC" w:rsidRPr="00D50276"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36</w:t>
                  </w:r>
                </w:p>
              </w:tc>
              <w:tc>
                <w:tcPr>
                  <w:tcW w:w="1374" w:type="pct"/>
                  <w:shd w:val="clear" w:color="auto" w:fill="F2F2F2" w:themeFill="background1" w:themeFillShade="F2"/>
                  <w:vAlign w:val="bottom"/>
                </w:tcPr>
                <w:p w14:paraId="3711F4BC" w14:textId="77777777" w:rsidR="00FC14FC" w:rsidRPr="00D50276"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36</w:t>
                  </w:r>
                </w:p>
              </w:tc>
            </w:tr>
            <w:tr w:rsidR="00FC14FC" w14:paraId="0503E293" w14:textId="77777777" w:rsidTr="00D11B9D">
              <w:tc>
                <w:tcPr>
                  <w:tcW w:w="1278" w:type="pct"/>
                  <w:shd w:val="clear" w:color="auto" w:fill="F2F2F2" w:themeFill="background1" w:themeFillShade="F2"/>
                </w:tcPr>
                <w:p w14:paraId="1A8FAD16" w14:textId="77777777" w:rsidR="00FC14FC" w:rsidRPr="00ED3723" w:rsidRDefault="00FC14FC" w:rsidP="00D11B9D">
                  <w:pPr>
                    <w:pStyle w:val="TableBodyText"/>
                    <w:jc w:val="left"/>
                    <w:rPr>
                      <w:rFonts w:asciiTheme="minorHAnsi" w:hAnsiTheme="minorHAnsi" w:cstheme="minorHAnsi"/>
                      <w:szCs w:val="18"/>
                    </w:rPr>
                  </w:pPr>
                </w:p>
              </w:tc>
              <w:tc>
                <w:tcPr>
                  <w:tcW w:w="1003" w:type="pct"/>
                  <w:shd w:val="clear" w:color="auto" w:fill="F2F2F2" w:themeFill="background1" w:themeFillShade="F2"/>
                </w:tcPr>
                <w:p w14:paraId="14EFEEE0" w14:textId="77777777" w:rsidR="00FC14FC" w:rsidRPr="003777CB" w:rsidRDefault="00FC14FC" w:rsidP="00D11B9D">
                  <w:pPr>
                    <w:pStyle w:val="TableBodyText"/>
                    <w:jc w:val="left"/>
                  </w:pPr>
                  <w:r w:rsidRPr="003777CB">
                    <w:t xml:space="preserve">Retail </w:t>
                  </w:r>
                </w:p>
              </w:tc>
              <w:tc>
                <w:tcPr>
                  <w:tcW w:w="1345" w:type="pct"/>
                  <w:shd w:val="clear" w:color="auto" w:fill="F2F2F2" w:themeFill="background1" w:themeFillShade="F2"/>
                  <w:vAlign w:val="bottom"/>
                </w:tcPr>
                <w:p w14:paraId="53ABBE99" w14:textId="77777777" w:rsidR="00FC14FC" w:rsidRPr="00D50276" w:rsidRDefault="00FC14FC" w:rsidP="00D11B9D">
                  <w:pPr>
                    <w:pStyle w:val="TableBodyText"/>
                    <w:rPr>
                      <w:rFonts w:asciiTheme="minorHAnsi" w:hAnsiTheme="minorHAnsi" w:cstheme="minorHAnsi"/>
                      <w:color w:val="000000"/>
                      <w:szCs w:val="18"/>
                    </w:rPr>
                  </w:pPr>
                  <w:r>
                    <w:rPr>
                      <w:rFonts w:asciiTheme="minorHAnsi" w:hAnsiTheme="minorHAnsi" w:cstheme="minorHAnsi"/>
                      <w:color w:val="000000"/>
                      <w:szCs w:val="18"/>
                    </w:rPr>
                    <w:t>99</w:t>
                  </w:r>
                </w:p>
              </w:tc>
              <w:tc>
                <w:tcPr>
                  <w:tcW w:w="1374" w:type="pct"/>
                  <w:shd w:val="clear" w:color="auto" w:fill="F2F2F2" w:themeFill="background1" w:themeFillShade="F2"/>
                  <w:vAlign w:val="bottom"/>
                </w:tcPr>
                <w:p w14:paraId="7EBBC866" w14:textId="77777777" w:rsidR="00FC14FC" w:rsidRPr="00D50276" w:rsidRDefault="00FC14FC" w:rsidP="00D11B9D">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99</w:t>
                  </w:r>
                </w:p>
              </w:tc>
            </w:tr>
          </w:tbl>
          <w:p w14:paraId="0117DC13" w14:textId="77777777" w:rsidR="00FC14FC" w:rsidRDefault="00FC14FC" w:rsidP="00D11B9D">
            <w:pPr>
              <w:pStyle w:val="Box"/>
            </w:pPr>
          </w:p>
        </w:tc>
      </w:tr>
      <w:tr w:rsidR="00FC14FC" w14:paraId="38054AF6" w14:textId="77777777" w:rsidTr="00D11B9D">
        <w:tc>
          <w:tcPr>
            <w:tcW w:w="5000" w:type="pct"/>
            <w:tcBorders>
              <w:top w:val="single" w:sz="4" w:space="0" w:color="BFBFBF" w:themeColor="background1" w:themeShade="BF"/>
              <w:left w:val="nil"/>
              <w:bottom w:val="nil"/>
              <w:right w:val="nil"/>
            </w:tcBorders>
            <w:shd w:val="clear" w:color="auto" w:fill="auto"/>
          </w:tcPr>
          <w:p w14:paraId="5CFB840A" w14:textId="77777777" w:rsidR="00FC14FC" w:rsidRDefault="00FC14FC" w:rsidP="00D11B9D">
            <w:pPr>
              <w:pStyle w:val="Note"/>
              <w:rPr>
                <w:i/>
              </w:rPr>
            </w:pPr>
            <w:r w:rsidRPr="008E77FE">
              <w:rPr>
                <w:rStyle w:val="NoteLabel"/>
              </w:rPr>
              <w:t>a</w:t>
            </w:r>
            <w:r>
              <w:t xml:space="preserve"> ’Own’ in column headings refers to the individual fund’s own actual tax rate paid or administration expense ratio. </w:t>
            </w:r>
            <w:r>
              <w:rPr>
                <w:rStyle w:val="NoteLabel"/>
              </w:rPr>
              <w:t>b</w:t>
            </w:r>
            <w:r>
              <w:t xml:space="preserve"> The population of funds in this table includes all APRA</w:t>
            </w:r>
            <w:r>
              <w:noBreakHyphen/>
              <w:t xml:space="preserve">regulated funds which have provided annual returns for every year over the period 2005–2017, and which are not insurance only or eligible rollover funds. </w:t>
            </w:r>
            <w:r w:rsidRPr="00ED3723">
              <w:rPr>
                <w:b/>
              </w:rPr>
              <w:t>–</w:t>
            </w:r>
            <w:r>
              <w:t xml:space="preserve"> Nil or rounded to zero.</w:t>
            </w:r>
          </w:p>
        </w:tc>
      </w:tr>
      <w:tr w:rsidR="00FC14FC" w14:paraId="783F6A9A" w14:textId="77777777" w:rsidTr="00D11B9D">
        <w:tc>
          <w:tcPr>
            <w:tcW w:w="5000" w:type="pct"/>
            <w:tcBorders>
              <w:top w:val="nil"/>
              <w:left w:val="nil"/>
              <w:bottom w:val="nil"/>
              <w:right w:val="nil"/>
            </w:tcBorders>
            <w:shd w:val="clear" w:color="auto" w:fill="auto"/>
          </w:tcPr>
          <w:p w14:paraId="3E19A0ED" w14:textId="77777777" w:rsidR="00FC14FC" w:rsidRDefault="00FC14FC" w:rsidP="00D11B9D">
            <w:pPr>
              <w:pStyle w:val="Source"/>
            </w:pPr>
            <w:r>
              <w:rPr>
                <w:i/>
              </w:rPr>
              <w:t>Sources</w:t>
            </w:r>
            <w:r w:rsidRPr="00167F06">
              <w:t xml:space="preserve">: </w:t>
            </w:r>
            <w:r>
              <w:t>PC analysis of unpublished APRA data and financial market index data (various providers).</w:t>
            </w:r>
          </w:p>
        </w:tc>
      </w:tr>
      <w:tr w:rsidR="00FC14FC" w14:paraId="22C1E686" w14:textId="77777777" w:rsidTr="00D11B9D">
        <w:tc>
          <w:tcPr>
            <w:tcW w:w="5000" w:type="pct"/>
            <w:tcBorders>
              <w:top w:val="nil"/>
              <w:left w:val="nil"/>
              <w:bottom w:val="single" w:sz="6" w:space="0" w:color="78A22F"/>
              <w:right w:val="nil"/>
            </w:tcBorders>
            <w:shd w:val="clear" w:color="auto" w:fill="auto"/>
          </w:tcPr>
          <w:p w14:paraId="33E9933A" w14:textId="77777777" w:rsidR="00FC14FC" w:rsidRDefault="00FC14FC" w:rsidP="00D11B9D">
            <w:pPr>
              <w:pStyle w:val="Box"/>
              <w:spacing w:before="0" w:line="120" w:lineRule="exact"/>
            </w:pPr>
          </w:p>
        </w:tc>
      </w:tr>
      <w:tr w:rsidR="00FC14FC" w:rsidRPr="000863A5" w14:paraId="5FBCA26F" w14:textId="77777777" w:rsidTr="00D11B9D">
        <w:tc>
          <w:tcPr>
            <w:tcW w:w="5000" w:type="pct"/>
            <w:tcBorders>
              <w:top w:val="single" w:sz="6" w:space="0" w:color="78A22F"/>
              <w:left w:val="nil"/>
              <w:bottom w:val="nil"/>
              <w:right w:val="nil"/>
            </w:tcBorders>
          </w:tcPr>
          <w:p w14:paraId="03B55CFA" w14:textId="77777777" w:rsidR="00FC14FC" w:rsidRPr="00626D32" w:rsidRDefault="00FC14FC" w:rsidP="00D11B9D">
            <w:pPr>
              <w:pStyle w:val="BoxSpaceBelow"/>
            </w:pPr>
          </w:p>
        </w:tc>
      </w:tr>
    </w:tbl>
    <w:p w14:paraId="62B05E54" w14:textId="77777777" w:rsidR="00FC14FC" w:rsidRDefault="00FC14FC" w:rsidP="00FC14FC">
      <w:pPr>
        <w:pStyle w:val="Heading4"/>
      </w:pPr>
      <w:r>
        <w:t>Fund</w:t>
      </w:r>
      <w:r>
        <w:noBreakHyphen/>
        <w:t>level relative outperformance decomposition</w:t>
      </w:r>
    </w:p>
    <w:p w14:paraId="231FACD6" w14:textId="77777777" w:rsidR="00FC14FC" w:rsidRDefault="00FC14FC" w:rsidP="00FC14FC">
      <w:pPr>
        <w:pStyle w:val="BodyText"/>
      </w:pPr>
      <w:r>
        <w:t>In chapter 2, analysis of the fund</w:t>
      </w:r>
      <w:r>
        <w:noBreakHyphen/>
        <w:t>level absolute performance decomposition indicates that residuals appear to explain much of the variation in performance. Figure 4.19 presents a fund</w:t>
      </w:r>
      <w:r>
        <w:noBreakHyphen/>
        <w:t xml:space="preserve">level </w:t>
      </w:r>
      <w:r w:rsidRPr="003565BE">
        <w:rPr>
          <w:i/>
        </w:rPr>
        <w:t>relative</w:t>
      </w:r>
      <w:r>
        <w:t xml:space="preserve"> outperformance decomposition (split by fund type) — where individual fund outperformance is compared against system outperformance. Because this figure compares outperformance gaps (which are calculated relative to benchmarks), differences in asset allocation are already controlled for. Administration expenses are also absent from this chart because, by construction, there will be no fund</w:t>
      </w:r>
      <w:r>
        <w:noBreakHyphen/>
        <w:t>level variation as the expenses are the same in the performance data and the benchmarks. This figure provides a clear indication that residuals play a large role in differences in fund</w:t>
      </w:r>
      <w:r>
        <w:noBreakHyphen/>
        <w:t>level performance relative to benchmarks.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41B14035" w14:textId="77777777" w:rsidTr="00D11B9D">
        <w:trPr>
          <w:tblHeader/>
        </w:trPr>
        <w:tc>
          <w:tcPr>
            <w:tcW w:w="5000" w:type="pct"/>
            <w:tcBorders>
              <w:top w:val="single" w:sz="6" w:space="0" w:color="78A22F"/>
              <w:left w:val="nil"/>
              <w:bottom w:val="nil"/>
              <w:right w:val="nil"/>
            </w:tcBorders>
            <w:shd w:val="clear" w:color="auto" w:fill="auto"/>
          </w:tcPr>
          <w:p w14:paraId="11364BF0" w14:textId="77777777" w:rsidR="00FC14FC" w:rsidRDefault="00FC14FC" w:rsidP="00D11B9D">
            <w:pPr>
              <w:pStyle w:val="FigureTitle"/>
            </w:pPr>
            <w:r w:rsidRPr="00784A05">
              <w:rPr>
                <w:b w:val="0"/>
              </w:rPr>
              <w:lastRenderedPageBreak/>
              <w:t xml:space="preserve">Figure </w:t>
            </w:r>
            <w:r>
              <w:rPr>
                <w:b w:val="0"/>
              </w:rPr>
              <w:t>4.19</w:t>
            </w:r>
            <w:r>
              <w:tab/>
              <w:t>Fund</w:t>
            </w:r>
            <w:r>
              <w:noBreakHyphen/>
              <w:t>level relative outperformance decomposition (against system outperformance)</w:t>
            </w:r>
          </w:p>
          <w:p w14:paraId="6B0BE085" w14:textId="77777777" w:rsidR="00FC14FC" w:rsidRPr="00176D3F" w:rsidRDefault="00FC14FC" w:rsidP="00D11B9D">
            <w:pPr>
              <w:pStyle w:val="Subtitle"/>
            </w:pPr>
            <w:r>
              <w:t>2005–2017</w:t>
            </w:r>
          </w:p>
        </w:tc>
      </w:tr>
      <w:tr w:rsidR="00FC14FC" w14:paraId="12AA9219" w14:textId="77777777" w:rsidTr="00D11B9D">
        <w:trPr>
          <w:trHeight w:val="11556"/>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C14FC" w:rsidRPr="00B1465D" w14:paraId="7E534CED" w14:textId="77777777" w:rsidTr="00D11B9D">
              <w:trPr>
                <w:tblHeader/>
                <w:jc w:val="center"/>
              </w:trPr>
              <w:tc>
                <w:tcPr>
                  <w:tcW w:w="5000" w:type="pct"/>
                  <w:tcBorders>
                    <w:top w:val="nil"/>
                    <w:bottom w:val="nil"/>
                  </w:tcBorders>
                </w:tcPr>
                <w:p w14:paraId="47F90EB0" w14:textId="77777777" w:rsidR="00FC14FC" w:rsidRDefault="00FC14FC" w:rsidP="00D11B9D">
                  <w:pPr>
                    <w:pStyle w:val="Figure"/>
                    <w:spacing w:before="60" w:after="60"/>
                    <w:rPr>
                      <w:rFonts w:ascii="Arial" w:hAnsi="Arial" w:cs="Arial"/>
                      <w:sz w:val="18"/>
                      <w:szCs w:val="18"/>
                    </w:rPr>
                  </w:pPr>
                  <w:r w:rsidRPr="00F6055A">
                    <w:rPr>
                      <w:rFonts w:ascii="Arial" w:hAnsi="Arial" w:cs="Arial"/>
                      <w:noProof/>
                      <w:sz w:val="18"/>
                      <w:szCs w:val="18"/>
                    </w:rPr>
                    <w:drawing>
                      <wp:inline distT="0" distB="0" distL="0" distR="0" wp14:anchorId="3B8440B9" wp14:editId="5BB3D48B">
                        <wp:extent cx="5380824" cy="5783580"/>
                        <wp:effectExtent l="0" t="0" r="0" b="0"/>
                        <wp:docPr id="11" name="Picture 11" descr="Fig 4.19. This bar chart shows the fund-level relative outperformance decomposition (against system outperformance). Overall, it shows the residuals explain most of the difference in outperformance between funds and the system. Not-for-profit funds typically beat the system, whereas more retail funds are below. " title="Fund level relative outperformance decomposition (against system out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2" cstate="print">
                                  <a:extLst>
                                    <a:ext uri="{28A0092B-C50C-407E-A947-70E740481C1C}">
                                      <a14:useLocalDpi xmlns:a14="http://schemas.microsoft.com/office/drawing/2010/main" val="0"/>
                                    </a:ext>
                                  </a:extLst>
                                </a:blip>
                                <a:srcRect r="8743"/>
                                <a:stretch/>
                              </pic:blipFill>
                              <pic:spPr bwMode="auto">
                                <a:xfrm>
                                  <a:off x="0" y="0"/>
                                  <a:ext cx="5380824" cy="578358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4999" w:type="pct"/>
                    <w:tblInd w:w="1" w:type="dxa"/>
                    <w:tblLook w:val="04A0" w:firstRow="1" w:lastRow="0" w:firstColumn="1" w:lastColumn="0" w:noHBand="0" w:noVBand="1"/>
                  </w:tblPr>
                  <w:tblGrid>
                    <w:gridCol w:w="1609"/>
                    <w:gridCol w:w="2787"/>
                    <w:gridCol w:w="1600"/>
                    <w:gridCol w:w="2506"/>
                  </w:tblGrid>
                  <w:tr w:rsidR="00FC14FC" w14:paraId="31CC3CCE" w14:textId="77777777" w:rsidTr="00D11B9D">
                    <w:trPr>
                      <w:trHeight w:val="221"/>
                      <w:tblHeader/>
                    </w:trPr>
                    <w:tc>
                      <w:tcPr>
                        <w:tcW w:w="946" w:type="pct"/>
                        <w:shd w:val="clear" w:color="auto" w:fill="F2F2F2" w:themeFill="background1" w:themeFillShade="F2"/>
                        <w:hideMark/>
                      </w:tcPr>
                      <w:p w14:paraId="38B5632F" w14:textId="77777777" w:rsidR="00FC14FC"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Note</w:t>
                        </w:r>
                      </w:p>
                    </w:tc>
                    <w:tc>
                      <w:tcPr>
                        <w:tcW w:w="4054" w:type="pct"/>
                        <w:gridSpan w:val="3"/>
                        <w:shd w:val="clear" w:color="auto" w:fill="F2F2F2" w:themeFill="background1" w:themeFillShade="F2"/>
                        <w:hideMark/>
                      </w:tcPr>
                      <w:p w14:paraId="21AAD579" w14:textId="77777777" w:rsidR="00FC14FC" w:rsidRDefault="00FC14FC" w:rsidP="00D11B9D">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 xml:space="preserve">One retail fund approximately matched the system exactly on outperformance. </w:t>
                        </w:r>
                      </w:p>
                    </w:tc>
                  </w:tr>
                  <w:tr w:rsidR="00FC14FC" w14:paraId="0384A502" w14:textId="77777777" w:rsidTr="00D11B9D">
                    <w:trPr>
                      <w:trHeight w:val="442"/>
                      <w:tblHeader/>
                    </w:trPr>
                    <w:tc>
                      <w:tcPr>
                        <w:tcW w:w="946" w:type="pct"/>
                        <w:shd w:val="clear" w:color="auto" w:fill="F2F2F2" w:themeFill="background1" w:themeFillShade="F2"/>
                        <w:hideMark/>
                      </w:tcPr>
                      <w:p w14:paraId="03456702"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4054" w:type="pct"/>
                        <w:gridSpan w:val="3"/>
                        <w:shd w:val="clear" w:color="auto" w:fill="F2F2F2" w:themeFill="background1" w:themeFillShade="F2"/>
                        <w:hideMark/>
                      </w:tcPr>
                      <w:p w14:paraId="188D65BC"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PC analysis of unpublished APRA data and financial market index data (various providers).</w:t>
                        </w:r>
                      </w:p>
                    </w:tc>
                  </w:tr>
                  <w:tr w:rsidR="00FC14FC" w14:paraId="4CFE52A6" w14:textId="77777777" w:rsidTr="00D11B9D">
                    <w:trPr>
                      <w:trHeight w:val="221"/>
                    </w:trPr>
                    <w:tc>
                      <w:tcPr>
                        <w:tcW w:w="946" w:type="pct"/>
                        <w:shd w:val="clear" w:color="auto" w:fill="F2F2F2" w:themeFill="background1" w:themeFillShade="F2"/>
                        <w:hideMark/>
                      </w:tcPr>
                      <w:p w14:paraId="12BB01B1"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Benchmark</w:t>
                        </w:r>
                      </w:p>
                    </w:tc>
                    <w:tc>
                      <w:tcPr>
                        <w:tcW w:w="4054" w:type="pct"/>
                        <w:gridSpan w:val="3"/>
                        <w:shd w:val="clear" w:color="auto" w:fill="F2F2F2" w:themeFill="background1" w:themeFillShade="F2"/>
                        <w:hideMark/>
                      </w:tcPr>
                      <w:p w14:paraId="2B3C8D1D" w14:textId="77777777" w:rsidR="00FC14FC" w:rsidRDefault="00FC14FC" w:rsidP="00D11B9D">
                        <w:pPr>
                          <w:pStyle w:val="Figure"/>
                          <w:spacing w:before="0" w:after="0"/>
                          <w:jc w:val="left"/>
                          <w:rPr>
                            <w:rFonts w:ascii="Arial" w:hAnsi="Arial" w:cs="Arial"/>
                            <w:sz w:val="18"/>
                            <w:szCs w:val="18"/>
                          </w:rPr>
                        </w:pPr>
                        <w:r>
                          <w:rPr>
                            <w:rFonts w:ascii="Arial" w:hAnsi="Arial" w:cs="Arial"/>
                            <w:sz w:val="18"/>
                            <w:szCs w:val="18"/>
                          </w:rPr>
                          <w:t>Fund tailored BP2.</w:t>
                        </w:r>
                      </w:p>
                    </w:tc>
                  </w:tr>
                  <w:tr w:rsidR="00FC14FC" w14:paraId="5AC8F190" w14:textId="77777777" w:rsidTr="00D11B9D">
                    <w:trPr>
                      <w:trHeight w:val="759"/>
                    </w:trPr>
                    <w:tc>
                      <w:tcPr>
                        <w:tcW w:w="946" w:type="pct"/>
                        <w:shd w:val="clear" w:color="auto" w:fill="F2F2F2" w:themeFill="background1" w:themeFillShade="F2"/>
                        <w:hideMark/>
                      </w:tcPr>
                      <w:p w14:paraId="53B57E39"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Coverage</w:t>
                        </w:r>
                      </w:p>
                    </w:tc>
                    <w:tc>
                      <w:tcPr>
                        <w:tcW w:w="4054" w:type="pct"/>
                        <w:gridSpan w:val="3"/>
                        <w:shd w:val="clear" w:color="auto" w:fill="F2F2F2" w:themeFill="background1" w:themeFillShade="F2"/>
                        <w:hideMark/>
                      </w:tcPr>
                      <w:p w14:paraId="74B83B54" w14:textId="77777777" w:rsidR="00FC14FC" w:rsidRDefault="00FC14FC" w:rsidP="00D11B9D">
                        <w:pPr>
                          <w:pStyle w:val="NormalWeb"/>
                          <w:rPr>
                            <w:color w:val="000000" w:themeColor="text1"/>
                            <w:sz w:val="18"/>
                            <w:szCs w:val="18"/>
                          </w:rPr>
                        </w:pPr>
                        <w:r>
                          <w:rPr>
                            <w:rFonts w:asciiTheme="minorHAnsi" w:hAnsi="Arial" w:cstheme="minorBidi"/>
                            <w:color w:val="000000" w:themeColor="text1"/>
                            <w:kern w:val="24"/>
                            <w:sz w:val="18"/>
                            <w:szCs w:val="18"/>
                          </w:rPr>
                          <w:t>All APRA</w:t>
                        </w:r>
                        <w:r>
                          <w:rPr>
                            <w:rFonts w:asciiTheme="minorHAnsi" w:hAnsi="Arial" w:cstheme="minorBidi"/>
                            <w:color w:val="000000" w:themeColor="text1"/>
                            <w:kern w:val="24"/>
                            <w:sz w:val="18"/>
                            <w:szCs w:val="18"/>
                          </w:rPr>
                          <w:noBreakHyphen/>
                          <w:t>regulated funds with a MySuper product in the dataset over the full period (54% of assets and 61% of member accounts in all APRA</w:t>
                        </w:r>
                        <w:r>
                          <w:rPr>
                            <w:rFonts w:asciiTheme="minorHAnsi" w:hAnsi="Arial" w:cstheme="minorBidi"/>
                            <w:color w:val="000000" w:themeColor="text1"/>
                            <w:kern w:val="24"/>
                            <w:sz w:val="18"/>
                            <w:szCs w:val="18"/>
                          </w:rPr>
                          <w:noBreakHyphen/>
                          <w:t xml:space="preserve">regulated funds with a MySuper product in 2017). </w:t>
                        </w:r>
                        <w:r>
                          <w:rPr>
                            <w:rFonts w:ascii="Arial" w:eastAsia="+mn-ea" w:hAnsi="Arial" w:cs="Arial"/>
                            <w:color w:val="000000" w:themeColor="text1"/>
                            <w:kern w:val="24"/>
                            <w:sz w:val="18"/>
                            <w:szCs w:val="18"/>
                          </w:rPr>
                          <w:t>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only superannuation funds.</w:t>
                        </w:r>
                        <w:r>
                          <w:rPr>
                            <w:rFonts w:asciiTheme="minorHAnsi" w:hAnsi="Arial" w:cstheme="minorBidi"/>
                            <w:color w:val="000000" w:themeColor="text1"/>
                            <w:kern w:val="24"/>
                            <w:sz w:val="18"/>
                            <w:szCs w:val="18"/>
                          </w:rPr>
                          <w:t xml:space="preserve"> Over the whole system, the figure represents 67 funds, 27% of assets and 47% of member accounts in 2017.</w:t>
                        </w:r>
                      </w:p>
                    </w:tc>
                  </w:tr>
                  <w:tr w:rsidR="00FC14FC" w14:paraId="1E86D842" w14:textId="77777777" w:rsidTr="00D11B9D">
                    <w:trPr>
                      <w:trHeight w:val="221"/>
                    </w:trPr>
                    <w:tc>
                      <w:tcPr>
                        <w:tcW w:w="946" w:type="pct"/>
                        <w:shd w:val="clear" w:color="auto" w:fill="F2F2F2" w:themeFill="background1" w:themeFillShade="F2"/>
                        <w:hideMark/>
                      </w:tcPr>
                      <w:p w14:paraId="69E7F874" w14:textId="77777777" w:rsidR="00FC14FC" w:rsidRDefault="00FC14FC" w:rsidP="00D11B9D">
                        <w:pPr>
                          <w:pStyle w:val="Figure"/>
                          <w:spacing w:before="0" w:after="0"/>
                          <w:jc w:val="left"/>
                          <w:rPr>
                            <w:rFonts w:ascii="Arial" w:hAnsi="Arial" w:cs="Arial"/>
                            <w:b/>
                            <w:sz w:val="18"/>
                            <w:szCs w:val="18"/>
                          </w:rPr>
                        </w:pPr>
                        <w:r>
                          <w:rPr>
                            <w:rFonts w:ascii="Arial" w:hAnsi="Arial" w:cs="Arial"/>
                            <w:b/>
                            <w:sz w:val="18"/>
                            <w:szCs w:val="18"/>
                          </w:rPr>
                          <w:t>Survivor bias</w:t>
                        </w:r>
                      </w:p>
                    </w:tc>
                    <w:tc>
                      <w:tcPr>
                        <w:tcW w:w="1639" w:type="pct"/>
                        <w:shd w:val="clear" w:color="auto" w:fill="F2F2F2" w:themeFill="background1" w:themeFillShade="F2"/>
                        <w:hideMark/>
                      </w:tcPr>
                      <w:p w14:paraId="03335D80" w14:textId="77777777" w:rsidR="00FC14FC" w:rsidRDefault="00FC14FC" w:rsidP="00D11B9D">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Yes.</w:t>
                        </w:r>
                      </w:p>
                    </w:tc>
                    <w:tc>
                      <w:tcPr>
                        <w:tcW w:w="941" w:type="pct"/>
                        <w:shd w:val="clear" w:color="auto" w:fill="F2F2F2" w:themeFill="background1" w:themeFillShade="F2"/>
                        <w:hideMark/>
                      </w:tcPr>
                      <w:p w14:paraId="6496A56E" w14:textId="77777777" w:rsidR="00FC14FC"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Selection bias</w:t>
                        </w:r>
                      </w:p>
                    </w:tc>
                    <w:tc>
                      <w:tcPr>
                        <w:tcW w:w="1474" w:type="pct"/>
                        <w:shd w:val="clear" w:color="auto" w:fill="F2F2F2" w:themeFill="background1" w:themeFillShade="F2"/>
                        <w:hideMark/>
                      </w:tcPr>
                      <w:p w14:paraId="02555412" w14:textId="77777777" w:rsidR="00FC14FC" w:rsidRDefault="00FC14FC" w:rsidP="00D11B9D">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Yes.</w:t>
                        </w:r>
                      </w:p>
                    </w:tc>
                  </w:tr>
                </w:tbl>
                <w:p w14:paraId="36232BC7" w14:textId="77777777" w:rsidR="00FC14FC" w:rsidRPr="00B1465D" w:rsidRDefault="00FC14FC" w:rsidP="00D11B9D">
                  <w:pPr>
                    <w:pStyle w:val="Figure"/>
                    <w:spacing w:before="60" w:after="60"/>
                    <w:rPr>
                      <w:rFonts w:ascii="Arial" w:hAnsi="Arial" w:cs="Arial"/>
                      <w:sz w:val="18"/>
                      <w:szCs w:val="18"/>
                    </w:rPr>
                  </w:pPr>
                </w:p>
              </w:tc>
            </w:tr>
          </w:tbl>
          <w:p w14:paraId="5CBB25EB" w14:textId="77777777" w:rsidR="00FC14FC" w:rsidRDefault="00FC14FC" w:rsidP="00D11B9D">
            <w:pPr>
              <w:pStyle w:val="Figure"/>
            </w:pPr>
          </w:p>
        </w:tc>
      </w:tr>
      <w:tr w:rsidR="00FC14FC" w14:paraId="66705817" w14:textId="77777777" w:rsidTr="00D11B9D">
        <w:trPr>
          <w:trHeight w:val="80"/>
        </w:trPr>
        <w:tc>
          <w:tcPr>
            <w:tcW w:w="5000" w:type="pct"/>
            <w:tcBorders>
              <w:top w:val="nil"/>
              <w:left w:val="nil"/>
              <w:bottom w:val="single" w:sz="6" w:space="0" w:color="78A22F"/>
              <w:right w:val="nil"/>
            </w:tcBorders>
            <w:shd w:val="clear" w:color="auto" w:fill="auto"/>
          </w:tcPr>
          <w:p w14:paraId="34B387DF" w14:textId="77777777" w:rsidR="00FC14FC" w:rsidRDefault="00FC14FC" w:rsidP="00D11B9D">
            <w:pPr>
              <w:pStyle w:val="Figurespace"/>
            </w:pPr>
          </w:p>
        </w:tc>
      </w:tr>
      <w:tr w:rsidR="00FC14FC" w:rsidRPr="000863A5" w14:paraId="66DEB102" w14:textId="77777777" w:rsidTr="00D11B9D">
        <w:trPr>
          <w:trHeight w:val="65"/>
        </w:trPr>
        <w:tc>
          <w:tcPr>
            <w:tcW w:w="5000" w:type="pct"/>
            <w:tcBorders>
              <w:top w:val="single" w:sz="6" w:space="0" w:color="78A22F"/>
              <w:left w:val="nil"/>
              <w:bottom w:val="nil"/>
              <w:right w:val="nil"/>
            </w:tcBorders>
          </w:tcPr>
          <w:p w14:paraId="7EF061A3" w14:textId="77777777" w:rsidR="00FC14FC" w:rsidRPr="00626D32" w:rsidRDefault="00FC14FC" w:rsidP="00D11B9D">
            <w:pPr>
              <w:pStyle w:val="BoxSpaceBelow"/>
            </w:pPr>
          </w:p>
        </w:tc>
      </w:tr>
    </w:tbl>
    <w:p w14:paraId="0839913E" w14:textId="77777777" w:rsidR="00FC14FC" w:rsidRPr="003506E1" w:rsidRDefault="00FC14FC" w:rsidP="00FC14FC">
      <w:pPr>
        <w:pStyle w:val="Heading4"/>
      </w:pPr>
      <w:r>
        <w:lastRenderedPageBreak/>
        <w:t>Fund</w:t>
      </w:r>
      <w:r>
        <w:noBreakHyphen/>
        <w:t xml:space="preserve">level residual analysis </w:t>
      </w:r>
    </w:p>
    <w:p w14:paraId="2385A023" w14:textId="77777777" w:rsidR="00FC14FC" w:rsidRDefault="00FC14FC" w:rsidP="00FC14FC">
      <w:pPr>
        <w:pStyle w:val="BodyText"/>
      </w:pPr>
      <w:r>
        <w:t>While all components of the decomposition are ultimately a reflection of a fund’s overall governance, without data on the factors that influence a fund’s overall strategy in investment and administration it is impossible to fully distinguish the effects of governance. The Commission undertook exploratory analysis of fund</w:t>
      </w:r>
      <w:r>
        <w:noBreakHyphen/>
        <w:t>level residuals (on a gross of tax basis) to identify factors that may be driving the residuals. Factors considered include proxies of fund governance efficacy in an attempt to discern any distinguishable (albeit partial) effects of governance on performance.</w:t>
      </w:r>
    </w:p>
    <w:p w14:paraId="585D236C" w14:textId="77777777" w:rsidR="00FC14FC" w:rsidRDefault="00FC14FC" w:rsidP="00FC14FC">
      <w:pPr>
        <w:pStyle w:val="BodyText"/>
      </w:pPr>
      <w:r>
        <w:t>Small sample sizes, dependence of the residuals on the benchmarks, and the assumptions that come with the benchmarks preclude definitive answers on the underlying drivers of investment performance — hence, the analysis is exploratory.</w:t>
      </w:r>
    </w:p>
    <w:p w14:paraId="0824D5BB" w14:textId="77777777" w:rsidR="00FC14FC" w:rsidRDefault="00FC14FC" w:rsidP="00FC14FC">
      <w:pPr>
        <w:pStyle w:val="BodyText"/>
      </w:pPr>
      <w:r>
        <w:t>As the residuals are constructed using fund</w:t>
      </w:r>
      <w:r>
        <w:noBreakHyphen/>
        <w:t>level benchmarks, the sample in these analyses consists only of funds that have a MySuper product (representing 54 per cent of assets and 61 per cent of member accounts in funds that had a MySuper product in 2017). Because the residuals are constructed with reference to benchmarks, they may include some degree of measurement error flowing from the specific assumptions and data sources used to construct the benchmarks (section 4.2).</w:t>
      </w:r>
    </w:p>
    <w:p w14:paraId="08282534" w14:textId="77777777" w:rsidR="00FC14FC" w:rsidRDefault="00FC14FC" w:rsidP="00FC14FC">
      <w:pPr>
        <w:pStyle w:val="Heading5"/>
      </w:pPr>
      <w:r>
        <w:t>How long it took for funds to launch their MySuper products</w:t>
      </w:r>
    </w:p>
    <w:p w14:paraId="0727ED32" w14:textId="77777777" w:rsidR="00FC14FC" w:rsidRDefault="00FC14FC" w:rsidP="00FC14FC">
      <w:pPr>
        <w:pStyle w:val="BodyText"/>
      </w:pPr>
      <w:r>
        <w:t>The Commission examined the length of time each fund took to launch a MySuper product. The MySuper regime was a well</w:t>
      </w:r>
      <w:r>
        <w:noBreakHyphen/>
        <w:t>known change in the policy environment with significant lead time of about 3.5 years, from December 2010 (when the Australian Government announced it would move to implement the regime) to July 2013. It can be reasonably assumed that funds had the same information, and while some funds may have required more preparation, given the lead time, all funds had the same opportunity to launch a MySuper product at the start of the regime. Variation in the time taken to launch a MySuper product could therefore arguably reflect variation in funds’ capability and readiness to design a MySuper product, as well as the suitability of its precursor products to default members’ needs.</w:t>
      </w:r>
    </w:p>
    <w:p w14:paraId="21C35E93" w14:textId="77777777" w:rsidR="00FC14FC" w:rsidRDefault="00FC14FC" w:rsidP="00FC14FC">
      <w:pPr>
        <w:pStyle w:val="BodyText"/>
      </w:pPr>
      <w:r>
        <w:t>Table 4.37 presents the results of the regression analysis. While the sample sizes are small, there is likely to be a negative association — the more time it took to launch a MySuper product, the more negative the residual. In this table, each row corresponds to the estimated value of the residual given the number of months taken to launch a MySuper product, such that differences between the first row and another row correspond to the marginal effect of a longer launch time.</w:t>
      </w:r>
    </w:p>
    <w:p w14:paraId="5F0FE4D9" w14:textId="77777777" w:rsidR="00FC14FC" w:rsidRDefault="00FC14FC" w:rsidP="00FC14FC">
      <w:pPr>
        <w:pStyle w:val="BodyText"/>
      </w:pPr>
      <w:r>
        <w:t>Pooling all the data together (treating the time taken as a continuous variable) suggests that there is an approximately 11 basis point decrease in the residual for each additional month it took a fund to launch a MySuper product (this is statistically significant). Using dummy variables for each month suggests a less clear</w:t>
      </w:r>
      <w:r>
        <w:noBreakHyphen/>
        <w:t xml:space="preserve">cut relationship. The average reduction in the </w:t>
      </w:r>
      <w:r>
        <w:lastRenderedPageBreak/>
        <w:t>residual for funds launching their MySuper product after three months is well over 100 basis points in this analysis, but only 8 basis points for funds that launched after six months.</w:t>
      </w:r>
    </w:p>
    <w:p w14:paraId="7FCB428D" w14:textId="77777777" w:rsidR="00FC14FC" w:rsidRDefault="00FC14FC" w:rsidP="00FC14FC">
      <w:pPr>
        <w:pStyle w:val="BodyText"/>
      </w:pPr>
      <w:r>
        <w:t>These results do not appear to be clearly driven by the not</w:t>
      </w:r>
      <w:r>
        <w:noBreakHyphen/>
        <w:t>for</w:t>
      </w:r>
      <w:r>
        <w:noBreakHyphen/>
        <w:t>profit and retail segmentation. For instance, it is not true that all not</w:t>
      </w:r>
      <w:r>
        <w:noBreakHyphen/>
        <w:t>for</w:t>
      </w:r>
      <w:r>
        <w:noBreakHyphen/>
        <w:t>profit funds launched their products before retail funds; a number of not</w:t>
      </w:r>
      <w:r>
        <w:noBreakHyphen/>
        <w:t>for</w:t>
      </w:r>
      <w:r>
        <w:noBreakHyphen/>
        <w:t>profit funds launched their MySuper products late relative to other funds.</w:t>
      </w:r>
    </w:p>
    <w:p w14:paraId="33C526BD" w14:textId="77777777" w:rsidR="00FC14FC" w:rsidRDefault="00FC14FC" w:rsidP="00FC14FC">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Description w:val="Table used for design: contains a nested table with data/information."/>
      </w:tblPr>
      <w:tblGrid>
        <w:gridCol w:w="8789"/>
      </w:tblGrid>
      <w:tr w:rsidR="00FC14FC" w14:paraId="5BDB0F20" w14:textId="77777777" w:rsidTr="00D11B9D">
        <w:trPr>
          <w:tblHeader/>
        </w:trPr>
        <w:tc>
          <w:tcPr>
            <w:tcW w:w="5000" w:type="pct"/>
            <w:tcBorders>
              <w:top w:val="single" w:sz="6" w:space="0" w:color="78A22F"/>
              <w:left w:val="nil"/>
              <w:bottom w:val="nil"/>
              <w:right w:val="nil"/>
            </w:tcBorders>
            <w:hideMark/>
          </w:tcPr>
          <w:p w14:paraId="2D6C02E5" w14:textId="77777777" w:rsidR="00FC14FC" w:rsidRDefault="00FC14FC" w:rsidP="00D11B9D">
            <w:pPr>
              <w:pStyle w:val="TableTitle"/>
              <w:rPr>
                <w:rStyle w:val="NoteLabel"/>
              </w:rPr>
            </w:pPr>
            <w:r>
              <w:rPr>
                <w:b w:val="0"/>
              </w:rPr>
              <w:t xml:space="preserve">Table </w:t>
            </w:r>
            <w:bookmarkStart w:id="16" w:name="OLE_LINK39"/>
            <w:r>
              <w:rPr>
                <w:b w:val="0"/>
              </w:rPr>
              <w:t>4.37</w:t>
            </w:r>
            <w:bookmarkEnd w:id="16"/>
            <w:r>
              <w:tab/>
              <w:t>Residuals and MySuper launch dates</w:t>
            </w:r>
            <w:r w:rsidRPr="00EF1CFF">
              <w:rPr>
                <w:rStyle w:val="NoteLabel"/>
              </w:rPr>
              <w:t>a</w:t>
            </w:r>
          </w:p>
          <w:p w14:paraId="23B7C3B0" w14:textId="77777777" w:rsidR="00FC14FC" w:rsidRDefault="00FC14FC" w:rsidP="00D11B9D">
            <w:pPr>
              <w:pStyle w:val="Subtitle"/>
            </w:pPr>
            <w:r>
              <w:t>Residuals calculated over 2005–2017</w:t>
            </w:r>
          </w:p>
        </w:tc>
      </w:tr>
      <w:tr w:rsidR="00FC14FC" w14:paraId="0F5E986D" w14:textId="77777777" w:rsidTr="00D11B9D">
        <w:tc>
          <w:tcPr>
            <w:tcW w:w="5000" w:type="pct"/>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2570"/>
              <w:gridCol w:w="1415"/>
              <w:gridCol w:w="1272"/>
              <w:gridCol w:w="1132"/>
              <w:gridCol w:w="1152"/>
              <w:gridCol w:w="964"/>
            </w:tblGrid>
            <w:tr w:rsidR="00FC14FC" w14:paraId="52DDF1CA" w14:textId="77777777" w:rsidTr="00D11B9D">
              <w:trPr>
                <w:tblHeader/>
              </w:trPr>
              <w:tc>
                <w:tcPr>
                  <w:tcW w:w="1514" w:type="pct"/>
                  <w:tcBorders>
                    <w:top w:val="single" w:sz="6" w:space="0" w:color="BFBFBF"/>
                    <w:left w:val="nil"/>
                    <w:bottom w:val="single" w:sz="6" w:space="0" w:color="BFBFBF"/>
                    <w:right w:val="nil"/>
                  </w:tcBorders>
                  <w:vAlign w:val="bottom"/>
                  <w:hideMark/>
                </w:tcPr>
                <w:p w14:paraId="7DE036CE" w14:textId="77777777" w:rsidR="00FC14FC" w:rsidRDefault="00FC14FC" w:rsidP="00D11B9D">
                  <w:pPr>
                    <w:pStyle w:val="TableColumnHeading"/>
                    <w:jc w:val="left"/>
                  </w:pPr>
                  <w:r>
                    <w:t>Months taken to launch MySuper after the start of the MySuper regime</w:t>
                  </w:r>
                  <w:r>
                    <w:rPr>
                      <w:rStyle w:val="NoteLabel"/>
                    </w:rPr>
                    <w:t>b</w:t>
                  </w:r>
                </w:p>
              </w:tc>
              <w:tc>
                <w:tcPr>
                  <w:tcW w:w="834" w:type="pct"/>
                  <w:tcBorders>
                    <w:top w:val="single" w:sz="6" w:space="0" w:color="BFBFBF"/>
                    <w:left w:val="nil"/>
                    <w:bottom w:val="single" w:sz="6" w:space="0" w:color="BFBFBF"/>
                    <w:right w:val="nil"/>
                  </w:tcBorders>
                  <w:vAlign w:val="bottom"/>
                  <w:hideMark/>
                </w:tcPr>
                <w:p w14:paraId="1DA38A87" w14:textId="77777777" w:rsidR="00FC14FC" w:rsidRDefault="00FC14FC" w:rsidP="00D11B9D">
                  <w:pPr>
                    <w:pStyle w:val="TableColumnHeading"/>
                  </w:pPr>
                  <w:r>
                    <w:t>Pooled data model, averages (bp)</w:t>
                  </w:r>
                </w:p>
              </w:tc>
              <w:tc>
                <w:tcPr>
                  <w:tcW w:w="750" w:type="pct"/>
                  <w:tcBorders>
                    <w:top w:val="single" w:sz="6" w:space="0" w:color="BFBFBF"/>
                    <w:left w:val="nil"/>
                    <w:bottom w:val="single" w:sz="6" w:space="0" w:color="BFBFBF"/>
                    <w:right w:val="nil"/>
                  </w:tcBorders>
                  <w:vAlign w:val="bottom"/>
                  <w:hideMark/>
                </w:tcPr>
                <w:p w14:paraId="2606231A" w14:textId="77777777" w:rsidR="00FC14FC" w:rsidRDefault="00FC14FC" w:rsidP="00D11B9D">
                  <w:pPr>
                    <w:pStyle w:val="TableColumnHeading"/>
                    <w:ind w:right="28"/>
                  </w:pPr>
                  <w:r>
                    <w:t>Dummy variable model, averages (bp)</w:t>
                  </w:r>
                </w:p>
              </w:tc>
              <w:tc>
                <w:tcPr>
                  <w:tcW w:w="668" w:type="pct"/>
                  <w:tcBorders>
                    <w:top w:val="single" w:sz="6" w:space="0" w:color="BFBFBF"/>
                    <w:left w:val="nil"/>
                    <w:bottom w:val="single" w:sz="6" w:space="0" w:color="BFBFBF"/>
                    <w:right w:val="nil"/>
                  </w:tcBorders>
                  <w:vAlign w:val="bottom"/>
                  <w:hideMark/>
                </w:tcPr>
                <w:p w14:paraId="547D6FEA" w14:textId="77777777" w:rsidR="00FC14FC" w:rsidRDefault="00FC14FC" w:rsidP="00D11B9D">
                  <w:pPr>
                    <w:pStyle w:val="TableColumnHeading"/>
                    <w:ind w:right="165"/>
                  </w:pPr>
                  <w:r>
                    <w:t>Number of funds</w:t>
                  </w:r>
                </w:p>
              </w:tc>
              <w:tc>
                <w:tcPr>
                  <w:tcW w:w="665" w:type="pct"/>
                  <w:tcBorders>
                    <w:top w:val="single" w:sz="6" w:space="0" w:color="BFBFBF"/>
                    <w:left w:val="nil"/>
                    <w:bottom w:val="single" w:sz="6" w:space="0" w:color="BFBFBF"/>
                    <w:right w:val="nil"/>
                  </w:tcBorders>
                  <w:vAlign w:val="bottom"/>
                  <w:hideMark/>
                </w:tcPr>
                <w:p w14:paraId="6B3B4B2F" w14:textId="77777777" w:rsidR="00FC14FC" w:rsidRDefault="00FC14FC" w:rsidP="00D11B9D">
                  <w:pPr>
                    <w:pStyle w:val="TableColumnHeading"/>
                    <w:ind w:right="165"/>
                  </w:pPr>
                  <w:r>
                    <w:t>Number of not</w:t>
                  </w:r>
                  <w:r>
                    <w:noBreakHyphen/>
                    <w:t>for</w:t>
                  </w:r>
                  <w:r>
                    <w:noBreakHyphen/>
                    <w:t>profit funds</w:t>
                  </w:r>
                </w:p>
              </w:tc>
              <w:tc>
                <w:tcPr>
                  <w:tcW w:w="569" w:type="pct"/>
                  <w:tcBorders>
                    <w:top w:val="single" w:sz="6" w:space="0" w:color="BFBFBF"/>
                    <w:left w:val="nil"/>
                    <w:bottom w:val="single" w:sz="6" w:space="0" w:color="BFBFBF"/>
                    <w:right w:val="nil"/>
                  </w:tcBorders>
                  <w:vAlign w:val="bottom"/>
                  <w:hideMark/>
                </w:tcPr>
                <w:p w14:paraId="5CC0287C" w14:textId="77777777" w:rsidR="00FC14FC" w:rsidRDefault="00FC14FC" w:rsidP="00D11B9D">
                  <w:pPr>
                    <w:pStyle w:val="TableColumnHeading"/>
                    <w:ind w:right="28"/>
                  </w:pPr>
                  <w:r>
                    <w:t>Number of retail funds</w:t>
                  </w:r>
                </w:p>
              </w:tc>
            </w:tr>
            <w:tr w:rsidR="00FC14FC" w14:paraId="01AB8C43" w14:textId="77777777" w:rsidTr="00D11B9D">
              <w:tc>
                <w:tcPr>
                  <w:tcW w:w="1514" w:type="pct"/>
                  <w:tcBorders>
                    <w:top w:val="single" w:sz="6" w:space="0" w:color="BFBFBF"/>
                    <w:left w:val="nil"/>
                    <w:bottom w:val="nil"/>
                    <w:right w:val="nil"/>
                  </w:tcBorders>
                  <w:hideMark/>
                </w:tcPr>
                <w:p w14:paraId="2791BCEF" w14:textId="77777777" w:rsidR="00FC14FC" w:rsidRDefault="00FC14FC" w:rsidP="00D11B9D">
                  <w:pPr>
                    <w:pStyle w:val="TableBodyText"/>
                    <w:spacing w:before="40"/>
                    <w:jc w:val="left"/>
                  </w:pPr>
                  <w:r>
                    <w:t>Within 1 month</w:t>
                  </w:r>
                </w:p>
              </w:tc>
              <w:tc>
                <w:tcPr>
                  <w:tcW w:w="834" w:type="pct"/>
                  <w:tcBorders>
                    <w:top w:val="single" w:sz="6" w:space="0" w:color="BFBFBF"/>
                    <w:left w:val="nil"/>
                    <w:bottom w:val="nil"/>
                    <w:right w:val="nil"/>
                  </w:tcBorders>
                  <w:hideMark/>
                </w:tcPr>
                <w:p w14:paraId="1D09DB8B" w14:textId="77777777" w:rsidR="00FC14FC" w:rsidRDefault="00FC14FC" w:rsidP="00D11B9D">
                  <w:pPr>
                    <w:pStyle w:val="TableBodyText"/>
                    <w:spacing w:before="40"/>
                  </w:pPr>
                  <w:r>
                    <w:noBreakHyphen/>
                    <w:t>9</w:t>
                  </w:r>
                </w:p>
              </w:tc>
              <w:tc>
                <w:tcPr>
                  <w:tcW w:w="750" w:type="pct"/>
                  <w:tcBorders>
                    <w:top w:val="single" w:sz="6" w:space="0" w:color="BFBFBF"/>
                    <w:left w:val="nil"/>
                    <w:bottom w:val="nil"/>
                    <w:right w:val="nil"/>
                  </w:tcBorders>
                  <w:hideMark/>
                </w:tcPr>
                <w:p w14:paraId="1E38183F" w14:textId="77777777" w:rsidR="00FC14FC" w:rsidRDefault="00FC14FC" w:rsidP="00D11B9D">
                  <w:pPr>
                    <w:pStyle w:val="TableBodyText"/>
                    <w:spacing w:before="40"/>
                  </w:pPr>
                  <w:r>
                    <w:noBreakHyphen/>
                    <w:t>4</w:t>
                  </w:r>
                </w:p>
              </w:tc>
              <w:tc>
                <w:tcPr>
                  <w:tcW w:w="668" w:type="pct"/>
                  <w:tcBorders>
                    <w:top w:val="single" w:sz="6" w:space="0" w:color="BFBFBF"/>
                    <w:left w:val="nil"/>
                    <w:bottom w:val="nil"/>
                    <w:right w:val="nil"/>
                  </w:tcBorders>
                  <w:hideMark/>
                </w:tcPr>
                <w:p w14:paraId="6906FDEE" w14:textId="77777777" w:rsidR="00FC14FC" w:rsidRDefault="00FC14FC" w:rsidP="00D11B9D">
                  <w:pPr>
                    <w:pStyle w:val="TableBodyText"/>
                    <w:spacing w:before="40"/>
                  </w:pPr>
                  <w:r>
                    <w:t>33</w:t>
                  </w:r>
                </w:p>
              </w:tc>
              <w:tc>
                <w:tcPr>
                  <w:tcW w:w="665" w:type="pct"/>
                  <w:tcBorders>
                    <w:top w:val="single" w:sz="6" w:space="0" w:color="BFBFBF"/>
                    <w:left w:val="nil"/>
                    <w:bottom w:val="nil"/>
                    <w:right w:val="nil"/>
                  </w:tcBorders>
                  <w:hideMark/>
                </w:tcPr>
                <w:p w14:paraId="4C487385" w14:textId="77777777" w:rsidR="00FC14FC" w:rsidRDefault="00FC14FC" w:rsidP="00D11B9D">
                  <w:pPr>
                    <w:pStyle w:val="TableBodyText"/>
                    <w:spacing w:before="40"/>
                  </w:pPr>
                  <w:r>
                    <w:t>33</w:t>
                  </w:r>
                </w:p>
              </w:tc>
              <w:tc>
                <w:tcPr>
                  <w:tcW w:w="569" w:type="pct"/>
                  <w:tcBorders>
                    <w:top w:val="single" w:sz="6" w:space="0" w:color="BFBFBF"/>
                    <w:left w:val="nil"/>
                    <w:bottom w:val="nil"/>
                    <w:right w:val="nil"/>
                  </w:tcBorders>
                  <w:hideMark/>
                </w:tcPr>
                <w:p w14:paraId="128489EA" w14:textId="77777777" w:rsidR="00FC14FC" w:rsidRDefault="00FC14FC" w:rsidP="00D11B9D">
                  <w:pPr>
                    <w:pStyle w:val="TableBodyText"/>
                    <w:spacing w:before="40"/>
                    <w:ind w:right="28"/>
                  </w:pPr>
                  <w:r>
                    <w:t>0</w:t>
                  </w:r>
                </w:p>
              </w:tc>
            </w:tr>
            <w:tr w:rsidR="00FC14FC" w14:paraId="40DC66E8" w14:textId="77777777" w:rsidTr="00D11B9D">
              <w:tc>
                <w:tcPr>
                  <w:tcW w:w="1514" w:type="pct"/>
                  <w:shd w:val="pct5" w:color="auto" w:fill="auto"/>
                  <w:hideMark/>
                </w:tcPr>
                <w:p w14:paraId="2D3086EF" w14:textId="77777777" w:rsidR="00FC14FC" w:rsidRDefault="00FC14FC" w:rsidP="00D11B9D">
                  <w:pPr>
                    <w:pStyle w:val="TableBodyText"/>
                    <w:jc w:val="left"/>
                  </w:pPr>
                  <w:r>
                    <w:t>1</w:t>
                  </w:r>
                </w:p>
              </w:tc>
              <w:tc>
                <w:tcPr>
                  <w:tcW w:w="834" w:type="pct"/>
                  <w:shd w:val="pct5" w:color="auto" w:fill="auto"/>
                  <w:hideMark/>
                </w:tcPr>
                <w:p w14:paraId="39B55931" w14:textId="77777777" w:rsidR="00FC14FC" w:rsidRDefault="00FC14FC" w:rsidP="00D11B9D">
                  <w:pPr>
                    <w:pStyle w:val="TableBodyText"/>
                  </w:pPr>
                  <w:r>
                    <w:noBreakHyphen/>
                    <w:t>20</w:t>
                  </w:r>
                </w:p>
              </w:tc>
              <w:tc>
                <w:tcPr>
                  <w:tcW w:w="750" w:type="pct"/>
                  <w:shd w:val="pct5" w:color="auto" w:fill="auto"/>
                  <w:hideMark/>
                </w:tcPr>
                <w:p w14:paraId="7D2B7986" w14:textId="77777777" w:rsidR="00FC14FC" w:rsidRDefault="00FC14FC" w:rsidP="00D11B9D">
                  <w:pPr>
                    <w:pStyle w:val="TableBodyText"/>
                  </w:pPr>
                  <w:r>
                    <w:noBreakHyphen/>
                    <w:t>27</w:t>
                  </w:r>
                </w:p>
              </w:tc>
              <w:tc>
                <w:tcPr>
                  <w:tcW w:w="668" w:type="pct"/>
                  <w:shd w:val="pct5" w:color="auto" w:fill="auto"/>
                  <w:hideMark/>
                </w:tcPr>
                <w:p w14:paraId="07E209E3" w14:textId="77777777" w:rsidR="00FC14FC" w:rsidRDefault="00FC14FC" w:rsidP="00D11B9D">
                  <w:pPr>
                    <w:pStyle w:val="TableBodyText"/>
                  </w:pPr>
                  <w:r>
                    <w:t>8</w:t>
                  </w:r>
                </w:p>
              </w:tc>
              <w:tc>
                <w:tcPr>
                  <w:tcW w:w="665" w:type="pct"/>
                  <w:shd w:val="pct5" w:color="auto" w:fill="auto"/>
                  <w:hideMark/>
                </w:tcPr>
                <w:p w14:paraId="05A1F4DA" w14:textId="77777777" w:rsidR="00FC14FC" w:rsidRDefault="00FC14FC" w:rsidP="00D11B9D">
                  <w:pPr>
                    <w:pStyle w:val="TableBodyText"/>
                  </w:pPr>
                  <w:r>
                    <w:t>8</w:t>
                  </w:r>
                </w:p>
              </w:tc>
              <w:tc>
                <w:tcPr>
                  <w:tcW w:w="569" w:type="pct"/>
                  <w:shd w:val="pct5" w:color="auto" w:fill="auto"/>
                  <w:hideMark/>
                </w:tcPr>
                <w:p w14:paraId="313B0931" w14:textId="77777777" w:rsidR="00FC14FC" w:rsidRDefault="00FC14FC" w:rsidP="00D11B9D">
                  <w:pPr>
                    <w:pStyle w:val="TableBodyText"/>
                    <w:ind w:right="28"/>
                  </w:pPr>
                  <w:r>
                    <w:t>0</w:t>
                  </w:r>
                </w:p>
              </w:tc>
            </w:tr>
            <w:tr w:rsidR="00FC14FC" w14:paraId="37C6AB02" w14:textId="77777777" w:rsidTr="00D11B9D">
              <w:tc>
                <w:tcPr>
                  <w:tcW w:w="1514" w:type="pct"/>
                  <w:hideMark/>
                </w:tcPr>
                <w:p w14:paraId="62649E68" w14:textId="77777777" w:rsidR="00FC14FC" w:rsidRDefault="00FC14FC" w:rsidP="00D11B9D">
                  <w:pPr>
                    <w:pStyle w:val="TableBodyText"/>
                    <w:jc w:val="left"/>
                  </w:pPr>
                  <w:r>
                    <w:t>2</w:t>
                  </w:r>
                </w:p>
              </w:tc>
              <w:tc>
                <w:tcPr>
                  <w:tcW w:w="834" w:type="pct"/>
                  <w:hideMark/>
                </w:tcPr>
                <w:p w14:paraId="491DEA9A" w14:textId="77777777" w:rsidR="00FC14FC" w:rsidRDefault="00FC14FC" w:rsidP="00D11B9D">
                  <w:pPr>
                    <w:pStyle w:val="TableBodyText"/>
                  </w:pPr>
                  <w:r>
                    <w:noBreakHyphen/>
                    <w:t>31</w:t>
                  </w:r>
                </w:p>
              </w:tc>
              <w:tc>
                <w:tcPr>
                  <w:tcW w:w="750" w:type="pct"/>
                  <w:hideMark/>
                </w:tcPr>
                <w:p w14:paraId="1BBDE23A" w14:textId="77777777" w:rsidR="00FC14FC" w:rsidRDefault="00FC14FC" w:rsidP="00D11B9D">
                  <w:pPr>
                    <w:pStyle w:val="TableBodyText"/>
                  </w:pPr>
                  <w:r>
                    <w:noBreakHyphen/>
                    <w:t>33</w:t>
                  </w:r>
                </w:p>
              </w:tc>
              <w:tc>
                <w:tcPr>
                  <w:tcW w:w="668" w:type="pct"/>
                  <w:hideMark/>
                </w:tcPr>
                <w:p w14:paraId="5E9C7B19" w14:textId="77777777" w:rsidR="00FC14FC" w:rsidRDefault="00FC14FC" w:rsidP="00D11B9D">
                  <w:pPr>
                    <w:pStyle w:val="TableBodyText"/>
                  </w:pPr>
                  <w:r>
                    <w:t>2</w:t>
                  </w:r>
                </w:p>
              </w:tc>
              <w:tc>
                <w:tcPr>
                  <w:tcW w:w="665" w:type="pct"/>
                  <w:hideMark/>
                </w:tcPr>
                <w:p w14:paraId="342B587B" w14:textId="77777777" w:rsidR="00FC14FC" w:rsidRDefault="00FC14FC" w:rsidP="00D11B9D">
                  <w:pPr>
                    <w:pStyle w:val="TableBodyText"/>
                  </w:pPr>
                  <w:r>
                    <w:t>2</w:t>
                  </w:r>
                </w:p>
              </w:tc>
              <w:tc>
                <w:tcPr>
                  <w:tcW w:w="569" w:type="pct"/>
                  <w:hideMark/>
                </w:tcPr>
                <w:p w14:paraId="7DEE3DD2" w14:textId="77777777" w:rsidR="00FC14FC" w:rsidRDefault="00FC14FC" w:rsidP="00D11B9D">
                  <w:pPr>
                    <w:pStyle w:val="TableBodyText"/>
                    <w:ind w:right="28"/>
                  </w:pPr>
                  <w:r>
                    <w:t>0</w:t>
                  </w:r>
                </w:p>
              </w:tc>
            </w:tr>
            <w:tr w:rsidR="00FC14FC" w14:paraId="5C4DE87C" w14:textId="77777777" w:rsidTr="00D11B9D">
              <w:tc>
                <w:tcPr>
                  <w:tcW w:w="1514" w:type="pct"/>
                  <w:shd w:val="pct5" w:color="auto" w:fill="auto"/>
                  <w:hideMark/>
                </w:tcPr>
                <w:p w14:paraId="5B9B402B" w14:textId="77777777" w:rsidR="00FC14FC" w:rsidRDefault="00FC14FC" w:rsidP="00D11B9D">
                  <w:pPr>
                    <w:pStyle w:val="TableBodyText"/>
                    <w:jc w:val="left"/>
                  </w:pPr>
                  <w:r>
                    <w:t>3</w:t>
                  </w:r>
                </w:p>
              </w:tc>
              <w:tc>
                <w:tcPr>
                  <w:tcW w:w="834" w:type="pct"/>
                  <w:shd w:val="pct5" w:color="auto" w:fill="auto"/>
                  <w:hideMark/>
                </w:tcPr>
                <w:p w14:paraId="6DF9A6A8" w14:textId="77777777" w:rsidR="00FC14FC" w:rsidRDefault="00FC14FC" w:rsidP="00D11B9D">
                  <w:pPr>
                    <w:pStyle w:val="TableBodyText"/>
                  </w:pPr>
                  <w:r>
                    <w:noBreakHyphen/>
                    <w:t>42</w:t>
                  </w:r>
                </w:p>
              </w:tc>
              <w:tc>
                <w:tcPr>
                  <w:tcW w:w="750" w:type="pct"/>
                  <w:shd w:val="pct5" w:color="auto" w:fill="auto"/>
                  <w:hideMark/>
                </w:tcPr>
                <w:p w14:paraId="1D7B7099" w14:textId="77777777" w:rsidR="00FC14FC" w:rsidRDefault="00FC14FC" w:rsidP="00D11B9D">
                  <w:pPr>
                    <w:pStyle w:val="TableBodyText"/>
                  </w:pPr>
                  <w:r>
                    <w:noBreakHyphen/>
                    <w:t>125</w:t>
                  </w:r>
                </w:p>
              </w:tc>
              <w:tc>
                <w:tcPr>
                  <w:tcW w:w="668" w:type="pct"/>
                  <w:shd w:val="pct5" w:color="auto" w:fill="auto"/>
                  <w:hideMark/>
                </w:tcPr>
                <w:p w14:paraId="239B50E9" w14:textId="77777777" w:rsidR="00FC14FC" w:rsidRDefault="00FC14FC" w:rsidP="00D11B9D">
                  <w:pPr>
                    <w:pStyle w:val="TableBodyText"/>
                  </w:pPr>
                  <w:r>
                    <w:t>3</w:t>
                  </w:r>
                </w:p>
              </w:tc>
              <w:tc>
                <w:tcPr>
                  <w:tcW w:w="665" w:type="pct"/>
                  <w:shd w:val="pct5" w:color="auto" w:fill="auto"/>
                  <w:hideMark/>
                </w:tcPr>
                <w:p w14:paraId="187BBE62" w14:textId="77777777" w:rsidR="00FC14FC" w:rsidRDefault="00FC14FC" w:rsidP="00D11B9D">
                  <w:pPr>
                    <w:pStyle w:val="TableBodyText"/>
                  </w:pPr>
                  <w:r>
                    <w:t>0</w:t>
                  </w:r>
                </w:p>
              </w:tc>
              <w:tc>
                <w:tcPr>
                  <w:tcW w:w="569" w:type="pct"/>
                  <w:shd w:val="pct5" w:color="auto" w:fill="auto"/>
                  <w:hideMark/>
                </w:tcPr>
                <w:p w14:paraId="5E4370DE" w14:textId="77777777" w:rsidR="00FC14FC" w:rsidRDefault="00FC14FC" w:rsidP="00D11B9D">
                  <w:pPr>
                    <w:pStyle w:val="TableBodyText"/>
                    <w:ind w:right="28"/>
                  </w:pPr>
                  <w:r>
                    <w:t>3</w:t>
                  </w:r>
                </w:p>
              </w:tc>
            </w:tr>
            <w:tr w:rsidR="00FC14FC" w14:paraId="4D56E8C2" w14:textId="77777777" w:rsidTr="00D11B9D">
              <w:tc>
                <w:tcPr>
                  <w:tcW w:w="1514" w:type="pct"/>
                  <w:hideMark/>
                </w:tcPr>
                <w:p w14:paraId="33DCD635" w14:textId="77777777" w:rsidR="00FC14FC" w:rsidRDefault="00FC14FC" w:rsidP="00D11B9D">
                  <w:pPr>
                    <w:pStyle w:val="TableBodyText"/>
                    <w:jc w:val="left"/>
                  </w:pPr>
                  <w:r>
                    <w:t>4</w:t>
                  </w:r>
                </w:p>
              </w:tc>
              <w:tc>
                <w:tcPr>
                  <w:tcW w:w="834" w:type="pct"/>
                  <w:hideMark/>
                </w:tcPr>
                <w:p w14:paraId="3A127E14" w14:textId="77777777" w:rsidR="00FC14FC" w:rsidRDefault="00FC14FC" w:rsidP="00D11B9D">
                  <w:pPr>
                    <w:pStyle w:val="TableBodyText"/>
                  </w:pPr>
                  <w:r>
                    <w:noBreakHyphen/>
                    <w:t>53</w:t>
                  </w:r>
                </w:p>
              </w:tc>
              <w:tc>
                <w:tcPr>
                  <w:tcW w:w="750" w:type="pct"/>
                  <w:hideMark/>
                </w:tcPr>
                <w:p w14:paraId="727BA266" w14:textId="77777777" w:rsidR="00FC14FC" w:rsidRDefault="00FC14FC" w:rsidP="00D11B9D">
                  <w:pPr>
                    <w:pStyle w:val="TableBodyText"/>
                  </w:pPr>
                  <w:r>
                    <w:t>+41</w:t>
                  </w:r>
                </w:p>
              </w:tc>
              <w:tc>
                <w:tcPr>
                  <w:tcW w:w="668" w:type="pct"/>
                  <w:hideMark/>
                </w:tcPr>
                <w:p w14:paraId="0C121ACB" w14:textId="77777777" w:rsidR="00FC14FC" w:rsidRDefault="00FC14FC" w:rsidP="00D11B9D">
                  <w:pPr>
                    <w:pStyle w:val="TableBodyText"/>
                  </w:pPr>
                  <w:r>
                    <w:t>4</w:t>
                  </w:r>
                </w:p>
              </w:tc>
              <w:tc>
                <w:tcPr>
                  <w:tcW w:w="665" w:type="pct"/>
                  <w:hideMark/>
                </w:tcPr>
                <w:p w14:paraId="2D9A9B6A" w14:textId="77777777" w:rsidR="00FC14FC" w:rsidRDefault="00FC14FC" w:rsidP="00D11B9D">
                  <w:pPr>
                    <w:pStyle w:val="TableBodyText"/>
                  </w:pPr>
                  <w:r>
                    <w:t>4</w:t>
                  </w:r>
                </w:p>
              </w:tc>
              <w:tc>
                <w:tcPr>
                  <w:tcW w:w="569" w:type="pct"/>
                  <w:hideMark/>
                </w:tcPr>
                <w:p w14:paraId="1F48F7CB" w14:textId="77777777" w:rsidR="00FC14FC" w:rsidRDefault="00FC14FC" w:rsidP="00D11B9D">
                  <w:pPr>
                    <w:pStyle w:val="TableBodyText"/>
                    <w:ind w:right="28"/>
                  </w:pPr>
                  <w:r>
                    <w:t>0</w:t>
                  </w:r>
                </w:p>
              </w:tc>
            </w:tr>
            <w:tr w:rsidR="00FC14FC" w14:paraId="1EC8B62A" w14:textId="77777777" w:rsidTr="00D11B9D">
              <w:tc>
                <w:tcPr>
                  <w:tcW w:w="1514" w:type="pct"/>
                  <w:shd w:val="pct5" w:color="auto" w:fill="auto"/>
                  <w:hideMark/>
                </w:tcPr>
                <w:p w14:paraId="1A2C354B" w14:textId="77777777" w:rsidR="00FC14FC" w:rsidRDefault="00FC14FC" w:rsidP="00D11B9D">
                  <w:pPr>
                    <w:pStyle w:val="TableBodyText"/>
                    <w:jc w:val="left"/>
                  </w:pPr>
                  <w:r>
                    <w:t>5</w:t>
                  </w:r>
                </w:p>
              </w:tc>
              <w:tc>
                <w:tcPr>
                  <w:tcW w:w="834" w:type="pct"/>
                  <w:shd w:val="pct5" w:color="auto" w:fill="auto"/>
                  <w:hideMark/>
                </w:tcPr>
                <w:p w14:paraId="2D05376B" w14:textId="77777777" w:rsidR="00FC14FC" w:rsidRDefault="00FC14FC" w:rsidP="00D11B9D">
                  <w:pPr>
                    <w:pStyle w:val="TableBodyText"/>
                  </w:pPr>
                  <w:r>
                    <w:noBreakHyphen/>
                    <w:t>64</w:t>
                  </w:r>
                </w:p>
              </w:tc>
              <w:tc>
                <w:tcPr>
                  <w:tcW w:w="750" w:type="pct"/>
                  <w:shd w:val="pct5" w:color="auto" w:fill="auto"/>
                  <w:hideMark/>
                </w:tcPr>
                <w:p w14:paraId="3C2BCE0D" w14:textId="77777777" w:rsidR="00FC14FC" w:rsidRDefault="00FC14FC" w:rsidP="00D11B9D">
                  <w:pPr>
                    <w:pStyle w:val="TableBodyText"/>
                  </w:pPr>
                  <w:r>
                    <w:noBreakHyphen/>
                    <w:t>117</w:t>
                  </w:r>
                </w:p>
              </w:tc>
              <w:tc>
                <w:tcPr>
                  <w:tcW w:w="668" w:type="pct"/>
                  <w:shd w:val="pct5" w:color="auto" w:fill="auto"/>
                  <w:hideMark/>
                </w:tcPr>
                <w:p w14:paraId="778C9BD1" w14:textId="77777777" w:rsidR="00FC14FC" w:rsidRDefault="00FC14FC" w:rsidP="00D11B9D">
                  <w:pPr>
                    <w:pStyle w:val="TableBodyText"/>
                  </w:pPr>
                  <w:r>
                    <w:t>10</w:t>
                  </w:r>
                </w:p>
              </w:tc>
              <w:tc>
                <w:tcPr>
                  <w:tcW w:w="665" w:type="pct"/>
                  <w:shd w:val="pct5" w:color="auto" w:fill="auto"/>
                  <w:hideMark/>
                </w:tcPr>
                <w:p w14:paraId="68428B9F" w14:textId="77777777" w:rsidR="00FC14FC" w:rsidRDefault="00FC14FC" w:rsidP="00D11B9D">
                  <w:pPr>
                    <w:pStyle w:val="TableBodyText"/>
                  </w:pPr>
                  <w:r>
                    <w:t>5</w:t>
                  </w:r>
                </w:p>
              </w:tc>
              <w:tc>
                <w:tcPr>
                  <w:tcW w:w="569" w:type="pct"/>
                  <w:shd w:val="pct5" w:color="auto" w:fill="auto"/>
                  <w:hideMark/>
                </w:tcPr>
                <w:p w14:paraId="5BF345C6" w14:textId="77777777" w:rsidR="00FC14FC" w:rsidRDefault="00FC14FC" w:rsidP="00D11B9D">
                  <w:pPr>
                    <w:pStyle w:val="TableBodyText"/>
                    <w:ind w:right="28"/>
                  </w:pPr>
                  <w:r>
                    <w:t>5</w:t>
                  </w:r>
                </w:p>
              </w:tc>
            </w:tr>
            <w:tr w:rsidR="00FC14FC" w14:paraId="145FC48E" w14:textId="77777777" w:rsidTr="00D11B9D">
              <w:tc>
                <w:tcPr>
                  <w:tcW w:w="1514" w:type="pct"/>
                  <w:hideMark/>
                </w:tcPr>
                <w:p w14:paraId="15013F0E" w14:textId="77777777" w:rsidR="00FC14FC" w:rsidRDefault="00FC14FC" w:rsidP="00D11B9D">
                  <w:pPr>
                    <w:pStyle w:val="TableBodyText"/>
                    <w:jc w:val="left"/>
                  </w:pPr>
                  <w:r>
                    <w:t>6</w:t>
                  </w:r>
                </w:p>
              </w:tc>
              <w:tc>
                <w:tcPr>
                  <w:tcW w:w="834" w:type="pct"/>
                  <w:hideMark/>
                </w:tcPr>
                <w:p w14:paraId="6BDCAEBC" w14:textId="77777777" w:rsidR="00FC14FC" w:rsidRDefault="00FC14FC" w:rsidP="00D11B9D">
                  <w:pPr>
                    <w:pStyle w:val="TableBodyText"/>
                  </w:pPr>
                  <w:r>
                    <w:noBreakHyphen/>
                    <w:t>75</w:t>
                  </w:r>
                </w:p>
              </w:tc>
              <w:tc>
                <w:tcPr>
                  <w:tcW w:w="750" w:type="pct"/>
                  <w:hideMark/>
                </w:tcPr>
                <w:p w14:paraId="0C285A69" w14:textId="77777777" w:rsidR="00FC14FC" w:rsidRDefault="00FC14FC" w:rsidP="00D11B9D">
                  <w:pPr>
                    <w:pStyle w:val="TableBodyText"/>
                  </w:pPr>
                  <w:r>
                    <w:noBreakHyphen/>
                    <w:t>15</w:t>
                  </w:r>
                </w:p>
              </w:tc>
              <w:tc>
                <w:tcPr>
                  <w:tcW w:w="668" w:type="pct"/>
                  <w:hideMark/>
                </w:tcPr>
                <w:p w14:paraId="03212838" w14:textId="77777777" w:rsidR="00FC14FC" w:rsidRDefault="00FC14FC" w:rsidP="00D11B9D">
                  <w:pPr>
                    <w:pStyle w:val="TableBodyText"/>
                  </w:pPr>
                  <w:r>
                    <w:t>5</w:t>
                  </w:r>
                </w:p>
              </w:tc>
              <w:tc>
                <w:tcPr>
                  <w:tcW w:w="665" w:type="pct"/>
                  <w:hideMark/>
                </w:tcPr>
                <w:p w14:paraId="2A10970E" w14:textId="77777777" w:rsidR="00FC14FC" w:rsidRDefault="00FC14FC" w:rsidP="00D11B9D">
                  <w:pPr>
                    <w:pStyle w:val="TableBodyText"/>
                  </w:pPr>
                  <w:r>
                    <w:t>3</w:t>
                  </w:r>
                </w:p>
              </w:tc>
              <w:tc>
                <w:tcPr>
                  <w:tcW w:w="569" w:type="pct"/>
                  <w:hideMark/>
                </w:tcPr>
                <w:p w14:paraId="597FBC18" w14:textId="77777777" w:rsidR="00FC14FC" w:rsidRDefault="00FC14FC" w:rsidP="00D11B9D">
                  <w:pPr>
                    <w:pStyle w:val="TableBodyText"/>
                    <w:ind w:right="28"/>
                  </w:pPr>
                  <w:r>
                    <w:t>2</w:t>
                  </w:r>
                </w:p>
              </w:tc>
            </w:tr>
            <w:tr w:rsidR="00FC14FC" w14:paraId="34FEFA0F" w14:textId="77777777" w:rsidTr="00D11B9D">
              <w:tc>
                <w:tcPr>
                  <w:tcW w:w="1514" w:type="pct"/>
                  <w:tcBorders>
                    <w:top w:val="nil"/>
                    <w:left w:val="nil"/>
                    <w:bottom w:val="single" w:sz="6" w:space="0" w:color="BFBFBF"/>
                    <w:right w:val="nil"/>
                  </w:tcBorders>
                  <w:shd w:val="pct5" w:color="auto" w:fill="auto"/>
                  <w:hideMark/>
                </w:tcPr>
                <w:p w14:paraId="39043B47" w14:textId="77777777" w:rsidR="00FC14FC" w:rsidRDefault="00FC14FC" w:rsidP="00D11B9D">
                  <w:pPr>
                    <w:pStyle w:val="TableBodyText"/>
                    <w:jc w:val="left"/>
                  </w:pPr>
                  <w:r>
                    <w:t>7</w:t>
                  </w:r>
                </w:p>
              </w:tc>
              <w:tc>
                <w:tcPr>
                  <w:tcW w:w="834" w:type="pct"/>
                  <w:tcBorders>
                    <w:top w:val="nil"/>
                    <w:left w:val="nil"/>
                    <w:bottom w:val="single" w:sz="6" w:space="0" w:color="BFBFBF"/>
                    <w:right w:val="nil"/>
                  </w:tcBorders>
                  <w:shd w:val="pct5" w:color="auto" w:fill="auto"/>
                  <w:hideMark/>
                </w:tcPr>
                <w:p w14:paraId="7262D567" w14:textId="77777777" w:rsidR="00FC14FC" w:rsidRDefault="00FC14FC" w:rsidP="00D11B9D">
                  <w:pPr>
                    <w:pStyle w:val="TableBodyText"/>
                  </w:pPr>
                  <w:r>
                    <w:noBreakHyphen/>
                    <w:t>86</w:t>
                  </w:r>
                </w:p>
              </w:tc>
              <w:tc>
                <w:tcPr>
                  <w:tcW w:w="750" w:type="pct"/>
                  <w:tcBorders>
                    <w:top w:val="nil"/>
                    <w:left w:val="nil"/>
                    <w:bottom w:val="single" w:sz="6" w:space="0" w:color="BFBFBF"/>
                    <w:right w:val="nil"/>
                  </w:tcBorders>
                  <w:shd w:val="pct5" w:color="auto" w:fill="auto"/>
                  <w:hideMark/>
                </w:tcPr>
                <w:p w14:paraId="54A1BC9D" w14:textId="77777777" w:rsidR="00FC14FC" w:rsidRDefault="00FC14FC" w:rsidP="00D11B9D">
                  <w:pPr>
                    <w:pStyle w:val="TableBodyText"/>
                  </w:pPr>
                  <w:r>
                    <w:noBreakHyphen/>
                    <w:t>62</w:t>
                  </w:r>
                </w:p>
              </w:tc>
              <w:tc>
                <w:tcPr>
                  <w:tcW w:w="668" w:type="pct"/>
                  <w:tcBorders>
                    <w:top w:val="nil"/>
                    <w:left w:val="nil"/>
                    <w:bottom w:val="single" w:sz="6" w:space="0" w:color="BFBFBF"/>
                    <w:right w:val="nil"/>
                  </w:tcBorders>
                  <w:shd w:val="pct5" w:color="auto" w:fill="auto"/>
                  <w:hideMark/>
                </w:tcPr>
                <w:p w14:paraId="5BCDB7F6" w14:textId="77777777" w:rsidR="00FC14FC" w:rsidRDefault="00FC14FC" w:rsidP="00D11B9D">
                  <w:pPr>
                    <w:pStyle w:val="TableBodyText"/>
                  </w:pPr>
                  <w:r>
                    <w:t>1</w:t>
                  </w:r>
                </w:p>
              </w:tc>
              <w:tc>
                <w:tcPr>
                  <w:tcW w:w="665" w:type="pct"/>
                  <w:tcBorders>
                    <w:top w:val="nil"/>
                    <w:left w:val="nil"/>
                    <w:bottom w:val="single" w:sz="6" w:space="0" w:color="BFBFBF"/>
                    <w:right w:val="nil"/>
                  </w:tcBorders>
                  <w:shd w:val="pct5" w:color="auto" w:fill="auto"/>
                  <w:hideMark/>
                </w:tcPr>
                <w:p w14:paraId="7E174BE7" w14:textId="77777777" w:rsidR="00FC14FC" w:rsidRDefault="00FC14FC" w:rsidP="00D11B9D">
                  <w:pPr>
                    <w:pStyle w:val="TableBodyText"/>
                  </w:pPr>
                  <w:r>
                    <w:t>1</w:t>
                  </w:r>
                </w:p>
              </w:tc>
              <w:tc>
                <w:tcPr>
                  <w:tcW w:w="569" w:type="pct"/>
                  <w:tcBorders>
                    <w:top w:val="nil"/>
                    <w:left w:val="nil"/>
                    <w:bottom w:val="single" w:sz="6" w:space="0" w:color="BFBFBF"/>
                    <w:right w:val="nil"/>
                  </w:tcBorders>
                  <w:shd w:val="pct5" w:color="auto" w:fill="auto"/>
                  <w:hideMark/>
                </w:tcPr>
                <w:p w14:paraId="5EC7E091" w14:textId="77777777" w:rsidR="00FC14FC" w:rsidRDefault="00FC14FC" w:rsidP="00D11B9D">
                  <w:pPr>
                    <w:pStyle w:val="TableBodyText"/>
                    <w:ind w:right="28"/>
                  </w:pPr>
                  <w:r>
                    <w:t>0</w:t>
                  </w:r>
                </w:p>
              </w:tc>
            </w:tr>
          </w:tbl>
          <w:p w14:paraId="34CBF40E" w14:textId="77777777" w:rsidR="00FC14FC" w:rsidRDefault="00FC14FC" w:rsidP="00D11B9D">
            <w:pPr>
              <w:pStyle w:val="Box"/>
            </w:pPr>
          </w:p>
        </w:tc>
      </w:tr>
      <w:tr w:rsidR="00FC14FC" w14:paraId="15D94BC6" w14:textId="77777777" w:rsidTr="00D11B9D">
        <w:tc>
          <w:tcPr>
            <w:tcW w:w="5000" w:type="pct"/>
            <w:tcBorders>
              <w:top w:val="nil"/>
              <w:left w:val="nil"/>
              <w:bottom w:val="nil"/>
              <w:right w:val="nil"/>
            </w:tcBorders>
            <w:hideMark/>
          </w:tcPr>
          <w:p w14:paraId="3B0A512F" w14:textId="77777777" w:rsidR="00FC14FC" w:rsidRDefault="00FC14FC" w:rsidP="00D11B9D">
            <w:pPr>
              <w:pStyle w:val="Note"/>
              <w:rPr>
                <w:i/>
              </w:rPr>
            </w:pPr>
            <w:r>
              <w:rPr>
                <w:rStyle w:val="NoteLabel"/>
              </w:rPr>
              <w:t>a</w:t>
            </w:r>
            <w:r>
              <w:t xml:space="preserve"> The linear trend for the pooled data model and the 3 and 5 month dummies in the dummy variable model were all significant at the 90 per cent level. </w:t>
            </w:r>
            <w:r>
              <w:rPr>
                <w:rStyle w:val="NoteLabel"/>
              </w:rPr>
              <w:t>b</w:t>
            </w:r>
            <w:r>
              <w:t xml:space="preserve"> The first row corresponds to the intercept, with each subsequent row adding the corresponding linear trend effect or dummy variable effect to arrive at the averages.</w:t>
            </w:r>
          </w:p>
        </w:tc>
      </w:tr>
      <w:tr w:rsidR="00FC14FC" w14:paraId="4BF7B491" w14:textId="77777777" w:rsidTr="00D11B9D">
        <w:tc>
          <w:tcPr>
            <w:tcW w:w="5000" w:type="pct"/>
            <w:tcBorders>
              <w:top w:val="nil"/>
              <w:left w:val="nil"/>
              <w:bottom w:val="nil"/>
              <w:right w:val="nil"/>
            </w:tcBorders>
            <w:hideMark/>
          </w:tcPr>
          <w:p w14:paraId="4C3C9A49" w14:textId="77777777" w:rsidR="00FC14FC" w:rsidRDefault="00FC14FC" w:rsidP="00D11B9D">
            <w:pPr>
              <w:pStyle w:val="Source"/>
            </w:pPr>
            <w:r>
              <w:rPr>
                <w:i/>
              </w:rPr>
              <w:t>Source</w:t>
            </w:r>
            <w:r>
              <w:t>: PC analysis of unpublished APRA data.</w:t>
            </w:r>
          </w:p>
        </w:tc>
      </w:tr>
      <w:tr w:rsidR="00FC14FC" w14:paraId="6970587A" w14:textId="77777777" w:rsidTr="00D11B9D">
        <w:tc>
          <w:tcPr>
            <w:tcW w:w="5000" w:type="pct"/>
            <w:tcBorders>
              <w:top w:val="nil"/>
              <w:left w:val="nil"/>
              <w:bottom w:val="single" w:sz="6" w:space="0" w:color="78A22F"/>
              <w:right w:val="nil"/>
            </w:tcBorders>
          </w:tcPr>
          <w:p w14:paraId="78D6F48A" w14:textId="77777777" w:rsidR="00FC14FC" w:rsidRDefault="00FC14FC" w:rsidP="00D11B9D">
            <w:pPr>
              <w:pStyle w:val="Box"/>
              <w:spacing w:before="0" w:line="120" w:lineRule="exact"/>
            </w:pPr>
          </w:p>
        </w:tc>
      </w:tr>
      <w:tr w:rsidR="00FC14FC" w14:paraId="7A897B4D" w14:textId="77777777" w:rsidTr="00D11B9D">
        <w:tc>
          <w:tcPr>
            <w:tcW w:w="5000" w:type="pct"/>
            <w:tcBorders>
              <w:top w:val="single" w:sz="6" w:space="0" w:color="78A22F"/>
              <w:left w:val="nil"/>
              <w:bottom w:val="nil"/>
              <w:right w:val="nil"/>
            </w:tcBorders>
          </w:tcPr>
          <w:p w14:paraId="15FF3463" w14:textId="77777777" w:rsidR="00FC14FC" w:rsidRDefault="00FC14FC" w:rsidP="00D11B9D">
            <w:pPr>
              <w:pStyle w:val="BoxSpaceBelow"/>
            </w:pPr>
          </w:p>
        </w:tc>
      </w:tr>
    </w:tbl>
    <w:p w14:paraId="074C21CD" w14:textId="77777777" w:rsidR="00FC14FC" w:rsidRPr="000245C7" w:rsidRDefault="00FC14FC" w:rsidP="00FC14FC">
      <w:pPr>
        <w:pStyle w:val="Heading5"/>
        <w:spacing w:before="240"/>
        <w:rPr>
          <w:spacing w:val="-4"/>
        </w:rPr>
      </w:pPr>
      <w:r w:rsidRPr="000245C7">
        <w:rPr>
          <w:spacing w:val="-4"/>
        </w:rPr>
        <w:t>How long it took for funds to complete the transfer of default assets to their MySuper product</w:t>
      </w:r>
    </w:p>
    <w:p w14:paraId="0EB96D73" w14:textId="77777777" w:rsidR="00FC14FC" w:rsidRDefault="00FC14FC" w:rsidP="00FC14FC">
      <w:pPr>
        <w:pStyle w:val="BodyText"/>
      </w:pPr>
      <w:r>
        <w:t>In principle, the length of time taken by a fund to complete the transfer of default assets to their MySuper product should be an indicator of the fund’s ability to manage member flows and ability to move members into a low</w:t>
      </w:r>
      <w:r>
        <w:noBreakHyphen/>
        <w:t>fee default product in a timely manner. However, APRA data only tracked the progress of funds on an annual basis. This frequency of reporting is not granular enough to identify any clear relationships.</w:t>
      </w:r>
    </w:p>
    <w:p w14:paraId="7AA87C30" w14:textId="77777777" w:rsidR="00FC14FC" w:rsidRPr="000245C7" w:rsidRDefault="00FC14FC" w:rsidP="00FC14FC">
      <w:pPr>
        <w:pStyle w:val="BodyText"/>
        <w:rPr>
          <w:spacing w:val="-4"/>
        </w:rPr>
      </w:pPr>
      <w:r w:rsidRPr="000245C7">
        <w:rPr>
          <w:spacing w:val="-4"/>
        </w:rPr>
        <w:t>The overwhelming majority of funds completed the transfer between 1 and 2 years after the MySuper regime started, leaving the data with little variation to extract a meaningful relationship. The average fund that completed the transfer after 1 year had a more positive residual, at 16 basis points higher than for funds that completed the transfer immediately (table 4.38). The associations for funds which completed their transfers after 2 years are distinctly negative (but not statistically significant). However, this result could also be, in part, a direct effect of the delay (to the extent that delay was associated with funds having administrative expenses higher than otherwise for a longer period of time, and thus lower residuals when measured over the whole period), rather than the quality of fund governance per se.</w:t>
      </w:r>
    </w:p>
    <w:p w14:paraId="2CB12C1C"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Description w:val="Table used for design: contains a nested table with data/information."/>
      </w:tblPr>
      <w:tblGrid>
        <w:gridCol w:w="8789"/>
      </w:tblGrid>
      <w:tr w:rsidR="00FC14FC" w14:paraId="167CAA40" w14:textId="77777777" w:rsidTr="00D11B9D">
        <w:trPr>
          <w:tblHeader/>
        </w:trPr>
        <w:tc>
          <w:tcPr>
            <w:tcW w:w="5000" w:type="pct"/>
            <w:tcBorders>
              <w:top w:val="single" w:sz="6" w:space="0" w:color="78A22F"/>
              <w:left w:val="nil"/>
              <w:bottom w:val="nil"/>
              <w:right w:val="nil"/>
            </w:tcBorders>
            <w:hideMark/>
          </w:tcPr>
          <w:p w14:paraId="23F5EC97" w14:textId="77777777" w:rsidR="00FC14FC" w:rsidRDefault="00FC14FC" w:rsidP="00D11B9D">
            <w:pPr>
              <w:pStyle w:val="TableTitle"/>
            </w:pPr>
            <w:r>
              <w:rPr>
                <w:b w:val="0"/>
              </w:rPr>
              <w:t xml:space="preserve">Table </w:t>
            </w:r>
            <w:r>
              <w:rPr>
                <w:b w:val="0"/>
                <w:noProof/>
              </w:rPr>
              <w:t>4.38</w:t>
            </w:r>
            <w:r>
              <w:tab/>
              <w:t>Residuals and completion of MySuper default transfers</w:t>
            </w:r>
          </w:p>
          <w:p w14:paraId="2C821C19" w14:textId="77777777" w:rsidR="00FC14FC" w:rsidRDefault="00FC14FC" w:rsidP="00D11B9D">
            <w:pPr>
              <w:pStyle w:val="Subtitle"/>
            </w:pPr>
            <w:r>
              <w:t>Residuals calculated over 2005–2017</w:t>
            </w:r>
          </w:p>
        </w:tc>
      </w:tr>
      <w:tr w:rsidR="00FC14FC" w14:paraId="57B4EC87" w14:textId="77777777" w:rsidTr="00D11B9D">
        <w:tc>
          <w:tcPr>
            <w:tcW w:w="5000" w:type="pct"/>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4820"/>
              <w:gridCol w:w="2125"/>
              <w:gridCol w:w="1560"/>
            </w:tblGrid>
            <w:tr w:rsidR="00FC14FC" w14:paraId="65AE88CB" w14:textId="77777777" w:rsidTr="00D11B9D">
              <w:trPr>
                <w:tblHeader/>
              </w:trPr>
              <w:tc>
                <w:tcPr>
                  <w:tcW w:w="2834" w:type="pct"/>
                  <w:tcBorders>
                    <w:top w:val="single" w:sz="6" w:space="0" w:color="BFBFBF"/>
                    <w:left w:val="nil"/>
                    <w:bottom w:val="single" w:sz="6" w:space="0" w:color="BFBFBF"/>
                    <w:right w:val="nil"/>
                  </w:tcBorders>
                  <w:hideMark/>
                </w:tcPr>
                <w:p w14:paraId="479C1172" w14:textId="77777777" w:rsidR="00FC14FC" w:rsidRDefault="00FC14FC" w:rsidP="00D11B9D">
                  <w:pPr>
                    <w:pStyle w:val="TableColumnHeading"/>
                    <w:jc w:val="left"/>
                  </w:pPr>
                  <w:r>
                    <w:t>Years taken to complete MySuper default transfers after the start of the MySuper Regime</w:t>
                  </w:r>
                  <w:r>
                    <w:rPr>
                      <w:rStyle w:val="NoteLabel"/>
                    </w:rPr>
                    <w:t>a</w:t>
                  </w:r>
                </w:p>
              </w:tc>
              <w:tc>
                <w:tcPr>
                  <w:tcW w:w="1249" w:type="pct"/>
                  <w:tcBorders>
                    <w:top w:val="single" w:sz="6" w:space="0" w:color="BFBFBF"/>
                    <w:left w:val="nil"/>
                    <w:bottom w:val="single" w:sz="6" w:space="0" w:color="BFBFBF"/>
                    <w:right w:val="nil"/>
                  </w:tcBorders>
                  <w:hideMark/>
                </w:tcPr>
                <w:p w14:paraId="49562518" w14:textId="77777777" w:rsidR="00FC14FC" w:rsidRDefault="00FC14FC" w:rsidP="00D11B9D">
                  <w:pPr>
                    <w:pStyle w:val="TableColumnHeading"/>
                    <w:ind w:right="28"/>
                  </w:pPr>
                  <w:r>
                    <w:t>Non</w:t>
                  </w:r>
                  <w:r>
                    <w:noBreakHyphen/>
                    <w:t>linear model,</w:t>
                  </w:r>
                </w:p>
                <w:p w14:paraId="08D9EC07" w14:textId="77777777" w:rsidR="00FC14FC" w:rsidRPr="0098062A" w:rsidRDefault="00FC14FC" w:rsidP="00D11B9D">
                  <w:pPr>
                    <w:pStyle w:val="TableColumnHeading"/>
                    <w:ind w:right="28"/>
                    <w:rPr>
                      <w:rStyle w:val="NoteLabel"/>
                    </w:rPr>
                  </w:pPr>
                  <w:r>
                    <w:t>averages (bp)</w:t>
                  </w:r>
                  <w:r>
                    <w:rPr>
                      <w:rStyle w:val="NoteLabel"/>
                    </w:rPr>
                    <w:t>b</w:t>
                  </w:r>
                </w:p>
              </w:tc>
              <w:tc>
                <w:tcPr>
                  <w:tcW w:w="917" w:type="pct"/>
                  <w:tcBorders>
                    <w:top w:val="single" w:sz="6" w:space="0" w:color="BFBFBF"/>
                    <w:left w:val="nil"/>
                    <w:bottom w:val="single" w:sz="6" w:space="0" w:color="BFBFBF"/>
                    <w:right w:val="nil"/>
                  </w:tcBorders>
                  <w:hideMark/>
                </w:tcPr>
                <w:p w14:paraId="2B408802" w14:textId="77777777" w:rsidR="00FC14FC" w:rsidRDefault="00FC14FC" w:rsidP="00D11B9D">
                  <w:pPr>
                    <w:pStyle w:val="TableColumnHeading"/>
                    <w:ind w:right="28"/>
                  </w:pPr>
                  <w:r>
                    <w:t>Number of funds</w:t>
                  </w:r>
                </w:p>
              </w:tc>
            </w:tr>
            <w:tr w:rsidR="00FC14FC" w14:paraId="137242AB" w14:textId="77777777" w:rsidTr="00D11B9D">
              <w:tc>
                <w:tcPr>
                  <w:tcW w:w="2834" w:type="pct"/>
                  <w:tcBorders>
                    <w:top w:val="single" w:sz="6" w:space="0" w:color="BFBFBF"/>
                    <w:left w:val="nil"/>
                    <w:bottom w:val="nil"/>
                    <w:right w:val="nil"/>
                  </w:tcBorders>
                  <w:hideMark/>
                </w:tcPr>
                <w:p w14:paraId="73C2CC4E" w14:textId="77777777" w:rsidR="00FC14FC" w:rsidRDefault="00FC14FC" w:rsidP="00D11B9D">
                  <w:pPr>
                    <w:pStyle w:val="TableBodyText"/>
                    <w:spacing w:before="40"/>
                    <w:jc w:val="left"/>
                  </w:pPr>
                  <w:r>
                    <w:t>Within 1 year</w:t>
                  </w:r>
                </w:p>
              </w:tc>
              <w:tc>
                <w:tcPr>
                  <w:tcW w:w="1249" w:type="pct"/>
                  <w:tcBorders>
                    <w:top w:val="single" w:sz="6" w:space="0" w:color="BFBFBF"/>
                    <w:left w:val="nil"/>
                    <w:bottom w:val="nil"/>
                    <w:right w:val="nil"/>
                  </w:tcBorders>
                  <w:hideMark/>
                </w:tcPr>
                <w:p w14:paraId="1324B025" w14:textId="77777777" w:rsidR="00FC14FC" w:rsidRDefault="00FC14FC" w:rsidP="00D11B9D">
                  <w:pPr>
                    <w:pStyle w:val="TableBodyText"/>
                    <w:spacing w:before="40"/>
                  </w:pPr>
                  <w:r>
                    <w:noBreakHyphen/>
                    <w:t>23</w:t>
                  </w:r>
                </w:p>
              </w:tc>
              <w:tc>
                <w:tcPr>
                  <w:tcW w:w="917" w:type="pct"/>
                  <w:tcBorders>
                    <w:top w:val="single" w:sz="6" w:space="0" w:color="BFBFBF"/>
                    <w:left w:val="nil"/>
                    <w:bottom w:val="nil"/>
                    <w:right w:val="nil"/>
                  </w:tcBorders>
                  <w:hideMark/>
                </w:tcPr>
                <w:p w14:paraId="01862CD3" w14:textId="77777777" w:rsidR="00FC14FC" w:rsidRDefault="00FC14FC" w:rsidP="00D11B9D">
                  <w:pPr>
                    <w:pStyle w:val="TableBodyText"/>
                    <w:spacing w:before="40"/>
                    <w:ind w:right="28"/>
                  </w:pPr>
                  <w:r>
                    <w:t>15</w:t>
                  </w:r>
                </w:p>
              </w:tc>
            </w:tr>
            <w:tr w:rsidR="00FC14FC" w14:paraId="13CD2567" w14:textId="77777777" w:rsidTr="00D11B9D">
              <w:tc>
                <w:tcPr>
                  <w:tcW w:w="2834" w:type="pct"/>
                  <w:shd w:val="pct5" w:color="auto" w:fill="auto"/>
                  <w:hideMark/>
                </w:tcPr>
                <w:p w14:paraId="21744D73" w14:textId="77777777" w:rsidR="00FC14FC" w:rsidRDefault="00FC14FC" w:rsidP="00D11B9D">
                  <w:pPr>
                    <w:pStyle w:val="TableBodyText"/>
                    <w:jc w:val="left"/>
                  </w:pPr>
                  <w:r>
                    <w:t>1</w:t>
                  </w:r>
                </w:p>
              </w:tc>
              <w:tc>
                <w:tcPr>
                  <w:tcW w:w="1249" w:type="pct"/>
                  <w:shd w:val="pct5" w:color="auto" w:fill="auto"/>
                  <w:hideMark/>
                </w:tcPr>
                <w:p w14:paraId="05CC0405" w14:textId="77777777" w:rsidR="00FC14FC" w:rsidRDefault="00FC14FC" w:rsidP="00D11B9D">
                  <w:pPr>
                    <w:pStyle w:val="TableBodyText"/>
                  </w:pPr>
                  <w:r>
                    <w:noBreakHyphen/>
                    <w:t>11</w:t>
                  </w:r>
                </w:p>
              </w:tc>
              <w:tc>
                <w:tcPr>
                  <w:tcW w:w="917" w:type="pct"/>
                  <w:shd w:val="pct5" w:color="auto" w:fill="auto"/>
                  <w:hideMark/>
                </w:tcPr>
                <w:p w14:paraId="7EC2D75E" w14:textId="77777777" w:rsidR="00FC14FC" w:rsidRDefault="00FC14FC" w:rsidP="00D11B9D">
                  <w:pPr>
                    <w:pStyle w:val="TableBodyText"/>
                    <w:ind w:right="28"/>
                  </w:pPr>
                  <w:r>
                    <w:t>44</w:t>
                  </w:r>
                </w:p>
              </w:tc>
            </w:tr>
            <w:tr w:rsidR="00FC14FC" w14:paraId="4264C7EC" w14:textId="77777777" w:rsidTr="00D11B9D">
              <w:tc>
                <w:tcPr>
                  <w:tcW w:w="2834" w:type="pct"/>
                  <w:hideMark/>
                </w:tcPr>
                <w:p w14:paraId="4020A008" w14:textId="77777777" w:rsidR="00FC14FC" w:rsidRDefault="00FC14FC" w:rsidP="00D11B9D">
                  <w:pPr>
                    <w:pStyle w:val="TableBodyText"/>
                    <w:jc w:val="left"/>
                  </w:pPr>
                  <w:r>
                    <w:t>2</w:t>
                  </w:r>
                </w:p>
              </w:tc>
              <w:tc>
                <w:tcPr>
                  <w:tcW w:w="1249" w:type="pct"/>
                  <w:hideMark/>
                </w:tcPr>
                <w:p w14:paraId="3EA834EA" w14:textId="77777777" w:rsidR="00FC14FC" w:rsidRDefault="00FC14FC" w:rsidP="00D11B9D">
                  <w:pPr>
                    <w:pStyle w:val="TableBodyText"/>
                  </w:pPr>
                  <w:r>
                    <w:noBreakHyphen/>
                    <w:t>73</w:t>
                  </w:r>
                </w:p>
              </w:tc>
              <w:tc>
                <w:tcPr>
                  <w:tcW w:w="917" w:type="pct"/>
                  <w:hideMark/>
                </w:tcPr>
                <w:p w14:paraId="5602BEF6" w14:textId="77777777" w:rsidR="00FC14FC" w:rsidRDefault="00FC14FC" w:rsidP="00D11B9D">
                  <w:pPr>
                    <w:pStyle w:val="TableBodyText"/>
                    <w:ind w:right="28"/>
                  </w:pPr>
                  <w:r>
                    <w:t>5</w:t>
                  </w:r>
                </w:p>
              </w:tc>
            </w:tr>
            <w:tr w:rsidR="00FC14FC" w14:paraId="49AB67BC" w14:textId="77777777" w:rsidTr="00D11B9D">
              <w:tc>
                <w:tcPr>
                  <w:tcW w:w="2834" w:type="pct"/>
                  <w:shd w:val="pct5" w:color="auto" w:fill="auto"/>
                  <w:hideMark/>
                </w:tcPr>
                <w:p w14:paraId="2F56796F" w14:textId="77777777" w:rsidR="00FC14FC" w:rsidRDefault="00FC14FC" w:rsidP="00D11B9D">
                  <w:pPr>
                    <w:pStyle w:val="TableBodyText"/>
                    <w:jc w:val="left"/>
                  </w:pPr>
                  <w:r>
                    <w:t>3</w:t>
                  </w:r>
                </w:p>
              </w:tc>
              <w:tc>
                <w:tcPr>
                  <w:tcW w:w="1249" w:type="pct"/>
                  <w:shd w:val="pct5" w:color="auto" w:fill="auto"/>
                  <w:hideMark/>
                </w:tcPr>
                <w:p w14:paraId="237D62DB" w14:textId="77777777" w:rsidR="00FC14FC" w:rsidRDefault="00FC14FC" w:rsidP="00D11B9D">
                  <w:pPr>
                    <w:pStyle w:val="TableBodyText"/>
                  </w:pPr>
                  <w:r>
                    <w:noBreakHyphen/>
                    <w:t>196</w:t>
                  </w:r>
                </w:p>
              </w:tc>
              <w:tc>
                <w:tcPr>
                  <w:tcW w:w="917" w:type="pct"/>
                  <w:shd w:val="pct5" w:color="auto" w:fill="auto"/>
                  <w:hideMark/>
                </w:tcPr>
                <w:p w14:paraId="1C4622A2" w14:textId="77777777" w:rsidR="00FC14FC" w:rsidRDefault="00FC14FC" w:rsidP="00D11B9D">
                  <w:pPr>
                    <w:pStyle w:val="TableBodyText"/>
                    <w:ind w:right="28"/>
                  </w:pPr>
                  <w:r>
                    <w:t>1</w:t>
                  </w:r>
                </w:p>
              </w:tc>
            </w:tr>
            <w:tr w:rsidR="00FC14FC" w14:paraId="7D5BD7D8" w14:textId="77777777" w:rsidTr="00D11B9D">
              <w:tc>
                <w:tcPr>
                  <w:tcW w:w="2834" w:type="pct"/>
                  <w:tcBorders>
                    <w:top w:val="nil"/>
                    <w:left w:val="nil"/>
                    <w:bottom w:val="single" w:sz="6" w:space="0" w:color="BFBFBF"/>
                    <w:right w:val="nil"/>
                  </w:tcBorders>
                  <w:hideMark/>
                </w:tcPr>
                <w:p w14:paraId="4FB76AB1" w14:textId="77777777" w:rsidR="00FC14FC" w:rsidRDefault="00FC14FC" w:rsidP="00D11B9D">
                  <w:pPr>
                    <w:pStyle w:val="TableBodyText"/>
                    <w:jc w:val="left"/>
                  </w:pPr>
                  <w:r>
                    <w:t>4</w:t>
                  </w:r>
                </w:p>
              </w:tc>
              <w:tc>
                <w:tcPr>
                  <w:tcW w:w="1249" w:type="pct"/>
                  <w:tcBorders>
                    <w:top w:val="nil"/>
                    <w:left w:val="nil"/>
                    <w:bottom w:val="single" w:sz="6" w:space="0" w:color="BFBFBF"/>
                    <w:right w:val="nil"/>
                  </w:tcBorders>
                  <w:hideMark/>
                </w:tcPr>
                <w:p w14:paraId="4A84E882" w14:textId="77777777" w:rsidR="00FC14FC" w:rsidRDefault="00FC14FC" w:rsidP="00D11B9D">
                  <w:pPr>
                    <w:pStyle w:val="TableBodyText"/>
                  </w:pPr>
                  <w:r>
                    <w:noBreakHyphen/>
                    <w:t>170</w:t>
                  </w:r>
                </w:p>
              </w:tc>
              <w:tc>
                <w:tcPr>
                  <w:tcW w:w="917" w:type="pct"/>
                  <w:tcBorders>
                    <w:top w:val="nil"/>
                    <w:left w:val="nil"/>
                    <w:bottom w:val="single" w:sz="6" w:space="0" w:color="BFBFBF"/>
                    <w:right w:val="nil"/>
                  </w:tcBorders>
                  <w:hideMark/>
                </w:tcPr>
                <w:p w14:paraId="67D8A5C1" w14:textId="77777777" w:rsidR="00FC14FC" w:rsidRDefault="00FC14FC" w:rsidP="00D11B9D">
                  <w:pPr>
                    <w:pStyle w:val="TableBodyText"/>
                    <w:ind w:right="28"/>
                  </w:pPr>
                  <w:r>
                    <w:t>2</w:t>
                  </w:r>
                </w:p>
              </w:tc>
            </w:tr>
          </w:tbl>
          <w:p w14:paraId="4774678A" w14:textId="77777777" w:rsidR="00FC14FC" w:rsidRDefault="00FC14FC" w:rsidP="00D11B9D">
            <w:pPr>
              <w:pStyle w:val="Box"/>
            </w:pPr>
          </w:p>
        </w:tc>
      </w:tr>
      <w:tr w:rsidR="00FC14FC" w14:paraId="636894C7" w14:textId="77777777" w:rsidTr="00D11B9D">
        <w:tc>
          <w:tcPr>
            <w:tcW w:w="5000" w:type="pct"/>
            <w:tcBorders>
              <w:top w:val="nil"/>
              <w:left w:val="nil"/>
              <w:bottom w:val="nil"/>
              <w:right w:val="nil"/>
            </w:tcBorders>
            <w:hideMark/>
          </w:tcPr>
          <w:p w14:paraId="52E2D740" w14:textId="77777777" w:rsidR="00FC14FC" w:rsidRDefault="00FC14FC" w:rsidP="00D11B9D">
            <w:pPr>
              <w:pStyle w:val="Note"/>
              <w:rPr>
                <w:i/>
              </w:rPr>
            </w:pPr>
            <w:r>
              <w:rPr>
                <w:rStyle w:val="NoteLabel"/>
              </w:rPr>
              <w:t>a</w:t>
            </w:r>
            <w:r>
              <w:t xml:space="preserve"> The first row corresponds to the intercept, with each subsequent row adding the corresponding dummy variable effect to arrive at the averages. </w:t>
            </w:r>
            <w:r>
              <w:rPr>
                <w:rStyle w:val="NoteLabel"/>
              </w:rPr>
              <w:t>b</w:t>
            </w:r>
            <w:r>
              <w:t xml:space="preserve"> None of the associations are statistically significant.</w:t>
            </w:r>
          </w:p>
        </w:tc>
      </w:tr>
      <w:tr w:rsidR="00FC14FC" w14:paraId="02688141" w14:textId="77777777" w:rsidTr="00D11B9D">
        <w:tc>
          <w:tcPr>
            <w:tcW w:w="5000" w:type="pct"/>
            <w:tcBorders>
              <w:top w:val="nil"/>
              <w:left w:val="nil"/>
              <w:bottom w:val="nil"/>
              <w:right w:val="nil"/>
            </w:tcBorders>
            <w:hideMark/>
          </w:tcPr>
          <w:p w14:paraId="3E209107" w14:textId="77777777" w:rsidR="00FC14FC" w:rsidRDefault="00FC14FC" w:rsidP="00D11B9D">
            <w:pPr>
              <w:pStyle w:val="Source"/>
            </w:pPr>
            <w:r>
              <w:rPr>
                <w:i/>
              </w:rPr>
              <w:t>Source</w:t>
            </w:r>
            <w:r>
              <w:t>: PC analysis of unpublished APRA data.</w:t>
            </w:r>
          </w:p>
        </w:tc>
      </w:tr>
      <w:tr w:rsidR="00FC14FC" w14:paraId="104D8549" w14:textId="77777777" w:rsidTr="00D11B9D">
        <w:tc>
          <w:tcPr>
            <w:tcW w:w="5000" w:type="pct"/>
            <w:tcBorders>
              <w:top w:val="nil"/>
              <w:left w:val="nil"/>
              <w:bottom w:val="single" w:sz="6" w:space="0" w:color="78A22F"/>
              <w:right w:val="nil"/>
            </w:tcBorders>
          </w:tcPr>
          <w:p w14:paraId="7E334791" w14:textId="77777777" w:rsidR="00FC14FC" w:rsidRDefault="00FC14FC" w:rsidP="00D11B9D">
            <w:pPr>
              <w:pStyle w:val="Box"/>
              <w:spacing w:before="0" w:line="120" w:lineRule="exact"/>
            </w:pPr>
          </w:p>
        </w:tc>
      </w:tr>
      <w:tr w:rsidR="00FC14FC" w14:paraId="37A7F0B5" w14:textId="77777777" w:rsidTr="00D11B9D">
        <w:tc>
          <w:tcPr>
            <w:tcW w:w="5000" w:type="pct"/>
            <w:tcBorders>
              <w:top w:val="single" w:sz="6" w:space="0" w:color="78A22F"/>
              <w:left w:val="nil"/>
              <w:bottom w:val="nil"/>
              <w:right w:val="nil"/>
            </w:tcBorders>
          </w:tcPr>
          <w:p w14:paraId="08FEF274" w14:textId="77777777" w:rsidR="00FC14FC" w:rsidRDefault="00FC14FC" w:rsidP="00D11B9D">
            <w:pPr>
              <w:pStyle w:val="BoxSpaceBelow"/>
            </w:pPr>
          </w:p>
        </w:tc>
      </w:tr>
    </w:tbl>
    <w:p w14:paraId="40CA1BCE" w14:textId="77777777" w:rsidR="00FC14FC" w:rsidRDefault="00FC14FC" w:rsidP="00FC14FC">
      <w:pPr>
        <w:pStyle w:val="Heading5"/>
      </w:pPr>
      <w:r>
        <w:t>Related parties</w:t>
      </w:r>
    </w:p>
    <w:p w14:paraId="249995B0" w14:textId="77777777" w:rsidR="00FC14FC" w:rsidRDefault="00FC14FC" w:rsidP="00FC14FC">
      <w:pPr>
        <w:pStyle w:val="BodyText"/>
      </w:pPr>
      <w:r>
        <w:t>The Commission sought to identify if there was a distinguishable association between the use of related parties and the residual. This would be an indirect association, because any impact of using related parties on administration or reported investment expenses would already have been adjusted for directly (and not in the residual). It could arise where use of related parties is associated with higher indirect investment expenses, or with a fund’s asset selection (within asset classes). To the extent that use of related parties reflects poorer governance, then poor governance may be correlated with residuals.</w:t>
      </w:r>
    </w:p>
    <w:p w14:paraId="33105156" w14:textId="77777777" w:rsidR="00FC14FC" w:rsidRDefault="00FC14FC" w:rsidP="00FC14FC">
      <w:pPr>
        <w:pStyle w:val="BodyText"/>
      </w:pPr>
      <w:r>
        <w:t>Table 4.39 presents regression analysis of residuals and calculated service provider expense ratios (expenses divided by total fund assets), based on APRA data. Expense ratios are used to avoid the problem that larger expenses are likely to be associated with larger funds. The results suggest that increased usage of related party service providers is associated with more negative residuals. The effects are statistically significant at the 90 per cent level. An increase in related party service provider expense ratios by 20 basis points (a relatively large increase according to the standard deviation) is associated with a 20 basis point decrease in the residual. However, gaps and inconsistencies in the expenses data (especially expenses by related parties) mean that these results could possibly be driven by measurement error.</w:t>
      </w:r>
    </w:p>
    <w:p w14:paraId="140D2643" w14:textId="77777777" w:rsidR="00FC14FC" w:rsidRDefault="00FC14FC" w:rsidP="00FC14FC">
      <w:pPr>
        <w:pStyle w:val="BodyText"/>
      </w:pPr>
      <w:r>
        <w:t>Table 4.39 also shows the effects for the retail and not</w:t>
      </w:r>
      <w:r>
        <w:noBreakHyphen/>
        <w:t>for</w:t>
      </w:r>
      <w:r>
        <w:noBreakHyphen/>
        <w:t>profit segments, although it should be noted that small sample sizes make it difficult to separate out these effects. The results for retail funds may seem counterintuitive but are heavily skewed by the small sample of 10 funds, and in particular, two funds that deviate significantly from the broader trend. The result for not</w:t>
      </w:r>
      <w:r>
        <w:noBreakHyphen/>
        <w:t>for</w:t>
      </w:r>
      <w:r>
        <w:noBreakHyphen/>
        <w:t xml:space="preserve">profit funds is consistent with the overall sample results, although the magnitude is diminished. None of the results by segment are statistically significant. These results are subject to significant data limitations, particularly in terms of the quality and completeness of data on related party arrangements. </w:t>
      </w:r>
    </w:p>
    <w:p w14:paraId="57819FE5"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Description w:val="Table used for design: contains a nested table with data/information."/>
      </w:tblPr>
      <w:tblGrid>
        <w:gridCol w:w="8789"/>
      </w:tblGrid>
      <w:tr w:rsidR="00FC14FC" w14:paraId="3E173506" w14:textId="77777777" w:rsidTr="00D11B9D">
        <w:trPr>
          <w:tblHeader/>
        </w:trPr>
        <w:tc>
          <w:tcPr>
            <w:tcW w:w="5000" w:type="pct"/>
            <w:tcBorders>
              <w:top w:val="single" w:sz="6" w:space="0" w:color="78A22F"/>
              <w:left w:val="nil"/>
              <w:bottom w:val="nil"/>
              <w:right w:val="nil"/>
            </w:tcBorders>
            <w:hideMark/>
          </w:tcPr>
          <w:p w14:paraId="22DFFFF1" w14:textId="77777777" w:rsidR="00FC14FC" w:rsidRDefault="00FC14FC" w:rsidP="00D11B9D">
            <w:pPr>
              <w:pStyle w:val="TableTitle"/>
            </w:pPr>
            <w:r>
              <w:rPr>
                <w:b w:val="0"/>
              </w:rPr>
              <w:t xml:space="preserve">Table </w:t>
            </w:r>
            <w:r>
              <w:rPr>
                <w:b w:val="0"/>
                <w:noProof/>
              </w:rPr>
              <w:t>4.39</w:t>
            </w:r>
            <w:r>
              <w:tab/>
              <w:t xml:space="preserve">Residuals and related party expense ratios </w:t>
            </w:r>
          </w:p>
          <w:p w14:paraId="066A7BAC" w14:textId="77777777" w:rsidR="00FC14FC" w:rsidRDefault="00FC14FC" w:rsidP="00D11B9D">
            <w:pPr>
              <w:pStyle w:val="Subtitle"/>
            </w:pPr>
            <w:r>
              <w:t>Residuals calculated over 2005–2017; related party data for 2017</w:t>
            </w:r>
          </w:p>
        </w:tc>
      </w:tr>
      <w:tr w:rsidR="00FC14FC" w14:paraId="71A9B74A" w14:textId="77777777" w:rsidTr="00D11B9D">
        <w:tc>
          <w:tcPr>
            <w:tcW w:w="5000" w:type="pct"/>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3285"/>
              <w:gridCol w:w="1422"/>
              <w:gridCol w:w="988"/>
              <w:gridCol w:w="1276"/>
              <w:gridCol w:w="1534"/>
            </w:tblGrid>
            <w:tr w:rsidR="00FC14FC" w14:paraId="4538D824" w14:textId="77777777" w:rsidTr="00D11B9D">
              <w:trPr>
                <w:tblHeader/>
              </w:trPr>
              <w:tc>
                <w:tcPr>
                  <w:tcW w:w="1931" w:type="pct"/>
                  <w:tcBorders>
                    <w:top w:val="single" w:sz="6" w:space="0" w:color="BFBFBF"/>
                    <w:left w:val="nil"/>
                    <w:bottom w:val="single" w:sz="6" w:space="0" w:color="BFBFBF"/>
                    <w:right w:val="nil"/>
                  </w:tcBorders>
                  <w:vAlign w:val="bottom"/>
                  <w:hideMark/>
                </w:tcPr>
                <w:p w14:paraId="1B5A0238" w14:textId="77777777" w:rsidR="00FC14FC" w:rsidRDefault="00FC14FC" w:rsidP="00D11B9D">
                  <w:pPr>
                    <w:pStyle w:val="TableColumnHeading"/>
                    <w:jc w:val="left"/>
                  </w:pPr>
                  <w:r>
                    <w:t>Coefficient</w:t>
                  </w:r>
                </w:p>
              </w:tc>
              <w:tc>
                <w:tcPr>
                  <w:tcW w:w="836" w:type="pct"/>
                  <w:tcBorders>
                    <w:top w:val="single" w:sz="6" w:space="0" w:color="BFBFBF"/>
                    <w:left w:val="nil"/>
                    <w:bottom w:val="single" w:sz="6" w:space="0" w:color="BFBFBF"/>
                    <w:right w:val="nil"/>
                  </w:tcBorders>
                  <w:vAlign w:val="bottom"/>
                  <w:hideMark/>
                </w:tcPr>
                <w:p w14:paraId="6713EC6B" w14:textId="77777777" w:rsidR="00FC14FC" w:rsidRDefault="00FC14FC" w:rsidP="00D11B9D">
                  <w:pPr>
                    <w:pStyle w:val="TableColumnHeading"/>
                  </w:pPr>
                  <w:r>
                    <w:t>One standard deviation (bp)</w:t>
                  </w:r>
                </w:p>
              </w:tc>
              <w:tc>
                <w:tcPr>
                  <w:tcW w:w="581" w:type="pct"/>
                  <w:tcBorders>
                    <w:top w:val="single" w:sz="6" w:space="0" w:color="BFBFBF"/>
                    <w:left w:val="nil"/>
                    <w:bottom w:val="single" w:sz="6" w:space="0" w:color="BFBFBF"/>
                    <w:right w:val="nil"/>
                  </w:tcBorders>
                  <w:vAlign w:val="bottom"/>
                  <w:hideMark/>
                </w:tcPr>
                <w:p w14:paraId="0261A90E" w14:textId="77777777" w:rsidR="00FC14FC" w:rsidRDefault="00FC14FC" w:rsidP="00D11B9D">
                  <w:pPr>
                    <w:pStyle w:val="TableColumnHeading"/>
                  </w:pPr>
                  <w:r>
                    <w:t>All funds (bp)</w:t>
                  </w:r>
                </w:p>
              </w:tc>
              <w:tc>
                <w:tcPr>
                  <w:tcW w:w="750" w:type="pct"/>
                  <w:tcBorders>
                    <w:top w:val="single" w:sz="6" w:space="0" w:color="BFBFBF"/>
                    <w:left w:val="nil"/>
                    <w:bottom w:val="single" w:sz="6" w:space="0" w:color="BFBFBF"/>
                    <w:right w:val="nil"/>
                  </w:tcBorders>
                  <w:vAlign w:val="bottom"/>
                  <w:hideMark/>
                </w:tcPr>
                <w:p w14:paraId="779F2BF0" w14:textId="77777777" w:rsidR="00FC14FC" w:rsidRDefault="00FC14FC" w:rsidP="00D11B9D">
                  <w:pPr>
                    <w:pStyle w:val="TableColumnHeading"/>
                  </w:pPr>
                  <w:r>
                    <w:t>Retail funds only (bp)</w:t>
                  </w:r>
                </w:p>
              </w:tc>
              <w:tc>
                <w:tcPr>
                  <w:tcW w:w="902" w:type="pct"/>
                  <w:tcBorders>
                    <w:top w:val="single" w:sz="6" w:space="0" w:color="BFBFBF"/>
                    <w:left w:val="nil"/>
                    <w:bottom w:val="single" w:sz="6" w:space="0" w:color="BFBFBF"/>
                    <w:right w:val="nil"/>
                  </w:tcBorders>
                  <w:vAlign w:val="bottom"/>
                  <w:hideMark/>
                </w:tcPr>
                <w:p w14:paraId="30659CB0" w14:textId="77777777" w:rsidR="00FC14FC" w:rsidRDefault="00FC14FC" w:rsidP="00D11B9D">
                  <w:pPr>
                    <w:pStyle w:val="TableColumnHeading"/>
                    <w:ind w:right="28"/>
                  </w:pPr>
                  <w:r>
                    <w:t>Not</w:t>
                  </w:r>
                  <w:r>
                    <w:noBreakHyphen/>
                    <w:t>for</w:t>
                  </w:r>
                  <w:r>
                    <w:noBreakHyphen/>
                    <w:t>profit funds only (bp)</w:t>
                  </w:r>
                </w:p>
              </w:tc>
            </w:tr>
            <w:tr w:rsidR="00FC14FC" w14:paraId="1CB5A393" w14:textId="77777777" w:rsidTr="00D11B9D">
              <w:tc>
                <w:tcPr>
                  <w:tcW w:w="1931" w:type="pct"/>
                  <w:tcBorders>
                    <w:top w:val="single" w:sz="6" w:space="0" w:color="BFBFBF"/>
                    <w:left w:val="nil"/>
                    <w:bottom w:val="nil"/>
                    <w:right w:val="nil"/>
                  </w:tcBorders>
                  <w:vAlign w:val="bottom"/>
                  <w:hideMark/>
                </w:tcPr>
                <w:p w14:paraId="30C8AC81" w14:textId="77777777" w:rsidR="00FC14FC" w:rsidRDefault="00FC14FC" w:rsidP="00D11B9D">
                  <w:pPr>
                    <w:pStyle w:val="TableBodyText"/>
                    <w:spacing w:before="40"/>
                    <w:jc w:val="left"/>
                  </w:pPr>
                  <w:r>
                    <w:t>Increase in non</w:t>
                  </w:r>
                  <w:r>
                    <w:noBreakHyphen/>
                    <w:t>associated service provider expense ratio by 100 bp</w:t>
                  </w:r>
                </w:p>
              </w:tc>
              <w:tc>
                <w:tcPr>
                  <w:tcW w:w="836" w:type="pct"/>
                  <w:tcBorders>
                    <w:top w:val="single" w:sz="6" w:space="0" w:color="BFBFBF"/>
                    <w:left w:val="nil"/>
                    <w:bottom w:val="nil"/>
                    <w:right w:val="nil"/>
                  </w:tcBorders>
                  <w:vAlign w:val="bottom"/>
                  <w:hideMark/>
                </w:tcPr>
                <w:p w14:paraId="1D8E9906" w14:textId="77777777" w:rsidR="00FC14FC" w:rsidRDefault="00FC14FC" w:rsidP="00D11B9D">
                  <w:pPr>
                    <w:pStyle w:val="TableBodyText"/>
                    <w:spacing w:before="40"/>
                  </w:pPr>
                  <w:r>
                    <w:t>27</w:t>
                  </w:r>
                </w:p>
              </w:tc>
              <w:tc>
                <w:tcPr>
                  <w:tcW w:w="581" w:type="pct"/>
                  <w:tcBorders>
                    <w:top w:val="single" w:sz="6" w:space="0" w:color="BFBFBF"/>
                    <w:left w:val="nil"/>
                    <w:bottom w:val="nil"/>
                    <w:right w:val="nil"/>
                  </w:tcBorders>
                  <w:vAlign w:val="bottom"/>
                  <w:hideMark/>
                </w:tcPr>
                <w:p w14:paraId="02912B96" w14:textId="77777777" w:rsidR="00FC14FC" w:rsidRDefault="00FC14FC" w:rsidP="00D11B9D">
                  <w:pPr>
                    <w:pStyle w:val="TableBodyText"/>
                    <w:spacing w:before="40"/>
                  </w:pPr>
                  <w:r>
                    <w:noBreakHyphen/>
                    <w:t>9</w:t>
                  </w:r>
                </w:p>
              </w:tc>
              <w:tc>
                <w:tcPr>
                  <w:tcW w:w="750" w:type="pct"/>
                  <w:tcBorders>
                    <w:top w:val="single" w:sz="6" w:space="0" w:color="BFBFBF"/>
                    <w:left w:val="nil"/>
                    <w:bottom w:val="nil"/>
                    <w:right w:val="nil"/>
                  </w:tcBorders>
                  <w:vAlign w:val="bottom"/>
                  <w:hideMark/>
                </w:tcPr>
                <w:p w14:paraId="1641DA02" w14:textId="77777777" w:rsidR="00FC14FC" w:rsidRDefault="00FC14FC" w:rsidP="00D11B9D">
                  <w:pPr>
                    <w:pStyle w:val="TableBodyText"/>
                    <w:spacing w:before="40"/>
                  </w:pPr>
                  <w:r>
                    <w:t>+102</w:t>
                  </w:r>
                </w:p>
              </w:tc>
              <w:tc>
                <w:tcPr>
                  <w:tcW w:w="902" w:type="pct"/>
                  <w:tcBorders>
                    <w:top w:val="single" w:sz="6" w:space="0" w:color="BFBFBF"/>
                    <w:left w:val="nil"/>
                    <w:bottom w:val="nil"/>
                    <w:right w:val="nil"/>
                  </w:tcBorders>
                  <w:vAlign w:val="bottom"/>
                  <w:hideMark/>
                </w:tcPr>
                <w:p w14:paraId="77554143" w14:textId="77777777" w:rsidR="00FC14FC" w:rsidRDefault="00FC14FC" w:rsidP="00D11B9D">
                  <w:pPr>
                    <w:pStyle w:val="TableBodyText"/>
                    <w:spacing w:before="40"/>
                    <w:ind w:right="28"/>
                  </w:pPr>
                  <w:r>
                    <w:noBreakHyphen/>
                    <w:t>21</w:t>
                  </w:r>
                </w:p>
              </w:tc>
            </w:tr>
            <w:tr w:rsidR="00FC14FC" w14:paraId="7D01B2D9" w14:textId="77777777" w:rsidTr="00D11B9D">
              <w:tc>
                <w:tcPr>
                  <w:tcW w:w="1931" w:type="pct"/>
                  <w:tcBorders>
                    <w:top w:val="nil"/>
                    <w:left w:val="nil"/>
                    <w:bottom w:val="single" w:sz="6" w:space="0" w:color="BFBFBF"/>
                    <w:right w:val="nil"/>
                  </w:tcBorders>
                  <w:shd w:val="pct5" w:color="auto" w:fill="auto"/>
                  <w:vAlign w:val="bottom"/>
                  <w:hideMark/>
                </w:tcPr>
                <w:p w14:paraId="7F50F82B" w14:textId="77777777" w:rsidR="00FC14FC" w:rsidRDefault="00FC14FC" w:rsidP="00D11B9D">
                  <w:pPr>
                    <w:pStyle w:val="TableBodyText"/>
                    <w:jc w:val="left"/>
                  </w:pPr>
                  <w:r>
                    <w:t>Increase in related party service provider expense ratio by 100 bp</w:t>
                  </w:r>
                </w:p>
              </w:tc>
              <w:tc>
                <w:tcPr>
                  <w:tcW w:w="836" w:type="pct"/>
                  <w:tcBorders>
                    <w:top w:val="nil"/>
                    <w:left w:val="nil"/>
                    <w:bottom w:val="single" w:sz="6" w:space="0" w:color="BFBFBF"/>
                    <w:right w:val="nil"/>
                  </w:tcBorders>
                  <w:shd w:val="pct5" w:color="auto" w:fill="auto"/>
                  <w:vAlign w:val="bottom"/>
                  <w:hideMark/>
                </w:tcPr>
                <w:p w14:paraId="604D8B8C" w14:textId="77777777" w:rsidR="00FC14FC" w:rsidRDefault="00FC14FC" w:rsidP="00D11B9D">
                  <w:pPr>
                    <w:pStyle w:val="TableBodyText"/>
                  </w:pPr>
                  <w:r>
                    <w:t>23</w:t>
                  </w:r>
                </w:p>
              </w:tc>
              <w:tc>
                <w:tcPr>
                  <w:tcW w:w="581" w:type="pct"/>
                  <w:tcBorders>
                    <w:top w:val="nil"/>
                    <w:left w:val="nil"/>
                    <w:bottom w:val="single" w:sz="6" w:space="0" w:color="BFBFBF"/>
                    <w:right w:val="nil"/>
                  </w:tcBorders>
                  <w:shd w:val="pct5" w:color="auto" w:fill="auto"/>
                  <w:vAlign w:val="bottom"/>
                  <w:hideMark/>
                </w:tcPr>
                <w:p w14:paraId="19EF5281" w14:textId="77777777" w:rsidR="00FC14FC" w:rsidRDefault="00FC14FC" w:rsidP="00D11B9D">
                  <w:pPr>
                    <w:pStyle w:val="TableBodyText"/>
                  </w:pPr>
                  <w:r>
                    <w:noBreakHyphen/>
                    <w:t>94*</w:t>
                  </w:r>
                </w:p>
              </w:tc>
              <w:tc>
                <w:tcPr>
                  <w:tcW w:w="750" w:type="pct"/>
                  <w:tcBorders>
                    <w:top w:val="nil"/>
                    <w:left w:val="nil"/>
                    <w:bottom w:val="single" w:sz="6" w:space="0" w:color="BFBFBF"/>
                    <w:right w:val="nil"/>
                  </w:tcBorders>
                  <w:shd w:val="pct5" w:color="auto" w:fill="auto"/>
                  <w:vAlign w:val="bottom"/>
                  <w:hideMark/>
                </w:tcPr>
                <w:p w14:paraId="0D3CCDC6" w14:textId="77777777" w:rsidR="00FC14FC" w:rsidRDefault="00FC14FC" w:rsidP="00D11B9D">
                  <w:pPr>
                    <w:pStyle w:val="TableBodyText"/>
                  </w:pPr>
                  <w:r>
                    <w:t>+148</w:t>
                  </w:r>
                </w:p>
              </w:tc>
              <w:tc>
                <w:tcPr>
                  <w:tcW w:w="902" w:type="pct"/>
                  <w:tcBorders>
                    <w:top w:val="nil"/>
                    <w:left w:val="nil"/>
                    <w:bottom w:val="single" w:sz="6" w:space="0" w:color="BFBFBF"/>
                    <w:right w:val="nil"/>
                  </w:tcBorders>
                  <w:shd w:val="pct5" w:color="auto" w:fill="auto"/>
                  <w:vAlign w:val="bottom"/>
                  <w:hideMark/>
                </w:tcPr>
                <w:p w14:paraId="70AECD2A" w14:textId="77777777" w:rsidR="00FC14FC" w:rsidRDefault="00FC14FC" w:rsidP="00D11B9D">
                  <w:pPr>
                    <w:pStyle w:val="TableBodyText"/>
                    <w:ind w:right="28"/>
                  </w:pPr>
                  <w:r>
                    <w:noBreakHyphen/>
                    <w:t>26</w:t>
                  </w:r>
                </w:p>
              </w:tc>
            </w:tr>
          </w:tbl>
          <w:p w14:paraId="453732EE" w14:textId="77777777" w:rsidR="00FC14FC" w:rsidRDefault="00FC14FC" w:rsidP="00D11B9D">
            <w:pPr>
              <w:pStyle w:val="Box"/>
            </w:pPr>
          </w:p>
        </w:tc>
      </w:tr>
      <w:tr w:rsidR="00FC14FC" w14:paraId="1731E35D" w14:textId="77777777" w:rsidTr="00D11B9D">
        <w:tc>
          <w:tcPr>
            <w:tcW w:w="5000" w:type="pct"/>
            <w:tcBorders>
              <w:top w:val="nil"/>
              <w:left w:val="nil"/>
              <w:bottom w:val="nil"/>
              <w:right w:val="nil"/>
            </w:tcBorders>
            <w:hideMark/>
          </w:tcPr>
          <w:p w14:paraId="16E98221" w14:textId="77777777" w:rsidR="00FC14FC" w:rsidRDefault="00FC14FC" w:rsidP="00D11B9D">
            <w:pPr>
              <w:pStyle w:val="Note"/>
              <w:rPr>
                <w:i/>
              </w:rPr>
            </w:pPr>
            <w:r>
              <w:t>* denotes significance at the 90% confidence level.</w:t>
            </w:r>
          </w:p>
        </w:tc>
      </w:tr>
      <w:tr w:rsidR="00FC14FC" w14:paraId="510E5E9F" w14:textId="77777777" w:rsidTr="00D11B9D">
        <w:tc>
          <w:tcPr>
            <w:tcW w:w="5000" w:type="pct"/>
            <w:tcBorders>
              <w:top w:val="nil"/>
              <w:left w:val="nil"/>
              <w:bottom w:val="nil"/>
              <w:right w:val="nil"/>
            </w:tcBorders>
            <w:hideMark/>
          </w:tcPr>
          <w:p w14:paraId="6FEC232D" w14:textId="77777777" w:rsidR="00FC14FC" w:rsidRDefault="00FC14FC" w:rsidP="00D11B9D">
            <w:pPr>
              <w:pStyle w:val="Source"/>
            </w:pPr>
            <w:r>
              <w:rPr>
                <w:i/>
              </w:rPr>
              <w:t>Source</w:t>
            </w:r>
            <w:r>
              <w:t>: PC analysis of unpublished APRA data.</w:t>
            </w:r>
          </w:p>
        </w:tc>
      </w:tr>
      <w:tr w:rsidR="00FC14FC" w14:paraId="4C033EE8" w14:textId="77777777" w:rsidTr="00D11B9D">
        <w:tc>
          <w:tcPr>
            <w:tcW w:w="5000" w:type="pct"/>
            <w:tcBorders>
              <w:top w:val="nil"/>
              <w:left w:val="nil"/>
              <w:bottom w:val="single" w:sz="6" w:space="0" w:color="78A22F"/>
              <w:right w:val="nil"/>
            </w:tcBorders>
          </w:tcPr>
          <w:p w14:paraId="2F50DB8B" w14:textId="77777777" w:rsidR="00FC14FC" w:rsidRDefault="00FC14FC" w:rsidP="00D11B9D">
            <w:pPr>
              <w:pStyle w:val="Box"/>
              <w:spacing w:before="0" w:line="120" w:lineRule="exact"/>
            </w:pPr>
          </w:p>
        </w:tc>
      </w:tr>
      <w:tr w:rsidR="00FC14FC" w14:paraId="6598E319" w14:textId="77777777" w:rsidTr="00D11B9D">
        <w:tc>
          <w:tcPr>
            <w:tcW w:w="5000" w:type="pct"/>
            <w:tcBorders>
              <w:top w:val="single" w:sz="6" w:space="0" w:color="78A22F"/>
              <w:left w:val="nil"/>
              <w:bottom w:val="nil"/>
              <w:right w:val="nil"/>
            </w:tcBorders>
          </w:tcPr>
          <w:p w14:paraId="33913B33" w14:textId="77777777" w:rsidR="00FC14FC" w:rsidRDefault="00FC14FC" w:rsidP="00D11B9D">
            <w:pPr>
              <w:pStyle w:val="BoxSpaceBelow"/>
            </w:pPr>
          </w:p>
        </w:tc>
      </w:tr>
    </w:tbl>
    <w:p w14:paraId="354D328A" w14:textId="77777777" w:rsidR="00FC14FC" w:rsidRPr="00387727" w:rsidRDefault="00FC14FC" w:rsidP="00FC14FC">
      <w:pPr>
        <w:pStyle w:val="Heading3"/>
      </w:pPr>
      <w:r w:rsidRPr="00387727">
        <w:t>MySuper analysis</w:t>
      </w:r>
    </w:p>
    <w:p w14:paraId="6D98A6A8" w14:textId="77777777" w:rsidR="00FC14FC" w:rsidRPr="00B80609" w:rsidRDefault="00FC14FC" w:rsidP="00FC14FC">
      <w:pPr>
        <w:pStyle w:val="Heading4"/>
        <w:spacing w:before="240"/>
      </w:pPr>
      <w:r>
        <w:t>4</w:t>
      </w:r>
      <w:r>
        <w:noBreakHyphen/>
        <w:t>year analysis</w:t>
      </w:r>
    </w:p>
    <w:p w14:paraId="143E62A9" w14:textId="77777777" w:rsidR="00FC14FC" w:rsidRDefault="00FC14FC" w:rsidP="00FC14FC">
      <w:pPr>
        <w:pStyle w:val="BodyText"/>
      </w:pPr>
      <w:r>
        <w:t>Chapter 2 presents the 4</w:t>
      </w:r>
      <w:r>
        <w:noBreakHyphen/>
        <w:t>year net returns for MySuper products relative to a tailored BP2.</w:t>
      </w:r>
      <w:r w:rsidDel="00FF5377">
        <w:t xml:space="preserve"> </w:t>
      </w:r>
      <w:r>
        <w:t>Conducting the analysis with a flat 7.5 per cent tax (rather than a time</w:t>
      </w:r>
      <w:r>
        <w:noBreakHyphen/>
        <w:t>varying rate that averages 5.8 per cent) does not materially alter the results (table 4.40). Conducting the analysis relative to the MySuper segment</w:t>
      </w:r>
      <w:r>
        <w:noBreakHyphen/>
        <w:t>average BP2 sees fewer underperforming products (table 4.41).</w:t>
      </w:r>
    </w:p>
    <w:p w14:paraId="385BA8F7" w14:textId="77777777" w:rsidR="00FC14FC" w:rsidRDefault="00FC14FC" w:rsidP="00FC14FC">
      <w:pPr>
        <w:pStyle w:val="BodyText"/>
      </w:pPr>
      <w:r>
        <w:t>However, analyses gross of administration fees see a somewhat material fall in the number of underperforming products. This is essentially by construction as BP2 is net of the 25</w:t>
      </w:r>
      <w:r w:rsidRPr="0098062A">
        <w:rPr>
          <w:vertAlign w:val="superscript"/>
        </w:rPr>
        <w:t>th</w:t>
      </w:r>
      <w:r>
        <w:t> percentile administration fee of the sample, meaning that in any given year, 75 per cent of products have administration fees above the BP2 administration fee.</w:t>
      </w:r>
      <w:r w:rsidRPr="00335068" w:rsidDel="00EA620E">
        <w:rPr>
          <w:rStyle w:val="CommentReference"/>
          <w:szCs w:val="24"/>
        </w:rPr>
        <w:t xml:space="preserve"> </w:t>
      </w:r>
    </w:p>
    <w:p w14:paraId="2F6DCEB8" w14:textId="77777777" w:rsidR="00FC14FC" w:rsidRDefault="00FC14FC" w:rsidP="00FC14FC">
      <w:pPr>
        <w:pStyle w:val="BodyText"/>
      </w:pPr>
      <w:r>
        <w:t>All 4</w:t>
      </w:r>
      <w:r>
        <w:noBreakHyphen/>
        <w:t>year results presented here and in chapter 2 differ markedly from those presented in the draft report. This is primarily because of a change in the BP2 asset allocation data source. The draft report used SuperRatings data to build a MySuper segment</w:t>
      </w:r>
      <w:r>
        <w:noBreakHyphen/>
        <w:t>average BP2, whereas the updated analyses used APRA MySuper data to build a MySuper segment</w:t>
      </w:r>
      <w:r>
        <w:noBreakHyphen/>
        <w:t>average BP2 and tailored BP2s. The selection bias in SuperRatings data meant the previous MySuper segment</w:t>
      </w:r>
      <w:r>
        <w:noBreakHyphen/>
        <w:t>average BP2 was more growth</w:t>
      </w:r>
      <w:r>
        <w:noBreakHyphen/>
        <w:t>oriented (with more unlisted allocations) than the ‘true’ average that emerged when the more comprehensive APRA data were used. Constructing an updated BP2 with SuperRatings data produced a MySuper segment</w:t>
      </w:r>
      <w:r>
        <w:noBreakHyphen/>
        <w:t xml:space="preserve">average BP2 over 50 basis points higher than the BP2 produced with APRA data. The extra year of data, and changes to underlying assumptions (particularly tax) also played a role in bringing BP2 down, relative to product returns from the draft report. </w:t>
      </w:r>
    </w:p>
    <w:p w14:paraId="22A02B28"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5609E16C" w14:textId="77777777" w:rsidTr="00D11B9D">
        <w:trPr>
          <w:tblHeader/>
        </w:trPr>
        <w:tc>
          <w:tcPr>
            <w:tcW w:w="5000" w:type="pct"/>
            <w:tcBorders>
              <w:top w:val="single" w:sz="6" w:space="0" w:color="78A22F"/>
              <w:left w:val="nil"/>
              <w:bottom w:val="nil"/>
              <w:right w:val="nil"/>
            </w:tcBorders>
            <w:shd w:val="clear" w:color="auto" w:fill="auto"/>
          </w:tcPr>
          <w:p w14:paraId="75A46DDA" w14:textId="77777777" w:rsidR="00FC14FC" w:rsidRDefault="00FC14FC" w:rsidP="00D11B9D">
            <w:pPr>
              <w:pStyle w:val="TableTitle"/>
            </w:pPr>
            <w:r>
              <w:rPr>
                <w:b w:val="0"/>
              </w:rPr>
              <w:t>Table 4.40</w:t>
            </w:r>
            <w:r>
              <w:tab/>
              <w:t>MySuper performance: tailored benchmark</w:t>
            </w:r>
          </w:p>
          <w:p w14:paraId="4017399C" w14:textId="77777777" w:rsidR="00FC14FC" w:rsidRPr="00784A05" w:rsidRDefault="00FC14FC" w:rsidP="00D11B9D">
            <w:pPr>
              <w:pStyle w:val="Subtitle"/>
            </w:pPr>
            <w:r>
              <w:t>Sensitivity tests, 2014–2017</w:t>
            </w:r>
          </w:p>
        </w:tc>
      </w:tr>
      <w:tr w:rsidR="00FC14FC" w14:paraId="7B94B8F2"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056"/>
              <w:gridCol w:w="1500"/>
              <w:gridCol w:w="1813"/>
              <w:gridCol w:w="1136"/>
            </w:tblGrid>
            <w:tr w:rsidR="00FC14FC" w14:paraId="3363C2DF" w14:textId="77777777" w:rsidTr="00D11B9D">
              <w:trPr>
                <w:tblHeader/>
              </w:trPr>
              <w:tc>
                <w:tcPr>
                  <w:tcW w:w="2384" w:type="pct"/>
                  <w:tcBorders>
                    <w:top w:val="single" w:sz="6" w:space="0" w:color="BFBFBF"/>
                    <w:bottom w:val="single" w:sz="6" w:space="0" w:color="BFBFBF"/>
                  </w:tcBorders>
                  <w:shd w:val="clear" w:color="auto" w:fill="auto"/>
                  <w:tcMar>
                    <w:top w:w="28" w:type="dxa"/>
                  </w:tcMar>
                </w:tcPr>
                <w:p w14:paraId="5419DE93" w14:textId="77777777" w:rsidR="00FC14FC" w:rsidRDefault="00FC14FC" w:rsidP="00D11B9D">
                  <w:pPr>
                    <w:pStyle w:val="TableColumnHeading"/>
                    <w:jc w:val="left"/>
                  </w:pPr>
                </w:p>
              </w:tc>
              <w:tc>
                <w:tcPr>
                  <w:tcW w:w="882" w:type="pct"/>
                  <w:tcBorders>
                    <w:top w:val="single" w:sz="6" w:space="0" w:color="BFBFBF"/>
                    <w:bottom w:val="single" w:sz="6" w:space="0" w:color="BFBFBF"/>
                  </w:tcBorders>
                  <w:shd w:val="clear" w:color="auto" w:fill="auto"/>
                </w:tcPr>
                <w:p w14:paraId="7F7C8E48" w14:textId="77777777" w:rsidR="00FC14FC" w:rsidRDefault="00FC14FC" w:rsidP="00D11B9D">
                  <w:pPr>
                    <w:pStyle w:val="TableColumnHeading"/>
                  </w:pPr>
                  <w:r>
                    <w:t>Chapter 2</w:t>
                  </w:r>
                </w:p>
              </w:tc>
              <w:tc>
                <w:tcPr>
                  <w:tcW w:w="1066" w:type="pct"/>
                  <w:tcBorders>
                    <w:top w:val="single" w:sz="6" w:space="0" w:color="BFBFBF"/>
                    <w:bottom w:val="single" w:sz="6" w:space="0" w:color="BFBFBF"/>
                  </w:tcBorders>
                  <w:shd w:val="clear" w:color="auto" w:fill="auto"/>
                </w:tcPr>
                <w:p w14:paraId="686B5B09" w14:textId="77777777" w:rsidR="00FC14FC" w:rsidRDefault="00FC14FC" w:rsidP="00D11B9D">
                  <w:pPr>
                    <w:pStyle w:val="TableColumnHeading"/>
                  </w:pPr>
                  <w:r w:rsidDel="003E7A7F">
                    <w:t>Gross of admin fees</w:t>
                  </w:r>
                </w:p>
              </w:tc>
              <w:tc>
                <w:tcPr>
                  <w:tcW w:w="667" w:type="pct"/>
                  <w:tcBorders>
                    <w:top w:val="single" w:sz="6" w:space="0" w:color="BFBFBF"/>
                    <w:bottom w:val="single" w:sz="6" w:space="0" w:color="BFBFBF"/>
                  </w:tcBorders>
                  <w:shd w:val="clear" w:color="auto" w:fill="auto"/>
                  <w:tcMar>
                    <w:top w:w="28" w:type="dxa"/>
                  </w:tcMar>
                </w:tcPr>
                <w:p w14:paraId="79906446" w14:textId="77777777" w:rsidR="00FC14FC" w:rsidRDefault="00FC14FC" w:rsidP="00D11B9D">
                  <w:pPr>
                    <w:pStyle w:val="TableColumnHeading"/>
                    <w:ind w:right="28"/>
                  </w:pPr>
                  <w:r>
                    <w:t xml:space="preserve">7.5% flat </w:t>
                  </w:r>
                  <w:r w:rsidDel="003E7A7F">
                    <w:t>tax</w:t>
                  </w:r>
                </w:p>
              </w:tc>
            </w:tr>
            <w:tr w:rsidR="00FC14FC" w14:paraId="33643227" w14:textId="77777777" w:rsidTr="00D11B9D">
              <w:tc>
                <w:tcPr>
                  <w:tcW w:w="2384" w:type="pct"/>
                  <w:tcBorders>
                    <w:top w:val="single" w:sz="6" w:space="0" w:color="BFBFBF"/>
                  </w:tcBorders>
                  <w:shd w:val="clear" w:color="auto" w:fill="auto"/>
                </w:tcPr>
                <w:p w14:paraId="1537BF27" w14:textId="77777777" w:rsidR="00FC14FC" w:rsidRPr="001C6FE0" w:rsidRDefault="00FC14FC" w:rsidP="00D11B9D">
                  <w:pPr>
                    <w:pStyle w:val="TableUnitsRow"/>
                    <w:jc w:val="left"/>
                    <w:rPr>
                      <w:b/>
                    </w:rPr>
                  </w:pPr>
                  <w:r w:rsidRPr="001C6FE0">
                    <w:rPr>
                      <w:b/>
                    </w:rPr>
                    <w:t>Products performing above BP2</w:t>
                  </w:r>
                </w:p>
              </w:tc>
              <w:tc>
                <w:tcPr>
                  <w:tcW w:w="882" w:type="pct"/>
                  <w:tcBorders>
                    <w:top w:val="single" w:sz="6" w:space="0" w:color="BFBFBF"/>
                  </w:tcBorders>
                  <w:shd w:val="clear" w:color="auto" w:fill="auto"/>
                </w:tcPr>
                <w:p w14:paraId="16AD025A" w14:textId="77777777" w:rsidR="00FC14FC" w:rsidRDefault="00FC14FC" w:rsidP="00D11B9D">
                  <w:pPr>
                    <w:pStyle w:val="TableUnitsRow"/>
                  </w:pPr>
                </w:p>
              </w:tc>
              <w:tc>
                <w:tcPr>
                  <w:tcW w:w="1066" w:type="pct"/>
                  <w:tcBorders>
                    <w:top w:val="single" w:sz="6" w:space="0" w:color="BFBFBF"/>
                  </w:tcBorders>
                  <w:shd w:val="clear" w:color="auto" w:fill="auto"/>
                </w:tcPr>
                <w:p w14:paraId="063FFF9B" w14:textId="77777777" w:rsidR="00FC14FC" w:rsidRDefault="00FC14FC" w:rsidP="00D11B9D">
                  <w:pPr>
                    <w:pStyle w:val="TableUnitsRow"/>
                  </w:pPr>
                </w:p>
              </w:tc>
              <w:tc>
                <w:tcPr>
                  <w:tcW w:w="667" w:type="pct"/>
                  <w:tcBorders>
                    <w:top w:val="single" w:sz="6" w:space="0" w:color="BFBFBF"/>
                  </w:tcBorders>
                  <w:shd w:val="clear" w:color="auto" w:fill="auto"/>
                </w:tcPr>
                <w:p w14:paraId="603D86AB" w14:textId="77777777" w:rsidR="00FC14FC" w:rsidRDefault="00FC14FC" w:rsidP="00D11B9D">
                  <w:pPr>
                    <w:pStyle w:val="TableUnitsRow"/>
                    <w:ind w:right="28"/>
                  </w:pPr>
                </w:p>
              </w:tc>
            </w:tr>
            <w:tr w:rsidR="00FC14FC" w14:paraId="13F52707" w14:textId="77777777" w:rsidTr="00D11B9D">
              <w:tc>
                <w:tcPr>
                  <w:tcW w:w="2384" w:type="pct"/>
                  <w:shd w:val="clear" w:color="auto" w:fill="auto"/>
                </w:tcPr>
                <w:p w14:paraId="25E4C874" w14:textId="77777777" w:rsidR="00FC14FC" w:rsidRDefault="00FC14FC" w:rsidP="00D11B9D">
                  <w:pPr>
                    <w:pStyle w:val="TableBodyText"/>
                    <w:jc w:val="left"/>
                  </w:pPr>
                  <w:r>
                    <w:t>Number of products</w:t>
                  </w:r>
                </w:p>
              </w:tc>
              <w:tc>
                <w:tcPr>
                  <w:tcW w:w="882" w:type="pct"/>
                  <w:shd w:val="clear" w:color="auto" w:fill="auto"/>
                </w:tcPr>
                <w:p w14:paraId="54EACC27" w14:textId="77777777" w:rsidR="00FC14FC" w:rsidRDefault="00FC14FC" w:rsidP="00D11B9D">
                  <w:pPr>
                    <w:pStyle w:val="TableBodyText"/>
                  </w:pPr>
                  <w:r>
                    <w:t>46</w:t>
                  </w:r>
                </w:p>
              </w:tc>
              <w:tc>
                <w:tcPr>
                  <w:tcW w:w="1066" w:type="pct"/>
                  <w:shd w:val="clear" w:color="auto" w:fill="auto"/>
                </w:tcPr>
                <w:p w14:paraId="4EA6CEFB" w14:textId="77777777" w:rsidR="00FC14FC" w:rsidRDefault="00FC14FC" w:rsidP="00D11B9D">
                  <w:pPr>
                    <w:pStyle w:val="TableBodyText"/>
                  </w:pPr>
                  <w:r>
                    <w:t>58</w:t>
                  </w:r>
                </w:p>
              </w:tc>
              <w:tc>
                <w:tcPr>
                  <w:tcW w:w="667" w:type="pct"/>
                  <w:shd w:val="clear" w:color="auto" w:fill="auto"/>
                </w:tcPr>
                <w:p w14:paraId="705F52B7" w14:textId="77777777" w:rsidR="00FC14FC" w:rsidRDefault="00FC14FC" w:rsidP="00D11B9D">
                  <w:pPr>
                    <w:pStyle w:val="TableBodyText"/>
                    <w:ind w:right="28"/>
                  </w:pPr>
                  <w:r>
                    <w:t>50</w:t>
                  </w:r>
                </w:p>
              </w:tc>
            </w:tr>
            <w:tr w:rsidR="00FC14FC" w14:paraId="773F284E" w14:textId="77777777" w:rsidTr="00D11B9D">
              <w:tc>
                <w:tcPr>
                  <w:tcW w:w="2384" w:type="pct"/>
                  <w:shd w:val="clear" w:color="auto" w:fill="auto"/>
                </w:tcPr>
                <w:p w14:paraId="3EE6E46D" w14:textId="77777777" w:rsidR="00FC14FC" w:rsidRDefault="00FC14FC" w:rsidP="00D11B9D">
                  <w:pPr>
                    <w:pStyle w:val="TableBodyText"/>
                    <w:jc w:val="left"/>
                  </w:pPr>
                  <w:r>
                    <w:t>Accounts (m)</w:t>
                  </w:r>
                </w:p>
              </w:tc>
              <w:tc>
                <w:tcPr>
                  <w:tcW w:w="882" w:type="pct"/>
                  <w:shd w:val="clear" w:color="auto" w:fill="auto"/>
                </w:tcPr>
                <w:p w14:paraId="3AD5FBDF" w14:textId="77777777" w:rsidR="00FC14FC" w:rsidRDefault="00FC14FC" w:rsidP="00D11B9D">
                  <w:pPr>
                    <w:pStyle w:val="TableBodyText"/>
                  </w:pPr>
                  <w:r>
                    <w:t>8.9</w:t>
                  </w:r>
                </w:p>
              </w:tc>
              <w:tc>
                <w:tcPr>
                  <w:tcW w:w="1066" w:type="pct"/>
                  <w:shd w:val="clear" w:color="auto" w:fill="auto"/>
                </w:tcPr>
                <w:p w14:paraId="3E2C5E6C" w14:textId="77777777" w:rsidR="00FC14FC" w:rsidRDefault="00FC14FC" w:rsidP="00D11B9D">
                  <w:pPr>
                    <w:pStyle w:val="TableBodyText"/>
                  </w:pPr>
                  <w:r>
                    <w:t>10.3</w:t>
                  </w:r>
                </w:p>
              </w:tc>
              <w:tc>
                <w:tcPr>
                  <w:tcW w:w="667" w:type="pct"/>
                  <w:shd w:val="clear" w:color="auto" w:fill="auto"/>
                </w:tcPr>
                <w:p w14:paraId="472F28DB" w14:textId="77777777" w:rsidR="00FC14FC" w:rsidRDefault="00FC14FC" w:rsidP="00D11B9D">
                  <w:pPr>
                    <w:pStyle w:val="TableBodyText"/>
                    <w:ind w:right="28"/>
                  </w:pPr>
                  <w:r>
                    <w:t>8.9</w:t>
                  </w:r>
                </w:p>
              </w:tc>
            </w:tr>
            <w:tr w:rsidR="00FC14FC" w14:paraId="2D6B64B0" w14:textId="77777777" w:rsidTr="00D11B9D">
              <w:tc>
                <w:tcPr>
                  <w:tcW w:w="2384" w:type="pct"/>
                  <w:shd w:val="clear" w:color="auto" w:fill="auto"/>
                </w:tcPr>
                <w:p w14:paraId="4CFA34DE" w14:textId="77777777" w:rsidR="00FC14FC" w:rsidRDefault="00FC14FC" w:rsidP="00D11B9D">
                  <w:pPr>
                    <w:pStyle w:val="TableBodyText"/>
                    <w:jc w:val="left"/>
                  </w:pPr>
                  <w:r>
                    <w:t>Assets ($b)</w:t>
                  </w:r>
                </w:p>
              </w:tc>
              <w:tc>
                <w:tcPr>
                  <w:tcW w:w="882" w:type="pct"/>
                  <w:shd w:val="clear" w:color="auto" w:fill="auto"/>
                </w:tcPr>
                <w:p w14:paraId="35CAFE4B" w14:textId="77777777" w:rsidR="00FC14FC" w:rsidRDefault="00FC14FC" w:rsidP="00D11B9D">
                  <w:pPr>
                    <w:pStyle w:val="TableBodyText"/>
                  </w:pPr>
                  <w:r>
                    <w:t>455</w:t>
                  </w:r>
                </w:p>
              </w:tc>
              <w:tc>
                <w:tcPr>
                  <w:tcW w:w="1066" w:type="pct"/>
                  <w:shd w:val="clear" w:color="auto" w:fill="auto"/>
                </w:tcPr>
                <w:p w14:paraId="478A4E53" w14:textId="77777777" w:rsidR="00FC14FC" w:rsidRDefault="00FC14FC" w:rsidP="00D11B9D">
                  <w:pPr>
                    <w:pStyle w:val="TableBodyText"/>
                  </w:pPr>
                  <w:r>
                    <w:t>493</w:t>
                  </w:r>
                </w:p>
              </w:tc>
              <w:tc>
                <w:tcPr>
                  <w:tcW w:w="667" w:type="pct"/>
                  <w:shd w:val="clear" w:color="auto" w:fill="auto"/>
                </w:tcPr>
                <w:p w14:paraId="1FEBA025" w14:textId="77777777" w:rsidR="00FC14FC" w:rsidRDefault="00FC14FC" w:rsidP="00D11B9D">
                  <w:pPr>
                    <w:pStyle w:val="TableBodyText"/>
                    <w:ind w:right="28"/>
                  </w:pPr>
                  <w:r>
                    <w:t>457</w:t>
                  </w:r>
                </w:p>
              </w:tc>
            </w:tr>
            <w:tr w:rsidR="00FC14FC" w14:paraId="38F3885C" w14:textId="77777777" w:rsidTr="00D11B9D">
              <w:tc>
                <w:tcPr>
                  <w:tcW w:w="2384" w:type="pct"/>
                  <w:shd w:val="clear" w:color="auto" w:fill="F2F2F2" w:themeFill="background1" w:themeFillShade="F2"/>
                </w:tcPr>
                <w:p w14:paraId="0C028517" w14:textId="77777777" w:rsidR="00FC14FC" w:rsidRPr="001C6FE0" w:rsidRDefault="00FC14FC" w:rsidP="00D11B9D">
                  <w:pPr>
                    <w:pStyle w:val="TableUnitsRow"/>
                    <w:jc w:val="left"/>
                    <w:rPr>
                      <w:b/>
                    </w:rPr>
                  </w:pPr>
                  <w:r w:rsidRPr="001C6FE0">
                    <w:rPr>
                      <w:b/>
                    </w:rPr>
                    <w:t>Products under BP2 but not underperforming</w:t>
                  </w:r>
                </w:p>
              </w:tc>
              <w:tc>
                <w:tcPr>
                  <w:tcW w:w="882" w:type="pct"/>
                  <w:shd w:val="clear" w:color="auto" w:fill="F2F2F2" w:themeFill="background1" w:themeFillShade="F2"/>
                </w:tcPr>
                <w:p w14:paraId="57B86BF7" w14:textId="77777777" w:rsidR="00FC14FC" w:rsidRDefault="00FC14FC" w:rsidP="00D11B9D">
                  <w:pPr>
                    <w:pStyle w:val="TableBodyText"/>
                    <w:spacing w:before="40"/>
                  </w:pPr>
                </w:p>
              </w:tc>
              <w:tc>
                <w:tcPr>
                  <w:tcW w:w="1066" w:type="pct"/>
                  <w:shd w:val="clear" w:color="auto" w:fill="F2F2F2" w:themeFill="background1" w:themeFillShade="F2"/>
                </w:tcPr>
                <w:p w14:paraId="5912CDCD" w14:textId="77777777" w:rsidR="00FC14FC" w:rsidRDefault="00FC14FC" w:rsidP="00D11B9D">
                  <w:pPr>
                    <w:pStyle w:val="TableBodyText"/>
                    <w:spacing w:before="40"/>
                  </w:pPr>
                </w:p>
              </w:tc>
              <w:tc>
                <w:tcPr>
                  <w:tcW w:w="667" w:type="pct"/>
                  <w:shd w:val="clear" w:color="auto" w:fill="F2F2F2" w:themeFill="background1" w:themeFillShade="F2"/>
                </w:tcPr>
                <w:p w14:paraId="416E20F7" w14:textId="77777777" w:rsidR="00FC14FC" w:rsidRDefault="00FC14FC" w:rsidP="00D11B9D">
                  <w:pPr>
                    <w:pStyle w:val="TableBodyText"/>
                    <w:spacing w:before="40"/>
                    <w:ind w:right="28"/>
                  </w:pPr>
                </w:p>
              </w:tc>
            </w:tr>
            <w:tr w:rsidR="00FC14FC" w14:paraId="7A067995" w14:textId="77777777" w:rsidTr="00D11B9D">
              <w:tc>
                <w:tcPr>
                  <w:tcW w:w="2384" w:type="pct"/>
                  <w:shd w:val="clear" w:color="auto" w:fill="F2F2F2" w:themeFill="background1" w:themeFillShade="F2"/>
                </w:tcPr>
                <w:p w14:paraId="71C30916" w14:textId="77777777" w:rsidR="00FC14FC" w:rsidRDefault="00FC14FC" w:rsidP="00D11B9D">
                  <w:pPr>
                    <w:pStyle w:val="TableBodyText"/>
                    <w:jc w:val="left"/>
                  </w:pPr>
                  <w:r>
                    <w:t>Number of products</w:t>
                  </w:r>
                </w:p>
              </w:tc>
              <w:tc>
                <w:tcPr>
                  <w:tcW w:w="882" w:type="pct"/>
                  <w:shd w:val="clear" w:color="auto" w:fill="F2F2F2" w:themeFill="background1" w:themeFillShade="F2"/>
                </w:tcPr>
                <w:p w14:paraId="62407EC3" w14:textId="77777777" w:rsidR="00FC14FC" w:rsidRDefault="00FC14FC" w:rsidP="00D11B9D">
                  <w:pPr>
                    <w:pStyle w:val="TableBodyText"/>
                  </w:pPr>
                  <w:r>
                    <w:t>12</w:t>
                  </w:r>
                </w:p>
              </w:tc>
              <w:tc>
                <w:tcPr>
                  <w:tcW w:w="1066" w:type="pct"/>
                  <w:shd w:val="clear" w:color="auto" w:fill="F2F2F2" w:themeFill="background1" w:themeFillShade="F2"/>
                </w:tcPr>
                <w:p w14:paraId="5F4BDCB9" w14:textId="77777777" w:rsidR="00FC14FC" w:rsidRDefault="00FC14FC" w:rsidP="00D11B9D">
                  <w:pPr>
                    <w:pStyle w:val="TableBodyText"/>
                  </w:pPr>
                  <w:r>
                    <w:t>16</w:t>
                  </w:r>
                </w:p>
              </w:tc>
              <w:tc>
                <w:tcPr>
                  <w:tcW w:w="667" w:type="pct"/>
                  <w:shd w:val="clear" w:color="auto" w:fill="F2F2F2" w:themeFill="background1" w:themeFillShade="F2"/>
                </w:tcPr>
                <w:p w14:paraId="7C5F95E5" w14:textId="77777777" w:rsidR="00FC14FC" w:rsidRDefault="00FC14FC" w:rsidP="00D11B9D">
                  <w:pPr>
                    <w:pStyle w:val="TableBodyText"/>
                    <w:ind w:right="28"/>
                  </w:pPr>
                  <w:r>
                    <w:t>10</w:t>
                  </w:r>
                </w:p>
              </w:tc>
            </w:tr>
            <w:tr w:rsidR="00FC14FC" w14:paraId="2742472D" w14:textId="77777777" w:rsidTr="00D11B9D">
              <w:tc>
                <w:tcPr>
                  <w:tcW w:w="2384" w:type="pct"/>
                  <w:shd w:val="clear" w:color="auto" w:fill="F2F2F2" w:themeFill="background1" w:themeFillShade="F2"/>
                </w:tcPr>
                <w:p w14:paraId="65735205" w14:textId="77777777" w:rsidR="00FC14FC" w:rsidRDefault="00FC14FC" w:rsidP="00D11B9D">
                  <w:pPr>
                    <w:pStyle w:val="TableBodyText"/>
                    <w:jc w:val="left"/>
                  </w:pPr>
                  <w:r>
                    <w:t>Accounts (m)</w:t>
                  </w:r>
                </w:p>
              </w:tc>
              <w:tc>
                <w:tcPr>
                  <w:tcW w:w="882" w:type="pct"/>
                  <w:shd w:val="clear" w:color="auto" w:fill="F2F2F2" w:themeFill="background1" w:themeFillShade="F2"/>
                </w:tcPr>
                <w:p w14:paraId="141E84A0" w14:textId="77777777" w:rsidR="00FC14FC" w:rsidRDefault="00FC14FC" w:rsidP="00D11B9D">
                  <w:pPr>
                    <w:pStyle w:val="TableBodyText"/>
                  </w:pPr>
                  <w:r>
                    <w:t>2.3</w:t>
                  </w:r>
                </w:p>
              </w:tc>
              <w:tc>
                <w:tcPr>
                  <w:tcW w:w="1066" w:type="pct"/>
                  <w:shd w:val="clear" w:color="auto" w:fill="F2F2F2" w:themeFill="background1" w:themeFillShade="F2"/>
                </w:tcPr>
                <w:p w14:paraId="71D2BCCC" w14:textId="77777777" w:rsidR="00FC14FC" w:rsidRPr="00DA60D1" w:rsidRDefault="00FC14FC" w:rsidP="00D11B9D">
                  <w:pPr>
                    <w:pStyle w:val="TableBodyText"/>
                  </w:pPr>
                  <w:r>
                    <w:t>3.1</w:t>
                  </w:r>
                </w:p>
              </w:tc>
              <w:tc>
                <w:tcPr>
                  <w:tcW w:w="667" w:type="pct"/>
                  <w:shd w:val="clear" w:color="auto" w:fill="F2F2F2" w:themeFill="background1" w:themeFillShade="F2"/>
                </w:tcPr>
                <w:p w14:paraId="3CA1D3AC" w14:textId="77777777" w:rsidR="00FC14FC" w:rsidRDefault="00FC14FC" w:rsidP="00D11B9D">
                  <w:pPr>
                    <w:pStyle w:val="TableBodyText"/>
                    <w:ind w:right="28"/>
                  </w:pPr>
                  <w:r>
                    <w:t>2.3</w:t>
                  </w:r>
                </w:p>
              </w:tc>
            </w:tr>
            <w:tr w:rsidR="00FC14FC" w14:paraId="5EB66B08" w14:textId="77777777" w:rsidTr="00D11B9D">
              <w:tc>
                <w:tcPr>
                  <w:tcW w:w="2384" w:type="pct"/>
                  <w:shd w:val="clear" w:color="auto" w:fill="F2F2F2" w:themeFill="background1" w:themeFillShade="F2"/>
                </w:tcPr>
                <w:p w14:paraId="34B14D15" w14:textId="77777777" w:rsidR="00FC14FC" w:rsidRDefault="00FC14FC" w:rsidP="00D11B9D">
                  <w:pPr>
                    <w:pStyle w:val="TableBodyText"/>
                    <w:jc w:val="left"/>
                  </w:pPr>
                  <w:r>
                    <w:t>Assets ($b)</w:t>
                  </w:r>
                </w:p>
              </w:tc>
              <w:tc>
                <w:tcPr>
                  <w:tcW w:w="882" w:type="pct"/>
                  <w:shd w:val="clear" w:color="auto" w:fill="F2F2F2" w:themeFill="background1" w:themeFillShade="F2"/>
                </w:tcPr>
                <w:p w14:paraId="10E70043" w14:textId="77777777" w:rsidR="00FC14FC" w:rsidRDefault="00FC14FC" w:rsidP="00D11B9D">
                  <w:pPr>
                    <w:pStyle w:val="TableBodyText"/>
                  </w:pPr>
                  <w:r>
                    <w:t>65</w:t>
                  </w:r>
                </w:p>
              </w:tc>
              <w:tc>
                <w:tcPr>
                  <w:tcW w:w="1066" w:type="pct"/>
                  <w:shd w:val="clear" w:color="auto" w:fill="F2F2F2" w:themeFill="background1" w:themeFillShade="F2"/>
                </w:tcPr>
                <w:p w14:paraId="0901D7D2" w14:textId="77777777" w:rsidR="00FC14FC" w:rsidRPr="00DA60D1" w:rsidRDefault="00FC14FC" w:rsidP="00D11B9D">
                  <w:pPr>
                    <w:pStyle w:val="TableBodyText"/>
                  </w:pPr>
                  <w:r>
                    <w:t>107</w:t>
                  </w:r>
                </w:p>
              </w:tc>
              <w:tc>
                <w:tcPr>
                  <w:tcW w:w="667" w:type="pct"/>
                  <w:shd w:val="clear" w:color="auto" w:fill="F2F2F2" w:themeFill="background1" w:themeFillShade="F2"/>
                </w:tcPr>
                <w:p w14:paraId="26C13FB9" w14:textId="77777777" w:rsidR="00FC14FC" w:rsidRDefault="00FC14FC" w:rsidP="00D11B9D">
                  <w:pPr>
                    <w:pStyle w:val="TableBodyText"/>
                    <w:ind w:right="28"/>
                  </w:pPr>
                  <w:r>
                    <w:t>65</w:t>
                  </w:r>
                </w:p>
              </w:tc>
            </w:tr>
            <w:tr w:rsidR="00FC14FC" w14:paraId="4067A2DE" w14:textId="77777777" w:rsidTr="00D11B9D">
              <w:tc>
                <w:tcPr>
                  <w:tcW w:w="2384" w:type="pct"/>
                  <w:shd w:val="clear" w:color="auto" w:fill="auto"/>
                </w:tcPr>
                <w:p w14:paraId="1734EF0C" w14:textId="77777777" w:rsidR="00FC14FC" w:rsidRPr="001C6FE0" w:rsidRDefault="00FC14FC" w:rsidP="00D11B9D">
                  <w:pPr>
                    <w:pStyle w:val="TableUnitsRow"/>
                    <w:jc w:val="left"/>
                    <w:rPr>
                      <w:b/>
                    </w:rPr>
                  </w:pPr>
                  <w:r w:rsidRPr="001C6FE0">
                    <w:rPr>
                      <w:b/>
                    </w:rPr>
                    <w:t>Underperforming products</w:t>
                  </w:r>
                </w:p>
              </w:tc>
              <w:tc>
                <w:tcPr>
                  <w:tcW w:w="882" w:type="pct"/>
                  <w:shd w:val="clear" w:color="auto" w:fill="auto"/>
                </w:tcPr>
                <w:p w14:paraId="64C34A5E" w14:textId="77777777" w:rsidR="00FC14FC" w:rsidRDefault="00FC14FC" w:rsidP="00D11B9D">
                  <w:pPr>
                    <w:pStyle w:val="TableBodyText"/>
                    <w:spacing w:before="40"/>
                  </w:pPr>
                </w:p>
              </w:tc>
              <w:tc>
                <w:tcPr>
                  <w:tcW w:w="1066" w:type="pct"/>
                  <w:shd w:val="clear" w:color="auto" w:fill="auto"/>
                </w:tcPr>
                <w:p w14:paraId="3308DC07" w14:textId="77777777" w:rsidR="00FC14FC" w:rsidRDefault="00FC14FC" w:rsidP="00D11B9D">
                  <w:pPr>
                    <w:pStyle w:val="TableBodyText"/>
                    <w:spacing w:before="40"/>
                  </w:pPr>
                </w:p>
              </w:tc>
              <w:tc>
                <w:tcPr>
                  <w:tcW w:w="667" w:type="pct"/>
                  <w:shd w:val="clear" w:color="auto" w:fill="auto"/>
                </w:tcPr>
                <w:p w14:paraId="75EDD740" w14:textId="77777777" w:rsidR="00FC14FC" w:rsidRDefault="00FC14FC" w:rsidP="00D11B9D">
                  <w:pPr>
                    <w:pStyle w:val="TableBodyText"/>
                    <w:spacing w:before="40"/>
                    <w:ind w:right="28"/>
                  </w:pPr>
                </w:p>
              </w:tc>
            </w:tr>
            <w:tr w:rsidR="00FC14FC" w14:paraId="16CBD53A" w14:textId="77777777" w:rsidTr="00D11B9D">
              <w:tc>
                <w:tcPr>
                  <w:tcW w:w="2384" w:type="pct"/>
                  <w:shd w:val="clear" w:color="auto" w:fill="auto"/>
                </w:tcPr>
                <w:p w14:paraId="62DFF8C9" w14:textId="77777777" w:rsidR="00FC14FC" w:rsidRDefault="00FC14FC" w:rsidP="00D11B9D">
                  <w:pPr>
                    <w:pStyle w:val="TableBodyText"/>
                    <w:jc w:val="left"/>
                  </w:pPr>
                  <w:r>
                    <w:t>Number of products</w:t>
                  </w:r>
                </w:p>
              </w:tc>
              <w:tc>
                <w:tcPr>
                  <w:tcW w:w="882" w:type="pct"/>
                  <w:shd w:val="clear" w:color="auto" w:fill="auto"/>
                </w:tcPr>
                <w:p w14:paraId="45582491" w14:textId="77777777" w:rsidR="00FC14FC" w:rsidRDefault="00FC14FC" w:rsidP="00D11B9D">
                  <w:pPr>
                    <w:pStyle w:val="TableBodyText"/>
                  </w:pPr>
                  <w:r>
                    <w:t>38</w:t>
                  </w:r>
                </w:p>
              </w:tc>
              <w:tc>
                <w:tcPr>
                  <w:tcW w:w="1066" w:type="pct"/>
                  <w:shd w:val="clear" w:color="auto" w:fill="auto"/>
                </w:tcPr>
                <w:p w14:paraId="617F9794" w14:textId="77777777" w:rsidR="00FC14FC" w:rsidRDefault="00FC14FC" w:rsidP="00D11B9D">
                  <w:pPr>
                    <w:pStyle w:val="TableBodyText"/>
                  </w:pPr>
                  <w:r>
                    <w:t>22</w:t>
                  </w:r>
                </w:p>
              </w:tc>
              <w:tc>
                <w:tcPr>
                  <w:tcW w:w="667" w:type="pct"/>
                  <w:shd w:val="clear" w:color="auto" w:fill="auto"/>
                </w:tcPr>
                <w:p w14:paraId="76E6FED9" w14:textId="77777777" w:rsidR="00FC14FC" w:rsidRDefault="00FC14FC" w:rsidP="00D11B9D">
                  <w:pPr>
                    <w:pStyle w:val="TableBodyText"/>
                    <w:ind w:right="28"/>
                  </w:pPr>
                  <w:r>
                    <w:t>36</w:t>
                  </w:r>
                </w:p>
              </w:tc>
            </w:tr>
            <w:tr w:rsidR="00FC14FC" w14:paraId="6736CAED" w14:textId="77777777" w:rsidTr="00D11B9D">
              <w:tc>
                <w:tcPr>
                  <w:tcW w:w="2384" w:type="pct"/>
                  <w:shd w:val="clear" w:color="auto" w:fill="auto"/>
                </w:tcPr>
                <w:p w14:paraId="24BFD86E" w14:textId="77777777" w:rsidR="00FC14FC" w:rsidRDefault="00FC14FC" w:rsidP="00D11B9D">
                  <w:pPr>
                    <w:pStyle w:val="TableBodyText"/>
                    <w:jc w:val="left"/>
                  </w:pPr>
                  <w:r>
                    <w:t>Accounts (m)</w:t>
                  </w:r>
                </w:p>
              </w:tc>
              <w:tc>
                <w:tcPr>
                  <w:tcW w:w="882" w:type="pct"/>
                  <w:shd w:val="clear" w:color="auto" w:fill="auto"/>
                </w:tcPr>
                <w:p w14:paraId="6EDEBCF0" w14:textId="77777777" w:rsidR="00FC14FC" w:rsidRDefault="00FC14FC" w:rsidP="00D11B9D">
                  <w:pPr>
                    <w:pStyle w:val="TableBodyText"/>
                  </w:pPr>
                  <w:r>
                    <w:t>3.6</w:t>
                  </w:r>
                </w:p>
              </w:tc>
              <w:tc>
                <w:tcPr>
                  <w:tcW w:w="1066" w:type="pct"/>
                  <w:shd w:val="clear" w:color="auto" w:fill="auto"/>
                </w:tcPr>
                <w:p w14:paraId="7203403D" w14:textId="77777777" w:rsidR="00FC14FC" w:rsidRDefault="00FC14FC" w:rsidP="00D11B9D">
                  <w:pPr>
                    <w:pStyle w:val="TableBodyText"/>
                  </w:pPr>
                  <w:r>
                    <w:t>1.5</w:t>
                  </w:r>
                </w:p>
              </w:tc>
              <w:tc>
                <w:tcPr>
                  <w:tcW w:w="667" w:type="pct"/>
                  <w:shd w:val="clear" w:color="auto" w:fill="auto"/>
                </w:tcPr>
                <w:p w14:paraId="01C46A83" w14:textId="77777777" w:rsidR="00FC14FC" w:rsidRDefault="00FC14FC" w:rsidP="00D11B9D">
                  <w:pPr>
                    <w:pStyle w:val="TableBodyText"/>
                    <w:ind w:right="28"/>
                  </w:pPr>
                  <w:r>
                    <w:t>3.6</w:t>
                  </w:r>
                </w:p>
              </w:tc>
            </w:tr>
            <w:tr w:rsidR="00FC14FC" w14:paraId="536D6326" w14:textId="77777777" w:rsidTr="00D11B9D">
              <w:tc>
                <w:tcPr>
                  <w:tcW w:w="2384" w:type="pct"/>
                  <w:shd w:val="clear" w:color="auto" w:fill="auto"/>
                </w:tcPr>
                <w:p w14:paraId="3C13CDCD" w14:textId="77777777" w:rsidR="00FC14FC" w:rsidRDefault="00FC14FC" w:rsidP="00D11B9D">
                  <w:pPr>
                    <w:pStyle w:val="TableBodyText"/>
                    <w:jc w:val="left"/>
                  </w:pPr>
                  <w:r>
                    <w:t>Assets ($b)</w:t>
                  </w:r>
                </w:p>
              </w:tc>
              <w:tc>
                <w:tcPr>
                  <w:tcW w:w="882" w:type="pct"/>
                  <w:shd w:val="clear" w:color="auto" w:fill="auto"/>
                </w:tcPr>
                <w:p w14:paraId="5ECB0AEF" w14:textId="77777777" w:rsidR="00FC14FC" w:rsidRDefault="00FC14FC" w:rsidP="00D11B9D">
                  <w:pPr>
                    <w:pStyle w:val="TableBodyText"/>
                  </w:pPr>
                  <w:r>
                    <w:t>138</w:t>
                  </w:r>
                </w:p>
              </w:tc>
              <w:tc>
                <w:tcPr>
                  <w:tcW w:w="1066" w:type="pct"/>
                  <w:shd w:val="clear" w:color="auto" w:fill="auto"/>
                </w:tcPr>
                <w:p w14:paraId="2E6F6E62" w14:textId="77777777" w:rsidR="00FC14FC" w:rsidRDefault="00FC14FC" w:rsidP="00D11B9D">
                  <w:pPr>
                    <w:pStyle w:val="TableBodyText"/>
                  </w:pPr>
                  <w:r>
                    <w:t>57</w:t>
                  </w:r>
                </w:p>
              </w:tc>
              <w:tc>
                <w:tcPr>
                  <w:tcW w:w="667" w:type="pct"/>
                  <w:shd w:val="clear" w:color="auto" w:fill="auto"/>
                </w:tcPr>
                <w:p w14:paraId="03EA6D3D" w14:textId="77777777" w:rsidR="00FC14FC" w:rsidRDefault="00FC14FC" w:rsidP="00D11B9D">
                  <w:pPr>
                    <w:pStyle w:val="TableBodyText"/>
                    <w:ind w:right="28"/>
                  </w:pPr>
                  <w:r>
                    <w:t>136</w:t>
                  </w:r>
                </w:p>
              </w:tc>
            </w:tr>
            <w:tr w:rsidR="00FC14FC" w14:paraId="0247E4C0" w14:textId="77777777" w:rsidTr="00D11B9D">
              <w:tc>
                <w:tcPr>
                  <w:tcW w:w="2384" w:type="pct"/>
                  <w:shd w:val="clear" w:color="auto" w:fill="F2F2F2" w:themeFill="background1" w:themeFillShade="F2"/>
                </w:tcPr>
                <w:p w14:paraId="2681862B" w14:textId="77777777" w:rsidR="00FC14FC" w:rsidRPr="001C6FE0" w:rsidRDefault="00FC14FC" w:rsidP="00D11B9D">
                  <w:pPr>
                    <w:pStyle w:val="TableUnitsRow"/>
                    <w:jc w:val="left"/>
                    <w:rPr>
                      <w:b/>
                    </w:rPr>
                  </w:pPr>
                  <w:r w:rsidRPr="001C6FE0">
                    <w:rPr>
                      <w:b/>
                    </w:rPr>
                    <w:t>Composition of underperformers (%)</w:t>
                  </w:r>
                </w:p>
              </w:tc>
              <w:tc>
                <w:tcPr>
                  <w:tcW w:w="882" w:type="pct"/>
                  <w:shd w:val="clear" w:color="auto" w:fill="F2F2F2" w:themeFill="background1" w:themeFillShade="F2"/>
                </w:tcPr>
                <w:p w14:paraId="5204DF89" w14:textId="77777777" w:rsidR="00FC14FC" w:rsidRDefault="00FC14FC" w:rsidP="00D11B9D">
                  <w:pPr>
                    <w:pStyle w:val="TableBodyText"/>
                    <w:spacing w:before="40"/>
                  </w:pPr>
                </w:p>
              </w:tc>
              <w:tc>
                <w:tcPr>
                  <w:tcW w:w="1066" w:type="pct"/>
                  <w:shd w:val="clear" w:color="auto" w:fill="F2F2F2" w:themeFill="background1" w:themeFillShade="F2"/>
                </w:tcPr>
                <w:p w14:paraId="2000624A" w14:textId="77777777" w:rsidR="00FC14FC" w:rsidRDefault="00FC14FC" w:rsidP="00D11B9D">
                  <w:pPr>
                    <w:pStyle w:val="TableBodyText"/>
                    <w:spacing w:before="40"/>
                  </w:pPr>
                </w:p>
              </w:tc>
              <w:tc>
                <w:tcPr>
                  <w:tcW w:w="667" w:type="pct"/>
                  <w:shd w:val="clear" w:color="auto" w:fill="F2F2F2" w:themeFill="background1" w:themeFillShade="F2"/>
                </w:tcPr>
                <w:p w14:paraId="49C76A5A" w14:textId="77777777" w:rsidR="00FC14FC" w:rsidRDefault="00FC14FC" w:rsidP="00D11B9D">
                  <w:pPr>
                    <w:pStyle w:val="TableBodyText"/>
                    <w:spacing w:before="40"/>
                    <w:ind w:right="28"/>
                  </w:pPr>
                </w:p>
              </w:tc>
            </w:tr>
            <w:tr w:rsidR="00FC14FC" w14:paraId="0A8F9E06" w14:textId="77777777" w:rsidTr="00D11B9D">
              <w:tc>
                <w:tcPr>
                  <w:tcW w:w="2384" w:type="pct"/>
                  <w:shd w:val="clear" w:color="auto" w:fill="F2F2F2" w:themeFill="background1" w:themeFillShade="F2"/>
                </w:tcPr>
                <w:p w14:paraId="1B1F5C5D" w14:textId="77777777" w:rsidR="00FC14FC" w:rsidRDefault="00FC14FC" w:rsidP="00D11B9D">
                  <w:pPr>
                    <w:pStyle w:val="TableBodyText"/>
                    <w:jc w:val="left"/>
                  </w:pPr>
                  <w:r>
                    <w:t>Corporate</w:t>
                  </w:r>
                </w:p>
              </w:tc>
              <w:tc>
                <w:tcPr>
                  <w:tcW w:w="882" w:type="pct"/>
                  <w:shd w:val="clear" w:color="auto" w:fill="F2F2F2" w:themeFill="background1" w:themeFillShade="F2"/>
                </w:tcPr>
                <w:p w14:paraId="1D2721A0" w14:textId="77777777" w:rsidR="00FC14FC" w:rsidRDefault="00FC14FC" w:rsidP="00D11B9D">
                  <w:pPr>
                    <w:pStyle w:val="TableBodyText"/>
                  </w:pPr>
                  <w:r>
                    <w:t>13</w:t>
                  </w:r>
                </w:p>
              </w:tc>
              <w:tc>
                <w:tcPr>
                  <w:tcW w:w="1066" w:type="pct"/>
                  <w:shd w:val="clear" w:color="auto" w:fill="F2F2F2" w:themeFill="background1" w:themeFillShade="F2"/>
                </w:tcPr>
                <w:p w14:paraId="0141A655" w14:textId="77777777" w:rsidR="00FC14FC" w:rsidRDefault="00FC14FC" w:rsidP="00D11B9D">
                  <w:pPr>
                    <w:pStyle w:val="TableBodyText"/>
                  </w:pPr>
                  <w:r>
                    <w:t>9</w:t>
                  </w:r>
                </w:p>
              </w:tc>
              <w:tc>
                <w:tcPr>
                  <w:tcW w:w="667" w:type="pct"/>
                  <w:shd w:val="clear" w:color="auto" w:fill="F2F2F2" w:themeFill="background1" w:themeFillShade="F2"/>
                </w:tcPr>
                <w:p w14:paraId="4E96CEFD" w14:textId="77777777" w:rsidR="00FC14FC" w:rsidRDefault="00FC14FC" w:rsidP="00D11B9D">
                  <w:pPr>
                    <w:pStyle w:val="TableBodyText"/>
                    <w:ind w:right="28"/>
                  </w:pPr>
                  <w:r>
                    <w:t>14</w:t>
                  </w:r>
                </w:p>
              </w:tc>
            </w:tr>
            <w:tr w:rsidR="00FC14FC" w14:paraId="6E9BE8E0" w14:textId="77777777" w:rsidTr="00D11B9D">
              <w:tc>
                <w:tcPr>
                  <w:tcW w:w="2384" w:type="pct"/>
                  <w:shd w:val="clear" w:color="auto" w:fill="F2F2F2" w:themeFill="background1" w:themeFillShade="F2"/>
                </w:tcPr>
                <w:p w14:paraId="42AE1084" w14:textId="77777777" w:rsidR="00FC14FC" w:rsidRDefault="00FC14FC" w:rsidP="00D11B9D">
                  <w:pPr>
                    <w:pStyle w:val="TableBodyText"/>
                    <w:jc w:val="left"/>
                  </w:pPr>
                  <w:r>
                    <w:t>Industry</w:t>
                  </w:r>
                </w:p>
              </w:tc>
              <w:tc>
                <w:tcPr>
                  <w:tcW w:w="882" w:type="pct"/>
                  <w:shd w:val="clear" w:color="auto" w:fill="F2F2F2" w:themeFill="background1" w:themeFillShade="F2"/>
                </w:tcPr>
                <w:p w14:paraId="2ABC649B" w14:textId="77777777" w:rsidR="00FC14FC" w:rsidRDefault="00FC14FC" w:rsidP="00D11B9D">
                  <w:pPr>
                    <w:pStyle w:val="TableBodyText"/>
                  </w:pPr>
                  <w:r>
                    <w:t>26</w:t>
                  </w:r>
                </w:p>
              </w:tc>
              <w:tc>
                <w:tcPr>
                  <w:tcW w:w="1066" w:type="pct"/>
                  <w:shd w:val="clear" w:color="auto" w:fill="F2F2F2" w:themeFill="background1" w:themeFillShade="F2"/>
                </w:tcPr>
                <w:p w14:paraId="186C612F" w14:textId="77777777" w:rsidR="00FC14FC" w:rsidRDefault="00FC14FC" w:rsidP="00D11B9D">
                  <w:pPr>
                    <w:pStyle w:val="TableBodyText"/>
                  </w:pPr>
                  <w:r>
                    <w:t>36</w:t>
                  </w:r>
                </w:p>
              </w:tc>
              <w:tc>
                <w:tcPr>
                  <w:tcW w:w="667" w:type="pct"/>
                  <w:shd w:val="clear" w:color="auto" w:fill="F2F2F2" w:themeFill="background1" w:themeFillShade="F2"/>
                </w:tcPr>
                <w:p w14:paraId="10D8F782" w14:textId="77777777" w:rsidR="00FC14FC" w:rsidRDefault="00FC14FC" w:rsidP="00D11B9D">
                  <w:pPr>
                    <w:pStyle w:val="TableBodyText"/>
                    <w:ind w:right="28"/>
                  </w:pPr>
                  <w:r>
                    <w:t>22</w:t>
                  </w:r>
                </w:p>
              </w:tc>
            </w:tr>
            <w:tr w:rsidR="00FC14FC" w14:paraId="24DC3AA4" w14:textId="77777777" w:rsidTr="00D11B9D">
              <w:tc>
                <w:tcPr>
                  <w:tcW w:w="2384" w:type="pct"/>
                  <w:shd w:val="clear" w:color="auto" w:fill="F2F2F2" w:themeFill="background1" w:themeFillShade="F2"/>
                </w:tcPr>
                <w:p w14:paraId="6E41D17C" w14:textId="77777777" w:rsidR="00FC14FC" w:rsidRDefault="00FC14FC" w:rsidP="00D11B9D">
                  <w:pPr>
                    <w:pStyle w:val="TableBodyText"/>
                    <w:jc w:val="left"/>
                  </w:pPr>
                  <w:r>
                    <w:t>Public Sector</w:t>
                  </w:r>
                </w:p>
              </w:tc>
              <w:tc>
                <w:tcPr>
                  <w:tcW w:w="882" w:type="pct"/>
                  <w:shd w:val="clear" w:color="auto" w:fill="F2F2F2" w:themeFill="background1" w:themeFillShade="F2"/>
                </w:tcPr>
                <w:p w14:paraId="6E0E627A" w14:textId="77777777" w:rsidR="00FC14FC" w:rsidRDefault="00FC14FC" w:rsidP="00D11B9D">
                  <w:pPr>
                    <w:pStyle w:val="TableBodyText"/>
                  </w:pPr>
                  <w:r>
                    <w:t>11</w:t>
                  </w:r>
                </w:p>
              </w:tc>
              <w:tc>
                <w:tcPr>
                  <w:tcW w:w="1066" w:type="pct"/>
                  <w:shd w:val="clear" w:color="auto" w:fill="F2F2F2" w:themeFill="background1" w:themeFillShade="F2"/>
                </w:tcPr>
                <w:p w14:paraId="38E4D9D5" w14:textId="77777777" w:rsidR="00FC14FC" w:rsidRDefault="00FC14FC" w:rsidP="00D11B9D">
                  <w:pPr>
                    <w:pStyle w:val="TableBodyText"/>
                  </w:pPr>
                  <w:r>
                    <w:t xml:space="preserve">14 </w:t>
                  </w:r>
                </w:p>
              </w:tc>
              <w:tc>
                <w:tcPr>
                  <w:tcW w:w="667" w:type="pct"/>
                  <w:shd w:val="clear" w:color="auto" w:fill="F2F2F2" w:themeFill="background1" w:themeFillShade="F2"/>
                </w:tcPr>
                <w:p w14:paraId="3E858F6E" w14:textId="77777777" w:rsidR="00FC14FC" w:rsidRDefault="00FC14FC" w:rsidP="00D11B9D">
                  <w:pPr>
                    <w:pStyle w:val="TableBodyText"/>
                    <w:ind w:right="28"/>
                  </w:pPr>
                  <w:r>
                    <w:t>11</w:t>
                  </w:r>
                </w:p>
              </w:tc>
            </w:tr>
            <w:tr w:rsidR="00FC14FC" w14:paraId="57988179" w14:textId="77777777" w:rsidTr="00D11B9D">
              <w:tc>
                <w:tcPr>
                  <w:tcW w:w="2384" w:type="pct"/>
                  <w:shd w:val="clear" w:color="auto" w:fill="F2F2F2" w:themeFill="background1" w:themeFillShade="F2"/>
                </w:tcPr>
                <w:p w14:paraId="2FC26A97" w14:textId="77777777" w:rsidR="00FC14FC" w:rsidRDefault="00FC14FC" w:rsidP="00D11B9D">
                  <w:pPr>
                    <w:pStyle w:val="TableBodyText"/>
                    <w:jc w:val="left"/>
                  </w:pPr>
                  <w:r>
                    <w:t>Retail</w:t>
                  </w:r>
                </w:p>
              </w:tc>
              <w:tc>
                <w:tcPr>
                  <w:tcW w:w="882" w:type="pct"/>
                  <w:shd w:val="clear" w:color="auto" w:fill="F2F2F2" w:themeFill="background1" w:themeFillShade="F2"/>
                </w:tcPr>
                <w:p w14:paraId="507FE17F" w14:textId="77777777" w:rsidR="00FC14FC" w:rsidRDefault="00FC14FC" w:rsidP="00D11B9D">
                  <w:pPr>
                    <w:pStyle w:val="TableBodyText"/>
                  </w:pPr>
                  <w:r>
                    <w:t>50</w:t>
                  </w:r>
                </w:p>
              </w:tc>
              <w:tc>
                <w:tcPr>
                  <w:tcW w:w="1066" w:type="pct"/>
                  <w:shd w:val="clear" w:color="auto" w:fill="F2F2F2" w:themeFill="background1" w:themeFillShade="F2"/>
                </w:tcPr>
                <w:p w14:paraId="54FA9948" w14:textId="77777777" w:rsidR="00FC14FC" w:rsidRDefault="00FC14FC" w:rsidP="00D11B9D">
                  <w:pPr>
                    <w:pStyle w:val="TableBodyText"/>
                  </w:pPr>
                  <w:r>
                    <w:t>41</w:t>
                  </w:r>
                </w:p>
              </w:tc>
              <w:tc>
                <w:tcPr>
                  <w:tcW w:w="667" w:type="pct"/>
                  <w:shd w:val="clear" w:color="auto" w:fill="F2F2F2" w:themeFill="background1" w:themeFillShade="F2"/>
                </w:tcPr>
                <w:p w14:paraId="2CD73853" w14:textId="77777777" w:rsidR="00FC14FC" w:rsidRDefault="00FC14FC" w:rsidP="00D11B9D">
                  <w:pPr>
                    <w:pStyle w:val="TableBodyText"/>
                    <w:ind w:right="28"/>
                  </w:pPr>
                  <w:r>
                    <w:t>53</w:t>
                  </w:r>
                </w:p>
              </w:tc>
            </w:tr>
            <w:tr w:rsidR="00FC14FC" w14:paraId="2B66BEC2" w14:textId="77777777" w:rsidTr="00D11B9D">
              <w:tc>
                <w:tcPr>
                  <w:tcW w:w="5000" w:type="pct"/>
                  <w:gridSpan w:val="4"/>
                  <w:shd w:val="clear" w:color="auto" w:fill="auto"/>
                </w:tcPr>
                <w:p w14:paraId="10ABD713" w14:textId="77777777" w:rsidR="00FC14FC" w:rsidRDefault="00FC14FC" w:rsidP="00D11B9D">
                  <w:pPr>
                    <w:pStyle w:val="TableBodyText"/>
                    <w:spacing w:before="40"/>
                    <w:ind w:right="28"/>
                    <w:jc w:val="left"/>
                  </w:pPr>
                  <w:r>
                    <w:rPr>
                      <w:b/>
                    </w:rPr>
                    <w:t xml:space="preserve">% of all MySuper products (in each fund type) that are underperforming </w:t>
                  </w:r>
                </w:p>
              </w:tc>
            </w:tr>
            <w:tr w:rsidR="00FC14FC" w14:paraId="0FDFB09E" w14:textId="77777777" w:rsidTr="00D11B9D">
              <w:tc>
                <w:tcPr>
                  <w:tcW w:w="2384" w:type="pct"/>
                  <w:shd w:val="clear" w:color="auto" w:fill="auto"/>
                </w:tcPr>
                <w:p w14:paraId="1FB0DD90" w14:textId="77777777" w:rsidR="00FC14FC" w:rsidRDefault="00FC14FC" w:rsidP="00D11B9D">
                  <w:pPr>
                    <w:pStyle w:val="TableBodyText"/>
                    <w:jc w:val="left"/>
                  </w:pPr>
                  <w:r>
                    <w:t>Corporate</w:t>
                  </w:r>
                </w:p>
              </w:tc>
              <w:tc>
                <w:tcPr>
                  <w:tcW w:w="882" w:type="pct"/>
                  <w:shd w:val="clear" w:color="auto" w:fill="auto"/>
                </w:tcPr>
                <w:p w14:paraId="5F30A2EB" w14:textId="77777777" w:rsidR="00FC14FC" w:rsidRDefault="00FC14FC" w:rsidP="00D11B9D">
                  <w:pPr>
                    <w:pStyle w:val="TableBodyText"/>
                  </w:pPr>
                  <w:r>
                    <w:t>45</w:t>
                  </w:r>
                </w:p>
              </w:tc>
              <w:tc>
                <w:tcPr>
                  <w:tcW w:w="1066" w:type="pct"/>
                  <w:shd w:val="clear" w:color="auto" w:fill="auto"/>
                </w:tcPr>
                <w:p w14:paraId="67E707C1" w14:textId="77777777" w:rsidR="00FC14FC" w:rsidRDefault="00FC14FC" w:rsidP="00D11B9D">
                  <w:pPr>
                    <w:pStyle w:val="TableBodyText"/>
                  </w:pPr>
                  <w:r>
                    <w:t>18</w:t>
                  </w:r>
                </w:p>
              </w:tc>
              <w:tc>
                <w:tcPr>
                  <w:tcW w:w="667" w:type="pct"/>
                  <w:shd w:val="clear" w:color="auto" w:fill="auto"/>
                </w:tcPr>
                <w:p w14:paraId="25217705" w14:textId="77777777" w:rsidR="00FC14FC" w:rsidRDefault="00FC14FC" w:rsidP="00D11B9D">
                  <w:pPr>
                    <w:pStyle w:val="TableBodyText"/>
                    <w:ind w:right="28"/>
                  </w:pPr>
                  <w:r>
                    <w:t>45</w:t>
                  </w:r>
                </w:p>
              </w:tc>
            </w:tr>
            <w:tr w:rsidR="00FC14FC" w14:paraId="19CB7EB1" w14:textId="77777777" w:rsidTr="00D11B9D">
              <w:tc>
                <w:tcPr>
                  <w:tcW w:w="2384" w:type="pct"/>
                  <w:shd w:val="clear" w:color="auto" w:fill="auto"/>
                </w:tcPr>
                <w:p w14:paraId="138760E9" w14:textId="77777777" w:rsidR="00FC14FC" w:rsidRDefault="00FC14FC" w:rsidP="00D11B9D">
                  <w:pPr>
                    <w:pStyle w:val="TableBodyText"/>
                    <w:jc w:val="left"/>
                  </w:pPr>
                  <w:r>
                    <w:t>Industry</w:t>
                  </w:r>
                </w:p>
              </w:tc>
              <w:tc>
                <w:tcPr>
                  <w:tcW w:w="882" w:type="pct"/>
                  <w:shd w:val="clear" w:color="auto" w:fill="auto"/>
                </w:tcPr>
                <w:p w14:paraId="4B9D975F" w14:textId="77777777" w:rsidR="00FC14FC" w:rsidRDefault="00FC14FC" w:rsidP="00D11B9D">
                  <w:pPr>
                    <w:pStyle w:val="TableBodyText"/>
                  </w:pPr>
                  <w:r>
                    <w:t>26</w:t>
                  </w:r>
                </w:p>
              </w:tc>
              <w:tc>
                <w:tcPr>
                  <w:tcW w:w="1066" w:type="pct"/>
                  <w:shd w:val="clear" w:color="auto" w:fill="auto"/>
                </w:tcPr>
                <w:p w14:paraId="77C4F159" w14:textId="77777777" w:rsidR="00FC14FC" w:rsidRDefault="00FC14FC" w:rsidP="00D11B9D">
                  <w:pPr>
                    <w:pStyle w:val="TableBodyText"/>
                  </w:pPr>
                  <w:r>
                    <w:t>21</w:t>
                  </w:r>
                </w:p>
              </w:tc>
              <w:tc>
                <w:tcPr>
                  <w:tcW w:w="667" w:type="pct"/>
                  <w:shd w:val="clear" w:color="auto" w:fill="auto"/>
                </w:tcPr>
                <w:p w14:paraId="596BDB5E" w14:textId="77777777" w:rsidR="00FC14FC" w:rsidRDefault="00FC14FC" w:rsidP="00D11B9D">
                  <w:pPr>
                    <w:pStyle w:val="TableBodyText"/>
                    <w:ind w:right="28"/>
                  </w:pPr>
                  <w:r>
                    <w:t>21</w:t>
                  </w:r>
                </w:p>
              </w:tc>
            </w:tr>
            <w:tr w:rsidR="00FC14FC" w14:paraId="1B5F459B" w14:textId="77777777" w:rsidTr="00D11B9D">
              <w:tc>
                <w:tcPr>
                  <w:tcW w:w="2384" w:type="pct"/>
                  <w:shd w:val="clear" w:color="auto" w:fill="auto"/>
                </w:tcPr>
                <w:p w14:paraId="2EC8021A" w14:textId="77777777" w:rsidR="00FC14FC" w:rsidRDefault="00FC14FC" w:rsidP="00D11B9D">
                  <w:pPr>
                    <w:pStyle w:val="TableBodyText"/>
                    <w:jc w:val="left"/>
                  </w:pPr>
                  <w:r>
                    <w:t>Public Sector</w:t>
                  </w:r>
                </w:p>
              </w:tc>
              <w:tc>
                <w:tcPr>
                  <w:tcW w:w="882" w:type="pct"/>
                  <w:shd w:val="clear" w:color="auto" w:fill="auto"/>
                </w:tcPr>
                <w:p w14:paraId="4A0562F5" w14:textId="77777777" w:rsidR="00FC14FC" w:rsidRDefault="00FC14FC" w:rsidP="00D11B9D">
                  <w:pPr>
                    <w:pStyle w:val="TableBodyText"/>
                  </w:pPr>
                  <w:r>
                    <w:t>44</w:t>
                  </w:r>
                </w:p>
              </w:tc>
              <w:tc>
                <w:tcPr>
                  <w:tcW w:w="1066" w:type="pct"/>
                  <w:shd w:val="clear" w:color="auto" w:fill="auto"/>
                </w:tcPr>
                <w:p w14:paraId="4BB21DBB" w14:textId="77777777" w:rsidR="00FC14FC" w:rsidRDefault="00FC14FC" w:rsidP="00D11B9D">
                  <w:pPr>
                    <w:pStyle w:val="TableBodyText"/>
                  </w:pPr>
                  <w:r>
                    <w:t>33</w:t>
                  </w:r>
                </w:p>
              </w:tc>
              <w:tc>
                <w:tcPr>
                  <w:tcW w:w="667" w:type="pct"/>
                  <w:shd w:val="clear" w:color="auto" w:fill="auto"/>
                </w:tcPr>
                <w:p w14:paraId="0B2B68C7" w14:textId="77777777" w:rsidR="00FC14FC" w:rsidRDefault="00FC14FC" w:rsidP="00D11B9D">
                  <w:pPr>
                    <w:pStyle w:val="TableBodyText"/>
                    <w:ind w:right="28"/>
                  </w:pPr>
                  <w:r>
                    <w:t>44</w:t>
                  </w:r>
                </w:p>
              </w:tc>
            </w:tr>
            <w:tr w:rsidR="00FC14FC" w14:paraId="3F0F2395" w14:textId="77777777" w:rsidTr="00D11B9D">
              <w:tc>
                <w:tcPr>
                  <w:tcW w:w="2384" w:type="pct"/>
                  <w:tcBorders>
                    <w:bottom w:val="single" w:sz="6" w:space="0" w:color="BFBFBF"/>
                  </w:tcBorders>
                  <w:shd w:val="clear" w:color="auto" w:fill="auto"/>
                </w:tcPr>
                <w:p w14:paraId="30FDFE56" w14:textId="77777777" w:rsidR="00FC14FC" w:rsidRDefault="00FC14FC" w:rsidP="00D11B9D">
                  <w:pPr>
                    <w:pStyle w:val="TableBodyText"/>
                    <w:jc w:val="left"/>
                  </w:pPr>
                  <w:r>
                    <w:t>Retail</w:t>
                  </w:r>
                </w:p>
              </w:tc>
              <w:tc>
                <w:tcPr>
                  <w:tcW w:w="882" w:type="pct"/>
                  <w:tcBorders>
                    <w:bottom w:val="single" w:sz="6" w:space="0" w:color="BFBFBF"/>
                  </w:tcBorders>
                  <w:shd w:val="clear" w:color="auto" w:fill="auto"/>
                </w:tcPr>
                <w:p w14:paraId="1B12F778" w14:textId="77777777" w:rsidR="00FC14FC" w:rsidRDefault="00FC14FC" w:rsidP="00D11B9D">
                  <w:pPr>
                    <w:pStyle w:val="TableBodyText"/>
                  </w:pPr>
                  <w:r>
                    <w:t>51</w:t>
                  </w:r>
                </w:p>
              </w:tc>
              <w:tc>
                <w:tcPr>
                  <w:tcW w:w="1066" w:type="pct"/>
                  <w:tcBorders>
                    <w:bottom w:val="single" w:sz="6" w:space="0" w:color="BFBFBF"/>
                  </w:tcBorders>
                  <w:shd w:val="clear" w:color="auto" w:fill="auto"/>
                </w:tcPr>
                <w:p w14:paraId="41AC8259" w14:textId="77777777" w:rsidR="00FC14FC" w:rsidRDefault="00FC14FC" w:rsidP="00D11B9D">
                  <w:pPr>
                    <w:pStyle w:val="TableBodyText"/>
                  </w:pPr>
                  <w:r>
                    <w:t>24</w:t>
                  </w:r>
                </w:p>
              </w:tc>
              <w:tc>
                <w:tcPr>
                  <w:tcW w:w="667" w:type="pct"/>
                  <w:tcBorders>
                    <w:bottom w:val="single" w:sz="6" w:space="0" w:color="BFBFBF"/>
                  </w:tcBorders>
                  <w:shd w:val="clear" w:color="auto" w:fill="auto"/>
                </w:tcPr>
                <w:p w14:paraId="12115C50" w14:textId="77777777" w:rsidR="00FC14FC" w:rsidRDefault="00FC14FC" w:rsidP="00D11B9D">
                  <w:pPr>
                    <w:pStyle w:val="TableBodyText"/>
                    <w:ind w:right="28"/>
                  </w:pPr>
                  <w:r>
                    <w:t>51</w:t>
                  </w:r>
                </w:p>
              </w:tc>
            </w:tr>
          </w:tbl>
          <w:p w14:paraId="42D4DFA6" w14:textId="77777777" w:rsidR="00FC14FC" w:rsidRDefault="00FC14FC" w:rsidP="00D11B9D">
            <w:pPr>
              <w:pStyle w:val="Box"/>
            </w:pPr>
          </w:p>
        </w:tc>
      </w:tr>
      <w:tr w:rsidR="00FC14FC" w14:paraId="65753632" w14:textId="77777777" w:rsidTr="00D11B9D">
        <w:tc>
          <w:tcPr>
            <w:tcW w:w="5000" w:type="pct"/>
            <w:tcBorders>
              <w:top w:val="nil"/>
              <w:left w:val="nil"/>
              <w:bottom w:val="nil"/>
              <w:right w:val="nil"/>
            </w:tcBorders>
            <w:shd w:val="clear" w:color="auto" w:fill="auto"/>
          </w:tcPr>
          <w:p w14:paraId="13880D5C" w14:textId="77777777" w:rsidR="00FC14FC" w:rsidRDefault="00FC14FC" w:rsidP="00D11B9D">
            <w:pPr>
              <w:pStyle w:val="Source"/>
            </w:pPr>
            <w:r>
              <w:rPr>
                <w:i/>
              </w:rPr>
              <w:t>S</w:t>
            </w:r>
            <w:r w:rsidRPr="00784A05">
              <w:rPr>
                <w:i/>
              </w:rPr>
              <w:t>ource</w:t>
            </w:r>
            <w:r>
              <w:rPr>
                <w:i/>
              </w:rPr>
              <w:t>s</w:t>
            </w:r>
            <w:r w:rsidRPr="00176D3F">
              <w:t xml:space="preserve">: </w:t>
            </w:r>
            <w:r>
              <w:rPr>
                <w:rFonts w:asciiTheme="minorHAnsi" w:cstheme="minorBidi"/>
                <w:color w:val="000000" w:themeColor="text1"/>
                <w:kern w:val="24"/>
                <w:szCs w:val="18"/>
              </w:rPr>
              <w:t xml:space="preserve">PC analysis of </w:t>
            </w:r>
            <w:r w:rsidRPr="002D6D85">
              <w:rPr>
                <w:rFonts w:asciiTheme="minorHAnsi" w:cstheme="minorBidi"/>
                <w:color w:val="000000" w:themeColor="text1"/>
                <w:kern w:val="24"/>
                <w:szCs w:val="18"/>
              </w:rPr>
              <w:t>APRA</w:t>
            </w:r>
            <w:r>
              <w:rPr>
                <w:rFonts w:asciiTheme="minorHAnsi" w:cstheme="minorBidi"/>
                <w:color w:val="000000" w:themeColor="text1"/>
                <w:kern w:val="24"/>
                <w:szCs w:val="18"/>
              </w:rPr>
              <w:t xml:space="preserve"> </w:t>
            </w:r>
            <w:r w:rsidRPr="002856AA">
              <w:rPr>
                <w:rFonts w:cs="Arial"/>
              </w:rPr>
              <w:t>(2018b, 2018a)</w:t>
            </w:r>
            <w:r>
              <w:rPr>
                <w:rFonts w:asciiTheme="minorHAnsi" w:cstheme="minorBidi"/>
                <w:color w:val="000000" w:themeColor="text1"/>
                <w:kern w:val="24"/>
                <w:szCs w:val="18"/>
              </w:rPr>
              <w:t>, and financial market index data (various providers).</w:t>
            </w:r>
          </w:p>
        </w:tc>
      </w:tr>
      <w:tr w:rsidR="00FC14FC" w14:paraId="755A5405" w14:textId="77777777" w:rsidTr="00D11B9D">
        <w:tc>
          <w:tcPr>
            <w:tcW w:w="5000" w:type="pct"/>
            <w:tcBorders>
              <w:top w:val="nil"/>
              <w:left w:val="nil"/>
              <w:bottom w:val="single" w:sz="6" w:space="0" w:color="78A22F"/>
              <w:right w:val="nil"/>
            </w:tcBorders>
            <w:shd w:val="clear" w:color="auto" w:fill="auto"/>
          </w:tcPr>
          <w:p w14:paraId="5CAD09B5" w14:textId="77777777" w:rsidR="00FC14FC" w:rsidRDefault="00FC14FC" w:rsidP="00D11B9D">
            <w:pPr>
              <w:pStyle w:val="Box"/>
              <w:spacing w:before="0" w:line="120" w:lineRule="exact"/>
            </w:pPr>
          </w:p>
        </w:tc>
      </w:tr>
      <w:tr w:rsidR="00FC14FC" w:rsidRPr="000863A5" w14:paraId="77F836F2" w14:textId="77777777" w:rsidTr="00D11B9D">
        <w:tc>
          <w:tcPr>
            <w:tcW w:w="5000" w:type="pct"/>
            <w:tcBorders>
              <w:top w:val="single" w:sz="6" w:space="0" w:color="78A22F"/>
              <w:left w:val="nil"/>
              <w:bottom w:val="nil"/>
              <w:right w:val="nil"/>
            </w:tcBorders>
          </w:tcPr>
          <w:p w14:paraId="255639E8" w14:textId="77777777" w:rsidR="00FC14FC" w:rsidRPr="00626D32" w:rsidRDefault="00FC14FC" w:rsidP="00D11B9D">
            <w:pPr>
              <w:pStyle w:val="BoxSpaceBelow"/>
            </w:pPr>
          </w:p>
        </w:tc>
      </w:tr>
    </w:tbl>
    <w:p w14:paraId="0860CE90"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7732250B" w14:textId="77777777" w:rsidTr="00D11B9D">
        <w:trPr>
          <w:tblHeader/>
        </w:trPr>
        <w:tc>
          <w:tcPr>
            <w:tcW w:w="5000" w:type="pct"/>
            <w:tcBorders>
              <w:top w:val="single" w:sz="6" w:space="0" w:color="78A22F"/>
              <w:left w:val="nil"/>
              <w:bottom w:val="nil"/>
              <w:right w:val="nil"/>
            </w:tcBorders>
            <w:shd w:val="clear" w:color="auto" w:fill="auto"/>
          </w:tcPr>
          <w:p w14:paraId="04E12C7A" w14:textId="77777777" w:rsidR="00FC14FC" w:rsidRDefault="00FC14FC" w:rsidP="00D11B9D">
            <w:pPr>
              <w:pStyle w:val="TableTitle"/>
            </w:pPr>
            <w:r>
              <w:rPr>
                <w:b w:val="0"/>
              </w:rPr>
              <w:t>Table 4.41</w:t>
            </w:r>
            <w:r>
              <w:tab/>
              <w:t>MySuper performance: segment</w:t>
            </w:r>
            <w:r>
              <w:noBreakHyphen/>
              <w:t>average benchmark</w:t>
            </w:r>
          </w:p>
          <w:p w14:paraId="4D7406B5" w14:textId="77777777" w:rsidR="00FC14FC" w:rsidRPr="00784A05" w:rsidRDefault="00FC14FC" w:rsidP="00D11B9D">
            <w:pPr>
              <w:pStyle w:val="Subtitle"/>
            </w:pPr>
            <w:r>
              <w:t>Sensitivity tests, 2014–2017</w:t>
            </w:r>
          </w:p>
        </w:tc>
      </w:tr>
      <w:tr w:rsidR="00FC14FC" w14:paraId="5659A304" w14:textId="77777777" w:rsidTr="00D11B9D">
        <w:tc>
          <w:tcPr>
            <w:tcW w:w="5000" w:type="pct"/>
            <w:tcBorders>
              <w:top w:val="nil"/>
              <w:left w:val="nil"/>
              <w:bottom w:val="nil"/>
              <w:right w:val="nil"/>
            </w:tcBorders>
            <w:shd w:val="clear" w:color="auto" w:fill="auto"/>
          </w:tcPr>
          <w:tbl>
            <w:tblPr>
              <w:tblW w:w="4965" w:type="pct"/>
              <w:tblCellMar>
                <w:top w:w="28" w:type="dxa"/>
                <w:left w:w="0" w:type="dxa"/>
                <w:right w:w="0" w:type="dxa"/>
              </w:tblCellMar>
              <w:tblLook w:val="0000" w:firstRow="0" w:lastRow="0" w:firstColumn="0" w:lastColumn="0" w:noHBand="0" w:noVBand="0"/>
            </w:tblPr>
            <w:tblGrid>
              <w:gridCol w:w="4109"/>
              <w:gridCol w:w="1419"/>
              <w:gridCol w:w="1843"/>
              <w:gridCol w:w="1074"/>
            </w:tblGrid>
            <w:tr w:rsidR="00FC14FC" w14:paraId="6F9959E7" w14:textId="77777777" w:rsidTr="00D11B9D">
              <w:trPr>
                <w:tblHeader/>
              </w:trPr>
              <w:tc>
                <w:tcPr>
                  <w:tcW w:w="2433" w:type="pct"/>
                  <w:tcBorders>
                    <w:top w:val="single" w:sz="6" w:space="0" w:color="BFBFBF"/>
                    <w:bottom w:val="single" w:sz="6" w:space="0" w:color="BFBFBF"/>
                  </w:tcBorders>
                  <w:shd w:val="clear" w:color="auto" w:fill="auto"/>
                  <w:tcMar>
                    <w:top w:w="28" w:type="dxa"/>
                  </w:tcMar>
                </w:tcPr>
                <w:p w14:paraId="59C40849" w14:textId="77777777" w:rsidR="00FC14FC" w:rsidRDefault="00FC14FC" w:rsidP="00D11B9D">
                  <w:pPr>
                    <w:pStyle w:val="TableColumnHeading"/>
                    <w:jc w:val="left"/>
                  </w:pPr>
                </w:p>
              </w:tc>
              <w:tc>
                <w:tcPr>
                  <w:tcW w:w="840" w:type="pct"/>
                  <w:tcBorders>
                    <w:top w:val="single" w:sz="6" w:space="0" w:color="BFBFBF"/>
                    <w:bottom w:val="single" w:sz="6" w:space="0" w:color="BFBFBF"/>
                  </w:tcBorders>
                  <w:shd w:val="clear" w:color="auto" w:fill="auto"/>
                </w:tcPr>
                <w:p w14:paraId="507ECAEF" w14:textId="77777777" w:rsidR="00FC14FC" w:rsidRDefault="00FC14FC" w:rsidP="00D11B9D">
                  <w:pPr>
                    <w:pStyle w:val="TableColumnHeading"/>
                  </w:pPr>
                  <w:r>
                    <w:t>Chapter 2</w:t>
                  </w:r>
                </w:p>
              </w:tc>
              <w:tc>
                <w:tcPr>
                  <w:tcW w:w="1091" w:type="pct"/>
                  <w:tcBorders>
                    <w:top w:val="single" w:sz="6" w:space="0" w:color="BFBFBF"/>
                    <w:bottom w:val="single" w:sz="6" w:space="0" w:color="BFBFBF"/>
                  </w:tcBorders>
                  <w:shd w:val="clear" w:color="auto" w:fill="auto"/>
                </w:tcPr>
                <w:p w14:paraId="2B3C1AAD" w14:textId="77777777" w:rsidR="00FC14FC" w:rsidRDefault="00FC14FC" w:rsidP="00D11B9D">
                  <w:pPr>
                    <w:pStyle w:val="TableColumnHeading"/>
                  </w:pPr>
                  <w:r>
                    <w:t>Gross of admin fees</w:t>
                  </w:r>
                </w:p>
              </w:tc>
              <w:tc>
                <w:tcPr>
                  <w:tcW w:w="636" w:type="pct"/>
                  <w:tcBorders>
                    <w:top w:val="single" w:sz="6" w:space="0" w:color="BFBFBF"/>
                    <w:bottom w:val="single" w:sz="6" w:space="0" w:color="BFBFBF"/>
                  </w:tcBorders>
                  <w:shd w:val="clear" w:color="auto" w:fill="auto"/>
                  <w:tcMar>
                    <w:top w:w="28" w:type="dxa"/>
                  </w:tcMar>
                </w:tcPr>
                <w:p w14:paraId="3BD82F3F" w14:textId="77777777" w:rsidR="00FC14FC" w:rsidRDefault="00FC14FC" w:rsidP="00D11B9D">
                  <w:pPr>
                    <w:pStyle w:val="TableColumnHeading"/>
                    <w:ind w:right="28"/>
                  </w:pPr>
                  <w:r>
                    <w:t>7.5% flat tax</w:t>
                  </w:r>
                </w:p>
              </w:tc>
            </w:tr>
            <w:tr w:rsidR="00FC14FC" w14:paraId="54854E2C" w14:textId="77777777" w:rsidTr="00D11B9D">
              <w:tc>
                <w:tcPr>
                  <w:tcW w:w="2433" w:type="pct"/>
                  <w:tcBorders>
                    <w:top w:val="single" w:sz="6" w:space="0" w:color="BFBFBF"/>
                  </w:tcBorders>
                  <w:shd w:val="clear" w:color="auto" w:fill="auto"/>
                </w:tcPr>
                <w:p w14:paraId="691AE0D6" w14:textId="77777777" w:rsidR="00FC14FC" w:rsidRPr="001C6FE0" w:rsidRDefault="00FC14FC" w:rsidP="00D11B9D">
                  <w:pPr>
                    <w:pStyle w:val="TableUnitsRow"/>
                    <w:jc w:val="left"/>
                    <w:rPr>
                      <w:b/>
                    </w:rPr>
                  </w:pPr>
                  <w:r w:rsidRPr="001C6FE0">
                    <w:rPr>
                      <w:b/>
                    </w:rPr>
                    <w:t>Products performing above BP2</w:t>
                  </w:r>
                </w:p>
              </w:tc>
              <w:tc>
                <w:tcPr>
                  <w:tcW w:w="840" w:type="pct"/>
                  <w:tcBorders>
                    <w:top w:val="single" w:sz="6" w:space="0" w:color="BFBFBF"/>
                  </w:tcBorders>
                  <w:shd w:val="clear" w:color="auto" w:fill="auto"/>
                </w:tcPr>
                <w:p w14:paraId="47305D90" w14:textId="77777777" w:rsidR="00FC14FC" w:rsidRDefault="00FC14FC" w:rsidP="00D11B9D">
                  <w:pPr>
                    <w:pStyle w:val="TableUnitsRow"/>
                  </w:pPr>
                </w:p>
              </w:tc>
              <w:tc>
                <w:tcPr>
                  <w:tcW w:w="1091" w:type="pct"/>
                  <w:tcBorders>
                    <w:top w:val="single" w:sz="6" w:space="0" w:color="BFBFBF"/>
                  </w:tcBorders>
                  <w:shd w:val="clear" w:color="auto" w:fill="auto"/>
                </w:tcPr>
                <w:p w14:paraId="258245C4" w14:textId="77777777" w:rsidR="00FC14FC" w:rsidRDefault="00FC14FC" w:rsidP="00D11B9D">
                  <w:pPr>
                    <w:pStyle w:val="TableUnitsRow"/>
                  </w:pPr>
                </w:p>
              </w:tc>
              <w:tc>
                <w:tcPr>
                  <w:tcW w:w="636" w:type="pct"/>
                  <w:tcBorders>
                    <w:top w:val="single" w:sz="6" w:space="0" w:color="BFBFBF"/>
                  </w:tcBorders>
                  <w:shd w:val="clear" w:color="auto" w:fill="auto"/>
                </w:tcPr>
                <w:p w14:paraId="11BB2BA0" w14:textId="77777777" w:rsidR="00FC14FC" w:rsidRDefault="00FC14FC" w:rsidP="00D11B9D">
                  <w:pPr>
                    <w:pStyle w:val="TableUnitsRow"/>
                    <w:ind w:right="28"/>
                  </w:pPr>
                </w:p>
              </w:tc>
            </w:tr>
            <w:tr w:rsidR="00FC14FC" w14:paraId="1C14749D" w14:textId="77777777" w:rsidTr="00D11B9D">
              <w:tc>
                <w:tcPr>
                  <w:tcW w:w="2433" w:type="pct"/>
                  <w:shd w:val="clear" w:color="auto" w:fill="auto"/>
                </w:tcPr>
                <w:p w14:paraId="1914DEE7" w14:textId="77777777" w:rsidR="00FC14FC" w:rsidRDefault="00FC14FC" w:rsidP="00D11B9D">
                  <w:pPr>
                    <w:pStyle w:val="TableBodyText"/>
                    <w:jc w:val="left"/>
                  </w:pPr>
                  <w:r>
                    <w:t>Number of products</w:t>
                  </w:r>
                </w:p>
              </w:tc>
              <w:tc>
                <w:tcPr>
                  <w:tcW w:w="840" w:type="pct"/>
                  <w:shd w:val="clear" w:color="auto" w:fill="auto"/>
                </w:tcPr>
                <w:p w14:paraId="50B8137E" w14:textId="77777777" w:rsidR="00FC14FC" w:rsidRDefault="00FC14FC" w:rsidP="00D11B9D">
                  <w:pPr>
                    <w:pStyle w:val="TableBodyText"/>
                  </w:pPr>
                  <w:r>
                    <w:t>53</w:t>
                  </w:r>
                </w:p>
              </w:tc>
              <w:tc>
                <w:tcPr>
                  <w:tcW w:w="1091" w:type="pct"/>
                  <w:shd w:val="clear" w:color="auto" w:fill="auto"/>
                </w:tcPr>
                <w:p w14:paraId="40D09EDE" w14:textId="77777777" w:rsidR="00FC14FC" w:rsidRDefault="00FC14FC" w:rsidP="00D11B9D">
                  <w:pPr>
                    <w:pStyle w:val="TableBodyText"/>
                  </w:pPr>
                  <w:r>
                    <w:t>62</w:t>
                  </w:r>
                </w:p>
              </w:tc>
              <w:tc>
                <w:tcPr>
                  <w:tcW w:w="636" w:type="pct"/>
                  <w:shd w:val="clear" w:color="auto" w:fill="auto"/>
                </w:tcPr>
                <w:p w14:paraId="1E6B792D" w14:textId="77777777" w:rsidR="00FC14FC" w:rsidRDefault="00FC14FC" w:rsidP="00D11B9D">
                  <w:pPr>
                    <w:pStyle w:val="TableBodyText"/>
                    <w:ind w:right="28"/>
                  </w:pPr>
                  <w:r>
                    <w:t>56</w:t>
                  </w:r>
                </w:p>
              </w:tc>
            </w:tr>
            <w:tr w:rsidR="00FC14FC" w14:paraId="57AC3121" w14:textId="77777777" w:rsidTr="00D11B9D">
              <w:tc>
                <w:tcPr>
                  <w:tcW w:w="2433" w:type="pct"/>
                  <w:shd w:val="clear" w:color="auto" w:fill="auto"/>
                </w:tcPr>
                <w:p w14:paraId="57CA6687" w14:textId="77777777" w:rsidR="00FC14FC" w:rsidRDefault="00FC14FC" w:rsidP="00D11B9D">
                  <w:pPr>
                    <w:pStyle w:val="TableBodyText"/>
                    <w:jc w:val="left"/>
                  </w:pPr>
                  <w:r>
                    <w:t>Accounts (m)</w:t>
                  </w:r>
                </w:p>
              </w:tc>
              <w:tc>
                <w:tcPr>
                  <w:tcW w:w="840" w:type="pct"/>
                  <w:shd w:val="clear" w:color="auto" w:fill="auto"/>
                </w:tcPr>
                <w:p w14:paraId="0ACC2B6D" w14:textId="77777777" w:rsidR="00FC14FC" w:rsidRDefault="00FC14FC" w:rsidP="00D11B9D">
                  <w:pPr>
                    <w:pStyle w:val="TableBodyText"/>
                  </w:pPr>
                  <w:r>
                    <w:t>11.9</w:t>
                  </w:r>
                </w:p>
              </w:tc>
              <w:tc>
                <w:tcPr>
                  <w:tcW w:w="1091" w:type="pct"/>
                  <w:shd w:val="clear" w:color="auto" w:fill="auto"/>
                </w:tcPr>
                <w:p w14:paraId="55AABB07" w14:textId="77777777" w:rsidR="00FC14FC" w:rsidRDefault="00FC14FC" w:rsidP="00D11B9D">
                  <w:pPr>
                    <w:pStyle w:val="TableBodyText"/>
                  </w:pPr>
                  <w:r>
                    <w:t>12.6</w:t>
                  </w:r>
                </w:p>
              </w:tc>
              <w:tc>
                <w:tcPr>
                  <w:tcW w:w="636" w:type="pct"/>
                  <w:shd w:val="clear" w:color="auto" w:fill="auto"/>
                </w:tcPr>
                <w:p w14:paraId="11D5F1DC" w14:textId="77777777" w:rsidR="00FC14FC" w:rsidRDefault="00FC14FC" w:rsidP="00D11B9D">
                  <w:pPr>
                    <w:pStyle w:val="TableBodyText"/>
                    <w:ind w:right="28"/>
                  </w:pPr>
                  <w:r>
                    <w:t>12</w:t>
                  </w:r>
                </w:p>
              </w:tc>
            </w:tr>
            <w:tr w:rsidR="00FC14FC" w14:paraId="4DCBB982" w14:textId="77777777" w:rsidTr="00D11B9D">
              <w:tc>
                <w:tcPr>
                  <w:tcW w:w="2433" w:type="pct"/>
                  <w:shd w:val="clear" w:color="auto" w:fill="auto"/>
                </w:tcPr>
                <w:p w14:paraId="03E59F46" w14:textId="77777777" w:rsidR="00FC14FC" w:rsidRDefault="00FC14FC" w:rsidP="00D11B9D">
                  <w:pPr>
                    <w:pStyle w:val="TableBodyText"/>
                    <w:jc w:val="left"/>
                  </w:pPr>
                  <w:r>
                    <w:t>Assets ($b)</w:t>
                  </w:r>
                </w:p>
              </w:tc>
              <w:tc>
                <w:tcPr>
                  <w:tcW w:w="840" w:type="pct"/>
                  <w:shd w:val="clear" w:color="auto" w:fill="auto"/>
                </w:tcPr>
                <w:p w14:paraId="1B1C0391" w14:textId="77777777" w:rsidR="00FC14FC" w:rsidRDefault="00FC14FC" w:rsidP="00D11B9D">
                  <w:pPr>
                    <w:pStyle w:val="TableBodyText"/>
                  </w:pPr>
                  <w:r>
                    <w:t>552</w:t>
                  </w:r>
                </w:p>
              </w:tc>
              <w:tc>
                <w:tcPr>
                  <w:tcW w:w="1091" w:type="pct"/>
                  <w:shd w:val="clear" w:color="auto" w:fill="auto"/>
                </w:tcPr>
                <w:p w14:paraId="1CC1A1ED" w14:textId="77777777" w:rsidR="00FC14FC" w:rsidRDefault="00FC14FC" w:rsidP="00D11B9D">
                  <w:pPr>
                    <w:pStyle w:val="TableBodyText"/>
                  </w:pPr>
                  <w:r>
                    <w:t>572</w:t>
                  </w:r>
                </w:p>
              </w:tc>
              <w:tc>
                <w:tcPr>
                  <w:tcW w:w="636" w:type="pct"/>
                  <w:shd w:val="clear" w:color="auto" w:fill="auto"/>
                </w:tcPr>
                <w:p w14:paraId="4B6DC92E" w14:textId="77777777" w:rsidR="00FC14FC" w:rsidRDefault="00FC14FC" w:rsidP="00D11B9D">
                  <w:pPr>
                    <w:pStyle w:val="TableBodyText"/>
                    <w:ind w:right="28"/>
                  </w:pPr>
                  <w:r>
                    <w:t>555</w:t>
                  </w:r>
                </w:p>
              </w:tc>
            </w:tr>
            <w:tr w:rsidR="00FC14FC" w14:paraId="57EA8513" w14:textId="77777777" w:rsidTr="00D11B9D">
              <w:tc>
                <w:tcPr>
                  <w:tcW w:w="2433" w:type="pct"/>
                  <w:shd w:val="clear" w:color="auto" w:fill="F2F2F2" w:themeFill="background1" w:themeFillShade="F2"/>
                </w:tcPr>
                <w:p w14:paraId="1B989B3A" w14:textId="77777777" w:rsidR="00FC14FC" w:rsidRPr="001C6FE0" w:rsidRDefault="00FC14FC" w:rsidP="00D11B9D">
                  <w:pPr>
                    <w:pStyle w:val="TableUnitsRow"/>
                    <w:jc w:val="left"/>
                    <w:rPr>
                      <w:b/>
                    </w:rPr>
                  </w:pPr>
                  <w:r w:rsidRPr="001C6FE0">
                    <w:rPr>
                      <w:b/>
                    </w:rPr>
                    <w:t>Products under BP2 but not underperforming</w:t>
                  </w:r>
                </w:p>
              </w:tc>
              <w:tc>
                <w:tcPr>
                  <w:tcW w:w="840" w:type="pct"/>
                  <w:shd w:val="clear" w:color="auto" w:fill="F2F2F2" w:themeFill="background1" w:themeFillShade="F2"/>
                </w:tcPr>
                <w:p w14:paraId="4887C23B" w14:textId="77777777" w:rsidR="00FC14FC" w:rsidRDefault="00FC14FC" w:rsidP="00D11B9D">
                  <w:pPr>
                    <w:pStyle w:val="TableBodyText"/>
                    <w:spacing w:before="40"/>
                  </w:pPr>
                </w:p>
              </w:tc>
              <w:tc>
                <w:tcPr>
                  <w:tcW w:w="1091" w:type="pct"/>
                  <w:shd w:val="clear" w:color="auto" w:fill="F2F2F2" w:themeFill="background1" w:themeFillShade="F2"/>
                </w:tcPr>
                <w:p w14:paraId="1B333A30" w14:textId="77777777" w:rsidR="00FC14FC" w:rsidRDefault="00FC14FC" w:rsidP="00D11B9D">
                  <w:pPr>
                    <w:pStyle w:val="TableBodyText"/>
                    <w:spacing w:before="40"/>
                  </w:pPr>
                </w:p>
              </w:tc>
              <w:tc>
                <w:tcPr>
                  <w:tcW w:w="636" w:type="pct"/>
                  <w:shd w:val="clear" w:color="auto" w:fill="F2F2F2" w:themeFill="background1" w:themeFillShade="F2"/>
                </w:tcPr>
                <w:p w14:paraId="174BF45E" w14:textId="77777777" w:rsidR="00FC14FC" w:rsidRDefault="00FC14FC" w:rsidP="00D11B9D">
                  <w:pPr>
                    <w:pStyle w:val="TableBodyText"/>
                    <w:spacing w:before="40"/>
                    <w:ind w:right="28"/>
                  </w:pPr>
                </w:p>
              </w:tc>
            </w:tr>
            <w:tr w:rsidR="00FC14FC" w14:paraId="11ACBFD9" w14:textId="77777777" w:rsidTr="00D11B9D">
              <w:tc>
                <w:tcPr>
                  <w:tcW w:w="2433" w:type="pct"/>
                  <w:shd w:val="clear" w:color="auto" w:fill="F2F2F2" w:themeFill="background1" w:themeFillShade="F2"/>
                </w:tcPr>
                <w:p w14:paraId="5B001C51" w14:textId="77777777" w:rsidR="00FC14FC" w:rsidRDefault="00FC14FC" w:rsidP="00D11B9D">
                  <w:pPr>
                    <w:pStyle w:val="TableBodyText"/>
                    <w:jc w:val="left"/>
                  </w:pPr>
                  <w:r>
                    <w:t>Number of products</w:t>
                  </w:r>
                </w:p>
              </w:tc>
              <w:tc>
                <w:tcPr>
                  <w:tcW w:w="840" w:type="pct"/>
                  <w:shd w:val="clear" w:color="auto" w:fill="F2F2F2" w:themeFill="background1" w:themeFillShade="F2"/>
                </w:tcPr>
                <w:p w14:paraId="2E4B3747" w14:textId="77777777" w:rsidR="00FC14FC" w:rsidRDefault="00FC14FC" w:rsidP="00D11B9D">
                  <w:pPr>
                    <w:pStyle w:val="TableBodyText"/>
                  </w:pPr>
                  <w:r>
                    <w:t>14</w:t>
                  </w:r>
                </w:p>
              </w:tc>
              <w:tc>
                <w:tcPr>
                  <w:tcW w:w="1091" w:type="pct"/>
                  <w:shd w:val="clear" w:color="auto" w:fill="F2F2F2" w:themeFill="background1" w:themeFillShade="F2"/>
                </w:tcPr>
                <w:p w14:paraId="16946F32" w14:textId="77777777" w:rsidR="00FC14FC" w:rsidRDefault="00FC14FC" w:rsidP="00D11B9D">
                  <w:pPr>
                    <w:pStyle w:val="TableBodyText"/>
                  </w:pPr>
                  <w:r>
                    <w:t>13</w:t>
                  </w:r>
                </w:p>
              </w:tc>
              <w:tc>
                <w:tcPr>
                  <w:tcW w:w="636" w:type="pct"/>
                  <w:shd w:val="clear" w:color="auto" w:fill="F2F2F2" w:themeFill="background1" w:themeFillShade="F2"/>
                </w:tcPr>
                <w:p w14:paraId="577A80D1" w14:textId="77777777" w:rsidR="00FC14FC" w:rsidRDefault="00FC14FC" w:rsidP="00D11B9D">
                  <w:pPr>
                    <w:pStyle w:val="TableBodyText"/>
                    <w:ind w:right="28"/>
                  </w:pPr>
                  <w:r>
                    <w:t>13</w:t>
                  </w:r>
                </w:p>
              </w:tc>
            </w:tr>
            <w:tr w:rsidR="00FC14FC" w14:paraId="56A0F462" w14:textId="77777777" w:rsidTr="00D11B9D">
              <w:tc>
                <w:tcPr>
                  <w:tcW w:w="2433" w:type="pct"/>
                  <w:shd w:val="clear" w:color="auto" w:fill="F2F2F2" w:themeFill="background1" w:themeFillShade="F2"/>
                </w:tcPr>
                <w:p w14:paraId="2B48AD38" w14:textId="77777777" w:rsidR="00FC14FC" w:rsidRDefault="00FC14FC" w:rsidP="00D11B9D">
                  <w:pPr>
                    <w:pStyle w:val="TableBodyText"/>
                    <w:jc w:val="left"/>
                  </w:pPr>
                  <w:r>
                    <w:t>Accounts (m)</w:t>
                  </w:r>
                </w:p>
              </w:tc>
              <w:tc>
                <w:tcPr>
                  <w:tcW w:w="840" w:type="pct"/>
                  <w:shd w:val="clear" w:color="auto" w:fill="F2F2F2" w:themeFill="background1" w:themeFillShade="F2"/>
                </w:tcPr>
                <w:p w14:paraId="1E29F877" w14:textId="77777777" w:rsidR="00FC14FC" w:rsidRDefault="00FC14FC" w:rsidP="00D11B9D">
                  <w:pPr>
                    <w:pStyle w:val="TableBodyText"/>
                  </w:pPr>
                  <w:r>
                    <w:t>1.1</w:t>
                  </w:r>
                </w:p>
              </w:tc>
              <w:tc>
                <w:tcPr>
                  <w:tcW w:w="1091" w:type="pct"/>
                  <w:shd w:val="clear" w:color="auto" w:fill="F2F2F2" w:themeFill="background1" w:themeFillShade="F2"/>
                </w:tcPr>
                <w:p w14:paraId="4B2DACC5" w14:textId="77777777" w:rsidR="00FC14FC" w:rsidRPr="00DA60D1" w:rsidRDefault="00FC14FC" w:rsidP="00D11B9D">
                  <w:pPr>
                    <w:pStyle w:val="TableBodyText"/>
                  </w:pPr>
                  <w:r>
                    <w:t>1.2</w:t>
                  </w:r>
                </w:p>
              </w:tc>
              <w:tc>
                <w:tcPr>
                  <w:tcW w:w="636" w:type="pct"/>
                  <w:shd w:val="clear" w:color="auto" w:fill="F2F2F2" w:themeFill="background1" w:themeFillShade="F2"/>
                </w:tcPr>
                <w:p w14:paraId="3249DC9B" w14:textId="77777777" w:rsidR="00FC14FC" w:rsidRDefault="00FC14FC" w:rsidP="00D11B9D">
                  <w:pPr>
                    <w:pStyle w:val="TableBodyText"/>
                    <w:ind w:right="28"/>
                  </w:pPr>
                  <w:r>
                    <w:t>1.1</w:t>
                  </w:r>
                </w:p>
              </w:tc>
            </w:tr>
            <w:tr w:rsidR="00FC14FC" w14:paraId="25A4D7BF" w14:textId="77777777" w:rsidTr="00D11B9D">
              <w:tc>
                <w:tcPr>
                  <w:tcW w:w="2433" w:type="pct"/>
                  <w:shd w:val="clear" w:color="auto" w:fill="F2F2F2" w:themeFill="background1" w:themeFillShade="F2"/>
                </w:tcPr>
                <w:p w14:paraId="77CC37C7" w14:textId="77777777" w:rsidR="00FC14FC" w:rsidRDefault="00FC14FC" w:rsidP="00D11B9D">
                  <w:pPr>
                    <w:pStyle w:val="TableBodyText"/>
                    <w:jc w:val="left"/>
                  </w:pPr>
                  <w:r>
                    <w:t>Assets ($b)</w:t>
                  </w:r>
                </w:p>
              </w:tc>
              <w:tc>
                <w:tcPr>
                  <w:tcW w:w="840" w:type="pct"/>
                  <w:shd w:val="clear" w:color="auto" w:fill="F2F2F2" w:themeFill="background1" w:themeFillShade="F2"/>
                </w:tcPr>
                <w:p w14:paraId="7084C7DF" w14:textId="77777777" w:rsidR="00FC14FC" w:rsidRDefault="00FC14FC" w:rsidP="00D11B9D">
                  <w:pPr>
                    <w:pStyle w:val="TableBodyText"/>
                  </w:pPr>
                  <w:r>
                    <w:t>37</w:t>
                  </w:r>
                </w:p>
              </w:tc>
              <w:tc>
                <w:tcPr>
                  <w:tcW w:w="1091" w:type="pct"/>
                  <w:shd w:val="clear" w:color="auto" w:fill="F2F2F2" w:themeFill="background1" w:themeFillShade="F2"/>
                </w:tcPr>
                <w:p w14:paraId="30F4BC82" w14:textId="77777777" w:rsidR="00FC14FC" w:rsidRPr="00DA60D1" w:rsidRDefault="00FC14FC" w:rsidP="00D11B9D">
                  <w:pPr>
                    <w:pStyle w:val="TableBodyText"/>
                  </w:pPr>
                  <w:r>
                    <w:t>55</w:t>
                  </w:r>
                </w:p>
              </w:tc>
              <w:tc>
                <w:tcPr>
                  <w:tcW w:w="636" w:type="pct"/>
                  <w:shd w:val="clear" w:color="auto" w:fill="F2F2F2" w:themeFill="background1" w:themeFillShade="F2"/>
                </w:tcPr>
                <w:p w14:paraId="37F0A2DD" w14:textId="77777777" w:rsidR="00FC14FC" w:rsidRDefault="00FC14FC" w:rsidP="00D11B9D">
                  <w:pPr>
                    <w:pStyle w:val="TableBodyText"/>
                    <w:ind w:right="28"/>
                  </w:pPr>
                  <w:r>
                    <w:t>42</w:t>
                  </w:r>
                </w:p>
              </w:tc>
            </w:tr>
            <w:tr w:rsidR="00FC14FC" w14:paraId="68F796C3" w14:textId="77777777" w:rsidTr="00D11B9D">
              <w:tc>
                <w:tcPr>
                  <w:tcW w:w="2433" w:type="pct"/>
                  <w:shd w:val="clear" w:color="auto" w:fill="auto"/>
                </w:tcPr>
                <w:p w14:paraId="3FF57D99" w14:textId="77777777" w:rsidR="00FC14FC" w:rsidRPr="001C6FE0" w:rsidRDefault="00FC14FC" w:rsidP="00D11B9D">
                  <w:pPr>
                    <w:pStyle w:val="TableUnitsRow"/>
                    <w:jc w:val="left"/>
                    <w:rPr>
                      <w:b/>
                    </w:rPr>
                  </w:pPr>
                  <w:r w:rsidRPr="001C6FE0">
                    <w:rPr>
                      <w:b/>
                    </w:rPr>
                    <w:t>Underperforming products</w:t>
                  </w:r>
                </w:p>
              </w:tc>
              <w:tc>
                <w:tcPr>
                  <w:tcW w:w="840" w:type="pct"/>
                  <w:shd w:val="clear" w:color="auto" w:fill="auto"/>
                </w:tcPr>
                <w:p w14:paraId="47E02DCC" w14:textId="77777777" w:rsidR="00FC14FC" w:rsidRDefault="00FC14FC" w:rsidP="00D11B9D">
                  <w:pPr>
                    <w:pStyle w:val="TableBodyText"/>
                    <w:spacing w:before="40"/>
                  </w:pPr>
                </w:p>
              </w:tc>
              <w:tc>
                <w:tcPr>
                  <w:tcW w:w="1091" w:type="pct"/>
                  <w:shd w:val="clear" w:color="auto" w:fill="auto"/>
                </w:tcPr>
                <w:p w14:paraId="7E49D56E" w14:textId="77777777" w:rsidR="00FC14FC" w:rsidRDefault="00FC14FC" w:rsidP="00D11B9D">
                  <w:pPr>
                    <w:pStyle w:val="TableBodyText"/>
                    <w:spacing w:before="40"/>
                  </w:pPr>
                </w:p>
              </w:tc>
              <w:tc>
                <w:tcPr>
                  <w:tcW w:w="636" w:type="pct"/>
                  <w:shd w:val="clear" w:color="auto" w:fill="auto"/>
                </w:tcPr>
                <w:p w14:paraId="718DD37F" w14:textId="77777777" w:rsidR="00FC14FC" w:rsidRDefault="00FC14FC" w:rsidP="00D11B9D">
                  <w:pPr>
                    <w:pStyle w:val="TableBodyText"/>
                    <w:spacing w:before="40"/>
                    <w:ind w:right="28"/>
                  </w:pPr>
                </w:p>
              </w:tc>
            </w:tr>
            <w:tr w:rsidR="00FC14FC" w14:paraId="53B71E62" w14:textId="77777777" w:rsidTr="00D11B9D">
              <w:tc>
                <w:tcPr>
                  <w:tcW w:w="2433" w:type="pct"/>
                  <w:shd w:val="clear" w:color="auto" w:fill="auto"/>
                </w:tcPr>
                <w:p w14:paraId="7D5F98C5" w14:textId="77777777" w:rsidR="00FC14FC" w:rsidRDefault="00FC14FC" w:rsidP="00D11B9D">
                  <w:pPr>
                    <w:pStyle w:val="TableBodyText"/>
                    <w:jc w:val="left"/>
                  </w:pPr>
                  <w:r>
                    <w:t>Number of products</w:t>
                  </w:r>
                </w:p>
              </w:tc>
              <w:tc>
                <w:tcPr>
                  <w:tcW w:w="840" w:type="pct"/>
                  <w:shd w:val="clear" w:color="auto" w:fill="auto"/>
                </w:tcPr>
                <w:p w14:paraId="5774A6EA" w14:textId="77777777" w:rsidR="00FC14FC" w:rsidRDefault="00FC14FC" w:rsidP="00D11B9D">
                  <w:pPr>
                    <w:pStyle w:val="TableBodyText"/>
                  </w:pPr>
                  <w:r>
                    <w:t>29</w:t>
                  </w:r>
                </w:p>
              </w:tc>
              <w:tc>
                <w:tcPr>
                  <w:tcW w:w="1091" w:type="pct"/>
                  <w:shd w:val="clear" w:color="auto" w:fill="auto"/>
                </w:tcPr>
                <w:p w14:paraId="313447D5" w14:textId="77777777" w:rsidR="00FC14FC" w:rsidRDefault="00FC14FC" w:rsidP="00D11B9D">
                  <w:pPr>
                    <w:pStyle w:val="TableBodyText"/>
                  </w:pPr>
                  <w:r>
                    <w:t>21</w:t>
                  </w:r>
                </w:p>
              </w:tc>
              <w:tc>
                <w:tcPr>
                  <w:tcW w:w="636" w:type="pct"/>
                  <w:shd w:val="clear" w:color="auto" w:fill="auto"/>
                </w:tcPr>
                <w:p w14:paraId="3DB494A4" w14:textId="77777777" w:rsidR="00FC14FC" w:rsidRDefault="00FC14FC" w:rsidP="00D11B9D">
                  <w:pPr>
                    <w:pStyle w:val="TableBodyText"/>
                    <w:ind w:right="28"/>
                  </w:pPr>
                  <w:r>
                    <w:t>27</w:t>
                  </w:r>
                </w:p>
              </w:tc>
            </w:tr>
            <w:tr w:rsidR="00FC14FC" w14:paraId="5282E6D4" w14:textId="77777777" w:rsidTr="00D11B9D">
              <w:tc>
                <w:tcPr>
                  <w:tcW w:w="2433" w:type="pct"/>
                  <w:shd w:val="clear" w:color="auto" w:fill="auto"/>
                </w:tcPr>
                <w:p w14:paraId="33158865" w14:textId="77777777" w:rsidR="00FC14FC" w:rsidRDefault="00FC14FC" w:rsidP="00D11B9D">
                  <w:pPr>
                    <w:pStyle w:val="TableBodyText"/>
                    <w:jc w:val="left"/>
                  </w:pPr>
                  <w:r>
                    <w:t>Accounts (m)</w:t>
                  </w:r>
                </w:p>
              </w:tc>
              <w:tc>
                <w:tcPr>
                  <w:tcW w:w="840" w:type="pct"/>
                  <w:shd w:val="clear" w:color="auto" w:fill="auto"/>
                </w:tcPr>
                <w:p w14:paraId="5C1E48A8" w14:textId="77777777" w:rsidR="00FC14FC" w:rsidRDefault="00FC14FC" w:rsidP="00D11B9D">
                  <w:pPr>
                    <w:pStyle w:val="TableBodyText"/>
                  </w:pPr>
                  <w:r>
                    <w:t>1.8</w:t>
                  </w:r>
                </w:p>
              </w:tc>
              <w:tc>
                <w:tcPr>
                  <w:tcW w:w="1091" w:type="pct"/>
                  <w:shd w:val="clear" w:color="auto" w:fill="auto"/>
                </w:tcPr>
                <w:p w14:paraId="10D63731" w14:textId="77777777" w:rsidR="00FC14FC" w:rsidRDefault="00FC14FC" w:rsidP="00D11B9D">
                  <w:pPr>
                    <w:pStyle w:val="TableBodyText"/>
                  </w:pPr>
                  <w:r>
                    <w:t>0.9</w:t>
                  </w:r>
                </w:p>
              </w:tc>
              <w:tc>
                <w:tcPr>
                  <w:tcW w:w="636" w:type="pct"/>
                  <w:shd w:val="clear" w:color="auto" w:fill="auto"/>
                </w:tcPr>
                <w:p w14:paraId="05100455" w14:textId="77777777" w:rsidR="00FC14FC" w:rsidRDefault="00FC14FC" w:rsidP="00D11B9D">
                  <w:pPr>
                    <w:pStyle w:val="TableBodyText"/>
                    <w:ind w:right="28"/>
                  </w:pPr>
                  <w:r>
                    <w:t>1.7</w:t>
                  </w:r>
                </w:p>
              </w:tc>
            </w:tr>
            <w:tr w:rsidR="00FC14FC" w14:paraId="09B74977" w14:textId="77777777" w:rsidTr="00D11B9D">
              <w:tc>
                <w:tcPr>
                  <w:tcW w:w="2433" w:type="pct"/>
                  <w:shd w:val="clear" w:color="auto" w:fill="auto"/>
                </w:tcPr>
                <w:p w14:paraId="02DE2477" w14:textId="77777777" w:rsidR="00FC14FC" w:rsidRDefault="00FC14FC" w:rsidP="00D11B9D">
                  <w:pPr>
                    <w:pStyle w:val="TableBodyText"/>
                    <w:jc w:val="left"/>
                  </w:pPr>
                  <w:r>
                    <w:t>Assets ($b)</w:t>
                  </w:r>
                </w:p>
              </w:tc>
              <w:tc>
                <w:tcPr>
                  <w:tcW w:w="840" w:type="pct"/>
                  <w:shd w:val="clear" w:color="auto" w:fill="auto"/>
                </w:tcPr>
                <w:p w14:paraId="1F29ADB8" w14:textId="77777777" w:rsidR="00FC14FC" w:rsidRDefault="00FC14FC" w:rsidP="00D11B9D">
                  <w:pPr>
                    <w:pStyle w:val="TableBodyText"/>
                  </w:pPr>
                  <w:r>
                    <w:t>69</w:t>
                  </w:r>
                </w:p>
              </w:tc>
              <w:tc>
                <w:tcPr>
                  <w:tcW w:w="1091" w:type="pct"/>
                  <w:shd w:val="clear" w:color="auto" w:fill="auto"/>
                </w:tcPr>
                <w:p w14:paraId="1CFA2013" w14:textId="77777777" w:rsidR="00FC14FC" w:rsidRDefault="00FC14FC" w:rsidP="00D11B9D">
                  <w:pPr>
                    <w:pStyle w:val="TableBodyText"/>
                  </w:pPr>
                  <w:r>
                    <w:t>31</w:t>
                  </w:r>
                </w:p>
              </w:tc>
              <w:tc>
                <w:tcPr>
                  <w:tcW w:w="636" w:type="pct"/>
                  <w:shd w:val="clear" w:color="auto" w:fill="auto"/>
                </w:tcPr>
                <w:p w14:paraId="42AD342C" w14:textId="77777777" w:rsidR="00FC14FC" w:rsidRDefault="00FC14FC" w:rsidP="00D11B9D">
                  <w:pPr>
                    <w:pStyle w:val="TableBodyText"/>
                    <w:ind w:right="28"/>
                  </w:pPr>
                  <w:r>
                    <w:t>61</w:t>
                  </w:r>
                </w:p>
              </w:tc>
            </w:tr>
            <w:tr w:rsidR="00FC14FC" w14:paraId="3D9E3DC8" w14:textId="77777777" w:rsidTr="00D11B9D">
              <w:tc>
                <w:tcPr>
                  <w:tcW w:w="2433" w:type="pct"/>
                  <w:shd w:val="clear" w:color="auto" w:fill="F2F2F2" w:themeFill="background1" w:themeFillShade="F2"/>
                </w:tcPr>
                <w:p w14:paraId="578A06A9" w14:textId="77777777" w:rsidR="00FC14FC" w:rsidRPr="001C6FE0" w:rsidRDefault="00FC14FC" w:rsidP="00D11B9D">
                  <w:pPr>
                    <w:pStyle w:val="TableUnitsRow"/>
                    <w:jc w:val="left"/>
                    <w:rPr>
                      <w:b/>
                    </w:rPr>
                  </w:pPr>
                  <w:r w:rsidRPr="001C6FE0">
                    <w:rPr>
                      <w:b/>
                    </w:rPr>
                    <w:t xml:space="preserve">Composition of underperformers </w:t>
                  </w:r>
                  <w:r>
                    <w:rPr>
                      <w:b/>
                    </w:rPr>
                    <w:t>(%)</w:t>
                  </w:r>
                </w:p>
              </w:tc>
              <w:tc>
                <w:tcPr>
                  <w:tcW w:w="840" w:type="pct"/>
                  <w:shd w:val="clear" w:color="auto" w:fill="F2F2F2" w:themeFill="background1" w:themeFillShade="F2"/>
                </w:tcPr>
                <w:p w14:paraId="652E7695" w14:textId="77777777" w:rsidR="00FC14FC" w:rsidRDefault="00FC14FC" w:rsidP="00D11B9D">
                  <w:pPr>
                    <w:pStyle w:val="TableBodyText"/>
                    <w:spacing w:before="40"/>
                  </w:pPr>
                </w:p>
              </w:tc>
              <w:tc>
                <w:tcPr>
                  <w:tcW w:w="1091" w:type="pct"/>
                  <w:shd w:val="clear" w:color="auto" w:fill="F2F2F2" w:themeFill="background1" w:themeFillShade="F2"/>
                </w:tcPr>
                <w:p w14:paraId="42880F44" w14:textId="77777777" w:rsidR="00FC14FC" w:rsidRDefault="00FC14FC" w:rsidP="00D11B9D">
                  <w:pPr>
                    <w:pStyle w:val="TableBodyText"/>
                    <w:spacing w:before="40"/>
                  </w:pPr>
                </w:p>
              </w:tc>
              <w:tc>
                <w:tcPr>
                  <w:tcW w:w="636" w:type="pct"/>
                  <w:shd w:val="clear" w:color="auto" w:fill="F2F2F2" w:themeFill="background1" w:themeFillShade="F2"/>
                </w:tcPr>
                <w:p w14:paraId="78BE7512" w14:textId="77777777" w:rsidR="00FC14FC" w:rsidRDefault="00FC14FC" w:rsidP="00D11B9D">
                  <w:pPr>
                    <w:pStyle w:val="TableBodyText"/>
                    <w:spacing w:before="40"/>
                    <w:ind w:right="28"/>
                  </w:pPr>
                </w:p>
              </w:tc>
            </w:tr>
            <w:tr w:rsidR="00FC14FC" w14:paraId="6C1D40BC" w14:textId="77777777" w:rsidTr="00D11B9D">
              <w:tc>
                <w:tcPr>
                  <w:tcW w:w="2433" w:type="pct"/>
                  <w:shd w:val="clear" w:color="auto" w:fill="F2F2F2" w:themeFill="background1" w:themeFillShade="F2"/>
                </w:tcPr>
                <w:p w14:paraId="7AB50070" w14:textId="77777777" w:rsidR="00FC14FC" w:rsidRDefault="00FC14FC" w:rsidP="00D11B9D">
                  <w:pPr>
                    <w:pStyle w:val="TableBodyText"/>
                    <w:jc w:val="left"/>
                  </w:pPr>
                  <w:r>
                    <w:t>Corporate</w:t>
                  </w:r>
                </w:p>
              </w:tc>
              <w:tc>
                <w:tcPr>
                  <w:tcW w:w="840" w:type="pct"/>
                  <w:shd w:val="clear" w:color="auto" w:fill="F2F2F2" w:themeFill="background1" w:themeFillShade="F2"/>
                </w:tcPr>
                <w:p w14:paraId="0CDEC047" w14:textId="77777777" w:rsidR="00FC14FC" w:rsidRDefault="00FC14FC" w:rsidP="00D11B9D">
                  <w:pPr>
                    <w:pStyle w:val="TableBodyText"/>
                  </w:pPr>
                  <w:r>
                    <w:t>17</w:t>
                  </w:r>
                </w:p>
              </w:tc>
              <w:tc>
                <w:tcPr>
                  <w:tcW w:w="1091" w:type="pct"/>
                  <w:shd w:val="clear" w:color="auto" w:fill="F2F2F2" w:themeFill="background1" w:themeFillShade="F2"/>
                </w:tcPr>
                <w:p w14:paraId="5883135F" w14:textId="77777777" w:rsidR="00FC14FC" w:rsidRDefault="00FC14FC" w:rsidP="00D11B9D">
                  <w:pPr>
                    <w:pStyle w:val="TableBodyText"/>
                  </w:pPr>
                  <w:r>
                    <w:t>10</w:t>
                  </w:r>
                </w:p>
              </w:tc>
              <w:tc>
                <w:tcPr>
                  <w:tcW w:w="636" w:type="pct"/>
                  <w:shd w:val="clear" w:color="auto" w:fill="F2F2F2" w:themeFill="background1" w:themeFillShade="F2"/>
                </w:tcPr>
                <w:p w14:paraId="378B0A77" w14:textId="77777777" w:rsidR="00FC14FC" w:rsidRDefault="00FC14FC" w:rsidP="00D11B9D">
                  <w:pPr>
                    <w:pStyle w:val="TableBodyText"/>
                    <w:ind w:right="28"/>
                  </w:pPr>
                  <w:r>
                    <w:t>19</w:t>
                  </w:r>
                </w:p>
              </w:tc>
            </w:tr>
            <w:tr w:rsidR="00FC14FC" w14:paraId="01304112" w14:textId="77777777" w:rsidTr="00D11B9D">
              <w:tc>
                <w:tcPr>
                  <w:tcW w:w="2433" w:type="pct"/>
                  <w:shd w:val="clear" w:color="auto" w:fill="F2F2F2" w:themeFill="background1" w:themeFillShade="F2"/>
                </w:tcPr>
                <w:p w14:paraId="39494D68" w14:textId="77777777" w:rsidR="00FC14FC" w:rsidRDefault="00FC14FC" w:rsidP="00D11B9D">
                  <w:pPr>
                    <w:pStyle w:val="TableBodyText"/>
                    <w:jc w:val="left"/>
                  </w:pPr>
                  <w:r>
                    <w:t>Industry</w:t>
                  </w:r>
                </w:p>
              </w:tc>
              <w:tc>
                <w:tcPr>
                  <w:tcW w:w="840" w:type="pct"/>
                  <w:shd w:val="clear" w:color="auto" w:fill="F2F2F2" w:themeFill="background1" w:themeFillShade="F2"/>
                </w:tcPr>
                <w:p w14:paraId="4C2B51D7" w14:textId="77777777" w:rsidR="00FC14FC" w:rsidRDefault="00FC14FC" w:rsidP="00D11B9D">
                  <w:pPr>
                    <w:pStyle w:val="TableBodyText"/>
                  </w:pPr>
                  <w:r>
                    <w:t>21</w:t>
                  </w:r>
                </w:p>
              </w:tc>
              <w:tc>
                <w:tcPr>
                  <w:tcW w:w="1091" w:type="pct"/>
                  <w:shd w:val="clear" w:color="auto" w:fill="F2F2F2" w:themeFill="background1" w:themeFillShade="F2"/>
                </w:tcPr>
                <w:p w14:paraId="34EF94C0" w14:textId="77777777" w:rsidR="00FC14FC" w:rsidRDefault="00FC14FC" w:rsidP="00D11B9D">
                  <w:pPr>
                    <w:pStyle w:val="TableBodyText"/>
                  </w:pPr>
                  <w:r>
                    <w:t>24</w:t>
                  </w:r>
                </w:p>
              </w:tc>
              <w:tc>
                <w:tcPr>
                  <w:tcW w:w="636" w:type="pct"/>
                  <w:shd w:val="clear" w:color="auto" w:fill="F2F2F2" w:themeFill="background1" w:themeFillShade="F2"/>
                </w:tcPr>
                <w:p w14:paraId="662A55F3" w14:textId="77777777" w:rsidR="00FC14FC" w:rsidRDefault="00FC14FC" w:rsidP="00D11B9D">
                  <w:pPr>
                    <w:pStyle w:val="TableBodyText"/>
                    <w:ind w:right="28"/>
                  </w:pPr>
                  <w:r>
                    <w:t>19</w:t>
                  </w:r>
                </w:p>
              </w:tc>
            </w:tr>
            <w:tr w:rsidR="00FC14FC" w14:paraId="46CDC408" w14:textId="77777777" w:rsidTr="00D11B9D">
              <w:tc>
                <w:tcPr>
                  <w:tcW w:w="2433" w:type="pct"/>
                  <w:shd w:val="clear" w:color="auto" w:fill="F2F2F2" w:themeFill="background1" w:themeFillShade="F2"/>
                </w:tcPr>
                <w:p w14:paraId="333CF155" w14:textId="77777777" w:rsidR="00FC14FC" w:rsidRDefault="00FC14FC" w:rsidP="00D11B9D">
                  <w:pPr>
                    <w:pStyle w:val="TableBodyText"/>
                    <w:jc w:val="left"/>
                  </w:pPr>
                  <w:r>
                    <w:t>Public Sector</w:t>
                  </w:r>
                </w:p>
              </w:tc>
              <w:tc>
                <w:tcPr>
                  <w:tcW w:w="840" w:type="pct"/>
                  <w:shd w:val="clear" w:color="auto" w:fill="F2F2F2" w:themeFill="background1" w:themeFillShade="F2"/>
                </w:tcPr>
                <w:p w14:paraId="440320A6" w14:textId="77777777" w:rsidR="00FC14FC" w:rsidRDefault="00FC14FC" w:rsidP="00D11B9D">
                  <w:pPr>
                    <w:pStyle w:val="TableBodyText"/>
                  </w:pPr>
                  <w:r>
                    <w:t>7</w:t>
                  </w:r>
                </w:p>
              </w:tc>
              <w:tc>
                <w:tcPr>
                  <w:tcW w:w="1091" w:type="pct"/>
                  <w:shd w:val="clear" w:color="auto" w:fill="F2F2F2" w:themeFill="background1" w:themeFillShade="F2"/>
                </w:tcPr>
                <w:p w14:paraId="47084C52" w14:textId="77777777" w:rsidR="00FC14FC" w:rsidRDefault="00FC14FC" w:rsidP="00D11B9D">
                  <w:pPr>
                    <w:pStyle w:val="TableBodyText"/>
                  </w:pPr>
                  <w:r>
                    <w:t>10</w:t>
                  </w:r>
                </w:p>
              </w:tc>
              <w:tc>
                <w:tcPr>
                  <w:tcW w:w="636" w:type="pct"/>
                  <w:shd w:val="clear" w:color="auto" w:fill="F2F2F2" w:themeFill="background1" w:themeFillShade="F2"/>
                </w:tcPr>
                <w:p w14:paraId="2464B703" w14:textId="77777777" w:rsidR="00FC14FC" w:rsidRDefault="00FC14FC" w:rsidP="00D11B9D">
                  <w:pPr>
                    <w:pStyle w:val="TableBodyText"/>
                    <w:ind w:right="28"/>
                  </w:pPr>
                  <w:r>
                    <w:t>7</w:t>
                  </w:r>
                </w:p>
              </w:tc>
            </w:tr>
            <w:tr w:rsidR="00FC14FC" w14:paraId="25AF3D35" w14:textId="77777777" w:rsidTr="00D11B9D">
              <w:tc>
                <w:tcPr>
                  <w:tcW w:w="2433" w:type="pct"/>
                  <w:shd w:val="clear" w:color="auto" w:fill="F2F2F2" w:themeFill="background1" w:themeFillShade="F2"/>
                </w:tcPr>
                <w:p w14:paraId="5EE64DDB" w14:textId="77777777" w:rsidR="00FC14FC" w:rsidRDefault="00FC14FC" w:rsidP="00D11B9D">
                  <w:pPr>
                    <w:pStyle w:val="TableBodyText"/>
                    <w:jc w:val="left"/>
                  </w:pPr>
                  <w:r>
                    <w:t>Retail</w:t>
                  </w:r>
                </w:p>
              </w:tc>
              <w:tc>
                <w:tcPr>
                  <w:tcW w:w="840" w:type="pct"/>
                  <w:shd w:val="clear" w:color="auto" w:fill="F2F2F2" w:themeFill="background1" w:themeFillShade="F2"/>
                </w:tcPr>
                <w:p w14:paraId="4445BA6D" w14:textId="77777777" w:rsidR="00FC14FC" w:rsidRDefault="00FC14FC" w:rsidP="00D11B9D">
                  <w:pPr>
                    <w:pStyle w:val="TableBodyText"/>
                  </w:pPr>
                  <w:r>
                    <w:t>55</w:t>
                  </w:r>
                </w:p>
              </w:tc>
              <w:tc>
                <w:tcPr>
                  <w:tcW w:w="1091" w:type="pct"/>
                  <w:shd w:val="clear" w:color="auto" w:fill="F2F2F2" w:themeFill="background1" w:themeFillShade="F2"/>
                </w:tcPr>
                <w:p w14:paraId="420DC8B4" w14:textId="77777777" w:rsidR="00FC14FC" w:rsidRDefault="00FC14FC" w:rsidP="00D11B9D">
                  <w:pPr>
                    <w:pStyle w:val="TableBodyText"/>
                  </w:pPr>
                  <w:r>
                    <w:t>57</w:t>
                  </w:r>
                </w:p>
              </w:tc>
              <w:tc>
                <w:tcPr>
                  <w:tcW w:w="636" w:type="pct"/>
                  <w:shd w:val="clear" w:color="auto" w:fill="F2F2F2" w:themeFill="background1" w:themeFillShade="F2"/>
                </w:tcPr>
                <w:p w14:paraId="25D98AD1" w14:textId="77777777" w:rsidR="00FC14FC" w:rsidRDefault="00FC14FC" w:rsidP="00D11B9D">
                  <w:pPr>
                    <w:pStyle w:val="TableBodyText"/>
                    <w:ind w:right="28"/>
                  </w:pPr>
                  <w:r>
                    <w:t>56</w:t>
                  </w:r>
                </w:p>
              </w:tc>
            </w:tr>
            <w:tr w:rsidR="00FC14FC" w14:paraId="7F54E5ED" w14:textId="77777777" w:rsidTr="00D11B9D">
              <w:tc>
                <w:tcPr>
                  <w:tcW w:w="5000" w:type="pct"/>
                  <w:gridSpan w:val="4"/>
                  <w:shd w:val="clear" w:color="auto" w:fill="auto"/>
                </w:tcPr>
                <w:p w14:paraId="4ECBE675" w14:textId="77777777" w:rsidR="00FC14FC" w:rsidRDefault="00FC14FC" w:rsidP="00D11B9D">
                  <w:pPr>
                    <w:pStyle w:val="TableBodyText"/>
                    <w:spacing w:before="40"/>
                    <w:ind w:right="28"/>
                    <w:jc w:val="left"/>
                  </w:pPr>
                  <w:r>
                    <w:rPr>
                      <w:b/>
                    </w:rPr>
                    <w:t xml:space="preserve">% of all MySuper products (in each fund type) that are underperforming </w:t>
                  </w:r>
                </w:p>
              </w:tc>
            </w:tr>
            <w:tr w:rsidR="00FC14FC" w14:paraId="755B7C92" w14:textId="77777777" w:rsidTr="00D11B9D">
              <w:tc>
                <w:tcPr>
                  <w:tcW w:w="2433" w:type="pct"/>
                  <w:shd w:val="clear" w:color="auto" w:fill="auto"/>
                </w:tcPr>
                <w:p w14:paraId="7705A39D" w14:textId="77777777" w:rsidR="00FC14FC" w:rsidRDefault="00FC14FC" w:rsidP="00D11B9D">
                  <w:pPr>
                    <w:pStyle w:val="TableBodyText"/>
                    <w:jc w:val="left"/>
                  </w:pPr>
                  <w:r>
                    <w:t>Corporate</w:t>
                  </w:r>
                </w:p>
              </w:tc>
              <w:tc>
                <w:tcPr>
                  <w:tcW w:w="840" w:type="pct"/>
                  <w:shd w:val="clear" w:color="auto" w:fill="auto"/>
                </w:tcPr>
                <w:p w14:paraId="2E62BB3E" w14:textId="77777777" w:rsidR="00FC14FC" w:rsidRDefault="00FC14FC" w:rsidP="00D11B9D">
                  <w:pPr>
                    <w:pStyle w:val="TableBodyText"/>
                  </w:pPr>
                  <w:r>
                    <w:t>45</w:t>
                  </w:r>
                </w:p>
              </w:tc>
              <w:tc>
                <w:tcPr>
                  <w:tcW w:w="1091" w:type="pct"/>
                  <w:shd w:val="clear" w:color="auto" w:fill="auto"/>
                </w:tcPr>
                <w:p w14:paraId="1CB60115" w14:textId="77777777" w:rsidR="00FC14FC" w:rsidRDefault="00FC14FC" w:rsidP="00D11B9D">
                  <w:pPr>
                    <w:pStyle w:val="TableBodyText"/>
                  </w:pPr>
                  <w:r>
                    <w:t>18</w:t>
                  </w:r>
                </w:p>
              </w:tc>
              <w:tc>
                <w:tcPr>
                  <w:tcW w:w="636" w:type="pct"/>
                  <w:shd w:val="clear" w:color="auto" w:fill="auto"/>
                </w:tcPr>
                <w:p w14:paraId="0D544804" w14:textId="77777777" w:rsidR="00FC14FC" w:rsidRDefault="00FC14FC" w:rsidP="00D11B9D">
                  <w:pPr>
                    <w:pStyle w:val="TableBodyText"/>
                    <w:ind w:right="28"/>
                  </w:pPr>
                  <w:r>
                    <w:t>45</w:t>
                  </w:r>
                </w:p>
              </w:tc>
            </w:tr>
            <w:tr w:rsidR="00FC14FC" w14:paraId="6D68A5DF" w14:textId="77777777" w:rsidTr="00D11B9D">
              <w:tc>
                <w:tcPr>
                  <w:tcW w:w="2433" w:type="pct"/>
                  <w:shd w:val="clear" w:color="auto" w:fill="auto"/>
                </w:tcPr>
                <w:p w14:paraId="51C6D2F1" w14:textId="77777777" w:rsidR="00FC14FC" w:rsidRDefault="00FC14FC" w:rsidP="00D11B9D">
                  <w:pPr>
                    <w:pStyle w:val="TableBodyText"/>
                    <w:jc w:val="left"/>
                  </w:pPr>
                  <w:r>
                    <w:t>Industry</w:t>
                  </w:r>
                </w:p>
              </w:tc>
              <w:tc>
                <w:tcPr>
                  <w:tcW w:w="840" w:type="pct"/>
                  <w:shd w:val="clear" w:color="auto" w:fill="auto"/>
                </w:tcPr>
                <w:p w14:paraId="53974296" w14:textId="77777777" w:rsidR="00FC14FC" w:rsidRDefault="00FC14FC" w:rsidP="00D11B9D">
                  <w:pPr>
                    <w:pStyle w:val="TableBodyText"/>
                  </w:pPr>
                  <w:r>
                    <w:t>15</w:t>
                  </w:r>
                </w:p>
              </w:tc>
              <w:tc>
                <w:tcPr>
                  <w:tcW w:w="1091" w:type="pct"/>
                  <w:shd w:val="clear" w:color="auto" w:fill="auto"/>
                </w:tcPr>
                <w:p w14:paraId="6CE268EE" w14:textId="77777777" w:rsidR="00FC14FC" w:rsidRDefault="00FC14FC" w:rsidP="00D11B9D">
                  <w:pPr>
                    <w:pStyle w:val="TableBodyText"/>
                  </w:pPr>
                  <w:r>
                    <w:t>13</w:t>
                  </w:r>
                </w:p>
              </w:tc>
              <w:tc>
                <w:tcPr>
                  <w:tcW w:w="636" w:type="pct"/>
                  <w:shd w:val="clear" w:color="auto" w:fill="auto"/>
                </w:tcPr>
                <w:p w14:paraId="44E056A4" w14:textId="77777777" w:rsidR="00FC14FC" w:rsidRDefault="00FC14FC" w:rsidP="00D11B9D">
                  <w:pPr>
                    <w:pStyle w:val="TableBodyText"/>
                    <w:ind w:right="28"/>
                  </w:pPr>
                  <w:r>
                    <w:t>13</w:t>
                  </w:r>
                </w:p>
              </w:tc>
            </w:tr>
            <w:tr w:rsidR="00FC14FC" w14:paraId="454FE3FD" w14:textId="77777777" w:rsidTr="00D11B9D">
              <w:tc>
                <w:tcPr>
                  <w:tcW w:w="2433" w:type="pct"/>
                  <w:shd w:val="clear" w:color="auto" w:fill="auto"/>
                </w:tcPr>
                <w:p w14:paraId="62B0431C" w14:textId="77777777" w:rsidR="00FC14FC" w:rsidRDefault="00FC14FC" w:rsidP="00D11B9D">
                  <w:pPr>
                    <w:pStyle w:val="TableBodyText"/>
                    <w:jc w:val="left"/>
                  </w:pPr>
                  <w:r>
                    <w:t>Public Sector</w:t>
                  </w:r>
                </w:p>
              </w:tc>
              <w:tc>
                <w:tcPr>
                  <w:tcW w:w="840" w:type="pct"/>
                  <w:shd w:val="clear" w:color="auto" w:fill="auto"/>
                </w:tcPr>
                <w:p w14:paraId="1F0B86FB" w14:textId="77777777" w:rsidR="00FC14FC" w:rsidRDefault="00FC14FC" w:rsidP="00D11B9D">
                  <w:pPr>
                    <w:pStyle w:val="TableBodyText"/>
                  </w:pPr>
                  <w:r>
                    <w:t>22</w:t>
                  </w:r>
                </w:p>
              </w:tc>
              <w:tc>
                <w:tcPr>
                  <w:tcW w:w="1091" w:type="pct"/>
                  <w:shd w:val="clear" w:color="auto" w:fill="auto"/>
                </w:tcPr>
                <w:p w14:paraId="1845FDB0" w14:textId="77777777" w:rsidR="00FC14FC" w:rsidRDefault="00FC14FC" w:rsidP="00D11B9D">
                  <w:pPr>
                    <w:pStyle w:val="TableBodyText"/>
                  </w:pPr>
                  <w:r>
                    <w:t>22</w:t>
                  </w:r>
                </w:p>
              </w:tc>
              <w:tc>
                <w:tcPr>
                  <w:tcW w:w="636" w:type="pct"/>
                  <w:shd w:val="clear" w:color="auto" w:fill="auto"/>
                </w:tcPr>
                <w:p w14:paraId="50220CBF" w14:textId="77777777" w:rsidR="00FC14FC" w:rsidRDefault="00FC14FC" w:rsidP="00D11B9D">
                  <w:pPr>
                    <w:pStyle w:val="TableBodyText"/>
                    <w:ind w:right="28"/>
                  </w:pPr>
                  <w:r>
                    <w:t>22</w:t>
                  </w:r>
                </w:p>
              </w:tc>
            </w:tr>
            <w:tr w:rsidR="00FC14FC" w14:paraId="06F87046" w14:textId="77777777" w:rsidTr="00D11B9D">
              <w:tc>
                <w:tcPr>
                  <w:tcW w:w="2433" w:type="pct"/>
                  <w:tcBorders>
                    <w:bottom w:val="single" w:sz="6" w:space="0" w:color="BFBFBF"/>
                  </w:tcBorders>
                  <w:shd w:val="clear" w:color="auto" w:fill="auto"/>
                </w:tcPr>
                <w:p w14:paraId="24EA2A44" w14:textId="77777777" w:rsidR="00FC14FC" w:rsidRDefault="00FC14FC" w:rsidP="00D11B9D">
                  <w:pPr>
                    <w:pStyle w:val="TableBodyText"/>
                    <w:jc w:val="left"/>
                  </w:pPr>
                  <w:r>
                    <w:t>Retail</w:t>
                  </w:r>
                </w:p>
              </w:tc>
              <w:tc>
                <w:tcPr>
                  <w:tcW w:w="840" w:type="pct"/>
                  <w:tcBorders>
                    <w:bottom w:val="single" w:sz="6" w:space="0" w:color="BFBFBF"/>
                  </w:tcBorders>
                  <w:shd w:val="clear" w:color="auto" w:fill="auto"/>
                </w:tcPr>
                <w:p w14:paraId="466445E0" w14:textId="77777777" w:rsidR="00FC14FC" w:rsidRDefault="00FC14FC" w:rsidP="00D11B9D">
                  <w:pPr>
                    <w:pStyle w:val="TableBodyText"/>
                  </w:pPr>
                  <w:r>
                    <w:t>43</w:t>
                  </w:r>
                </w:p>
              </w:tc>
              <w:tc>
                <w:tcPr>
                  <w:tcW w:w="1091" w:type="pct"/>
                  <w:tcBorders>
                    <w:bottom w:val="single" w:sz="6" w:space="0" w:color="BFBFBF"/>
                  </w:tcBorders>
                  <w:shd w:val="clear" w:color="auto" w:fill="auto"/>
                </w:tcPr>
                <w:p w14:paraId="0FD96DAE" w14:textId="77777777" w:rsidR="00FC14FC" w:rsidRDefault="00FC14FC" w:rsidP="00D11B9D">
                  <w:pPr>
                    <w:pStyle w:val="TableBodyText"/>
                  </w:pPr>
                  <w:r>
                    <w:t>32</w:t>
                  </w:r>
                </w:p>
              </w:tc>
              <w:tc>
                <w:tcPr>
                  <w:tcW w:w="636" w:type="pct"/>
                  <w:tcBorders>
                    <w:bottom w:val="single" w:sz="6" w:space="0" w:color="BFBFBF"/>
                  </w:tcBorders>
                  <w:shd w:val="clear" w:color="auto" w:fill="auto"/>
                </w:tcPr>
                <w:p w14:paraId="235174BE" w14:textId="77777777" w:rsidR="00FC14FC" w:rsidRDefault="00FC14FC" w:rsidP="00D11B9D">
                  <w:pPr>
                    <w:pStyle w:val="TableBodyText"/>
                    <w:ind w:right="28"/>
                  </w:pPr>
                  <w:r>
                    <w:t>41</w:t>
                  </w:r>
                </w:p>
              </w:tc>
            </w:tr>
          </w:tbl>
          <w:p w14:paraId="03F7D957" w14:textId="77777777" w:rsidR="00FC14FC" w:rsidRDefault="00FC14FC" w:rsidP="00D11B9D">
            <w:pPr>
              <w:pStyle w:val="Box"/>
            </w:pPr>
          </w:p>
        </w:tc>
      </w:tr>
      <w:tr w:rsidR="00FC14FC" w14:paraId="03D63BA8" w14:textId="77777777" w:rsidTr="00D11B9D">
        <w:tc>
          <w:tcPr>
            <w:tcW w:w="5000" w:type="pct"/>
            <w:tcBorders>
              <w:top w:val="nil"/>
              <w:left w:val="nil"/>
              <w:bottom w:val="nil"/>
              <w:right w:val="nil"/>
            </w:tcBorders>
            <w:shd w:val="clear" w:color="auto" w:fill="auto"/>
          </w:tcPr>
          <w:p w14:paraId="47CFA413" w14:textId="77777777" w:rsidR="00FC14FC" w:rsidRDefault="00FC14FC" w:rsidP="00D11B9D">
            <w:pPr>
              <w:pStyle w:val="Source"/>
            </w:pPr>
            <w:r>
              <w:rPr>
                <w:i/>
              </w:rPr>
              <w:t>S</w:t>
            </w:r>
            <w:r w:rsidRPr="00784A05">
              <w:rPr>
                <w:i/>
              </w:rPr>
              <w:t>ource</w:t>
            </w:r>
            <w:r>
              <w:rPr>
                <w:i/>
              </w:rPr>
              <w:t>s</w:t>
            </w:r>
            <w:r w:rsidRPr="00176D3F">
              <w:t xml:space="preserve">: </w:t>
            </w:r>
            <w:r>
              <w:rPr>
                <w:rFonts w:asciiTheme="minorHAnsi" w:cstheme="minorBidi"/>
                <w:color w:val="000000" w:themeColor="text1"/>
                <w:kern w:val="24"/>
                <w:szCs w:val="18"/>
              </w:rPr>
              <w:t xml:space="preserve">PC analysis of </w:t>
            </w:r>
            <w:r w:rsidRPr="002D6D85">
              <w:rPr>
                <w:rFonts w:asciiTheme="minorHAnsi" w:cstheme="minorBidi"/>
                <w:color w:val="000000" w:themeColor="text1"/>
                <w:kern w:val="24"/>
                <w:szCs w:val="18"/>
              </w:rPr>
              <w:t>APRA</w:t>
            </w:r>
            <w:r>
              <w:rPr>
                <w:rFonts w:asciiTheme="minorHAnsi" w:cstheme="minorBidi"/>
                <w:color w:val="000000" w:themeColor="text1"/>
                <w:kern w:val="24"/>
                <w:szCs w:val="18"/>
              </w:rPr>
              <w:t xml:space="preserve"> </w:t>
            </w:r>
            <w:r w:rsidRPr="002856AA">
              <w:rPr>
                <w:rFonts w:cs="Arial"/>
              </w:rPr>
              <w:t>(2018b, 2018a)</w:t>
            </w:r>
            <w:r>
              <w:rPr>
                <w:rFonts w:asciiTheme="minorHAnsi" w:cstheme="minorBidi"/>
                <w:color w:val="000000" w:themeColor="text1"/>
                <w:kern w:val="24"/>
                <w:szCs w:val="18"/>
              </w:rPr>
              <w:t>, and financial market index data (various providers).</w:t>
            </w:r>
          </w:p>
        </w:tc>
      </w:tr>
      <w:tr w:rsidR="00FC14FC" w14:paraId="4859263C" w14:textId="77777777" w:rsidTr="00D11B9D">
        <w:tc>
          <w:tcPr>
            <w:tcW w:w="5000" w:type="pct"/>
            <w:tcBorders>
              <w:top w:val="nil"/>
              <w:left w:val="nil"/>
              <w:bottom w:val="single" w:sz="6" w:space="0" w:color="78A22F"/>
              <w:right w:val="nil"/>
            </w:tcBorders>
            <w:shd w:val="clear" w:color="auto" w:fill="auto"/>
          </w:tcPr>
          <w:p w14:paraId="4CBB4BD6" w14:textId="77777777" w:rsidR="00FC14FC" w:rsidRDefault="00FC14FC" w:rsidP="00D11B9D">
            <w:pPr>
              <w:pStyle w:val="Box"/>
              <w:spacing w:before="0" w:line="120" w:lineRule="exact"/>
            </w:pPr>
          </w:p>
        </w:tc>
      </w:tr>
      <w:tr w:rsidR="00FC14FC" w:rsidRPr="000863A5" w14:paraId="2A7DFF35" w14:textId="77777777" w:rsidTr="00D11B9D">
        <w:tc>
          <w:tcPr>
            <w:tcW w:w="5000" w:type="pct"/>
            <w:tcBorders>
              <w:top w:val="single" w:sz="6" w:space="0" w:color="78A22F"/>
              <w:left w:val="nil"/>
              <w:bottom w:val="nil"/>
              <w:right w:val="nil"/>
            </w:tcBorders>
          </w:tcPr>
          <w:p w14:paraId="1F1CAF4E" w14:textId="77777777" w:rsidR="00FC14FC" w:rsidRPr="00626D32" w:rsidRDefault="00FC14FC" w:rsidP="00D11B9D">
            <w:pPr>
              <w:pStyle w:val="BoxSpaceBelow"/>
            </w:pPr>
          </w:p>
        </w:tc>
      </w:tr>
    </w:tbl>
    <w:p w14:paraId="3EB44CC0" w14:textId="77777777" w:rsidR="00FC14FC" w:rsidRDefault="00FC14FC" w:rsidP="00FC14FC">
      <w:pPr>
        <w:pStyle w:val="Heading4"/>
      </w:pPr>
      <w:r>
        <w:t>11</w:t>
      </w:r>
      <w:r>
        <w:noBreakHyphen/>
        <w:t>year analysis</w:t>
      </w:r>
    </w:p>
    <w:p w14:paraId="25F139F1" w14:textId="77777777" w:rsidR="00FC14FC" w:rsidRDefault="00FC14FC" w:rsidP="00FC14FC">
      <w:pPr>
        <w:pStyle w:val="BodyText"/>
      </w:pPr>
      <w:r w:rsidRPr="00387727">
        <w:t>The results from the 1</w:t>
      </w:r>
      <w:r>
        <w:t>1</w:t>
      </w:r>
      <w:r w:rsidRPr="00387727">
        <w:noBreakHyphen/>
        <w:t>year analysis of MySuper products and connected precursors</w:t>
      </w:r>
      <w:r>
        <w:t xml:space="preserve"> (for both a segment</w:t>
      </w:r>
      <w:r>
        <w:noBreakHyphen/>
        <w:t>average BP2 and tailored BP2)</w:t>
      </w:r>
      <w:r w:rsidRPr="00387727">
        <w:t xml:space="preserve"> are</w:t>
      </w:r>
      <w:r>
        <w:t xml:space="preserve"> not sensitive to the tax rate or the treatment of fixed administration fees, but are sensitive to the time period used. A shorter time period of (6 years) nearly doubles the amount of underperforming products </w:t>
      </w:r>
      <w:r w:rsidRPr="00387727">
        <w:t>(table</w:t>
      </w:r>
      <w:r>
        <w:t>s</w:t>
      </w:r>
      <w:r w:rsidRPr="00387727">
        <w:t> 4.</w:t>
      </w:r>
      <w:r>
        <w:t>42 and 4.43</w:t>
      </w:r>
      <w:r w:rsidRPr="00387727">
        <w:t>).</w:t>
      </w:r>
    </w:p>
    <w:p w14:paraId="3248A460" w14:textId="77777777" w:rsidR="00FC14FC" w:rsidRDefault="00FC14FC" w:rsidP="00FC14FC">
      <w:pPr>
        <w:pStyle w:val="BodyText"/>
      </w:pPr>
      <w:r>
        <w:t>The results presented here and in chapter 2 differ slightly from those presented in the supplementary paper released following the draft report. This is because the BP2 used in the supplementary paper did not deduct an asset</w:t>
      </w:r>
      <w:r>
        <w:noBreakHyphen/>
        <w:t>based administration fee. This fee has now been deducted to better align the BP2s with the SuperRatings returns data (which are net of implicit asset</w:t>
      </w:r>
      <w:r>
        <w:noBreakHyphen/>
        <w:t xml:space="preserve">based administration fees). They differ slightly again from those presented in the draft report primarily because of the different tax and custodian cost adjustments. </w:t>
      </w:r>
    </w:p>
    <w:p w14:paraId="27D6B7D7"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444B43EE" w14:textId="77777777" w:rsidTr="00D11B9D">
        <w:tc>
          <w:tcPr>
            <w:tcW w:w="5000" w:type="pct"/>
            <w:tcBorders>
              <w:top w:val="single" w:sz="6" w:space="0" w:color="78A22F"/>
              <w:left w:val="nil"/>
              <w:bottom w:val="nil"/>
              <w:right w:val="nil"/>
            </w:tcBorders>
            <w:shd w:val="clear" w:color="auto" w:fill="auto"/>
          </w:tcPr>
          <w:p w14:paraId="73577916" w14:textId="77777777" w:rsidR="00FC14FC" w:rsidRDefault="00FC14FC" w:rsidP="00D11B9D">
            <w:pPr>
              <w:pStyle w:val="TableTitle"/>
            </w:pPr>
            <w:r>
              <w:rPr>
                <w:b w:val="0"/>
              </w:rPr>
              <w:t>Table 4.42</w:t>
            </w:r>
            <w:r>
              <w:tab/>
              <w:t>MySuper performance: tailored benchmark</w:t>
            </w:r>
            <w:r w:rsidRPr="00A97708" w:rsidDel="00C8378E">
              <w:rPr>
                <w:rStyle w:val="NoteLabel"/>
              </w:rPr>
              <w:t xml:space="preserve">a </w:t>
            </w:r>
          </w:p>
          <w:p w14:paraId="7DCD33DB" w14:textId="77777777" w:rsidR="00FC14FC" w:rsidRPr="00784A05" w:rsidRDefault="00FC14FC" w:rsidP="00D11B9D">
            <w:pPr>
              <w:pStyle w:val="Subtitle"/>
            </w:pPr>
            <w:r>
              <w:t>Sensitivity tests, 2008–2017</w:t>
            </w:r>
          </w:p>
        </w:tc>
      </w:tr>
      <w:tr w:rsidR="00FC14FC" w14:paraId="7BAADB12" w14:textId="77777777" w:rsidTr="00D11B9D">
        <w:tc>
          <w:tcPr>
            <w:tcW w:w="5000" w:type="pct"/>
            <w:tcBorders>
              <w:top w:val="nil"/>
              <w:left w:val="nil"/>
              <w:bottom w:val="nil"/>
              <w:right w:val="nil"/>
            </w:tcBorders>
            <w:shd w:val="clear" w:color="auto" w:fill="auto"/>
          </w:tcPr>
          <w:tbl>
            <w:tblPr>
              <w:tblW w:w="8573" w:type="dxa"/>
              <w:tblCellMar>
                <w:top w:w="28" w:type="dxa"/>
                <w:left w:w="0" w:type="dxa"/>
                <w:right w:w="0" w:type="dxa"/>
              </w:tblCellMar>
              <w:tblLook w:val="0000" w:firstRow="0" w:lastRow="0" w:firstColumn="0" w:lastColumn="0" w:noHBand="0" w:noVBand="0"/>
            </w:tblPr>
            <w:tblGrid>
              <w:gridCol w:w="2158"/>
              <w:gridCol w:w="1631"/>
              <w:gridCol w:w="1600"/>
              <w:gridCol w:w="1559"/>
              <w:gridCol w:w="1625"/>
            </w:tblGrid>
            <w:tr w:rsidR="00FC14FC" w14:paraId="3079BB42" w14:textId="77777777" w:rsidTr="00D11B9D">
              <w:trPr>
                <w:trHeight w:val="359"/>
                <w:tblHeader/>
              </w:trPr>
              <w:tc>
                <w:tcPr>
                  <w:tcW w:w="1259" w:type="pct"/>
                  <w:tcBorders>
                    <w:top w:val="single" w:sz="6" w:space="0" w:color="BFBFBF"/>
                    <w:bottom w:val="single" w:sz="6" w:space="0" w:color="BFBFBF"/>
                  </w:tcBorders>
                  <w:shd w:val="clear" w:color="auto" w:fill="auto"/>
                  <w:tcMar>
                    <w:top w:w="28" w:type="dxa"/>
                  </w:tcMar>
                </w:tcPr>
                <w:p w14:paraId="1679E68B" w14:textId="77777777" w:rsidR="00FC14FC" w:rsidRDefault="00FC14FC" w:rsidP="00D11B9D">
                  <w:pPr>
                    <w:pStyle w:val="TableColumnHeading"/>
                    <w:jc w:val="left"/>
                  </w:pPr>
                </w:p>
              </w:tc>
              <w:tc>
                <w:tcPr>
                  <w:tcW w:w="951" w:type="pct"/>
                  <w:tcBorders>
                    <w:top w:val="single" w:sz="6" w:space="0" w:color="BFBFBF"/>
                    <w:bottom w:val="single" w:sz="6" w:space="0" w:color="BFBFBF"/>
                  </w:tcBorders>
                  <w:shd w:val="clear" w:color="auto" w:fill="auto"/>
                  <w:vAlign w:val="bottom"/>
                </w:tcPr>
                <w:p w14:paraId="5D8E173E" w14:textId="77777777" w:rsidR="00FC14FC" w:rsidRDefault="00FC14FC" w:rsidP="00D11B9D">
                  <w:pPr>
                    <w:pStyle w:val="TableColumnHeading"/>
                  </w:pPr>
                  <w:r>
                    <w:t>Chapter 2</w:t>
                  </w:r>
                </w:p>
              </w:tc>
              <w:tc>
                <w:tcPr>
                  <w:tcW w:w="933" w:type="pct"/>
                  <w:tcBorders>
                    <w:top w:val="single" w:sz="6" w:space="0" w:color="BFBFBF"/>
                    <w:bottom w:val="single" w:sz="6" w:space="0" w:color="BFBFBF"/>
                  </w:tcBorders>
                  <w:vAlign w:val="bottom"/>
                </w:tcPr>
                <w:p w14:paraId="2F1EA0EF" w14:textId="77777777" w:rsidR="00FC14FC" w:rsidRDefault="00FC14FC" w:rsidP="00D11B9D">
                  <w:pPr>
                    <w:pStyle w:val="TableColumnHeading"/>
                  </w:pPr>
                  <w:r>
                    <w:t>6</w:t>
                  </w:r>
                  <w:r>
                    <w:noBreakHyphen/>
                    <w:t>year period (2012–2017)</w:t>
                  </w:r>
                </w:p>
              </w:tc>
              <w:tc>
                <w:tcPr>
                  <w:tcW w:w="909" w:type="pct"/>
                  <w:tcBorders>
                    <w:top w:val="single" w:sz="6" w:space="0" w:color="BFBFBF"/>
                    <w:bottom w:val="single" w:sz="6" w:space="0" w:color="BFBFBF"/>
                  </w:tcBorders>
                  <w:shd w:val="clear" w:color="auto" w:fill="auto"/>
                  <w:tcMar>
                    <w:top w:w="28" w:type="dxa"/>
                  </w:tcMar>
                  <w:vAlign w:val="bottom"/>
                </w:tcPr>
                <w:p w14:paraId="4510AA85" w14:textId="77777777" w:rsidR="00FC14FC" w:rsidRDefault="00FC14FC" w:rsidP="00D11B9D">
                  <w:pPr>
                    <w:pStyle w:val="TableColumnHeading"/>
                  </w:pPr>
                  <w:r>
                    <w:t xml:space="preserve"> Net of fixed admin fees</w:t>
                  </w:r>
                </w:p>
              </w:tc>
              <w:tc>
                <w:tcPr>
                  <w:tcW w:w="948" w:type="pct"/>
                  <w:tcBorders>
                    <w:top w:val="single" w:sz="6" w:space="0" w:color="BFBFBF"/>
                    <w:bottom w:val="single" w:sz="6" w:space="0" w:color="BFBFBF"/>
                  </w:tcBorders>
                  <w:vAlign w:val="bottom"/>
                </w:tcPr>
                <w:p w14:paraId="2B6A84E9" w14:textId="77777777" w:rsidR="00FC14FC" w:rsidRDefault="00FC14FC" w:rsidP="00D11B9D">
                  <w:pPr>
                    <w:pStyle w:val="TableColumnHeading"/>
                    <w:tabs>
                      <w:tab w:val="center" w:pos="1100"/>
                      <w:tab w:val="right" w:pos="2195"/>
                    </w:tabs>
                    <w:ind w:right="28"/>
                  </w:pPr>
                  <w:r>
                    <w:t>7.5% flat tax</w:t>
                  </w:r>
                </w:p>
              </w:tc>
            </w:tr>
            <w:tr w:rsidR="00FC14FC" w14:paraId="434B4030" w14:textId="77777777" w:rsidTr="00D11B9D">
              <w:trPr>
                <w:trHeight w:val="292"/>
              </w:trPr>
              <w:tc>
                <w:tcPr>
                  <w:tcW w:w="5000" w:type="pct"/>
                  <w:gridSpan w:val="5"/>
                  <w:tcBorders>
                    <w:top w:val="single" w:sz="6" w:space="0" w:color="BFBFBF"/>
                  </w:tcBorders>
                  <w:shd w:val="clear" w:color="auto" w:fill="auto"/>
                  <w:vAlign w:val="bottom"/>
                </w:tcPr>
                <w:p w14:paraId="491199EF" w14:textId="77777777" w:rsidR="00FC14FC" w:rsidRDefault="00FC14FC" w:rsidP="00D11B9D">
                  <w:pPr>
                    <w:pStyle w:val="TableUnitsRow"/>
                    <w:ind w:right="28"/>
                    <w:jc w:val="left"/>
                    <w:rPr>
                      <w:b/>
                    </w:rPr>
                  </w:pPr>
                  <w:r>
                    <w:rPr>
                      <w:b/>
                    </w:rPr>
                    <w:t>Products in population by fund type</w:t>
                  </w:r>
                </w:p>
              </w:tc>
            </w:tr>
            <w:tr w:rsidR="00FC14FC" w14:paraId="4ACF60AB" w14:textId="77777777" w:rsidTr="00D11B9D">
              <w:trPr>
                <w:trHeight w:val="255"/>
              </w:trPr>
              <w:tc>
                <w:tcPr>
                  <w:tcW w:w="1259" w:type="pct"/>
                  <w:shd w:val="clear" w:color="auto" w:fill="auto"/>
                  <w:vAlign w:val="bottom"/>
                </w:tcPr>
                <w:p w14:paraId="38EA4D86" w14:textId="77777777" w:rsidR="00FC14FC" w:rsidRDefault="00FC14FC" w:rsidP="00D11B9D">
                  <w:pPr>
                    <w:pStyle w:val="TableBodyText"/>
                    <w:jc w:val="left"/>
                  </w:pPr>
                  <w:r>
                    <w:t>Corporate</w:t>
                  </w:r>
                </w:p>
              </w:tc>
              <w:tc>
                <w:tcPr>
                  <w:tcW w:w="951" w:type="pct"/>
                  <w:shd w:val="clear" w:color="auto" w:fill="auto"/>
                  <w:vAlign w:val="bottom"/>
                </w:tcPr>
                <w:p w14:paraId="0FACF097" w14:textId="77777777" w:rsidR="00FC14FC" w:rsidRDefault="00FC14FC" w:rsidP="00D11B9D">
                  <w:pPr>
                    <w:pStyle w:val="TableBodyText"/>
                  </w:pPr>
                  <w:r>
                    <w:t>13</w:t>
                  </w:r>
                </w:p>
              </w:tc>
              <w:tc>
                <w:tcPr>
                  <w:tcW w:w="933" w:type="pct"/>
                  <w:vAlign w:val="bottom"/>
                </w:tcPr>
                <w:p w14:paraId="78967B56" w14:textId="77777777" w:rsidR="00FC14FC" w:rsidRDefault="00FC14FC" w:rsidP="00D11B9D">
                  <w:pPr>
                    <w:pStyle w:val="TableBodyText"/>
                  </w:pPr>
                  <w:r>
                    <w:t>13</w:t>
                  </w:r>
                </w:p>
              </w:tc>
              <w:tc>
                <w:tcPr>
                  <w:tcW w:w="909" w:type="pct"/>
                  <w:shd w:val="clear" w:color="auto" w:fill="auto"/>
                  <w:vAlign w:val="bottom"/>
                </w:tcPr>
                <w:p w14:paraId="40069212" w14:textId="77777777" w:rsidR="00FC14FC" w:rsidRDefault="00FC14FC" w:rsidP="00D11B9D">
                  <w:pPr>
                    <w:pStyle w:val="TableBodyText"/>
                  </w:pPr>
                  <w:r>
                    <w:t>13</w:t>
                  </w:r>
                </w:p>
              </w:tc>
              <w:tc>
                <w:tcPr>
                  <w:tcW w:w="948" w:type="pct"/>
                  <w:vAlign w:val="bottom"/>
                </w:tcPr>
                <w:p w14:paraId="571E91E2" w14:textId="77777777" w:rsidR="00FC14FC" w:rsidRDefault="00FC14FC" w:rsidP="00D11B9D">
                  <w:pPr>
                    <w:pStyle w:val="TableBodyText"/>
                    <w:ind w:right="28"/>
                  </w:pPr>
                  <w:r>
                    <w:t>13</w:t>
                  </w:r>
                </w:p>
              </w:tc>
            </w:tr>
            <w:tr w:rsidR="00FC14FC" w14:paraId="11ADEAFB" w14:textId="77777777" w:rsidTr="00D11B9D">
              <w:trPr>
                <w:trHeight w:val="255"/>
              </w:trPr>
              <w:tc>
                <w:tcPr>
                  <w:tcW w:w="1259" w:type="pct"/>
                  <w:shd w:val="clear" w:color="auto" w:fill="auto"/>
                  <w:vAlign w:val="bottom"/>
                </w:tcPr>
                <w:p w14:paraId="10BC6A99" w14:textId="77777777" w:rsidR="00FC14FC" w:rsidRDefault="00FC14FC" w:rsidP="00D11B9D">
                  <w:pPr>
                    <w:pStyle w:val="TableBodyText"/>
                    <w:jc w:val="left"/>
                  </w:pPr>
                  <w:r>
                    <w:t>Industry</w:t>
                  </w:r>
                </w:p>
              </w:tc>
              <w:tc>
                <w:tcPr>
                  <w:tcW w:w="951" w:type="pct"/>
                  <w:shd w:val="clear" w:color="auto" w:fill="auto"/>
                  <w:vAlign w:val="bottom"/>
                </w:tcPr>
                <w:p w14:paraId="27522755" w14:textId="77777777" w:rsidR="00FC14FC" w:rsidRDefault="00FC14FC" w:rsidP="00D11B9D">
                  <w:pPr>
                    <w:pStyle w:val="TableBodyText"/>
                  </w:pPr>
                  <w:r>
                    <w:t>39</w:t>
                  </w:r>
                </w:p>
              </w:tc>
              <w:tc>
                <w:tcPr>
                  <w:tcW w:w="933" w:type="pct"/>
                  <w:vAlign w:val="bottom"/>
                </w:tcPr>
                <w:p w14:paraId="15BBA0C1" w14:textId="77777777" w:rsidR="00FC14FC" w:rsidRDefault="00FC14FC" w:rsidP="00D11B9D">
                  <w:pPr>
                    <w:pStyle w:val="TableBodyText"/>
                  </w:pPr>
                  <w:r>
                    <w:t>39</w:t>
                  </w:r>
                </w:p>
              </w:tc>
              <w:tc>
                <w:tcPr>
                  <w:tcW w:w="909" w:type="pct"/>
                  <w:shd w:val="clear" w:color="auto" w:fill="auto"/>
                  <w:vAlign w:val="bottom"/>
                </w:tcPr>
                <w:p w14:paraId="5A12BA6B" w14:textId="77777777" w:rsidR="00FC14FC" w:rsidRDefault="00FC14FC" w:rsidP="00D11B9D">
                  <w:pPr>
                    <w:pStyle w:val="TableBodyText"/>
                  </w:pPr>
                  <w:r>
                    <w:t>39</w:t>
                  </w:r>
                </w:p>
              </w:tc>
              <w:tc>
                <w:tcPr>
                  <w:tcW w:w="948" w:type="pct"/>
                  <w:vAlign w:val="bottom"/>
                </w:tcPr>
                <w:p w14:paraId="1B867E74" w14:textId="77777777" w:rsidR="00FC14FC" w:rsidRDefault="00FC14FC" w:rsidP="00D11B9D">
                  <w:pPr>
                    <w:pStyle w:val="TableBodyText"/>
                    <w:ind w:right="28"/>
                  </w:pPr>
                  <w:r>
                    <w:t>39</w:t>
                  </w:r>
                </w:p>
              </w:tc>
            </w:tr>
            <w:tr w:rsidR="00FC14FC" w14:paraId="38F1BA57" w14:textId="77777777" w:rsidTr="00D11B9D">
              <w:trPr>
                <w:trHeight w:val="255"/>
              </w:trPr>
              <w:tc>
                <w:tcPr>
                  <w:tcW w:w="1259" w:type="pct"/>
                  <w:shd w:val="clear" w:color="auto" w:fill="auto"/>
                  <w:vAlign w:val="bottom"/>
                </w:tcPr>
                <w:p w14:paraId="581C538F" w14:textId="77777777" w:rsidR="00FC14FC" w:rsidRDefault="00FC14FC" w:rsidP="00D11B9D">
                  <w:pPr>
                    <w:pStyle w:val="TableBodyText"/>
                    <w:jc w:val="left"/>
                  </w:pPr>
                  <w:r>
                    <w:t>Public Sector</w:t>
                  </w:r>
                </w:p>
              </w:tc>
              <w:tc>
                <w:tcPr>
                  <w:tcW w:w="951" w:type="pct"/>
                  <w:shd w:val="clear" w:color="auto" w:fill="auto"/>
                  <w:vAlign w:val="bottom"/>
                </w:tcPr>
                <w:p w14:paraId="51BE6D84" w14:textId="77777777" w:rsidR="00FC14FC" w:rsidRDefault="00FC14FC" w:rsidP="00D11B9D">
                  <w:pPr>
                    <w:pStyle w:val="TableBodyText"/>
                  </w:pPr>
                  <w:r>
                    <w:t>12</w:t>
                  </w:r>
                </w:p>
              </w:tc>
              <w:tc>
                <w:tcPr>
                  <w:tcW w:w="933" w:type="pct"/>
                  <w:vAlign w:val="bottom"/>
                </w:tcPr>
                <w:p w14:paraId="117C2F42" w14:textId="77777777" w:rsidR="00FC14FC" w:rsidRDefault="00FC14FC" w:rsidP="00D11B9D">
                  <w:pPr>
                    <w:pStyle w:val="TableBodyText"/>
                  </w:pPr>
                  <w:r>
                    <w:t>12</w:t>
                  </w:r>
                </w:p>
              </w:tc>
              <w:tc>
                <w:tcPr>
                  <w:tcW w:w="909" w:type="pct"/>
                  <w:shd w:val="clear" w:color="auto" w:fill="auto"/>
                  <w:vAlign w:val="bottom"/>
                </w:tcPr>
                <w:p w14:paraId="642DA355" w14:textId="77777777" w:rsidR="00FC14FC" w:rsidRDefault="00FC14FC" w:rsidP="00D11B9D">
                  <w:pPr>
                    <w:pStyle w:val="TableBodyText"/>
                  </w:pPr>
                  <w:r>
                    <w:t>12</w:t>
                  </w:r>
                </w:p>
              </w:tc>
              <w:tc>
                <w:tcPr>
                  <w:tcW w:w="948" w:type="pct"/>
                  <w:vAlign w:val="bottom"/>
                </w:tcPr>
                <w:p w14:paraId="45DFE219" w14:textId="77777777" w:rsidR="00FC14FC" w:rsidRDefault="00FC14FC" w:rsidP="00D11B9D">
                  <w:pPr>
                    <w:pStyle w:val="TableBodyText"/>
                    <w:ind w:right="28"/>
                  </w:pPr>
                  <w:r>
                    <w:t>12</w:t>
                  </w:r>
                </w:p>
              </w:tc>
            </w:tr>
            <w:tr w:rsidR="00FC14FC" w14:paraId="3A6F9096" w14:textId="77777777" w:rsidTr="00D11B9D">
              <w:trPr>
                <w:trHeight w:val="245"/>
              </w:trPr>
              <w:tc>
                <w:tcPr>
                  <w:tcW w:w="1259" w:type="pct"/>
                  <w:shd w:val="clear" w:color="auto" w:fill="auto"/>
                  <w:vAlign w:val="bottom"/>
                </w:tcPr>
                <w:p w14:paraId="2C866C9B" w14:textId="77777777" w:rsidR="00FC14FC" w:rsidRDefault="00FC14FC" w:rsidP="00D11B9D">
                  <w:pPr>
                    <w:pStyle w:val="TableBodyText"/>
                    <w:jc w:val="left"/>
                  </w:pPr>
                  <w:r>
                    <w:t>Retail</w:t>
                  </w:r>
                </w:p>
              </w:tc>
              <w:tc>
                <w:tcPr>
                  <w:tcW w:w="951" w:type="pct"/>
                  <w:shd w:val="clear" w:color="auto" w:fill="auto"/>
                  <w:vAlign w:val="bottom"/>
                </w:tcPr>
                <w:p w14:paraId="3C013759" w14:textId="77777777" w:rsidR="00FC14FC" w:rsidRDefault="00FC14FC" w:rsidP="00D11B9D">
                  <w:pPr>
                    <w:pStyle w:val="TableBodyText"/>
                  </w:pPr>
                  <w:r>
                    <w:t>41</w:t>
                  </w:r>
                </w:p>
              </w:tc>
              <w:tc>
                <w:tcPr>
                  <w:tcW w:w="933" w:type="pct"/>
                  <w:vAlign w:val="bottom"/>
                </w:tcPr>
                <w:p w14:paraId="15B51E49" w14:textId="77777777" w:rsidR="00FC14FC" w:rsidRDefault="00FC14FC" w:rsidP="00D11B9D">
                  <w:pPr>
                    <w:pStyle w:val="TableBodyText"/>
                  </w:pPr>
                  <w:r>
                    <w:t>41</w:t>
                  </w:r>
                </w:p>
              </w:tc>
              <w:tc>
                <w:tcPr>
                  <w:tcW w:w="909" w:type="pct"/>
                  <w:shd w:val="clear" w:color="auto" w:fill="auto"/>
                  <w:vAlign w:val="bottom"/>
                </w:tcPr>
                <w:p w14:paraId="60579EE6" w14:textId="77777777" w:rsidR="00FC14FC" w:rsidRDefault="00FC14FC" w:rsidP="00D11B9D">
                  <w:pPr>
                    <w:pStyle w:val="TableBodyText"/>
                  </w:pPr>
                  <w:r>
                    <w:t>41</w:t>
                  </w:r>
                </w:p>
              </w:tc>
              <w:tc>
                <w:tcPr>
                  <w:tcW w:w="948" w:type="pct"/>
                  <w:vAlign w:val="bottom"/>
                </w:tcPr>
                <w:p w14:paraId="1C77C93B" w14:textId="77777777" w:rsidR="00FC14FC" w:rsidRDefault="00FC14FC" w:rsidP="00D11B9D">
                  <w:pPr>
                    <w:pStyle w:val="TableBodyText"/>
                    <w:ind w:right="28"/>
                  </w:pPr>
                  <w:r>
                    <w:t>41</w:t>
                  </w:r>
                </w:p>
              </w:tc>
            </w:tr>
            <w:tr w:rsidR="00FC14FC" w14:paraId="4982E4FA" w14:textId="77777777" w:rsidTr="00D11B9D">
              <w:trPr>
                <w:trHeight w:val="510"/>
              </w:trPr>
              <w:tc>
                <w:tcPr>
                  <w:tcW w:w="5000" w:type="pct"/>
                  <w:gridSpan w:val="5"/>
                  <w:shd w:val="clear" w:color="auto" w:fill="F2F2F2" w:themeFill="background1" w:themeFillShade="F2"/>
                  <w:vAlign w:val="bottom"/>
                </w:tcPr>
                <w:p w14:paraId="650A8E27" w14:textId="77777777" w:rsidR="00FC14FC" w:rsidRDefault="00FC14FC" w:rsidP="00D11B9D">
                  <w:pPr>
                    <w:pStyle w:val="TableBodyText"/>
                    <w:spacing w:before="40"/>
                    <w:ind w:left="1440" w:right="28" w:hanging="1434"/>
                    <w:jc w:val="left"/>
                    <w:rPr>
                      <w:b/>
                    </w:rPr>
                  </w:pPr>
                  <w:r>
                    <w:rPr>
                      <w:b/>
                    </w:rPr>
                    <w:t>Products in sample by fund type</w:t>
                  </w:r>
                </w:p>
                <w:p w14:paraId="60FC48D4" w14:textId="77777777" w:rsidR="00FC14FC" w:rsidRDefault="00FC14FC" w:rsidP="00D11B9D">
                  <w:pPr>
                    <w:pStyle w:val="TableBodyText"/>
                    <w:ind w:left="1440" w:right="28" w:hanging="1434"/>
                    <w:jc w:val="left"/>
                    <w:rPr>
                      <w:b/>
                    </w:rPr>
                  </w:pPr>
                  <w:r>
                    <w:t>Percentage of fund</w:t>
                  </w:r>
                  <w:r>
                    <w:noBreakHyphen/>
                    <w:t>type population (number of funds)</w:t>
                  </w:r>
                </w:p>
              </w:tc>
            </w:tr>
            <w:tr w:rsidR="00FC14FC" w14:paraId="358721BA" w14:textId="77777777" w:rsidTr="00D11B9D">
              <w:trPr>
                <w:trHeight w:val="255"/>
              </w:trPr>
              <w:tc>
                <w:tcPr>
                  <w:tcW w:w="1259" w:type="pct"/>
                  <w:shd w:val="clear" w:color="auto" w:fill="F2F2F2" w:themeFill="background1" w:themeFillShade="F2"/>
                  <w:vAlign w:val="bottom"/>
                </w:tcPr>
                <w:p w14:paraId="3D971D3E" w14:textId="77777777" w:rsidR="00FC14FC" w:rsidRDefault="00FC14FC" w:rsidP="00D11B9D">
                  <w:pPr>
                    <w:pStyle w:val="TableBodyText"/>
                    <w:jc w:val="left"/>
                  </w:pPr>
                  <w:r>
                    <w:t>Corporate</w:t>
                  </w:r>
                </w:p>
              </w:tc>
              <w:tc>
                <w:tcPr>
                  <w:tcW w:w="951" w:type="pct"/>
                  <w:shd w:val="clear" w:color="auto" w:fill="F2F2F2" w:themeFill="background1" w:themeFillShade="F2"/>
                  <w:vAlign w:val="bottom"/>
                </w:tcPr>
                <w:p w14:paraId="6949A5DE" w14:textId="77777777" w:rsidR="00FC14FC" w:rsidRDefault="00FC14FC" w:rsidP="00D11B9D">
                  <w:pPr>
                    <w:pStyle w:val="TableBodyText"/>
                  </w:pPr>
                  <w:r>
                    <w:t>23 (3)</w:t>
                  </w:r>
                </w:p>
              </w:tc>
              <w:tc>
                <w:tcPr>
                  <w:tcW w:w="933" w:type="pct"/>
                  <w:shd w:val="clear" w:color="auto" w:fill="F2F2F2" w:themeFill="background1" w:themeFillShade="F2"/>
                  <w:vAlign w:val="bottom"/>
                </w:tcPr>
                <w:p w14:paraId="496D2764" w14:textId="77777777" w:rsidR="00FC14FC" w:rsidRDefault="00FC14FC" w:rsidP="00D11B9D">
                  <w:pPr>
                    <w:pStyle w:val="TableBodyText"/>
                  </w:pPr>
                  <w:r>
                    <w:t>23 (3)</w:t>
                  </w:r>
                </w:p>
              </w:tc>
              <w:tc>
                <w:tcPr>
                  <w:tcW w:w="909" w:type="pct"/>
                  <w:shd w:val="clear" w:color="auto" w:fill="F2F2F2" w:themeFill="background1" w:themeFillShade="F2"/>
                  <w:vAlign w:val="bottom"/>
                </w:tcPr>
                <w:p w14:paraId="7B8CF6D3" w14:textId="77777777" w:rsidR="00FC14FC" w:rsidRDefault="00FC14FC" w:rsidP="00D11B9D">
                  <w:pPr>
                    <w:pStyle w:val="TableBodyText"/>
                  </w:pPr>
                  <w:r>
                    <w:t>23 (3)</w:t>
                  </w:r>
                </w:p>
              </w:tc>
              <w:tc>
                <w:tcPr>
                  <w:tcW w:w="948" w:type="pct"/>
                  <w:shd w:val="clear" w:color="auto" w:fill="F2F2F2" w:themeFill="background1" w:themeFillShade="F2"/>
                  <w:vAlign w:val="bottom"/>
                </w:tcPr>
                <w:p w14:paraId="69E5F223" w14:textId="77777777" w:rsidR="00FC14FC" w:rsidRDefault="00FC14FC" w:rsidP="00D11B9D">
                  <w:pPr>
                    <w:pStyle w:val="TableBodyText"/>
                    <w:ind w:right="28"/>
                  </w:pPr>
                  <w:r>
                    <w:t>23 (3)</w:t>
                  </w:r>
                </w:p>
              </w:tc>
            </w:tr>
            <w:tr w:rsidR="00FC14FC" w14:paraId="1596C83E" w14:textId="77777777" w:rsidTr="00D11B9D">
              <w:trPr>
                <w:trHeight w:val="245"/>
              </w:trPr>
              <w:tc>
                <w:tcPr>
                  <w:tcW w:w="1259" w:type="pct"/>
                  <w:shd w:val="clear" w:color="auto" w:fill="F2F2F2" w:themeFill="background1" w:themeFillShade="F2"/>
                  <w:vAlign w:val="bottom"/>
                </w:tcPr>
                <w:p w14:paraId="1C259D76" w14:textId="77777777" w:rsidR="00FC14FC" w:rsidRDefault="00FC14FC" w:rsidP="00D11B9D">
                  <w:pPr>
                    <w:pStyle w:val="TableBodyText"/>
                    <w:jc w:val="left"/>
                  </w:pPr>
                  <w:r>
                    <w:t>Industry</w:t>
                  </w:r>
                </w:p>
              </w:tc>
              <w:tc>
                <w:tcPr>
                  <w:tcW w:w="951" w:type="pct"/>
                  <w:shd w:val="clear" w:color="auto" w:fill="F2F2F2" w:themeFill="background1" w:themeFillShade="F2"/>
                  <w:vAlign w:val="bottom"/>
                </w:tcPr>
                <w:p w14:paraId="6A1676E1" w14:textId="77777777" w:rsidR="00FC14FC" w:rsidRDefault="00FC14FC" w:rsidP="00D11B9D">
                  <w:pPr>
                    <w:pStyle w:val="TableBodyText"/>
                  </w:pPr>
                  <w:r>
                    <w:t>77 (30)</w:t>
                  </w:r>
                </w:p>
              </w:tc>
              <w:tc>
                <w:tcPr>
                  <w:tcW w:w="933" w:type="pct"/>
                  <w:shd w:val="clear" w:color="auto" w:fill="F2F2F2" w:themeFill="background1" w:themeFillShade="F2"/>
                  <w:vAlign w:val="bottom"/>
                </w:tcPr>
                <w:p w14:paraId="7ADB8CB9" w14:textId="77777777" w:rsidR="00FC14FC" w:rsidRDefault="00FC14FC" w:rsidP="00D11B9D">
                  <w:pPr>
                    <w:pStyle w:val="TableBodyText"/>
                  </w:pPr>
                  <w:r>
                    <w:t>77 (30)</w:t>
                  </w:r>
                </w:p>
              </w:tc>
              <w:tc>
                <w:tcPr>
                  <w:tcW w:w="909" w:type="pct"/>
                  <w:shd w:val="clear" w:color="auto" w:fill="F2F2F2" w:themeFill="background1" w:themeFillShade="F2"/>
                  <w:vAlign w:val="bottom"/>
                </w:tcPr>
                <w:p w14:paraId="53B28021" w14:textId="77777777" w:rsidR="00FC14FC" w:rsidRDefault="00FC14FC" w:rsidP="00D11B9D">
                  <w:pPr>
                    <w:pStyle w:val="TableBodyText"/>
                  </w:pPr>
                  <w:r>
                    <w:t>77 (30)</w:t>
                  </w:r>
                </w:p>
              </w:tc>
              <w:tc>
                <w:tcPr>
                  <w:tcW w:w="948" w:type="pct"/>
                  <w:shd w:val="clear" w:color="auto" w:fill="F2F2F2" w:themeFill="background1" w:themeFillShade="F2"/>
                  <w:vAlign w:val="bottom"/>
                </w:tcPr>
                <w:p w14:paraId="01EA53A0" w14:textId="77777777" w:rsidR="00FC14FC" w:rsidRDefault="00FC14FC" w:rsidP="00D11B9D">
                  <w:pPr>
                    <w:pStyle w:val="TableBodyText"/>
                    <w:ind w:right="28"/>
                  </w:pPr>
                  <w:r>
                    <w:t>77 (30)</w:t>
                  </w:r>
                </w:p>
              </w:tc>
            </w:tr>
            <w:tr w:rsidR="00FC14FC" w14:paraId="1ED237F4" w14:textId="77777777" w:rsidTr="00D11B9D">
              <w:trPr>
                <w:trHeight w:val="255"/>
              </w:trPr>
              <w:tc>
                <w:tcPr>
                  <w:tcW w:w="1259" w:type="pct"/>
                  <w:shd w:val="clear" w:color="auto" w:fill="F2F2F2" w:themeFill="background1" w:themeFillShade="F2"/>
                  <w:vAlign w:val="bottom"/>
                </w:tcPr>
                <w:p w14:paraId="548C9EF5" w14:textId="77777777" w:rsidR="00FC14FC" w:rsidRDefault="00FC14FC" w:rsidP="00D11B9D">
                  <w:pPr>
                    <w:pStyle w:val="TableBodyText"/>
                    <w:jc w:val="left"/>
                  </w:pPr>
                  <w:r>
                    <w:t>Public Sector</w:t>
                  </w:r>
                </w:p>
              </w:tc>
              <w:tc>
                <w:tcPr>
                  <w:tcW w:w="951" w:type="pct"/>
                  <w:shd w:val="clear" w:color="auto" w:fill="F2F2F2" w:themeFill="background1" w:themeFillShade="F2"/>
                  <w:vAlign w:val="bottom"/>
                </w:tcPr>
                <w:p w14:paraId="31BB02D5" w14:textId="77777777" w:rsidR="00FC14FC" w:rsidRDefault="00FC14FC" w:rsidP="00D11B9D">
                  <w:pPr>
                    <w:pStyle w:val="TableBodyText"/>
                  </w:pPr>
                  <w:r>
                    <w:t>58 (7)</w:t>
                  </w:r>
                </w:p>
              </w:tc>
              <w:tc>
                <w:tcPr>
                  <w:tcW w:w="933" w:type="pct"/>
                  <w:shd w:val="clear" w:color="auto" w:fill="F2F2F2" w:themeFill="background1" w:themeFillShade="F2"/>
                  <w:vAlign w:val="bottom"/>
                </w:tcPr>
                <w:p w14:paraId="6E687972" w14:textId="77777777" w:rsidR="00FC14FC" w:rsidRDefault="00FC14FC" w:rsidP="00D11B9D">
                  <w:pPr>
                    <w:pStyle w:val="TableBodyText"/>
                  </w:pPr>
                  <w:r>
                    <w:t>58 (7)</w:t>
                  </w:r>
                </w:p>
              </w:tc>
              <w:tc>
                <w:tcPr>
                  <w:tcW w:w="909" w:type="pct"/>
                  <w:shd w:val="clear" w:color="auto" w:fill="F2F2F2" w:themeFill="background1" w:themeFillShade="F2"/>
                  <w:vAlign w:val="bottom"/>
                </w:tcPr>
                <w:p w14:paraId="390802F9" w14:textId="77777777" w:rsidR="00FC14FC" w:rsidRDefault="00FC14FC" w:rsidP="00D11B9D">
                  <w:pPr>
                    <w:pStyle w:val="TableBodyText"/>
                  </w:pPr>
                  <w:r>
                    <w:t>58 (7)</w:t>
                  </w:r>
                </w:p>
              </w:tc>
              <w:tc>
                <w:tcPr>
                  <w:tcW w:w="948" w:type="pct"/>
                  <w:shd w:val="clear" w:color="auto" w:fill="F2F2F2" w:themeFill="background1" w:themeFillShade="F2"/>
                  <w:vAlign w:val="bottom"/>
                </w:tcPr>
                <w:p w14:paraId="0366EE57" w14:textId="77777777" w:rsidR="00FC14FC" w:rsidRDefault="00FC14FC" w:rsidP="00D11B9D">
                  <w:pPr>
                    <w:pStyle w:val="TableBodyText"/>
                    <w:ind w:right="28"/>
                  </w:pPr>
                  <w:r>
                    <w:t>58 (7)</w:t>
                  </w:r>
                </w:p>
              </w:tc>
            </w:tr>
            <w:tr w:rsidR="00FC14FC" w14:paraId="3C79DBEC" w14:textId="77777777" w:rsidTr="00D11B9D">
              <w:trPr>
                <w:trHeight w:val="255"/>
              </w:trPr>
              <w:tc>
                <w:tcPr>
                  <w:tcW w:w="1259" w:type="pct"/>
                  <w:shd w:val="clear" w:color="auto" w:fill="F2F2F2" w:themeFill="background1" w:themeFillShade="F2"/>
                  <w:vAlign w:val="bottom"/>
                </w:tcPr>
                <w:p w14:paraId="01B955E6" w14:textId="77777777" w:rsidR="00FC14FC" w:rsidRDefault="00FC14FC" w:rsidP="00D11B9D">
                  <w:pPr>
                    <w:pStyle w:val="TableBodyText"/>
                    <w:jc w:val="left"/>
                  </w:pPr>
                  <w:r>
                    <w:t>Retail</w:t>
                  </w:r>
                </w:p>
              </w:tc>
              <w:tc>
                <w:tcPr>
                  <w:tcW w:w="951" w:type="pct"/>
                  <w:shd w:val="clear" w:color="auto" w:fill="F2F2F2" w:themeFill="background1" w:themeFillShade="F2"/>
                  <w:vAlign w:val="bottom"/>
                </w:tcPr>
                <w:p w14:paraId="3E210C41" w14:textId="77777777" w:rsidR="00FC14FC" w:rsidRDefault="00FC14FC" w:rsidP="00D11B9D">
                  <w:pPr>
                    <w:pStyle w:val="TableBodyText"/>
                  </w:pPr>
                  <w:r>
                    <w:t>32 (13)</w:t>
                  </w:r>
                </w:p>
              </w:tc>
              <w:tc>
                <w:tcPr>
                  <w:tcW w:w="933" w:type="pct"/>
                  <w:shd w:val="clear" w:color="auto" w:fill="F2F2F2" w:themeFill="background1" w:themeFillShade="F2"/>
                  <w:vAlign w:val="bottom"/>
                </w:tcPr>
                <w:p w14:paraId="14E00032" w14:textId="77777777" w:rsidR="00FC14FC" w:rsidRDefault="00FC14FC" w:rsidP="00D11B9D">
                  <w:pPr>
                    <w:pStyle w:val="TableBodyText"/>
                  </w:pPr>
                  <w:r>
                    <w:t>32 (13)</w:t>
                  </w:r>
                </w:p>
              </w:tc>
              <w:tc>
                <w:tcPr>
                  <w:tcW w:w="909" w:type="pct"/>
                  <w:shd w:val="clear" w:color="auto" w:fill="F2F2F2" w:themeFill="background1" w:themeFillShade="F2"/>
                  <w:vAlign w:val="bottom"/>
                </w:tcPr>
                <w:p w14:paraId="70743BD4" w14:textId="77777777" w:rsidR="00FC14FC" w:rsidRDefault="00FC14FC" w:rsidP="00D11B9D">
                  <w:pPr>
                    <w:pStyle w:val="TableBodyText"/>
                  </w:pPr>
                  <w:r>
                    <w:t>32 (13)</w:t>
                  </w:r>
                </w:p>
              </w:tc>
              <w:tc>
                <w:tcPr>
                  <w:tcW w:w="948" w:type="pct"/>
                  <w:shd w:val="clear" w:color="auto" w:fill="F2F2F2" w:themeFill="background1" w:themeFillShade="F2"/>
                  <w:vAlign w:val="bottom"/>
                </w:tcPr>
                <w:p w14:paraId="362820AA" w14:textId="77777777" w:rsidR="00FC14FC" w:rsidRDefault="00FC14FC" w:rsidP="00D11B9D">
                  <w:pPr>
                    <w:pStyle w:val="TableBodyText"/>
                    <w:ind w:right="28"/>
                  </w:pPr>
                  <w:r>
                    <w:t>32 (13)</w:t>
                  </w:r>
                </w:p>
              </w:tc>
            </w:tr>
            <w:tr w:rsidR="00FC14FC" w14:paraId="2BC68584" w14:textId="77777777" w:rsidTr="00D11B9D">
              <w:trPr>
                <w:trHeight w:val="292"/>
              </w:trPr>
              <w:tc>
                <w:tcPr>
                  <w:tcW w:w="4052" w:type="pct"/>
                  <w:gridSpan w:val="4"/>
                  <w:shd w:val="clear" w:color="auto" w:fill="auto"/>
                  <w:vAlign w:val="bottom"/>
                </w:tcPr>
                <w:p w14:paraId="29F6AF1F" w14:textId="77777777" w:rsidR="00FC14FC" w:rsidRPr="00270413" w:rsidRDefault="00FC14FC" w:rsidP="00D11B9D">
                  <w:pPr>
                    <w:pStyle w:val="TableUnitsRow"/>
                    <w:jc w:val="left"/>
                    <w:rPr>
                      <w:b/>
                    </w:rPr>
                  </w:pPr>
                  <w:r w:rsidRPr="00270413">
                    <w:rPr>
                      <w:b/>
                    </w:rPr>
                    <w:t>Products performing above BP2</w:t>
                  </w:r>
                </w:p>
              </w:tc>
              <w:tc>
                <w:tcPr>
                  <w:tcW w:w="948" w:type="pct"/>
                </w:tcPr>
                <w:p w14:paraId="77A90F8D" w14:textId="77777777" w:rsidR="00FC14FC" w:rsidRDefault="00FC14FC" w:rsidP="00D11B9D">
                  <w:pPr>
                    <w:pStyle w:val="TableUnitsRow"/>
                    <w:ind w:right="28"/>
                    <w:jc w:val="left"/>
                    <w:rPr>
                      <w:b/>
                    </w:rPr>
                  </w:pPr>
                </w:p>
              </w:tc>
            </w:tr>
            <w:tr w:rsidR="00FC14FC" w14:paraId="0B2EC274" w14:textId="77777777" w:rsidTr="00D11B9D">
              <w:trPr>
                <w:trHeight w:val="255"/>
              </w:trPr>
              <w:tc>
                <w:tcPr>
                  <w:tcW w:w="1259" w:type="pct"/>
                  <w:shd w:val="clear" w:color="auto" w:fill="auto"/>
                  <w:vAlign w:val="bottom"/>
                </w:tcPr>
                <w:p w14:paraId="79FCE501" w14:textId="77777777" w:rsidR="00FC14FC" w:rsidRDefault="00FC14FC" w:rsidP="00D11B9D">
                  <w:pPr>
                    <w:pStyle w:val="TableBodyText"/>
                    <w:jc w:val="left"/>
                  </w:pPr>
                  <w:r>
                    <w:t>Number of products</w:t>
                  </w:r>
                </w:p>
              </w:tc>
              <w:tc>
                <w:tcPr>
                  <w:tcW w:w="951" w:type="pct"/>
                  <w:shd w:val="clear" w:color="auto" w:fill="auto"/>
                  <w:vAlign w:val="bottom"/>
                </w:tcPr>
                <w:p w14:paraId="75EA3F36" w14:textId="77777777" w:rsidR="00FC14FC" w:rsidRDefault="00FC14FC" w:rsidP="00D11B9D">
                  <w:pPr>
                    <w:pStyle w:val="TableBodyText"/>
                  </w:pPr>
                  <w:r>
                    <w:t>32</w:t>
                  </w:r>
                </w:p>
              </w:tc>
              <w:tc>
                <w:tcPr>
                  <w:tcW w:w="933" w:type="pct"/>
                </w:tcPr>
                <w:p w14:paraId="3687F187" w14:textId="77777777" w:rsidR="00FC14FC" w:rsidRDefault="00FC14FC" w:rsidP="00D11B9D">
                  <w:pPr>
                    <w:pStyle w:val="TableBodyText"/>
                  </w:pPr>
                  <w:r>
                    <w:t>16</w:t>
                  </w:r>
                </w:p>
              </w:tc>
              <w:tc>
                <w:tcPr>
                  <w:tcW w:w="909" w:type="pct"/>
                  <w:shd w:val="clear" w:color="auto" w:fill="auto"/>
                  <w:vAlign w:val="bottom"/>
                </w:tcPr>
                <w:p w14:paraId="1849AC13" w14:textId="77777777" w:rsidR="00FC14FC" w:rsidRDefault="00FC14FC" w:rsidP="00D11B9D">
                  <w:pPr>
                    <w:pStyle w:val="TableBodyText"/>
                  </w:pPr>
                  <w:r>
                    <w:t>32</w:t>
                  </w:r>
                </w:p>
              </w:tc>
              <w:tc>
                <w:tcPr>
                  <w:tcW w:w="948" w:type="pct"/>
                </w:tcPr>
                <w:p w14:paraId="5D5B1B2F" w14:textId="77777777" w:rsidR="00FC14FC" w:rsidDel="00D24EB1" w:rsidRDefault="00FC14FC" w:rsidP="00D11B9D">
                  <w:pPr>
                    <w:pStyle w:val="TableBodyText"/>
                    <w:ind w:right="28"/>
                  </w:pPr>
                  <w:r>
                    <w:t>30</w:t>
                  </w:r>
                </w:p>
              </w:tc>
            </w:tr>
            <w:tr w:rsidR="00FC14FC" w14:paraId="48692BFE" w14:textId="77777777" w:rsidTr="00D11B9D">
              <w:trPr>
                <w:trHeight w:val="255"/>
              </w:trPr>
              <w:tc>
                <w:tcPr>
                  <w:tcW w:w="1259" w:type="pct"/>
                  <w:shd w:val="clear" w:color="auto" w:fill="auto"/>
                  <w:vAlign w:val="bottom"/>
                </w:tcPr>
                <w:p w14:paraId="1BE69098" w14:textId="77777777" w:rsidR="00FC14FC" w:rsidRDefault="00FC14FC" w:rsidP="00D11B9D">
                  <w:pPr>
                    <w:pStyle w:val="TableBodyText"/>
                    <w:jc w:val="left"/>
                  </w:pPr>
                  <w:r>
                    <w:t>Accounts (m)</w:t>
                  </w:r>
                </w:p>
              </w:tc>
              <w:tc>
                <w:tcPr>
                  <w:tcW w:w="951" w:type="pct"/>
                  <w:shd w:val="clear" w:color="auto" w:fill="auto"/>
                  <w:vAlign w:val="bottom"/>
                </w:tcPr>
                <w:p w14:paraId="7745D063" w14:textId="77777777" w:rsidR="00FC14FC" w:rsidRDefault="00FC14FC" w:rsidP="00D11B9D">
                  <w:pPr>
                    <w:pStyle w:val="TableBodyText"/>
                  </w:pPr>
                  <w:r>
                    <w:t>9.7</w:t>
                  </w:r>
                </w:p>
              </w:tc>
              <w:tc>
                <w:tcPr>
                  <w:tcW w:w="933" w:type="pct"/>
                </w:tcPr>
                <w:p w14:paraId="4C585682" w14:textId="77777777" w:rsidR="00FC14FC" w:rsidRDefault="00FC14FC" w:rsidP="00D11B9D">
                  <w:pPr>
                    <w:pStyle w:val="TableBodyText"/>
                  </w:pPr>
                  <w:r>
                    <w:t>6.2</w:t>
                  </w:r>
                </w:p>
              </w:tc>
              <w:tc>
                <w:tcPr>
                  <w:tcW w:w="909" w:type="pct"/>
                  <w:shd w:val="clear" w:color="auto" w:fill="auto"/>
                  <w:vAlign w:val="bottom"/>
                </w:tcPr>
                <w:p w14:paraId="73FB8C78" w14:textId="77777777" w:rsidR="00FC14FC" w:rsidRDefault="00FC14FC" w:rsidP="00D11B9D">
                  <w:pPr>
                    <w:pStyle w:val="TableBodyText"/>
                  </w:pPr>
                  <w:r>
                    <w:t>9.7</w:t>
                  </w:r>
                </w:p>
              </w:tc>
              <w:tc>
                <w:tcPr>
                  <w:tcW w:w="948" w:type="pct"/>
                </w:tcPr>
                <w:p w14:paraId="1448D03B" w14:textId="77777777" w:rsidR="00FC14FC" w:rsidDel="00D24EB1" w:rsidRDefault="00FC14FC" w:rsidP="00D11B9D">
                  <w:pPr>
                    <w:pStyle w:val="TableBodyText"/>
                    <w:ind w:right="28"/>
                  </w:pPr>
                  <w:r>
                    <w:t>9.5</w:t>
                  </w:r>
                </w:p>
              </w:tc>
            </w:tr>
            <w:tr w:rsidR="00FC14FC" w14:paraId="697C1C37" w14:textId="77777777" w:rsidTr="00D11B9D">
              <w:trPr>
                <w:trHeight w:val="255"/>
              </w:trPr>
              <w:tc>
                <w:tcPr>
                  <w:tcW w:w="1259" w:type="pct"/>
                  <w:shd w:val="clear" w:color="auto" w:fill="auto"/>
                  <w:vAlign w:val="bottom"/>
                </w:tcPr>
                <w:p w14:paraId="05C990D5" w14:textId="77777777" w:rsidR="00FC14FC" w:rsidRDefault="00FC14FC" w:rsidP="00D11B9D">
                  <w:pPr>
                    <w:pStyle w:val="TableBodyText"/>
                    <w:jc w:val="left"/>
                  </w:pPr>
                  <w:r>
                    <w:t>Assets ($b)</w:t>
                  </w:r>
                </w:p>
              </w:tc>
              <w:tc>
                <w:tcPr>
                  <w:tcW w:w="951" w:type="pct"/>
                  <w:shd w:val="clear" w:color="auto" w:fill="auto"/>
                  <w:vAlign w:val="bottom"/>
                </w:tcPr>
                <w:p w14:paraId="20C601E3" w14:textId="77777777" w:rsidR="00FC14FC" w:rsidRDefault="00FC14FC" w:rsidP="00D11B9D">
                  <w:pPr>
                    <w:pStyle w:val="TableBodyText"/>
                  </w:pPr>
                  <w:r>
                    <w:t>436</w:t>
                  </w:r>
                </w:p>
              </w:tc>
              <w:tc>
                <w:tcPr>
                  <w:tcW w:w="933" w:type="pct"/>
                </w:tcPr>
                <w:p w14:paraId="67433861" w14:textId="77777777" w:rsidR="00FC14FC" w:rsidRDefault="00FC14FC" w:rsidP="00D11B9D">
                  <w:pPr>
                    <w:pStyle w:val="TableBodyText"/>
                  </w:pPr>
                  <w:r>
                    <w:t>307</w:t>
                  </w:r>
                </w:p>
              </w:tc>
              <w:tc>
                <w:tcPr>
                  <w:tcW w:w="909" w:type="pct"/>
                  <w:shd w:val="clear" w:color="auto" w:fill="auto"/>
                  <w:vAlign w:val="bottom"/>
                </w:tcPr>
                <w:p w14:paraId="18D6D60E" w14:textId="77777777" w:rsidR="00FC14FC" w:rsidRDefault="00FC14FC" w:rsidP="00D11B9D">
                  <w:pPr>
                    <w:pStyle w:val="TableBodyText"/>
                  </w:pPr>
                  <w:r>
                    <w:t>436</w:t>
                  </w:r>
                </w:p>
              </w:tc>
              <w:tc>
                <w:tcPr>
                  <w:tcW w:w="948" w:type="pct"/>
                </w:tcPr>
                <w:p w14:paraId="04DE9162" w14:textId="77777777" w:rsidR="00FC14FC" w:rsidDel="00D24EB1" w:rsidRDefault="00FC14FC" w:rsidP="00D11B9D">
                  <w:pPr>
                    <w:pStyle w:val="TableBodyText"/>
                    <w:ind w:right="28"/>
                  </w:pPr>
                  <w:r>
                    <w:t>428</w:t>
                  </w:r>
                </w:p>
              </w:tc>
            </w:tr>
            <w:tr w:rsidR="00FC14FC" w14:paraId="6B96F2DD" w14:textId="77777777" w:rsidTr="00D11B9D">
              <w:trPr>
                <w:trHeight w:val="292"/>
              </w:trPr>
              <w:tc>
                <w:tcPr>
                  <w:tcW w:w="5000" w:type="pct"/>
                  <w:gridSpan w:val="5"/>
                  <w:shd w:val="clear" w:color="auto" w:fill="F2F2F2" w:themeFill="background1" w:themeFillShade="F2"/>
                  <w:vAlign w:val="bottom"/>
                </w:tcPr>
                <w:p w14:paraId="59534BFC" w14:textId="77777777" w:rsidR="00FC14FC" w:rsidRPr="001C6FE0" w:rsidRDefault="00FC14FC" w:rsidP="00D11B9D">
                  <w:pPr>
                    <w:pStyle w:val="TableUnitsRow"/>
                    <w:ind w:left="720" w:right="28" w:hanging="714"/>
                    <w:jc w:val="left"/>
                    <w:rPr>
                      <w:b/>
                    </w:rPr>
                  </w:pPr>
                  <w:r w:rsidRPr="001C6FE0">
                    <w:rPr>
                      <w:b/>
                    </w:rPr>
                    <w:t>Products under BP2 but not underperforming</w:t>
                  </w:r>
                </w:p>
              </w:tc>
            </w:tr>
            <w:tr w:rsidR="00FC14FC" w14:paraId="6DA3BADB" w14:textId="77777777" w:rsidTr="00D11B9D">
              <w:trPr>
                <w:trHeight w:val="245"/>
              </w:trPr>
              <w:tc>
                <w:tcPr>
                  <w:tcW w:w="1259" w:type="pct"/>
                  <w:shd w:val="clear" w:color="auto" w:fill="F2F2F2" w:themeFill="background1" w:themeFillShade="F2"/>
                  <w:vAlign w:val="bottom"/>
                </w:tcPr>
                <w:p w14:paraId="18EFECD7" w14:textId="77777777" w:rsidR="00FC14FC" w:rsidRDefault="00FC14FC" w:rsidP="00D11B9D">
                  <w:pPr>
                    <w:pStyle w:val="TableBodyText"/>
                    <w:jc w:val="left"/>
                  </w:pPr>
                  <w:r>
                    <w:t>Number of products</w:t>
                  </w:r>
                </w:p>
              </w:tc>
              <w:tc>
                <w:tcPr>
                  <w:tcW w:w="951" w:type="pct"/>
                  <w:shd w:val="clear" w:color="auto" w:fill="F2F2F2" w:themeFill="background1" w:themeFillShade="F2"/>
                  <w:vAlign w:val="bottom"/>
                </w:tcPr>
                <w:p w14:paraId="475DC4F4" w14:textId="77777777" w:rsidR="00FC14FC" w:rsidRDefault="00FC14FC" w:rsidP="00D11B9D">
                  <w:pPr>
                    <w:pStyle w:val="TableBodyText"/>
                  </w:pPr>
                  <w:r>
                    <w:t>4</w:t>
                  </w:r>
                </w:p>
              </w:tc>
              <w:tc>
                <w:tcPr>
                  <w:tcW w:w="933" w:type="pct"/>
                  <w:shd w:val="clear" w:color="auto" w:fill="F2F2F2" w:themeFill="background1" w:themeFillShade="F2"/>
                </w:tcPr>
                <w:p w14:paraId="73599E1A" w14:textId="77777777" w:rsidR="00FC14FC" w:rsidRDefault="00FC14FC" w:rsidP="00D11B9D">
                  <w:pPr>
                    <w:pStyle w:val="TableBodyText"/>
                  </w:pPr>
                  <w:r>
                    <w:t>4</w:t>
                  </w:r>
                </w:p>
              </w:tc>
              <w:tc>
                <w:tcPr>
                  <w:tcW w:w="909" w:type="pct"/>
                  <w:shd w:val="clear" w:color="auto" w:fill="F2F2F2" w:themeFill="background1" w:themeFillShade="F2"/>
                  <w:vAlign w:val="bottom"/>
                </w:tcPr>
                <w:p w14:paraId="50134700" w14:textId="77777777" w:rsidR="00FC14FC" w:rsidRPr="002863C0" w:rsidRDefault="00FC14FC" w:rsidP="00D11B9D">
                  <w:pPr>
                    <w:pStyle w:val="TableBodyText"/>
                  </w:pPr>
                  <w:r>
                    <w:t>3</w:t>
                  </w:r>
                </w:p>
              </w:tc>
              <w:tc>
                <w:tcPr>
                  <w:tcW w:w="948" w:type="pct"/>
                  <w:shd w:val="clear" w:color="auto" w:fill="F2F2F2" w:themeFill="background1" w:themeFillShade="F2"/>
                </w:tcPr>
                <w:p w14:paraId="0E97B913" w14:textId="77777777" w:rsidR="00FC14FC" w:rsidDel="00D24EB1" w:rsidRDefault="00FC14FC" w:rsidP="00D11B9D">
                  <w:pPr>
                    <w:pStyle w:val="TableBodyText"/>
                    <w:ind w:right="28"/>
                  </w:pPr>
                  <w:r>
                    <w:t>5</w:t>
                  </w:r>
                </w:p>
              </w:tc>
            </w:tr>
            <w:tr w:rsidR="00FC14FC" w14:paraId="63E844A6" w14:textId="77777777" w:rsidTr="00D11B9D">
              <w:trPr>
                <w:trHeight w:val="255"/>
              </w:trPr>
              <w:tc>
                <w:tcPr>
                  <w:tcW w:w="1259" w:type="pct"/>
                  <w:shd w:val="clear" w:color="auto" w:fill="F2F2F2" w:themeFill="background1" w:themeFillShade="F2"/>
                  <w:vAlign w:val="bottom"/>
                </w:tcPr>
                <w:p w14:paraId="3D446329" w14:textId="77777777" w:rsidR="00FC14FC" w:rsidRDefault="00FC14FC" w:rsidP="00D11B9D">
                  <w:pPr>
                    <w:pStyle w:val="TableBodyText"/>
                    <w:jc w:val="left"/>
                  </w:pPr>
                  <w:r>
                    <w:t>Accounts (m)</w:t>
                  </w:r>
                </w:p>
              </w:tc>
              <w:tc>
                <w:tcPr>
                  <w:tcW w:w="951" w:type="pct"/>
                  <w:shd w:val="clear" w:color="auto" w:fill="F2F2F2" w:themeFill="background1" w:themeFillShade="F2"/>
                  <w:vAlign w:val="bottom"/>
                </w:tcPr>
                <w:p w14:paraId="039D02A0" w14:textId="77777777" w:rsidR="00FC14FC" w:rsidRDefault="00FC14FC" w:rsidP="00D11B9D">
                  <w:pPr>
                    <w:pStyle w:val="TableBodyText"/>
                  </w:pPr>
                  <w:r>
                    <w:t>0.1</w:t>
                  </w:r>
                </w:p>
              </w:tc>
              <w:tc>
                <w:tcPr>
                  <w:tcW w:w="933" w:type="pct"/>
                  <w:shd w:val="clear" w:color="auto" w:fill="F2F2F2" w:themeFill="background1" w:themeFillShade="F2"/>
                </w:tcPr>
                <w:p w14:paraId="397A68BA" w14:textId="77777777" w:rsidR="00FC14FC" w:rsidRDefault="00FC14FC" w:rsidP="00D11B9D">
                  <w:pPr>
                    <w:pStyle w:val="TableBodyText"/>
                  </w:pPr>
                  <w:r>
                    <w:t>2</w:t>
                  </w:r>
                </w:p>
              </w:tc>
              <w:tc>
                <w:tcPr>
                  <w:tcW w:w="909" w:type="pct"/>
                  <w:shd w:val="clear" w:color="auto" w:fill="F2F2F2" w:themeFill="background1" w:themeFillShade="F2"/>
                  <w:vAlign w:val="bottom"/>
                </w:tcPr>
                <w:p w14:paraId="28106EAE" w14:textId="77777777" w:rsidR="00FC14FC" w:rsidRDefault="00FC14FC" w:rsidP="00D11B9D">
                  <w:pPr>
                    <w:pStyle w:val="TableBodyText"/>
                  </w:pPr>
                  <w:r>
                    <w:t>0.1</w:t>
                  </w:r>
                </w:p>
              </w:tc>
              <w:tc>
                <w:tcPr>
                  <w:tcW w:w="948" w:type="pct"/>
                  <w:shd w:val="clear" w:color="auto" w:fill="F2F2F2" w:themeFill="background1" w:themeFillShade="F2"/>
                </w:tcPr>
                <w:p w14:paraId="1972CB27" w14:textId="77777777" w:rsidR="00FC14FC" w:rsidDel="00D24EB1" w:rsidRDefault="00FC14FC" w:rsidP="00D11B9D">
                  <w:pPr>
                    <w:pStyle w:val="TableBodyText"/>
                    <w:ind w:right="28"/>
                  </w:pPr>
                  <w:r>
                    <w:t>0.3</w:t>
                  </w:r>
                </w:p>
              </w:tc>
            </w:tr>
            <w:tr w:rsidR="00FC14FC" w14:paraId="776835DF" w14:textId="77777777" w:rsidTr="00D11B9D">
              <w:trPr>
                <w:trHeight w:val="255"/>
              </w:trPr>
              <w:tc>
                <w:tcPr>
                  <w:tcW w:w="1259" w:type="pct"/>
                  <w:shd w:val="clear" w:color="auto" w:fill="F2F2F2" w:themeFill="background1" w:themeFillShade="F2"/>
                  <w:vAlign w:val="bottom"/>
                </w:tcPr>
                <w:p w14:paraId="609E77F5" w14:textId="77777777" w:rsidR="00FC14FC" w:rsidRDefault="00FC14FC" w:rsidP="00D11B9D">
                  <w:pPr>
                    <w:pStyle w:val="TableBodyText"/>
                    <w:jc w:val="left"/>
                  </w:pPr>
                  <w:r>
                    <w:t>Assets ($b)</w:t>
                  </w:r>
                </w:p>
              </w:tc>
              <w:tc>
                <w:tcPr>
                  <w:tcW w:w="951" w:type="pct"/>
                  <w:shd w:val="clear" w:color="auto" w:fill="F2F2F2" w:themeFill="background1" w:themeFillShade="F2"/>
                  <w:vAlign w:val="bottom"/>
                </w:tcPr>
                <w:p w14:paraId="3A6CE22C" w14:textId="77777777" w:rsidR="00FC14FC" w:rsidRDefault="00FC14FC" w:rsidP="00D11B9D">
                  <w:pPr>
                    <w:pStyle w:val="TableBodyText"/>
                  </w:pPr>
                  <w:r>
                    <w:t>13</w:t>
                  </w:r>
                </w:p>
              </w:tc>
              <w:tc>
                <w:tcPr>
                  <w:tcW w:w="933" w:type="pct"/>
                  <w:shd w:val="clear" w:color="auto" w:fill="F2F2F2" w:themeFill="background1" w:themeFillShade="F2"/>
                </w:tcPr>
                <w:p w14:paraId="7E2D8899" w14:textId="77777777" w:rsidR="00FC14FC" w:rsidRDefault="00FC14FC" w:rsidP="00D11B9D">
                  <w:pPr>
                    <w:pStyle w:val="TableBodyText"/>
                  </w:pPr>
                  <w:r>
                    <w:t>52</w:t>
                  </w:r>
                </w:p>
              </w:tc>
              <w:tc>
                <w:tcPr>
                  <w:tcW w:w="909" w:type="pct"/>
                  <w:shd w:val="clear" w:color="auto" w:fill="F2F2F2" w:themeFill="background1" w:themeFillShade="F2"/>
                  <w:vAlign w:val="bottom"/>
                </w:tcPr>
                <w:p w14:paraId="33DE54E3" w14:textId="77777777" w:rsidR="00FC14FC" w:rsidRDefault="00FC14FC" w:rsidP="00D11B9D">
                  <w:pPr>
                    <w:pStyle w:val="TableBodyText"/>
                  </w:pPr>
                  <w:r>
                    <w:t>11</w:t>
                  </w:r>
                </w:p>
              </w:tc>
              <w:tc>
                <w:tcPr>
                  <w:tcW w:w="948" w:type="pct"/>
                  <w:shd w:val="clear" w:color="auto" w:fill="F2F2F2" w:themeFill="background1" w:themeFillShade="F2"/>
                </w:tcPr>
                <w:p w14:paraId="736B5351" w14:textId="77777777" w:rsidR="00FC14FC" w:rsidDel="00D24EB1" w:rsidRDefault="00FC14FC" w:rsidP="00D11B9D">
                  <w:pPr>
                    <w:pStyle w:val="TableBodyText"/>
                    <w:ind w:right="28"/>
                  </w:pPr>
                  <w:r>
                    <w:t>18</w:t>
                  </w:r>
                </w:p>
              </w:tc>
            </w:tr>
            <w:tr w:rsidR="00FC14FC" w14:paraId="16C42E64" w14:textId="77777777" w:rsidTr="00D11B9D">
              <w:trPr>
                <w:trHeight w:val="292"/>
              </w:trPr>
              <w:tc>
                <w:tcPr>
                  <w:tcW w:w="5000" w:type="pct"/>
                  <w:gridSpan w:val="5"/>
                  <w:shd w:val="clear" w:color="auto" w:fill="auto"/>
                  <w:vAlign w:val="bottom"/>
                </w:tcPr>
                <w:p w14:paraId="73E79821" w14:textId="77777777" w:rsidR="00FC14FC" w:rsidRDefault="00FC14FC" w:rsidP="00D11B9D">
                  <w:pPr>
                    <w:pStyle w:val="TableUnitsRow"/>
                    <w:ind w:right="28"/>
                    <w:jc w:val="left"/>
                  </w:pPr>
                  <w:r w:rsidRPr="001C6FE0">
                    <w:rPr>
                      <w:b/>
                    </w:rPr>
                    <w:t>Underperforming products</w:t>
                  </w:r>
                </w:p>
              </w:tc>
            </w:tr>
            <w:tr w:rsidR="00FC14FC" w14:paraId="7A40E2FD" w14:textId="77777777" w:rsidTr="00D11B9D">
              <w:trPr>
                <w:trHeight w:val="255"/>
              </w:trPr>
              <w:tc>
                <w:tcPr>
                  <w:tcW w:w="1259" w:type="pct"/>
                  <w:shd w:val="clear" w:color="auto" w:fill="auto"/>
                  <w:vAlign w:val="bottom"/>
                </w:tcPr>
                <w:p w14:paraId="7F34644D" w14:textId="77777777" w:rsidR="00FC14FC" w:rsidRDefault="00FC14FC" w:rsidP="00D11B9D">
                  <w:pPr>
                    <w:pStyle w:val="TableBodyText"/>
                    <w:jc w:val="left"/>
                  </w:pPr>
                  <w:r>
                    <w:t>Number of products</w:t>
                  </w:r>
                </w:p>
              </w:tc>
              <w:tc>
                <w:tcPr>
                  <w:tcW w:w="951" w:type="pct"/>
                  <w:shd w:val="clear" w:color="auto" w:fill="auto"/>
                  <w:vAlign w:val="bottom"/>
                </w:tcPr>
                <w:p w14:paraId="17F8E419" w14:textId="77777777" w:rsidR="00FC14FC" w:rsidRDefault="00FC14FC" w:rsidP="00D11B9D">
                  <w:pPr>
                    <w:pStyle w:val="TableBodyText"/>
                  </w:pPr>
                  <w:r>
                    <w:t>17</w:t>
                  </w:r>
                </w:p>
              </w:tc>
              <w:tc>
                <w:tcPr>
                  <w:tcW w:w="933" w:type="pct"/>
                </w:tcPr>
                <w:p w14:paraId="42534BF4" w14:textId="77777777" w:rsidR="00FC14FC" w:rsidRDefault="00FC14FC" w:rsidP="00D11B9D">
                  <w:pPr>
                    <w:pStyle w:val="TableBodyText"/>
                  </w:pPr>
                  <w:r>
                    <w:t>33</w:t>
                  </w:r>
                </w:p>
              </w:tc>
              <w:tc>
                <w:tcPr>
                  <w:tcW w:w="909" w:type="pct"/>
                  <w:shd w:val="clear" w:color="auto" w:fill="auto"/>
                  <w:vAlign w:val="bottom"/>
                </w:tcPr>
                <w:p w14:paraId="1095A450" w14:textId="77777777" w:rsidR="00FC14FC" w:rsidRDefault="00FC14FC" w:rsidP="00D11B9D">
                  <w:pPr>
                    <w:pStyle w:val="TableBodyText"/>
                  </w:pPr>
                  <w:r>
                    <w:t>18</w:t>
                  </w:r>
                </w:p>
              </w:tc>
              <w:tc>
                <w:tcPr>
                  <w:tcW w:w="948" w:type="pct"/>
                </w:tcPr>
                <w:p w14:paraId="57CD4E47" w14:textId="77777777" w:rsidR="00FC14FC" w:rsidDel="00D24EB1" w:rsidRDefault="00FC14FC" w:rsidP="00D11B9D">
                  <w:pPr>
                    <w:pStyle w:val="TableBodyText"/>
                    <w:ind w:right="28"/>
                  </w:pPr>
                  <w:r>
                    <w:t>18</w:t>
                  </w:r>
                </w:p>
              </w:tc>
            </w:tr>
            <w:tr w:rsidR="00FC14FC" w14:paraId="69840A19" w14:textId="77777777" w:rsidTr="00D11B9D">
              <w:trPr>
                <w:trHeight w:val="255"/>
              </w:trPr>
              <w:tc>
                <w:tcPr>
                  <w:tcW w:w="1259" w:type="pct"/>
                  <w:shd w:val="clear" w:color="auto" w:fill="auto"/>
                  <w:vAlign w:val="bottom"/>
                </w:tcPr>
                <w:p w14:paraId="26510503" w14:textId="77777777" w:rsidR="00FC14FC" w:rsidRDefault="00FC14FC" w:rsidP="00D11B9D">
                  <w:pPr>
                    <w:pStyle w:val="TableBodyText"/>
                    <w:jc w:val="left"/>
                  </w:pPr>
                  <w:r>
                    <w:t>Accounts (m)</w:t>
                  </w:r>
                </w:p>
              </w:tc>
              <w:tc>
                <w:tcPr>
                  <w:tcW w:w="951" w:type="pct"/>
                  <w:shd w:val="clear" w:color="auto" w:fill="auto"/>
                  <w:vAlign w:val="bottom"/>
                </w:tcPr>
                <w:p w14:paraId="0D3A1CBC" w14:textId="77777777" w:rsidR="00FC14FC" w:rsidRDefault="00FC14FC" w:rsidP="00D11B9D">
                  <w:pPr>
                    <w:pStyle w:val="TableBodyText"/>
                  </w:pPr>
                  <w:r>
                    <w:t>1.6</w:t>
                  </w:r>
                </w:p>
              </w:tc>
              <w:tc>
                <w:tcPr>
                  <w:tcW w:w="933" w:type="pct"/>
                </w:tcPr>
                <w:p w14:paraId="096D0735" w14:textId="77777777" w:rsidR="00FC14FC" w:rsidRDefault="00FC14FC" w:rsidP="00D11B9D">
                  <w:pPr>
                    <w:pStyle w:val="TableBodyText"/>
                  </w:pPr>
                  <w:r>
                    <w:t>3.2</w:t>
                  </w:r>
                </w:p>
              </w:tc>
              <w:tc>
                <w:tcPr>
                  <w:tcW w:w="909" w:type="pct"/>
                  <w:shd w:val="clear" w:color="auto" w:fill="auto"/>
                  <w:vAlign w:val="bottom"/>
                </w:tcPr>
                <w:p w14:paraId="36BA247E" w14:textId="77777777" w:rsidR="00FC14FC" w:rsidRDefault="00FC14FC" w:rsidP="00D11B9D">
                  <w:pPr>
                    <w:pStyle w:val="TableBodyText"/>
                  </w:pPr>
                  <w:r>
                    <w:t>1.6</w:t>
                  </w:r>
                </w:p>
              </w:tc>
              <w:tc>
                <w:tcPr>
                  <w:tcW w:w="948" w:type="pct"/>
                </w:tcPr>
                <w:p w14:paraId="1E16BE02" w14:textId="77777777" w:rsidR="00FC14FC" w:rsidDel="00D24EB1" w:rsidRDefault="00FC14FC" w:rsidP="00D11B9D">
                  <w:pPr>
                    <w:pStyle w:val="TableBodyText"/>
                    <w:ind w:right="28"/>
                  </w:pPr>
                  <w:r>
                    <w:t>1.6</w:t>
                  </w:r>
                </w:p>
              </w:tc>
            </w:tr>
            <w:tr w:rsidR="00FC14FC" w14:paraId="67FCEB81" w14:textId="77777777" w:rsidTr="00D11B9D">
              <w:trPr>
                <w:trHeight w:val="245"/>
              </w:trPr>
              <w:tc>
                <w:tcPr>
                  <w:tcW w:w="1259" w:type="pct"/>
                  <w:shd w:val="clear" w:color="auto" w:fill="auto"/>
                  <w:vAlign w:val="bottom"/>
                </w:tcPr>
                <w:p w14:paraId="098443D7" w14:textId="77777777" w:rsidR="00FC14FC" w:rsidRDefault="00FC14FC" w:rsidP="00D11B9D">
                  <w:pPr>
                    <w:pStyle w:val="TableBodyText"/>
                    <w:jc w:val="left"/>
                  </w:pPr>
                  <w:r>
                    <w:t>Assets ($b)</w:t>
                  </w:r>
                </w:p>
              </w:tc>
              <w:tc>
                <w:tcPr>
                  <w:tcW w:w="951" w:type="pct"/>
                  <w:shd w:val="clear" w:color="auto" w:fill="auto"/>
                  <w:vAlign w:val="bottom"/>
                </w:tcPr>
                <w:p w14:paraId="322B5205" w14:textId="77777777" w:rsidR="00FC14FC" w:rsidRDefault="00FC14FC" w:rsidP="00D11B9D">
                  <w:pPr>
                    <w:pStyle w:val="TableBodyText"/>
                  </w:pPr>
                  <w:r>
                    <w:t>57</w:t>
                  </w:r>
                </w:p>
              </w:tc>
              <w:tc>
                <w:tcPr>
                  <w:tcW w:w="933" w:type="pct"/>
                </w:tcPr>
                <w:p w14:paraId="42F64529" w14:textId="77777777" w:rsidR="00FC14FC" w:rsidRDefault="00FC14FC" w:rsidP="00D11B9D">
                  <w:pPr>
                    <w:pStyle w:val="TableBodyText"/>
                  </w:pPr>
                  <w:r>
                    <w:t>147</w:t>
                  </w:r>
                </w:p>
              </w:tc>
              <w:tc>
                <w:tcPr>
                  <w:tcW w:w="909" w:type="pct"/>
                  <w:shd w:val="clear" w:color="auto" w:fill="auto"/>
                  <w:vAlign w:val="bottom"/>
                </w:tcPr>
                <w:p w14:paraId="7CC80A56" w14:textId="77777777" w:rsidR="00FC14FC" w:rsidRDefault="00FC14FC" w:rsidP="00D11B9D">
                  <w:pPr>
                    <w:pStyle w:val="TableBodyText"/>
                  </w:pPr>
                  <w:r>
                    <w:t>59</w:t>
                  </w:r>
                </w:p>
              </w:tc>
              <w:tc>
                <w:tcPr>
                  <w:tcW w:w="948" w:type="pct"/>
                </w:tcPr>
                <w:p w14:paraId="21417A48" w14:textId="77777777" w:rsidR="00FC14FC" w:rsidDel="00D24EB1" w:rsidRDefault="00FC14FC" w:rsidP="00D11B9D">
                  <w:pPr>
                    <w:pStyle w:val="TableBodyText"/>
                    <w:ind w:right="28"/>
                  </w:pPr>
                  <w:r>
                    <w:t>59</w:t>
                  </w:r>
                </w:p>
              </w:tc>
            </w:tr>
            <w:tr w:rsidR="00FC14FC" w14:paraId="72CE0C65" w14:textId="77777777" w:rsidTr="00D11B9D">
              <w:trPr>
                <w:trHeight w:val="302"/>
              </w:trPr>
              <w:tc>
                <w:tcPr>
                  <w:tcW w:w="5000" w:type="pct"/>
                  <w:gridSpan w:val="5"/>
                  <w:shd w:val="clear" w:color="auto" w:fill="F2F2F2" w:themeFill="background1" w:themeFillShade="F2"/>
                  <w:vAlign w:val="bottom"/>
                </w:tcPr>
                <w:p w14:paraId="6CE39B69" w14:textId="77777777" w:rsidR="00FC14FC" w:rsidRPr="001C6FE0" w:rsidRDefault="00FC14FC" w:rsidP="00D11B9D">
                  <w:pPr>
                    <w:pStyle w:val="TableUnitsRow"/>
                    <w:ind w:right="28"/>
                    <w:jc w:val="left"/>
                    <w:rPr>
                      <w:b/>
                    </w:rPr>
                  </w:pPr>
                  <w:r w:rsidRPr="001C6FE0">
                    <w:rPr>
                      <w:b/>
                    </w:rPr>
                    <w:t>Composition of underperformers (%)</w:t>
                  </w:r>
                </w:p>
              </w:tc>
            </w:tr>
            <w:tr w:rsidR="00FC14FC" w14:paraId="26911087" w14:textId="77777777" w:rsidTr="00D11B9D">
              <w:trPr>
                <w:trHeight w:val="245"/>
              </w:trPr>
              <w:tc>
                <w:tcPr>
                  <w:tcW w:w="1259" w:type="pct"/>
                  <w:shd w:val="clear" w:color="auto" w:fill="F2F2F2" w:themeFill="background1" w:themeFillShade="F2"/>
                  <w:vAlign w:val="bottom"/>
                </w:tcPr>
                <w:p w14:paraId="65BE6544" w14:textId="77777777" w:rsidR="00FC14FC" w:rsidRDefault="00FC14FC" w:rsidP="00D11B9D">
                  <w:pPr>
                    <w:pStyle w:val="TableBodyText"/>
                    <w:jc w:val="left"/>
                  </w:pPr>
                  <w:r>
                    <w:t>Corporate</w:t>
                  </w:r>
                </w:p>
              </w:tc>
              <w:tc>
                <w:tcPr>
                  <w:tcW w:w="951" w:type="pct"/>
                  <w:shd w:val="clear" w:color="auto" w:fill="F2F2F2" w:themeFill="background1" w:themeFillShade="F2"/>
                  <w:vAlign w:val="bottom"/>
                </w:tcPr>
                <w:p w14:paraId="543FD52B" w14:textId="77777777" w:rsidR="00FC14FC" w:rsidRDefault="00FC14FC" w:rsidP="00D11B9D">
                  <w:pPr>
                    <w:pStyle w:val="TableBodyText"/>
                  </w:pPr>
                  <w:r>
                    <w:t>0</w:t>
                  </w:r>
                </w:p>
              </w:tc>
              <w:tc>
                <w:tcPr>
                  <w:tcW w:w="933" w:type="pct"/>
                  <w:shd w:val="clear" w:color="auto" w:fill="F2F2F2" w:themeFill="background1" w:themeFillShade="F2"/>
                </w:tcPr>
                <w:p w14:paraId="2FE1A8F1" w14:textId="77777777" w:rsidR="00FC14FC" w:rsidRDefault="00FC14FC" w:rsidP="00D11B9D">
                  <w:pPr>
                    <w:pStyle w:val="TableBodyText"/>
                  </w:pPr>
                  <w:r>
                    <w:t>3</w:t>
                  </w:r>
                </w:p>
              </w:tc>
              <w:tc>
                <w:tcPr>
                  <w:tcW w:w="909" w:type="pct"/>
                  <w:shd w:val="clear" w:color="auto" w:fill="F2F2F2" w:themeFill="background1" w:themeFillShade="F2"/>
                  <w:vAlign w:val="bottom"/>
                </w:tcPr>
                <w:p w14:paraId="7F1AE29D" w14:textId="77777777" w:rsidR="00FC14FC" w:rsidRDefault="00FC14FC" w:rsidP="00D11B9D">
                  <w:pPr>
                    <w:pStyle w:val="TableBodyText"/>
                  </w:pPr>
                  <w:r>
                    <w:t>0</w:t>
                  </w:r>
                </w:p>
              </w:tc>
              <w:tc>
                <w:tcPr>
                  <w:tcW w:w="948" w:type="pct"/>
                  <w:shd w:val="clear" w:color="auto" w:fill="F2F2F2" w:themeFill="background1" w:themeFillShade="F2"/>
                </w:tcPr>
                <w:p w14:paraId="4574A2A9" w14:textId="77777777" w:rsidR="00FC14FC" w:rsidDel="00D24EB1" w:rsidRDefault="00FC14FC" w:rsidP="00D11B9D">
                  <w:pPr>
                    <w:pStyle w:val="TableBodyText"/>
                    <w:ind w:right="28"/>
                  </w:pPr>
                  <w:r>
                    <w:t>0</w:t>
                  </w:r>
                </w:p>
              </w:tc>
            </w:tr>
            <w:tr w:rsidR="00FC14FC" w14:paraId="76169041" w14:textId="77777777" w:rsidTr="00D11B9D">
              <w:trPr>
                <w:trHeight w:val="255"/>
              </w:trPr>
              <w:tc>
                <w:tcPr>
                  <w:tcW w:w="1259" w:type="pct"/>
                  <w:shd w:val="clear" w:color="auto" w:fill="F2F2F2" w:themeFill="background1" w:themeFillShade="F2"/>
                  <w:vAlign w:val="bottom"/>
                </w:tcPr>
                <w:p w14:paraId="2633CA6F" w14:textId="77777777" w:rsidR="00FC14FC" w:rsidRDefault="00FC14FC" w:rsidP="00D11B9D">
                  <w:pPr>
                    <w:pStyle w:val="TableBodyText"/>
                    <w:jc w:val="left"/>
                  </w:pPr>
                  <w:r>
                    <w:t>Industry</w:t>
                  </w:r>
                </w:p>
              </w:tc>
              <w:tc>
                <w:tcPr>
                  <w:tcW w:w="951" w:type="pct"/>
                  <w:shd w:val="clear" w:color="auto" w:fill="F2F2F2" w:themeFill="background1" w:themeFillShade="F2"/>
                  <w:vAlign w:val="bottom"/>
                </w:tcPr>
                <w:p w14:paraId="2BE9D16D" w14:textId="77777777" w:rsidR="00FC14FC" w:rsidRDefault="00FC14FC" w:rsidP="00D11B9D">
                  <w:pPr>
                    <w:pStyle w:val="TableBodyText"/>
                  </w:pPr>
                  <w:r>
                    <w:t>35</w:t>
                  </w:r>
                </w:p>
              </w:tc>
              <w:tc>
                <w:tcPr>
                  <w:tcW w:w="933" w:type="pct"/>
                  <w:shd w:val="clear" w:color="auto" w:fill="F2F2F2" w:themeFill="background1" w:themeFillShade="F2"/>
                </w:tcPr>
                <w:p w14:paraId="441418EA" w14:textId="77777777" w:rsidR="00FC14FC" w:rsidRDefault="00FC14FC" w:rsidP="00D11B9D">
                  <w:pPr>
                    <w:pStyle w:val="TableBodyText"/>
                  </w:pPr>
                  <w:r>
                    <w:t>42</w:t>
                  </w:r>
                </w:p>
              </w:tc>
              <w:tc>
                <w:tcPr>
                  <w:tcW w:w="909" w:type="pct"/>
                  <w:shd w:val="clear" w:color="auto" w:fill="F2F2F2" w:themeFill="background1" w:themeFillShade="F2"/>
                  <w:vAlign w:val="bottom"/>
                </w:tcPr>
                <w:p w14:paraId="520CAC70" w14:textId="77777777" w:rsidR="00FC14FC" w:rsidRDefault="00FC14FC" w:rsidP="00D11B9D">
                  <w:pPr>
                    <w:pStyle w:val="TableBodyText"/>
                  </w:pPr>
                  <w:r>
                    <w:t>33</w:t>
                  </w:r>
                </w:p>
              </w:tc>
              <w:tc>
                <w:tcPr>
                  <w:tcW w:w="948" w:type="pct"/>
                  <w:shd w:val="clear" w:color="auto" w:fill="F2F2F2" w:themeFill="background1" w:themeFillShade="F2"/>
                </w:tcPr>
                <w:p w14:paraId="4B401FF3" w14:textId="77777777" w:rsidR="00FC14FC" w:rsidDel="00D24EB1" w:rsidRDefault="00FC14FC" w:rsidP="00D11B9D">
                  <w:pPr>
                    <w:pStyle w:val="TableBodyText"/>
                    <w:ind w:right="28"/>
                  </w:pPr>
                  <w:r>
                    <w:t>33</w:t>
                  </w:r>
                </w:p>
              </w:tc>
            </w:tr>
            <w:tr w:rsidR="00FC14FC" w14:paraId="44482D05" w14:textId="77777777" w:rsidTr="00D11B9D">
              <w:trPr>
                <w:trHeight w:val="255"/>
              </w:trPr>
              <w:tc>
                <w:tcPr>
                  <w:tcW w:w="1259" w:type="pct"/>
                  <w:shd w:val="clear" w:color="auto" w:fill="F2F2F2" w:themeFill="background1" w:themeFillShade="F2"/>
                  <w:vAlign w:val="bottom"/>
                </w:tcPr>
                <w:p w14:paraId="5AA90BCB" w14:textId="77777777" w:rsidR="00FC14FC" w:rsidRDefault="00FC14FC" w:rsidP="00D11B9D">
                  <w:pPr>
                    <w:pStyle w:val="TableBodyText"/>
                    <w:jc w:val="left"/>
                  </w:pPr>
                  <w:r>
                    <w:t>Public Sector</w:t>
                  </w:r>
                </w:p>
              </w:tc>
              <w:tc>
                <w:tcPr>
                  <w:tcW w:w="951" w:type="pct"/>
                  <w:shd w:val="clear" w:color="auto" w:fill="F2F2F2" w:themeFill="background1" w:themeFillShade="F2"/>
                  <w:vAlign w:val="bottom"/>
                </w:tcPr>
                <w:p w14:paraId="22364017" w14:textId="77777777" w:rsidR="00FC14FC" w:rsidRDefault="00FC14FC" w:rsidP="00D11B9D">
                  <w:pPr>
                    <w:pStyle w:val="TableBodyText"/>
                  </w:pPr>
                  <w:r>
                    <w:t>6</w:t>
                  </w:r>
                </w:p>
              </w:tc>
              <w:tc>
                <w:tcPr>
                  <w:tcW w:w="933" w:type="pct"/>
                  <w:shd w:val="clear" w:color="auto" w:fill="F2F2F2" w:themeFill="background1" w:themeFillShade="F2"/>
                </w:tcPr>
                <w:p w14:paraId="164587ED" w14:textId="77777777" w:rsidR="00FC14FC" w:rsidRDefault="00FC14FC" w:rsidP="00D11B9D">
                  <w:pPr>
                    <w:pStyle w:val="TableBodyText"/>
                  </w:pPr>
                  <w:r>
                    <w:t>15</w:t>
                  </w:r>
                </w:p>
              </w:tc>
              <w:tc>
                <w:tcPr>
                  <w:tcW w:w="909" w:type="pct"/>
                  <w:shd w:val="clear" w:color="auto" w:fill="F2F2F2" w:themeFill="background1" w:themeFillShade="F2"/>
                  <w:vAlign w:val="bottom"/>
                </w:tcPr>
                <w:p w14:paraId="047C5336" w14:textId="77777777" w:rsidR="00FC14FC" w:rsidRDefault="00FC14FC" w:rsidP="00D11B9D">
                  <w:pPr>
                    <w:pStyle w:val="TableBodyText"/>
                  </w:pPr>
                  <w:r>
                    <w:t>6</w:t>
                  </w:r>
                </w:p>
              </w:tc>
              <w:tc>
                <w:tcPr>
                  <w:tcW w:w="948" w:type="pct"/>
                  <w:shd w:val="clear" w:color="auto" w:fill="F2F2F2" w:themeFill="background1" w:themeFillShade="F2"/>
                </w:tcPr>
                <w:p w14:paraId="3090F65D" w14:textId="77777777" w:rsidR="00FC14FC" w:rsidDel="00D24EB1" w:rsidRDefault="00FC14FC" w:rsidP="00D11B9D">
                  <w:pPr>
                    <w:pStyle w:val="TableBodyText"/>
                    <w:ind w:right="28"/>
                  </w:pPr>
                  <w:r>
                    <w:t>6</w:t>
                  </w:r>
                </w:p>
              </w:tc>
            </w:tr>
            <w:tr w:rsidR="00FC14FC" w14:paraId="2B06F1FE" w14:textId="77777777" w:rsidTr="00D11B9D">
              <w:trPr>
                <w:trHeight w:val="255"/>
              </w:trPr>
              <w:tc>
                <w:tcPr>
                  <w:tcW w:w="1259" w:type="pct"/>
                  <w:shd w:val="clear" w:color="auto" w:fill="F2F2F2" w:themeFill="background1" w:themeFillShade="F2"/>
                  <w:vAlign w:val="bottom"/>
                </w:tcPr>
                <w:p w14:paraId="1FF3ED7D" w14:textId="77777777" w:rsidR="00FC14FC" w:rsidRDefault="00FC14FC" w:rsidP="00D11B9D">
                  <w:pPr>
                    <w:pStyle w:val="TableBodyText"/>
                    <w:jc w:val="left"/>
                  </w:pPr>
                  <w:r>
                    <w:t>Retail</w:t>
                  </w:r>
                </w:p>
              </w:tc>
              <w:tc>
                <w:tcPr>
                  <w:tcW w:w="951" w:type="pct"/>
                  <w:shd w:val="clear" w:color="auto" w:fill="F2F2F2" w:themeFill="background1" w:themeFillShade="F2"/>
                  <w:vAlign w:val="bottom"/>
                </w:tcPr>
                <w:p w14:paraId="6BEA91A0" w14:textId="77777777" w:rsidR="00FC14FC" w:rsidRDefault="00FC14FC" w:rsidP="00D11B9D">
                  <w:pPr>
                    <w:pStyle w:val="TableBodyText"/>
                  </w:pPr>
                  <w:r>
                    <w:t>59</w:t>
                  </w:r>
                </w:p>
              </w:tc>
              <w:tc>
                <w:tcPr>
                  <w:tcW w:w="933" w:type="pct"/>
                  <w:shd w:val="clear" w:color="auto" w:fill="F2F2F2" w:themeFill="background1" w:themeFillShade="F2"/>
                </w:tcPr>
                <w:p w14:paraId="20E19054" w14:textId="77777777" w:rsidR="00FC14FC" w:rsidRDefault="00FC14FC" w:rsidP="00D11B9D">
                  <w:pPr>
                    <w:pStyle w:val="TableBodyText"/>
                  </w:pPr>
                  <w:r>
                    <w:t>39</w:t>
                  </w:r>
                </w:p>
              </w:tc>
              <w:tc>
                <w:tcPr>
                  <w:tcW w:w="909" w:type="pct"/>
                  <w:shd w:val="clear" w:color="auto" w:fill="F2F2F2" w:themeFill="background1" w:themeFillShade="F2"/>
                  <w:vAlign w:val="bottom"/>
                </w:tcPr>
                <w:p w14:paraId="086A9AE5" w14:textId="77777777" w:rsidR="00FC14FC" w:rsidRDefault="00FC14FC" w:rsidP="00D11B9D">
                  <w:pPr>
                    <w:pStyle w:val="TableBodyText"/>
                  </w:pPr>
                  <w:r>
                    <w:t>61</w:t>
                  </w:r>
                </w:p>
              </w:tc>
              <w:tc>
                <w:tcPr>
                  <w:tcW w:w="948" w:type="pct"/>
                  <w:shd w:val="clear" w:color="auto" w:fill="F2F2F2" w:themeFill="background1" w:themeFillShade="F2"/>
                </w:tcPr>
                <w:p w14:paraId="7CC4F564" w14:textId="77777777" w:rsidR="00FC14FC" w:rsidDel="00D24EB1" w:rsidRDefault="00FC14FC" w:rsidP="00D11B9D">
                  <w:pPr>
                    <w:pStyle w:val="TableBodyText"/>
                    <w:ind w:right="28"/>
                  </w:pPr>
                  <w:r>
                    <w:t>61</w:t>
                  </w:r>
                </w:p>
              </w:tc>
            </w:tr>
            <w:tr w:rsidR="00FC14FC" w14:paraId="419E315D" w14:textId="77777777" w:rsidTr="00D11B9D">
              <w:trPr>
                <w:trHeight w:val="245"/>
              </w:trPr>
              <w:tc>
                <w:tcPr>
                  <w:tcW w:w="5000" w:type="pct"/>
                  <w:gridSpan w:val="5"/>
                  <w:shd w:val="clear" w:color="auto" w:fill="auto"/>
                  <w:vAlign w:val="bottom"/>
                </w:tcPr>
                <w:p w14:paraId="447E7012" w14:textId="77777777" w:rsidR="00FC14FC" w:rsidRPr="00AC457F" w:rsidRDefault="00FC14FC" w:rsidP="00D11B9D">
                  <w:pPr>
                    <w:pStyle w:val="TableBodyText"/>
                    <w:spacing w:before="40"/>
                    <w:ind w:right="28"/>
                    <w:jc w:val="left"/>
                  </w:pPr>
                  <w:r>
                    <w:rPr>
                      <w:b/>
                    </w:rPr>
                    <w:t xml:space="preserve">% of all MySuper products (in each fund type) that are underperforming </w:t>
                  </w:r>
                </w:p>
              </w:tc>
            </w:tr>
            <w:tr w:rsidR="00FC14FC" w14:paraId="2969076C" w14:textId="77777777" w:rsidTr="00D11B9D">
              <w:trPr>
                <w:trHeight w:val="236"/>
              </w:trPr>
              <w:tc>
                <w:tcPr>
                  <w:tcW w:w="1259" w:type="pct"/>
                  <w:shd w:val="clear" w:color="auto" w:fill="auto"/>
                  <w:vAlign w:val="bottom"/>
                </w:tcPr>
                <w:p w14:paraId="6CD899EB" w14:textId="77777777" w:rsidR="00FC14FC" w:rsidRDefault="00FC14FC" w:rsidP="00D11B9D">
                  <w:pPr>
                    <w:pStyle w:val="TableBodyText"/>
                    <w:jc w:val="left"/>
                    <w:rPr>
                      <w:b/>
                    </w:rPr>
                  </w:pPr>
                  <w:r>
                    <w:t>Corporate</w:t>
                  </w:r>
                </w:p>
              </w:tc>
              <w:tc>
                <w:tcPr>
                  <w:tcW w:w="951" w:type="pct"/>
                  <w:shd w:val="clear" w:color="auto" w:fill="auto"/>
                  <w:vAlign w:val="bottom"/>
                </w:tcPr>
                <w:p w14:paraId="4C95C41B" w14:textId="77777777" w:rsidR="00FC14FC" w:rsidRDefault="00FC14FC" w:rsidP="00D11B9D">
                  <w:pPr>
                    <w:pStyle w:val="TableBodyText"/>
                  </w:pPr>
                  <w:r>
                    <w:t>0</w:t>
                  </w:r>
                </w:p>
              </w:tc>
              <w:tc>
                <w:tcPr>
                  <w:tcW w:w="933" w:type="pct"/>
                  <w:shd w:val="clear" w:color="auto" w:fill="auto"/>
                  <w:vAlign w:val="bottom"/>
                </w:tcPr>
                <w:p w14:paraId="289123D7" w14:textId="77777777" w:rsidR="00FC14FC" w:rsidRDefault="00FC14FC" w:rsidP="00D11B9D">
                  <w:pPr>
                    <w:pStyle w:val="TableBodyText"/>
                  </w:pPr>
                  <w:r>
                    <w:t>33</w:t>
                  </w:r>
                </w:p>
              </w:tc>
              <w:tc>
                <w:tcPr>
                  <w:tcW w:w="909" w:type="pct"/>
                  <w:shd w:val="clear" w:color="auto" w:fill="auto"/>
                  <w:vAlign w:val="bottom"/>
                </w:tcPr>
                <w:p w14:paraId="6318B563" w14:textId="77777777" w:rsidR="00FC14FC" w:rsidRDefault="00FC14FC" w:rsidP="00D11B9D">
                  <w:pPr>
                    <w:pStyle w:val="TableBodyText"/>
                  </w:pPr>
                  <w:r>
                    <w:t>0</w:t>
                  </w:r>
                </w:p>
              </w:tc>
              <w:tc>
                <w:tcPr>
                  <w:tcW w:w="948" w:type="pct"/>
                </w:tcPr>
                <w:p w14:paraId="45F37F57" w14:textId="77777777" w:rsidR="00FC14FC" w:rsidRDefault="00FC14FC" w:rsidP="00D11B9D">
                  <w:pPr>
                    <w:pStyle w:val="TableBodyText"/>
                    <w:ind w:right="28"/>
                  </w:pPr>
                  <w:r>
                    <w:t>0</w:t>
                  </w:r>
                </w:p>
              </w:tc>
            </w:tr>
            <w:tr w:rsidR="00FC14FC" w14:paraId="7D990B62" w14:textId="77777777" w:rsidTr="00D11B9D">
              <w:trPr>
                <w:trHeight w:val="245"/>
              </w:trPr>
              <w:tc>
                <w:tcPr>
                  <w:tcW w:w="1259" w:type="pct"/>
                  <w:shd w:val="clear" w:color="auto" w:fill="auto"/>
                  <w:vAlign w:val="bottom"/>
                </w:tcPr>
                <w:p w14:paraId="3D4E7368" w14:textId="77777777" w:rsidR="00FC14FC" w:rsidRDefault="00FC14FC" w:rsidP="00D11B9D">
                  <w:pPr>
                    <w:pStyle w:val="TableBodyText"/>
                    <w:jc w:val="left"/>
                  </w:pPr>
                  <w:r>
                    <w:t>Industry</w:t>
                  </w:r>
                </w:p>
              </w:tc>
              <w:tc>
                <w:tcPr>
                  <w:tcW w:w="951" w:type="pct"/>
                  <w:shd w:val="clear" w:color="auto" w:fill="auto"/>
                  <w:vAlign w:val="bottom"/>
                </w:tcPr>
                <w:p w14:paraId="05AE26F7" w14:textId="77777777" w:rsidR="00FC14FC" w:rsidRDefault="00FC14FC" w:rsidP="00D11B9D">
                  <w:pPr>
                    <w:pStyle w:val="TableBodyText"/>
                  </w:pPr>
                  <w:r>
                    <w:t>20</w:t>
                  </w:r>
                </w:p>
              </w:tc>
              <w:tc>
                <w:tcPr>
                  <w:tcW w:w="933" w:type="pct"/>
                  <w:shd w:val="clear" w:color="auto" w:fill="auto"/>
                  <w:vAlign w:val="bottom"/>
                </w:tcPr>
                <w:p w14:paraId="05197E77" w14:textId="77777777" w:rsidR="00FC14FC" w:rsidRDefault="00FC14FC" w:rsidP="00D11B9D">
                  <w:pPr>
                    <w:pStyle w:val="TableBodyText"/>
                  </w:pPr>
                  <w:r>
                    <w:t>47</w:t>
                  </w:r>
                </w:p>
              </w:tc>
              <w:tc>
                <w:tcPr>
                  <w:tcW w:w="909" w:type="pct"/>
                  <w:shd w:val="clear" w:color="auto" w:fill="auto"/>
                  <w:vAlign w:val="bottom"/>
                </w:tcPr>
                <w:p w14:paraId="3E155F91" w14:textId="77777777" w:rsidR="00FC14FC" w:rsidRDefault="00FC14FC" w:rsidP="00D11B9D">
                  <w:pPr>
                    <w:pStyle w:val="TableBodyText"/>
                  </w:pPr>
                  <w:r>
                    <w:t>20</w:t>
                  </w:r>
                </w:p>
              </w:tc>
              <w:tc>
                <w:tcPr>
                  <w:tcW w:w="948" w:type="pct"/>
                </w:tcPr>
                <w:p w14:paraId="55000A54" w14:textId="77777777" w:rsidR="00FC14FC" w:rsidRDefault="00FC14FC" w:rsidP="00D11B9D">
                  <w:pPr>
                    <w:pStyle w:val="TableBodyText"/>
                    <w:ind w:right="28"/>
                  </w:pPr>
                  <w:r>
                    <w:t>20</w:t>
                  </w:r>
                </w:p>
              </w:tc>
            </w:tr>
            <w:tr w:rsidR="00FC14FC" w14:paraId="2F5A1C57" w14:textId="77777777" w:rsidTr="00D11B9D">
              <w:trPr>
                <w:trHeight w:val="245"/>
              </w:trPr>
              <w:tc>
                <w:tcPr>
                  <w:tcW w:w="1259" w:type="pct"/>
                  <w:shd w:val="clear" w:color="auto" w:fill="auto"/>
                  <w:vAlign w:val="bottom"/>
                </w:tcPr>
                <w:p w14:paraId="7356AAC1" w14:textId="77777777" w:rsidR="00FC14FC" w:rsidRDefault="00FC14FC" w:rsidP="00D11B9D">
                  <w:pPr>
                    <w:pStyle w:val="TableBodyText"/>
                    <w:jc w:val="left"/>
                  </w:pPr>
                  <w:r>
                    <w:t>Public Sector</w:t>
                  </w:r>
                </w:p>
              </w:tc>
              <w:tc>
                <w:tcPr>
                  <w:tcW w:w="951" w:type="pct"/>
                  <w:shd w:val="clear" w:color="auto" w:fill="auto"/>
                  <w:vAlign w:val="bottom"/>
                </w:tcPr>
                <w:p w14:paraId="5EE1AD91" w14:textId="77777777" w:rsidR="00FC14FC" w:rsidRDefault="00FC14FC" w:rsidP="00D11B9D">
                  <w:pPr>
                    <w:pStyle w:val="TableBodyText"/>
                  </w:pPr>
                  <w:r>
                    <w:t>14</w:t>
                  </w:r>
                </w:p>
              </w:tc>
              <w:tc>
                <w:tcPr>
                  <w:tcW w:w="933" w:type="pct"/>
                  <w:shd w:val="clear" w:color="auto" w:fill="auto"/>
                  <w:vAlign w:val="bottom"/>
                </w:tcPr>
                <w:p w14:paraId="12CC6C78" w14:textId="77777777" w:rsidR="00FC14FC" w:rsidRDefault="00FC14FC" w:rsidP="00D11B9D">
                  <w:pPr>
                    <w:pStyle w:val="TableBodyText"/>
                  </w:pPr>
                  <w:r>
                    <w:t>71</w:t>
                  </w:r>
                </w:p>
              </w:tc>
              <w:tc>
                <w:tcPr>
                  <w:tcW w:w="909" w:type="pct"/>
                  <w:shd w:val="clear" w:color="auto" w:fill="auto"/>
                  <w:vAlign w:val="bottom"/>
                </w:tcPr>
                <w:p w14:paraId="4769F46F" w14:textId="77777777" w:rsidR="00FC14FC" w:rsidRDefault="00FC14FC" w:rsidP="00D11B9D">
                  <w:pPr>
                    <w:pStyle w:val="TableBodyText"/>
                  </w:pPr>
                  <w:r>
                    <w:t>14</w:t>
                  </w:r>
                </w:p>
              </w:tc>
              <w:tc>
                <w:tcPr>
                  <w:tcW w:w="948" w:type="pct"/>
                </w:tcPr>
                <w:p w14:paraId="46D3330C" w14:textId="77777777" w:rsidR="00FC14FC" w:rsidRDefault="00FC14FC" w:rsidP="00D11B9D">
                  <w:pPr>
                    <w:pStyle w:val="TableBodyText"/>
                    <w:ind w:right="28"/>
                  </w:pPr>
                  <w:r>
                    <w:t>14</w:t>
                  </w:r>
                </w:p>
              </w:tc>
            </w:tr>
            <w:tr w:rsidR="00FC14FC" w14:paraId="02A2BF38" w14:textId="77777777" w:rsidTr="00D11B9D">
              <w:trPr>
                <w:trHeight w:val="255"/>
              </w:trPr>
              <w:tc>
                <w:tcPr>
                  <w:tcW w:w="1259" w:type="pct"/>
                  <w:shd w:val="clear" w:color="auto" w:fill="auto"/>
                  <w:vAlign w:val="bottom"/>
                </w:tcPr>
                <w:p w14:paraId="2EFE0C4D" w14:textId="77777777" w:rsidR="00FC14FC" w:rsidRDefault="00FC14FC" w:rsidP="00D11B9D">
                  <w:pPr>
                    <w:pStyle w:val="TableBodyText"/>
                    <w:jc w:val="left"/>
                  </w:pPr>
                  <w:r>
                    <w:t>Retail</w:t>
                  </w:r>
                </w:p>
              </w:tc>
              <w:tc>
                <w:tcPr>
                  <w:tcW w:w="951" w:type="pct"/>
                  <w:shd w:val="clear" w:color="auto" w:fill="auto"/>
                  <w:vAlign w:val="bottom"/>
                </w:tcPr>
                <w:p w14:paraId="632A9F84" w14:textId="77777777" w:rsidR="00FC14FC" w:rsidRDefault="00FC14FC" w:rsidP="00D11B9D">
                  <w:pPr>
                    <w:pStyle w:val="TableBodyText"/>
                  </w:pPr>
                  <w:r>
                    <w:t>77</w:t>
                  </w:r>
                </w:p>
              </w:tc>
              <w:tc>
                <w:tcPr>
                  <w:tcW w:w="933" w:type="pct"/>
                  <w:shd w:val="clear" w:color="auto" w:fill="auto"/>
                  <w:vAlign w:val="bottom"/>
                </w:tcPr>
                <w:p w14:paraId="753677F9" w14:textId="77777777" w:rsidR="00FC14FC" w:rsidRDefault="00FC14FC" w:rsidP="00D11B9D">
                  <w:pPr>
                    <w:pStyle w:val="TableBodyText"/>
                  </w:pPr>
                  <w:r>
                    <w:t>100</w:t>
                  </w:r>
                </w:p>
              </w:tc>
              <w:tc>
                <w:tcPr>
                  <w:tcW w:w="909" w:type="pct"/>
                  <w:shd w:val="clear" w:color="auto" w:fill="auto"/>
                  <w:vAlign w:val="bottom"/>
                </w:tcPr>
                <w:p w14:paraId="45A5704F" w14:textId="77777777" w:rsidR="00FC14FC" w:rsidRDefault="00FC14FC" w:rsidP="00D11B9D">
                  <w:pPr>
                    <w:pStyle w:val="TableBodyText"/>
                  </w:pPr>
                  <w:r>
                    <w:t>85</w:t>
                  </w:r>
                </w:p>
              </w:tc>
              <w:tc>
                <w:tcPr>
                  <w:tcW w:w="948" w:type="pct"/>
                </w:tcPr>
                <w:p w14:paraId="76D2736B" w14:textId="77777777" w:rsidR="00FC14FC" w:rsidRDefault="00FC14FC" w:rsidP="00D11B9D">
                  <w:pPr>
                    <w:pStyle w:val="TableBodyText"/>
                    <w:ind w:right="28"/>
                  </w:pPr>
                  <w:r>
                    <w:t>85</w:t>
                  </w:r>
                </w:p>
              </w:tc>
            </w:tr>
            <w:tr w:rsidR="00FC14FC" w14:paraId="4C97A123" w14:textId="77777777" w:rsidTr="00D11B9D">
              <w:trPr>
                <w:trHeight w:val="245"/>
              </w:trPr>
              <w:tc>
                <w:tcPr>
                  <w:tcW w:w="5000" w:type="pct"/>
                  <w:gridSpan w:val="5"/>
                  <w:shd w:val="clear" w:color="auto" w:fill="F2F2F2" w:themeFill="background1" w:themeFillShade="F2"/>
                  <w:vAlign w:val="bottom"/>
                </w:tcPr>
                <w:p w14:paraId="388E77D3" w14:textId="77777777" w:rsidR="00FC14FC" w:rsidRPr="00AC457F" w:rsidRDefault="00FC14FC" w:rsidP="00D11B9D">
                  <w:pPr>
                    <w:pStyle w:val="TableBodyText"/>
                    <w:spacing w:before="40"/>
                    <w:ind w:right="28"/>
                    <w:jc w:val="left"/>
                  </w:pPr>
                  <w:r>
                    <w:rPr>
                      <w:b/>
                    </w:rPr>
                    <w:t>% of all MySuper assets (in each fund type) that are in underperforming products</w:t>
                  </w:r>
                </w:p>
              </w:tc>
            </w:tr>
            <w:tr w:rsidR="00FC14FC" w14:paraId="1C029631" w14:textId="77777777" w:rsidTr="00D11B9D">
              <w:trPr>
                <w:trHeight w:val="236"/>
              </w:trPr>
              <w:tc>
                <w:tcPr>
                  <w:tcW w:w="1259" w:type="pct"/>
                  <w:shd w:val="clear" w:color="auto" w:fill="F2F2F2" w:themeFill="background1" w:themeFillShade="F2"/>
                  <w:vAlign w:val="bottom"/>
                </w:tcPr>
                <w:p w14:paraId="700D9121" w14:textId="77777777" w:rsidR="00FC14FC" w:rsidRDefault="00FC14FC" w:rsidP="00D11B9D">
                  <w:pPr>
                    <w:pStyle w:val="TableBodyText"/>
                    <w:jc w:val="left"/>
                    <w:rPr>
                      <w:b/>
                    </w:rPr>
                  </w:pPr>
                  <w:r>
                    <w:t>Corporate</w:t>
                  </w:r>
                </w:p>
              </w:tc>
              <w:tc>
                <w:tcPr>
                  <w:tcW w:w="951" w:type="pct"/>
                  <w:shd w:val="clear" w:color="auto" w:fill="F2F2F2" w:themeFill="background1" w:themeFillShade="F2"/>
                  <w:vAlign w:val="bottom"/>
                </w:tcPr>
                <w:p w14:paraId="5385A1E3" w14:textId="77777777" w:rsidR="00FC14FC" w:rsidRDefault="00FC14FC" w:rsidP="00D11B9D">
                  <w:pPr>
                    <w:pStyle w:val="TableBodyText"/>
                  </w:pPr>
                  <w:r>
                    <w:t>0</w:t>
                  </w:r>
                </w:p>
              </w:tc>
              <w:tc>
                <w:tcPr>
                  <w:tcW w:w="933" w:type="pct"/>
                  <w:shd w:val="clear" w:color="auto" w:fill="F2F2F2" w:themeFill="background1" w:themeFillShade="F2"/>
                  <w:vAlign w:val="bottom"/>
                </w:tcPr>
                <w:p w14:paraId="48A067E4" w14:textId="77777777" w:rsidR="00FC14FC" w:rsidRDefault="00FC14FC" w:rsidP="00D11B9D">
                  <w:pPr>
                    <w:pStyle w:val="TableBodyText"/>
                  </w:pPr>
                  <w:r>
                    <w:t>53</w:t>
                  </w:r>
                </w:p>
              </w:tc>
              <w:tc>
                <w:tcPr>
                  <w:tcW w:w="909" w:type="pct"/>
                  <w:shd w:val="clear" w:color="auto" w:fill="F2F2F2" w:themeFill="background1" w:themeFillShade="F2"/>
                  <w:vAlign w:val="bottom"/>
                </w:tcPr>
                <w:p w14:paraId="4CBE7B48" w14:textId="77777777" w:rsidR="00FC14FC" w:rsidRDefault="00FC14FC" w:rsidP="00D11B9D">
                  <w:pPr>
                    <w:pStyle w:val="TableBodyText"/>
                  </w:pPr>
                  <w:r>
                    <w:t>0</w:t>
                  </w:r>
                </w:p>
              </w:tc>
              <w:tc>
                <w:tcPr>
                  <w:tcW w:w="948" w:type="pct"/>
                  <w:shd w:val="clear" w:color="auto" w:fill="F2F2F2" w:themeFill="background1" w:themeFillShade="F2"/>
                </w:tcPr>
                <w:p w14:paraId="428C50BF" w14:textId="77777777" w:rsidR="00FC14FC" w:rsidRDefault="00FC14FC" w:rsidP="00D11B9D">
                  <w:pPr>
                    <w:pStyle w:val="TableBodyText"/>
                    <w:ind w:right="28"/>
                  </w:pPr>
                  <w:r>
                    <w:t>0</w:t>
                  </w:r>
                </w:p>
              </w:tc>
            </w:tr>
            <w:tr w:rsidR="00FC14FC" w14:paraId="27B969A2" w14:textId="77777777" w:rsidTr="00D11B9D">
              <w:trPr>
                <w:trHeight w:val="245"/>
              </w:trPr>
              <w:tc>
                <w:tcPr>
                  <w:tcW w:w="1259" w:type="pct"/>
                  <w:shd w:val="clear" w:color="auto" w:fill="F2F2F2" w:themeFill="background1" w:themeFillShade="F2"/>
                  <w:vAlign w:val="bottom"/>
                </w:tcPr>
                <w:p w14:paraId="2A48915F" w14:textId="77777777" w:rsidR="00FC14FC" w:rsidRDefault="00FC14FC" w:rsidP="00D11B9D">
                  <w:pPr>
                    <w:pStyle w:val="TableBodyText"/>
                    <w:jc w:val="left"/>
                  </w:pPr>
                  <w:r>
                    <w:t>Industry</w:t>
                  </w:r>
                </w:p>
              </w:tc>
              <w:tc>
                <w:tcPr>
                  <w:tcW w:w="951" w:type="pct"/>
                  <w:shd w:val="clear" w:color="auto" w:fill="F2F2F2" w:themeFill="background1" w:themeFillShade="F2"/>
                  <w:vAlign w:val="bottom"/>
                </w:tcPr>
                <w:p w14:paraId="3CFDAC80" w14:textId="77777777" w:rsidR="00FC14FC" w:rsidRDefault="00FC14FC" w:rsidP="00D11B9D">
                  <w:pPr>
                    <w:pStyle w:val="TableBodyText"/>
                  </w:pPr>
                  <w:r>
                    <w:t>5</w:t>
                  </w:r>
                </w:p>
              </w:tc>
              <w:tc>
                <w:tcPr>
                  <w:tcW w:w="933" w:type="pct"/>
                  <w:shd w:val="clear" w:color="auto" w:fill="F2F2F2" w:themeFill="background1" w:themeFillShade="F2"/>
                  <w:vAlign w:val="bottom"/>
                </w:tcPr>
                <w:p w14:paraId="6ACF6CCF" w14:textId="77777777" w:rsidR="00FC14FC" w:rsidRDefault="00FC14FC" w:rsidP="00D11B9D">
                  <w:pPr>
                    <w:pStyle w:val="TableBodyText"/>
                  </w:pPr>
                  <w:r>
                    <w:t>18</w:t>
                  </w:r>
                </w:p>
              </w:tc>
              <w:tc>
                <w:tcPr>
                  <w:tcW w:w="909" w:type="pct"/>
                  <w:shd w:val="clear" w:color="auto" w:fill="F2F2F2" w:themeFill="background1" w:themeFillShade="F2"/>
                  <w:vAlign w:val="bottom"/>
                </w:tcPr>
                <w:p w14:paraId="328E37E3" w14:textId="77777777" w:rsidR="00FC14FC" w:rsidRDefault="00FC14FC" w:rsidP="00D11B9D">
                  <w:pPr>
                    <w:pStyle w:val="TableBodyText"/>
                  </w:pPr>
                  <w:r>
                    <w:t>5</w:t>
                  </w:r>
                </w:p>
              </w:tc>
              <w:tc>
                <w:tcPr>
                  <w:tcW w:w="948" w:type="pct"/>
                  <w:shd w:val="clear" w:color="auto" w:fill="F2F2F2" w:themeFill="background1" w:themeFillShade="F2"/>
                </w:tcPr>
                <w:p w14:paraId="1502CE84" w14:textId="77777777" w:rsidR="00FC14FC" w:rsidRDefault="00FC14FC" w:rsidP="00D11B9D">
                  <w:pPr>
                    <w:pStyle w:val="TableBodyText"/>
                    <w:ind w:right="28"/>
                  </w:pPr>
                  <w:r>
                    <w:t>5</w:t>
                  </w:r>
                </w:p>
              </w:tc>
            </w:tr>
            <w:tr w:rsidR="00FC14FC" w14:paraId="6069CDE0" w14:textId="77777777" w:rsidTr="00D11B9D">
              <w:trPr>
                <w:trHeight w:val="245"/>
              </w:trPr>
              <w:tc>
                <w:tcPr>
                  <w:tcW w:w="1259" w:type="pct"/>
                  <w:shd w:val="clear" w:color="auto" w:fill="F2F2F2" w:themeFill="background1" w:themeFillShade="F2"/>
                  <w:vAlign w:val="bottom"/>
                </w:tcPr>
                <w:p w14:paraId="0F1630DD" w14:textId="77777777" w:rsidR="00FC14FC" w:rsidRDefault="00FC14FC" w:rsidP="00D11B9D">
                  <w:pPr>
                    <w:pStyle w:val="TableBodyText"/>
                    <w:jc w:val="left"/>
                  </w:pPr>
                  <w:r>
                    <w:t>Public Sector</w:t>
                  </w:r>
                </w:p>
              </w:tc>
              <w:tc>
                <w:tcPr>
                  <w:tcW w:w="951" w:type="pct"/>
                  <w:shd w:val="clear" w:color="auto" w:fill="F2F2F2" w:themeFill="background1" w:themeFillShade="F2"/>
                  <w:vAlign w:val="bottom"/>
                </w:tcPr>
                <w:p w14:paraId="615D4CEC" w14:textId="77777777" w:rsidR="00FC14FC" w:rsidRDefault="00FC14FC" w:rsidP="00D11B9D">
                  <w:pPr>
                    <w:pStyle w:val="TableBodyText"/>
                  </w:pPr>
                  <w:r>
                    <w:t>1</w:t>
                  </w:r>
                </w:p>
              </w:tc>
              <w:tc>
                <w:tcPr>
                  <w:tcW w:w="933" w:type="pct"/>
                  <w:shd w:val="clear" w:color="auto" w:fill="F2F2F2" w:themeFill="background1" w:themeFillShade="F2"/>
                  <w:vAlign w:val="bottom"/>
                </w:tcPr>
                <w:p w14:paraId="535CF43E" w14:textId="77777777" w:rsidR="00FC14FC" w:rsidRDefault="00FC14FC" w:rsidP="00D11B9D">
                  <w:pPr>
                    <w:pStyle w:val="TableBodyText"/>
                  </w:pPr>
                  <w:r>
                    <w:t>38</w:t>
                  </w:r>
                </w:p>
              </w:tc>
              <w:tc>
                <w:tcPr>
                  <w:tcW w:w="909" w:type="pct"/>
                  <w:shd w:val="clear" w:color="auto" w:fill="F2F2F2" w:themeFill="background1" w:themeFillShade="F2"/>
                  <w:vAlign w:val="bottom"/>
                </w:tcPr>
                <w:p w14:paraId="3012C7B0" w14:textId="77777777" w:rsidR="00FC14FC" w:rsidRDefault="00FC14FC" w:rsidP="00D11B9D">
                  <w:pPr>
                    <w:pStyle w:val="TableBodyText"/>
                  </w:pPr>
                  <w:r>
                    <w:t>1</w:t>
                  </w:r>
                </w:p>
              </w:tc>
              <w:tc>
                <w:tcPr>
                  <w:tcW w:w="948" w:type="pct"/>
                  <w:shd w:val="clear" w:color="auto" w:fill="F2F2F2" w:themeFill="background1" w:themeFillShade="F2"/>
                </w:tcPr>
                <w:p w14:paraId="5B838A9F" w14:textId="77777777" w:rsidR="00FC14FC" w:rsidRDefault="00FC14FC" w:rsidP="00D11B9D">
                  <w:pPr>
                    <w:pStyle w:val="TableBodyText"/>
                    <w:ind w:right="28"/>
                  </w:pPr>
                  <w:r>
                    <w:t>1</w:t>
                  </w:r>
                </w:p>
              </w:tc>
            </w:tr>
            <w:tr w:rsidR="00FC14FC" w14:paraId="12FA2ABD" w14:textId="77777777" w:rsidTr="00D11B9D">
              <w:trPr>
                <w:trHeight w:val="245"/>
              </w:trPr>
              <w:tc>
                <w:tcPr>
                  <w:tcW w:w="1259" w:type="pct"/>
                  <w:tcBorders>
                    <w:bottom w:val="single" w:sz="6" w:space="0" w:color="BFBFBF"/>
                  </w:tcBorders>
                  <w:shd w:val="clear" w:color="auto" w:fill="F2F2F2" w:themeFill="background1" w:themeFillShade="F2"/>
                  <w:vAlign w:val="bottom"/>
                </w:tcPr>
                <w:p w14:paraId="560BFB97" w14:textId="77777777" w:rsidR="00FC14FC" w:rsidRDefault="00FC14FC" w:rsidP="00D11B9D">
                  <w:pPr>
                    <w:pStyle w:val="TableBodyText"/>
                    <w:jc w:val="left"/>
                  </w:pPr>
                  <w:r>
                    <w:t>Retail</w:t>
                  </w:r>
                </w:p>
              </w:tc>
              <w:tc>
                <w:tcPr>
                  <w:tcW w:w="951" w:type="pct"/>
                  <w:tcBorders>
                    <w:bottom w:val="single" w:sz="6" w:space="0" w:color="BFBFBF"/>
                  </w:tcBorders>
                  <w:shd w:val="clear" w:color="auto" w:fill="F2F2F2" w:themeFill="background1" w:themeFillShade="F2"/>
                  <w:vAlign w:val="bottom"/>
                </w:tcPr>
                <w:p w14:paraId="24BFBB4E" w14:textId="77777777" w:rsidR="00FC14FC" w:rsidRDefault="00FC14FC" w:rsidP="00D11B9D">
                  <w:pPr>
                    <w:pStyle w:val="TableBodyText"/>
                  </w:pPr>
                  <w:r>
                    <w:t>95</w:t>
                  </w:r>
                </w:p>
              </w:tc>
              <w:tc>
                <w:tcPr>
                  <w:tcW w:w="933" w:type="pct"/>
                  <w:tcBorders>
                    <w:bottom w:val="single" w:sz="6" w:space="0" w:color="BFBFBF"/>
                  </w:tcBorders>
                  <w:shd w:val="clear" w:color="auto" w:fill="F2F2F2" w:themeFill="background1" w:themeFillShade="F2"/>
                  <w:vAlign w:val="bottom"/>
                </w:tcPr>
                <w:p w14:paraId="6A8164F1" w14:textId="77777777" w:rsidR="00FC14FC" w:rsidRDefault="00FC14FC" w:rsidP="00D11B9D">
                  <w:pPr>
                    <w:pStyle w:val="TableBodyText"/>
                  </w:pPr>
                  <w:r>
                    <w:t>100</w:t>
                  </w:r>
                </w:p>
              </w:tc>
              <w:tc>
                <w:tcPr>
                  <w:tcW w:w="909" w:type="pct"/>
                  <w:tcBorders>
                    <w:bottom w:val="single" w:sz="6" w:space="0" w:color="BFBFBF"/>
                  </w:tcBorders>
                  <w:shd w:val="clear" w:color="auto" w:fill="F2F2F2" w:themeFill="background1" w:themeFillShade="F2"/>
                  <w:vAlign w:val="bottom"/>
                </w:tcPr>
                <w:p w14:paraId="010A67F1" w14:textId="77777777" w:rsidR="00FC14FC" w:rsidRDefault="00FC14FC" w:rsidP="00D11B9D">
                  <w:pPr>
                    <w:pStyle w:val="TableBodyText"/>
                  </w:pPr>
                  <w:r>
                    <w:t>99</w:t>
                  </w:r>
                </w:p>
              </w:tc>
              <w:tc>
                <w:tcPr>
                  <w:tcW w:w="948" w:type="pct"/>
                  <w:tcBorders>
                    <w:bottom w:val="single" w:sz="6" w:space="0" w:color="BFBFBF"/>
                  </w:tcBorders>
                  <w:shd w:val="clear" w:color="auto" w:fill="F2F2F2" w:themeFill="background1" w:themeFillShade="F2"/>
                </w:tcPr>
                <w:p w14:paraId="07423BBB" w14:textId="77777777" w:rsidR="00FC14FC" w:rsidRDefault="00FC14FC" w:rsidP="00D11B9D">
                  <w:pPr>
                    <w:pStyle w:val="TableBodyText"/>
                    <w:ind w:right="28"/>
                  </w:pPr>
                  <w:r>
                    <w:t>99</w:t>
                  </w:r>
                </w:p>
              </w:tc>
            </w:tr>
          </w:tbl>
          <w:p w14:paraId="22463D50" w14:textId="77777777" w:rsidR="00FC14FC" w:rsidRDefault="00FC14FC" w:rsidP="00D11B9D">
            <w:pPr>
              <w:pStyle w:val="Box"/>
            </w:pPr>
          </w:p>
        </w:tc>
      </w:tr>
      <w:tr w:rsidR="00FC14FC" w14:paraId="662DB718" w14:textId="77777777" w:rsidTr="00D11B9D">
        <w:tc>
          <w:tcPr>
            <w:tcW w:w="5000" w:type="pct"/>
            <w:tcBorders>
              <w:top w:val="nil"/>
              <w:left w:val="nil"/>
              <w:bottom w:val="nil"/>
              <w:right w:val="nil"/>
            </w:tcBorders>
            <w:shd w:val="clear" w:color="auto" w:fill="auto"/>
          </w:tcPr>
          <w:p w14:paraId="64A34227" w14:textId="77777777" w:rsidR="00FC14FC" w:rsidRPr="00984819" w:rsidRDefault="00FC14FC" w:rsidP="00D11B9D">
            <w:pPr>
              <w:pStyle w:val="Continued"/>
              <w:rPr>
                <w:szCs w:val="18"/>
              </w:rPr>
            </w:pPr>
            <w:r w:rsidRPr="009B565F">
              <w:rPr>
                <w:rStyle w:val="NoteLabel"/>
              </w:rPr>
              <w:t>(continued next page)</w:t>
            </w:r>
          </w:p>
        </w:tc>
      </w:tr>
      <w:tr w:rsidR="00FC14FC" w14:paraId="67E14C43" w14:textId="77777777" w:rsidTr="00D11B9D">
        <w:tc>
          <w:tcPr>
            <w:tcW w:w="5000" w:type="pct"/>
            <w:tcBorders>
              <w:top w:val="nil"/>
              <w:left w:val="nil"/>
              <w:bottom w:val="single" w:sz="6" w:space="0" w:color="78A22F"/>
              <w:right w:val="nil"/>
            </w:tcBorders>
            <w:shd w:val="clear" w:color="auto" w:fill="auto"/>
          </w:tcPr>
          <w:p w14:paraId="02D60743" w14:textId="77777777" w:rsidR="00FC14FC" w:rsidRDefault="00FC14FC" w:rsidP="00D11B9D">
            <w:pPr>
              <w:pStyle w:val="Box"/>
              <w:spacing w:before="0" w:line="120" w:lineRule="exact"/>
            </w:pPr>
          </w:p>
        </w:tc>
      </w:tr>
      <w:tr w:rsidR="00FC14FC" w:rsidRPr="000863A5" w14:paraId="720F23F1" w14:textId="77777777" w:rsidTr="00D11B9D">
        <w:tc>
          <w:tcPr>
            <w:tcW w:w="5000" w:type="pct"/>
            <w:tcBorders>
              <w:top w:val="single" w:sz="6" w:space="0" w:color="78A22F"/>
              <w:left w:val="nil"/>
              <w:bottom w:val="nil"/>
              <w:right w:val="nil"/>
            </w:tcBorders>
          </w:tcPr>
          <w:p w14:paraId="493785A7" w14:textId="77777777" w:rsidR="00FC14FC" w:rsidRPr="00626D32" w:rsidRDefault="00FC14FC" w:rsidP="00D11B9D">
            <w:pPr>
              <w:pStyle w:val="BoxSpaceBelow"/>
            </w:pPr>
          </w:p>
        </w:tc>
      </w:tr>
    </w:tbl>
    <w:p w14:paraId="49E2D14E"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FC14FC" w:rsidRPr="00784A05" w14:paraId="005AEE50" w14:textId="77777777" w:rsidTr="00D11B9D">
        <w:trPr>
          <w:tblHeader/>
        </w:trPr>
        <w:tc>
          <w:tcPr>
            <w:tcW w:w="5000" w:type="pct"/>
            <w:tcBorders>
              <w:top w:val="single" w:sz="6" w:space="0" w:color="78A22F"/>
              <w:left w:val="nil"/>
              <w:bottom w:val="nil"/>
              <w:right w:val="nil"/>
            </w:tcBorders>
            <w:shd w:val="clear" w:color="auto" w:fill="auto"/>
          </w:tcPr>
          <w:p w14:paraId="1D8487D0" w14:textId="77777777" w:rsidR="00FC14FC" w:rsidRPr="00784A05" w:rsidRDefault="00FC14FC" w:rsidP="00D11B9D">
            <w:pPr>
              <w:pStyle w:val="TableTitle"/>
            </w:pPr>
            <w:r>
              <w:rPr>
                <w:b w:val="0"/>
              </w:rPr>
              <w:t>Table 4.42</w:t>
            </w:r>
            <w:r>
              <w:tab/>
            </w:r>
            <w:r w:rsidRPr="000A3BDE">
              <w:rPr>
                <w:b w:val="0"/>
                <w:sz w:val="18"/>
                <w:szCs w:val="18"/>
              </w:rPr>
              <w:t>(continued)</w:t>
            </w:r>
          </w:p>
        </w:tc>
      </w:tr>
      <w:tr w:rsidR="00FC14FC" w14:paraId="2696DE84"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311"/>
              <w:gridCol w:w="1228"/>
              <w:gridCol w:w="1555"/>
              <w:gridCol w:w="1271"/>
              <w:gridCol w:w="1140"/>
            </w:tblGrid>
            <w:tr w:rsidR="00FC14FC" w14:paraId="02E8F2F6" w14:textId="77777777" w:rsidTr="00D11B9D">
              <w:trPr>
                <w:tblHeader/>
              </w:trPr>
              <w:tc>
                <w:tcPr>
                  <w:tcW w:w="1947" w:type="pct"/>
                  <w:tcBorders>
                    <w:top w:val="single" w:sz="6" w:space="0" w:color="BFBFBF"/>
                    <w:bottom w:val="single" w:sz="6" w:space="0" w:color="BFBFBF"/>
                  </w:tcBorders>
                  <w:shd w:val="clear" w:color="auto" w:fill="auto"/>
                  <w:tcMar>
                    <w:top w:w="28" w:type="dxa"/>
                  </w:tcMar>
                </w:tcPr>
                <w:p w14:paraId="3B752BEF" w14:textId="77777777" w:rsidR="00FC14FC" w:rsidRDefault="00FC14FC" w:rsidP="00D11B9D">
                  <w:pPr>
                    <w:pStyle w:val="TableColumnHeading"/>
                    <w:jc w:val="left"/>
                  </w:pPr>
                </w:p>
              </w:tc>
              <w:tc>
                <w:tcPr>
                  <w:tcW w:w="722" w:type="pct"/>
                  <w:tcBorders>
                    <w:top w:val="single" w:sz="6" w:space="0" w:color="BFBFBF"/>
                    <w:bottom w:val="single" w:sz="6" w:space="0" w:color="BFBFBF"/>
                  </w:tcBorders>
                  <w:shd w:val="clear" w:color="auto" w:fill="auto"/>
                  <w:vAlign w:val="bottom"/>
                </w:tcPr>
                <w:p w14:paraId="1923447F" w14:textId="77777777" w:rsidR="00FC14FC" w:rsidRDefault="00FC14FC" w:rsidP="00D11B9D">
                  <w:pPr>
                    <w:pStyle w:val="TableColumnHeading"/>
                  </w:pPr>
                  <w:r>
                    <w:t>Chapter 2</w:t>
                  </w:r>
                </w:p>
              </w:tc>
              <w:tc>
                <w:tcPr>
                  <w:tcW w:w="914" w:type="pct"/>
                  <w:tcBorders>
                    <w:top w:val="single" w:sz="6" w:space="0" w:color="BFBFBF"/>
                    <w:bottom w:val="single" w:sz="6" w:space="0" w:color="BFBFBF"/>
                  </w:tcBorders>
                  <w:shd w:val="clear" w:color="auto" w:fill="auto"/>
                  <w:tcMar>
                    <w:top w:w="28" w:type="dxa"/>
                  </w:tcMar>
                  <w:vAlign w:val="bottom"/>
                </w:tcPr>
                <w:p w14:paraId="790787BC" w14:textId="77777777" w:rsidR="00FC14FC" w:rsidRDefault="00FC14FC" w:rsidP="00D11B9D">
                  <w:pPr>
                    <w:pStyle w:val="TableColumnHeading"/>
                  </w:pPr>
                  <w:r>
                    <w:t>6</w:t>
                  </w:r>
                  <w:r>
                    <w:noBreakHyphen/>
                    <w:t>year period (2012–2017)</w:t>
                  </w:r>
                </w:p>
              </w:tc>
              <w:tc>
                <w:tcPr>
                  <w:tcW w:w="747" w:type="pct"/>
                  <w:tcBorders>
                    <w:top w:val="single" w:sz="6" w:space="0" w:color="BFBFBF"/>
                    <w:bottom w:val="single" w:sz="6" w:space="0" w:color="BFBFBF"/>
                  </w:tcBorders>
                  <w:vAlign w:val="bottom"/>
                </w:tcPr>
                <w:p w14:paraId="30EF4211" w14:textId="77777777" w:rsidR="00FC14FC" w:rsidRDefault="00FC14FC" w:rsidP="00D11B9D">
                  <w:pPr>
                    <w:pStyle w:val="TableColumnHeading"/>
                  </w:pPr>
                  <w:r>
                    <w:t>Net of fixed admin fees</w:t>
                  </w:r>
                </w:p>
              </w:tc>
              <w:tc>
                <w:tcPr>
                  <w:tcW w:w="670" w:type="pct"/>
                  <w:tcBorders>
                    <w:top w:val="single" w:sz="6" w:space="0" w:color="BFBFBF"/>
                    <w:bottom w:val="single" w:sz="6" w:space="0" w:color="BFBFBF"/>
                  </w:tcBorders>
                  <w:vAlign w:val="bottom"/>
                </w:tcPr>
                <w:p w14:paraId="65C648EF" w14:textId="77777777" w:rsidR="00FC14FC" w:rsidRDefault="00FC14FC" w:rsidP="00D11B9D">
                  <w:pPr>
                    <w:pStyle w:val="TableColumnHeading"/>
                    <w:ind w:right="28"/>
                  </w:pPr>
                  <w:r>
                    <w:t>7.5% flat tax</w:t>
                  </w:r>
                </w:p>
              </w:tc>
            </w:tr>
            <w:tr w:rsidR="00FC14FC" w14:paraId="70E74750" w14:textId="77777777" w:rsidTr="00D11B9D">
              <w:tc>
                <w:tcPr>
                  <w:tcW w:w="4330" w:type="pct"/>
                  <w:gridSpan w:val="4"/>
                  <w:shd w:val="clear" w:color="auto" w:fill="auto"/>
                </w:tcPr>
                <w:p w14:paraId="3DBD7DB1" w14:textId="77777777" w:rsidR="00FC14FC" w:rsidRDefault="00FC14FC" w:rsidP="00D11B9D">
                  <w:pPr>
                    <w:pStyle w:val="TableBodyText"/>
                    <w:spacing w:before="40"/>
                    <w:jc w:val="left"/>
                    <w:rPr>
                      <w:b/>
                    </w:rPr>
                  </w:pPr>
                  <w:r>
                    <w:rPr>
                      <w:b/>
                    </w:rPr>
                    <w:t>% of all MySuper accounts (in each fund type) that are in underperforming products</w:t>
                  </w:r>
                </w:p>
              </w:tc>
              <w:tc>
                <w:tcPr>
                  <w:tcW w:w="670" w:type="pct"/>
                </w:tcPr>
                <w:p w14:paraId="298BBD3B" w14:textId="77777777" w:rsidR="00FC14FC" w:rsidRDefault="00FC14FC" w:rsidP="00D11B9D">
                  <w:pPr>
                    <w:pStyle w:val="TableBodyText"/>
                    <w:ind w:right="28"/>
                    <w:jc w:val="left"/>
                    <w:rPr>
                      <w:b/>
                    </w:rPr>
                  </w:pPr>
                </w:p>
              </w:tc>
            </w:tr>
            <w:tr w:rsidR="00FC14FC" w14:paraId="408CF993" w14:textId="77777777" w:rsidTr="00D11B9D">
              <w:tc>
                <w:tcPr>
                  <w:tcW w:w="1947" w:type="pct"/>
                  <w:shd w:val="clear" w:color="auto" w:fill="auto"/>
                  <w:vAlign w:val="bottom"/>
                </w:tcPr>
                <w:p w14:paraId="73A7C1D1" w14:textId="77777777" w:rsidR="00FC14FC" w:rsidRDefault="00FC14FC" w:rsidP="00D11B9D">
                  <w:pPr>
                    <w:pStyle w:val="TableBodyText"/>
                    <w:jc w:val="left"/>
                  </w:pPr>
                  <w:r>
                    <w:t>Corporate</w:t>
                  </w:r>
                </w:p>
              </w:tc>
              <w:tc>
                <w:tcPr>
                  <w:tcW w:w="722" w:type="pct"/>
                  <w:shd w:val="clear" w:color="auto" w:fill="auto"/>
                  <w:vAlign w:val="bottom"/>
                </w:tcPr>
                <w:p w14:paraId="05C37593" w14:textId="77777777" w:rsidR="00FC14FC" w:rsidRDefault="00FC14FC" w:rsidP="00D11B9D">
                  <w:pPr>
                    <w:pStyle w:val="TableBodyText"/>
                  </w:pPr>
                  <w:r>
                    <w:t>0</w:t>
                  </w:r>
                </w:p>
              </w:tc>
              <w:tc>
                <w:tcPr>
                  <w:tcW w:w="914" w:type="pct"/>
                  <w:shd w:val="clear" w:color="auto" w:fill="auto"/>
                  <w:vAlign w:val="bottom"/>
                </w:tcPr>
                <w:p w14:paraId="36824B9D" w14:textId="77777777" w:rsidR="00FC14FC" w:rsidRDefault="00FC14FC" w:rsidP="00D11B9D">
                  <w:pPr>
                    <w:pStyle w:val="TableBodyText"/>
                  </w:pPr>
                  <w:r>
                    <w:t>48</w:t>
                  </w:r>
                </w:p>
              </w:tc>
              <w:tc>
                <w:tcPr>
                  <w:tcW w:w="747" w:type="pct"/>
                </w:tcPr>
                <w:p w14:paraId="3F9B9D41" w14:textId="77777777" w:rsidR="00FC14FC" w:rsidRDefault="00FC14FC" w:rsidP="00D11B9D">
                  <w:pPr>
                    <w:pStyle w:val="TableBodyText"/>
                  </w:pPr>
                  <w:r>
                    <w:t>0</w:t>
                  </w:r>
                </w:p>
              </w:tc>
              <w:tc>
                <w:tcPr>
                  <w:tcW w:w="670" w:type="pct"/>
                </w:tcPr>
                <w:p w14:paraId="4FEC8A93" w14:textId="77777777" w:rsidR="00FC14FC" w:rsidRDefault="00FC14FC" w:rsidP="00D11B9D">
                  <w:pPr>
                    <w:pStyle w:val="TableBodyText"/>
                    <w:ind w:right="28"/>
                  </w:pPr>
                  <w:r>
                    <w:t>0</w:t>
                  </w:r>
                </w:p>
              </w:tc>
            </w:tr>
            <w:tr w:rsidR="00FC14FC" w14:paraId="1DFBE561" w14:textId="77777777" w:rsidTr="00D11B9D">
              <w:tc>
                <w:tcPr>
                  <w:tcW w:w="1947" w:type="pct"/>
                  <w:shd w:val="clear" w:color="auto" w:fill="auto"/>
                  <w:vAlign w:val="bottom"/>
                </w:tcPr>
                <w:p w14:paraId="7B4F63E0" w14:textId="77777777" w:rsidR="00FC14FC" w:rsidRDefault="00FC14FC" w:rsidP="00D11B9D">
                  <w:pPr>
                    <w:pStyle w:val="TableBodyText"/>
                    <w:jc w:val="left"/>
                  </w:pPr>
                  <w:r>
                    <w:t>Industry</w:t>
                  </w:r>
                </w:p>
              </w:tc>
              <w:tc>
                <w:tcPr>
                  <w:tcW w:w="722" w:type="pct"/>
                  <w:shd w:val="clear" w:color="auto" w:fill="auto"/>
                  <w:vAlign w:val="bottom"/>
                </w:tcPr>
                <w:p w14:paraId="2FB782A9" w14:textId="77777777" w:rsidR="00FC14FC" w:rsidRDefault="00FC14FC" w:rsidP="00D11B9D">
                  <w:pPr>
                    <w:pStyle w:val="TableBodyText"/>
                  </w:pPr>
                  <w:r>
                    <w:t>6</w:t>
                  </w:r>
                </w:p>
              </w:tc>
              <w:tc>
                <w:tcPr>
                  <w:tcW w:w="914" w:type="pct"/>
                  <w:shd w:val="clear" w:color="auto" w:fill="auto"/>
                  <w:vAlign w:val="bottom"/>
                </w:tcPr>
                <w:p w14:paraId="2E1C51A8" w14:textId="77777777" w:rsidR="00FC14FC" w:rsidRDefault="00FC14FC" w:rsidP="00D11B9D">
                  <w:pPr>
                    <w:pStyle w:val="TableBodyText"/>
                  </w:pPr>
                  <w:r>
                    <w:t>18</w:t>
                  </w:r>
                </w:p>
              </w:tc>
              <w:tc>
                <w:tcPr>
                  <w:tcW w:w="747" w:type="pct"/>
                </w:tcPr>
                <w:p w14:paraId="0F755FB8" w14:textId="77777777" w:rsidR="00FC14FC" w:rsidRDefault="00FC14FC" w:rsidP="00D11B9D">
                  <w:pPr>
                    <w:pStyle w:val="TableBodyText"/>
                  </w:pPr>
                  <w:r>
                    <w:t>6</w:t>
                  </w:r>
                </w:p>
              </w:tc>
              <w:tc>
                <w:tcPr>
                  <w:tcW w:w="670" w:type="pct"/>
                </w:tcPr>
                <w:p w14:paraId="24E5C679" w14:textId="77777777" w:rsidR="00FC14FC" w:rsidRDefault="00FC14FC" w:rsidP="00D11B9D">
                  <w:pPr>
                    <w:pStyle w:val="TableBodyText"/>
                    <w:ind w:right="28"/>
                  </w:pPr>
                  <w:r>
                    <w:t>6</w:t>
                  </w:r>
                </w:p>
              </w:tc>
            </w:tr>
            <w:tr w:rsidR="00FC14FC" w14:paraId="7096540D" w14:textId="77777777" w:rsidTr="00D11B9D">
              <w:tc>
                <w:tcPr>
                  <w:tcW w:w="1947" w:type="pct"/>
                  <w:shd w:val="clear" w:color="auto" w:fill="auto"/>
                  <w:vAlign w:val="bottom"/>
                </w:tcPr>
                <w:p w14:paraId="639B7069" w14:textId="77777777" w:rsidR="00FC14FC" w:rsidRDefault="00FC14FC" w:rsidP="00D11B9D">
                  <w:pPr>
                    <w:pStyle w:val="TableBodyText"/>
                    <w:jc w:val="left"/>
                  </w:pPr>
                  <w:r>
                    <w:t>Public Sector</w:t>
                  </w:r>
                </w:p>
              </w:tc>
              <w:tc>
                <w:tcPr>
                  <w:tcW w:w="722" w:type="pct"/>
                  <w:shd w:val="clear" w:color="auto" w:fill="auto"/>
                  <w:vAlign w:val="bottom"/>
                </w:tcPr>
                <w:p w14:paraId="5D34527F" w14:textId="77777777" w:rsidR="00FC14FC" w:rsidRDefault="00FC14FC" w:rsidP="00D11B9D">
                  <w:pPr>
                    <w:pStyle w:val="TableBodyText"/>
                  </w:pPr>
                  <w:r>
                    <w:t>5</w:t>
                  </w:r>
                </w:p>
              </w:tc>
              <w:tc>
                <w:tcPr>
                  <w:tcW w:w="914" w:type="pct"/>
                  <w:shd w:val="clear" w:color="auto" w:fill="auto"/>
                  <w:vAlign w:val="bottom"/>
                </w:tcPr>
                <w:p w14:paraId="3B4DB09F" w14:textId="77777777" w:rsidR="00FC14FC" w:rsidRPr="000A3BDE" w:rsidRDefault="00FC14FC" w:rsidP="00D11B9D">
                  <w:pPr>
                    <w:pStyle w:val="TableBodyText"/>
                  </w:pPr>
                  <w:r>
                    <w:t>42</w:t>
                  </w:r>
                </w:p>
              </w:tc>
              <w:tc>
                <w:tcPr>
                  <w:tcW w:w="747" w:type="pct"/>
                </w:tcPr>
                <w:p w14:paraId="2E7D9F7A" w14:textId="77777777" w:rsidR="00FC14FC" w:rsidRDefault="00FC14FC" w:rsidP="00D11B9D">
                  <w:pPr>
                    <w:pStyle w:val="TableBodyText"/>
                  </w:pPr>
                  <w:r>
                    <w:t>5</w:t>
                  </w:r>
                </w:p>
              </w:tc>
              <w:tc>
                <w:tcPr>
                  <w:tcW w:w="670" w:type="pct"/>
                </w:tcPr>
                <w:p w14:paraId="245BCB63" w14:textId="77777777" w:rsidR="00FC14FC" w:rsidRDefault="00FC14FC" w:rsidP="00D11B9D">
                  <w:pPr>
                    <w:pStyle w:val="TableBodyText"/>
                    <w:ind w:right="28"/>
                  </w:pPr>
                  <w:r>
                    <w:t>5</w:t>
                  </w:r>
                </w:p>
              </w:tc>
            </w:tr>
            <w:tr w:rsidR="00FC14FC" w14:paraId="0044FA77" w14:textId="77777777" w:rsidTr="00D11B9D">
              <w:tc>
                <w:tcPr>
                  <w:tcW w:w="1947" w:type="pct"/>
                  <w:tcBorders>
                    <w:bottom w:val="single" w:sz="6" w:space="0" w:color="BFBFBF"/>
                  </w:tcBorders>
                  <w:shd w:val="clear" w:color="auto" w:fill="auto"/>
                  <w:vAlign w:val="bottom"/>
                </w:tcPr>
                <w:p w14:paraId="522374AD" w14:textId="77777777" w:rsidR="00FC14FC" w:rsidRDefault="00FC14FC" w:rsidP="00D11B9D">
                  <w:pPr>
                    <w:pStyle w:val="TableBodyText"/>
                    <w:jc w:val="left"/>
                  </w:pPr>
                  <w:r>
                    <w:t>Retail</w:t>
                  </w:r>
                </w:p>
              </w:tc>
              <w:tc>
                <w:tcPr>
                  <w:tcW w:w="722" w:type="pct"/>
                  <w:tcBorders>
                    <w:bottom w:val="single" w:sz="6" w:space="0" w:color="BFBFBF"/>
                  </w:tcBorders>
                  <w:shd w:val="clear" w:color="auto" w:fill="auto"/>
                  <w:vAlign w:val="bottom"/>
                </w:tcPr>
                <w:p w14:paraId="353FF7BA" w14:textId="77777777" w:rsidR="00FC14FC" w:rsidRDefault="00FC14FC" w:rsidP="00D11B9D">
                  <w:pPr>
                    <w:pStyle w:val="TableBodyText"/>
                  </w:pPr>
                  <w:r>
                    <w:t>98</w:t>
                  </w:r>
                </w:p>
              </w:tc>
              <w:tc>
                <w:tcPr>
                  <w:tcW w:w="914" w:type="pct"/>
                  <w:tcBorders>
                    <w:bottom w:val="single" w:sz="6" w:space="0" w:color="BFBFBF"/>
                  </w:tcBorders>
                  <w:shd w:val="clear" w:color="auto" w:fill="auto"/>
                  <w:vAlign w:val="bottom"/>
                </w:tcPr>
                <w:p w14:paraId="720F5D1B" w14:textId="77777777" w:rsidR="00FC14FC" w:rsidRDefault="00FC14FC" w:rsidP="00D11B9D">
                  <w:pPr>
                    <w:pStyle w:val="TableBodyText"/>
                  </w:pPr>
                  <w:r>
                    <w:t>100</w:t>
                  </w:r>
                </w:p>
              </w:tc>
              <w:tc>
                <w:tcPr>
                  <w:tcW w:w="747" w:type="pct"/>
                  <w:tcBorders>
                    <w:bottom w:val="single" w:sz="6" w:space="0" w:color="BFBFBF"/>
                  </w:tcBorders>
                </w:tcPr>
                <w:p w14:paraId="5273BA09" w14:textId="77777777" w:rsidR="00FC14FC" w:rsidRDefault="00FC14FC" w:rsidP="00D11B9D">
                  <w:pPr>
                    <w:pStyle w:val="TableBodyText"/>
                  </w:pPr>
                  <w:r>
                    <w:t>99</w:t>
                  </w:r>
                </w:p>
              </w:tc>
              <w:tc>
                <w:tcPr>
                  <w:tcW w:w="670" w:type="pct"/>
                  <w:tcBorders>
                    <w:bottom w:val="single" w:sz="6" w:space="0" w:color="BFBFBF"/>
                  </w:tcBorders>
                </w:tcPr>
                <w:p w14:paraId="3CB4D465" w14:textId="77777777" w:rsidR="00FC14FC" w:rsidRDefault="00FC14FC" w:rsidP="00D11B9D">
                  <w:pPr>
                    <w:pStyle w:val="TableBodyText"/>
                    <w:ind w:right="28"/>
                  </w:pPr>
                  <w:r>
                    <w:t>99</w:t>
                  </w:r>
                </w:p>
              </w:tc>
            </w:tr>
          </w:tbl>
          <w:p w14:paraId="71495D8D" w14:textId="77777777" w:rsidR="00FC14FC" w:rsidRDefault="00FC14FC" w:rsidP="00D11B9D">
            <w:pPr>
              <w:pStyle w:val="Box"/>
            </w:pPr>
          </w:p>
        </w:tc>
      </w:tr>
      <w:tr w:rsidR="00FC14FC" w:rsidRPr="00984819" w14:paraId="1A243803" w14:textId="77777777" w:rsidTr="00D11B9D">
        <w:tc>
          <w:tcPr>
            <w:tcW w:w="5000" w:type="pct"/>
            <w:tcBorders>
              <w:top w:val="nil"/>
              <w:left w:val="nil"/>
              <w:bottom w:val="nil"/>
              <w:right w:val="nil"/>
            </w:tcBorders>
            <w:shd w:val="clear" w:color="auto" w:fill="auto"/>
          </w:tcPr>
          <w:p w14:paraId="04E32C39" w14:textId="77777777" w:rsidR="00FC14FC" w:rsidRPr="00984819" w:rsidRDefault="00FC14FC" w:rsidP="00D11B9D">
            <w:pPr>
              <w:pStyle w:val="Note"/>
              <w:rPr>
                <w:szCs w:val="18"/>
              </w:rPr>
            </w:pPr>
            <w:r w:rsidRPr="003447A9">
              <w:rPr>
                <w:rStyle w:val="NoteLabel"/>
              </w:rPr>
              <w:t>a</w:t>
            </w:r>
            <w:r>
              <w:rPr>
                <w:b/>
              </w:rPr>
              <w:t xml:space="preserve"> </w:t>
            </w:r>
            <w:r>
              <w:t>Composition percentages may not sum to 100 due to rounding. Some percentages have also been rounded up to 100 from &gt;99.5 per cent.</w:t>
            </w:r>
          </w:p>
        </w:tc>
      </w:tr>
      <w:tr w:rsidR="00FC14FC" w14:paraId="7151EFF2" w14:textId="77777777" w:rsidTr="00D11B9D">
        <w:tc>
          <w:tcPr>
            <w:tcW w:w="5000" w:type="pct"/>
            <w:tcBorders>
              <w:top w:val="nil"/>
              <w:left w:val="nil"/>
              <w:bottom w:val="nil"/>
              <w:right w:val="nil"/>
            </w:tcBorders>
            <w:shd w:val="clear" w:color="auto" w:fill="auto"/>
          </w:tcPr>
          <w:p w14:paraId="7A85927E" w14:textId="77777777" w:rsidR="00FC14FC" w:rsidRDefault="00FC14FC" w:rsidP="00D11B9D">
            <w:pPr>
              <w:pStyle w:val="Source"/>
            </w:pPr>
            <w:r>
              <w:rPr>
                <w:i/>
              </w:rPr>
              <w:t>S</w:t>
            </w:r>
            <w:r w:rsidRPr="00784A05">
              <w:rPr>
                <w:i/>
              </w:rPr>
              <w:t>ource</w:t>
            </w:r>
            <w:r w:rsidRPr="00176D3F">
              <w:t xml:space="preserve">: </w:t>
            </w:r>
            <w:r>
              <w:rPr>
                <w:rFonts w:asciiTheme="minorHAnsi" w:cstheme="minorBidi"/>
                <w:color w:val="000000" w:themeColor="text1"/>
                <w:kern w:val="24"/>
                <w:szCs w:val="18"/>
              </w:rPr>
              <w:t xml:space="preserve">PC analysis of APRA </w:t>
            </w:r>
            <w:r w:rsidRPr="002856AA">
              <w:rPr>
                <w:rFonts w:cs="Arial"/>
              </w:rPr>
              <w:t>(2018b, 2018a)</w:t>
            </w:r>
            <w:r>
              <w:rPr>
                <w:rFonts w:asciiTheme="minorHAnsi" w:cstheme="minorBidi"/>
                <w:color w:val="000000" w:themeColor="text1"/>
                <w:kern w:val="24"/>
                <w:szCs w:val="18"/>
              </w:rPr>
              <w:t>, financial market index data (various providers), and SuperRatings data</w:t>
            </w:r>
            <w:r>
              <w:rPr>
                <w:szCs w:val="18"/>
              </w:rPr>
              <w:t>.</w:t>
            </w:r>
          </w:p>
        </w:tc>
      </w:tr>
      <w:tr w:rsidR="00FC14FC" w14:paraId="10785272" w14:textId="77777777" w:rsidTr="00D11B9D">
        <w:tc>
          <w:tcPr>
            <w:tcW w:w="5000" w:type="pct"/>
            <w:tcBorders>
              <w:top w:val="nil"/>
              <w:left w:val="nil"/>
              <w:bottom w:val="single" w:sz="6" w:space="0" w:color="78A22F"/>
              <w:right w:val="nil"/>
            </w:tcBorders>
            <w:shd w:val="clear" w:color="auto" w:fill="auto"/>
          </w:tcPr>
          <w:p w14:paraId="6F6F00A3" w14:textId="77777777" w:rsidR="00FC14FC" w:rsidRDefault="00FC14FC" w:rsidP="00D11B9D">
            <w:pPr>
              <w:pStyle w:val="Box"/>
              <w:spacing w:before="0" w:line="120" w:lineRule="exact"/>
            </w:pPr>
          </w:p>
        </w:tc>
      </w:tr>
      <w:tr w:rsidR="00FC14FC" w:rsidRPr="00626D32" w14:paraId="53FD6C1E" w14:textId="77777777" w:rsidTr="00D11B9D">
        <w:tc>
          <w:tcPr>
            <w:tcW w:w="5000" w:type="pct"/>
            <w:tcBorders>
              <w:top w:val="single" w:sz="6" w:space="0" w:color="78A22F"/>
              <w:left w:val="nil"/>
              <w:bottom w:val="nil"/>
              <w:right w:val="nil"/>
            </w:tcBorders>
          </w:tcPr>
          <w:p w14:paraId="72FFA22C" w14:textId="77777777" w:rsidR="00FC14FC" w:rsidRPr="00626D32" w:rsidRDefault="00FC14FC" w:rsidP="00D11B9D">
            <w:pPr>
              <w:pStyle w:val="BoxSpaceBelow"/>
            </w:pPr>
          </w:p>
        </w:tc>
      </w:tr>
    </w:tbl>
    <w:p w14:paraId="3C2997BC"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FC14FC" w:rsidRPr="00784A05" w14:paraId="76E45366" w14:textId="77777777" w:rsidTr="00D11B9D">
        <w:tc>
          <w:tcPr>
            <w:tcW w:w="5000" w:type="pct"/>
            <w:tcBorders>
              <w:top w:val="single" w:sz="6" w:space="0" w:color="78A22F"/>
              <w:left w:val="nil"/>
              <w:bottom w:val="nil"/>
              <w:right w:val="nil"/>
            </w:tcBorders>
            <w:shd w:val="clear" w:color="auto" w:fill="auto"/>
          </w:tcPr>
          <w:p w14:paraId="22AEE329" w14:textId="77777777" w:rsidR="00FC14FC" w:rsidRPr="00AC457F" w:rsidRDefault="00FC14FC" w:rsidP="00D11B9D">
            <w:pPr>
              <w:pStyle w:val="TableTitle"/>
              <w:rPr>
                <w:rStyle w:val="NoteLabel"/>
              </w:rPr>
            </w:pPr>
            <w:r>
              <w:rPr>
                <w:b w:val="0"/>
              </w:rPr>
              <w:t>Table 4.43</w:t>
            </w:r>
            <w:r>
              <w:tab/>
              <w:t>MySuper performance: segment</w:t>
            </w:r>
            <w:r>
              <w:noBreakHyphen/>
              <w:t>average benchmark</w:t>
            </w:r>
            <w:r w:rsidRPr="003447A9">
              <w:rPr>
                <w:rStyle w:val="NoteLabel"/>
              </w:rPr>
              <w:t>a</w:t>
            </w:r>
          </w:p>
          <w:p w14:paraId="2A4D69E6" w14:textId="77777777" w:rsidR="00FC14FC" w:rsidRPr="00784A05" w:rsidRDefault="00FC14FC" w:rsidP="00D11B9D">
            <w:pPr>
              <w:pStyle w:val="Subtitle"/>
            </w:pPr>
            <w:r>
              <w:t>Sensitivity tests, 2008–2017</w:t>
            </w:r>
          </w:p>
        </w:tc>
      </w:tr>
      <w:tr w:rsidR="00FC14FC" w14:paraId="00D335F9" w14:textId="77777777" w:rsidTr="00D11B9D">
        <w:tc>
          <w:tcPr>
            <w:tcW w:w="5000" w:type="pct"/>
            <w:tcBorders>
              <w:top w:val="nil"/>
              <w:left w:val="nil"/>
              <w:bottom w:val="single" w:sz="4" w:space="0" w:color="BFBFBF" w:themeColor="background1" w:themeShade="BF"/>
              <w:right w:val="nil"/>
            </w:tcBorders>
            <w:shd w:val="clear" w:color="auto" w:fill="auto"/>
          </w:tcPr>
          <w:tbl>
            <w:tblPr>
              <w:tblW w:w="8573" w:type="dxa"/>
              <w:tblCellMar>
                <w:top w:w="28" w:type="dxa"/>
                <w:left w:w="0" w:type="dxa"/>
                <w:right w:w="0" w:type="dxa"/>
              </w:tblCellMar>
              <w:tblLook w:val="0000" w:firstRow="0" w:lastRow="0" w:firstColumn="0" w:lastColumn="0" w:noHBand="0" w:noVBand="0"/>
            </w:tblPr>
            <w:tblGrid>
              <w:gridCol w:w="2158"/>
              <w:gridCol w:w="1631"/>
              <w:gridCol w:w="1600"/>
              <w:gridCol w:w="1559"/>
              <w:gridCol w:w="1625"/>
            </w:tblGrid>
            <w:tr w:rsidR="00FC14FC" w14:paraId="4323AB00" w14:textId="77777777" w:rsidTr="00D11B9D">
              <w:trPr>
                <w:trHeight w:val="359"/>
                <w:tblHeader/>
              </w:trPr>
              <w:tc>
                <w:tcPr>
                  <w:tcW w:w="1259" w:type="pct"/>
                  <w:tcBorders>
                    <w:top w:val="single" w:sz="6" w:space="0" w:color="BFBFBF"/>
                    <w:bottom w:val="single" w:sz="6" w:space="0" w:color="BFBFBF"/>
                  </w:tcBorders>
                  <w:shd w:val="clear" w:color="auto" w:fill="auto"/>
                  <w:tcMar>
                    <w:top w:w="28" w:type="dxa"/>
                  </w:tcMar>
                </w:tcPr>
                <w:p w14:paraId="30606EC2" w14:textId="77777777" w:rsidR="00FC14FC" w:rsidRDefault="00FC14FC" w:rsidP="00D11B9D">
                  <w:pPr>
                    <w:pStyle w:val="TableColumnHeading"/>
                    <w:jc w:val="left"/>
                  </w:pPr>
                </w:p>
              </w:tc>
              <w:tc>
                <w:tcPr>
                  <w:tcW w:w="951" w:type="pct"/>
                  <w:tcBorders>
                    <w:top w:val="single" w:sz="6" w:space="0" w:color="BFBFBF"/>
                    <w:bottom w:val="single" w:sz="6" w:space="0" w:color="BFBFBF"/>
                  </w:tcBorders>
                  <w:shd w:val="clear" w:color="auto" w:fill="auto"/>
                  <w:vAlign w:val="bottom"/>
                </w:tcPr>
                <w:p w14:paraId="7E85E84E" w14:textId="77777777" w:rsidR="00FC14FC" w:rsidRDefault="00FC14FC" w:rsidP="00D11B9D">
                  <w:pPr>
                    <w:pStyle w:val="TableColumnHeading"/>
                  </w:pPr>
                  <w:r>
                    <w:t>Chapter 2</w:t>
                  </w:r>
                </w:p>
              </w:tc>
              <w:tc>
                <w:tcPr>
                  <w:tcW w:w="933" w:type="pct"/>
                  <w:tcBorders>
                    <w:top w:val="single" w:sz="6" w:space="0" w:color="BFBFBF"/>
                    <w:bottom w:val="single" w:sz="6" w:space="0" w:color="BFBFBF"/>
                  </w:tcBorders>
                  <w:vAlign w:val="bottom"/>
                </w:tcPr>
                <w:p w14:paraId="722E04C0" w14:textId="77777777" w:rsidR="00FC14FC" w:rsidRDefault="00FC14FC" w:rsidP="00D11B9D">
                  <w:pPr>
                    <w:pStyle w:val="TableColumnHeading"/>
                  </w:pPr>
                  <w:r>
                    <w:t>6</w:t>
                  </w:r>
                  <w:r>
                    <w:noBreakHyphen/>
                    <w:t>year period (2012–2017)</w:t>
                  </w:r>
                </w:p>
              </w:tc>
              <w:tc>
                <w:tcPr>
                  <w:tcW w:w="909" w:type="pct"/>
                  <w:tcBorders>
                    <w:top w:val="single" w:sz="6" w:space="0" w:color="BFBFBF"/>
                    <w:bottom w:val="single" w:sz="6" w:space="0" w:color="BFBFBF"/>
                  </w:tcBorders>
                  <w:shd w:val="clear" w:color="auto" w:fill="auto"/>
                  <w:tcMar>
                    <w:top w:w="28" w:type="dxa"/>
                  </w:tcMar>
                  <w:vAlign w:val="bottom"/>
                </w:tcPr>
                <w:p w14:paraId="6A7922DF" w14:textId="77777777" w:rsidR="00FC14FC" w:rsidRDefault="00FC14FC" w:rsidP="00D11B9D">
                  <w:pPr>
                    <w:pStyle w:val="TableColumnHeading"/>
                  </w:pPr>
                  <w:r>
                    <w:t xml:space="preserve"> Net of fixed admin fees</w:t>
                  </w:r>
                </w:p>
              </w:tc>
              <w:tc>
                <w:tcPr>
                  <w:tcW w:w="948" w:type="pct"/>
                  <w:tcBorders>
                    <w:top w:val="single" w:sz="6" w:space="0" w:color="BFBFBF"/>
                    <w:bottom w:val="single" w:sz="6" w:space="0" w:color="BFBFBF"/>
                  </w:tcBorders>
                  <w:vAlign w:val="bottom"/>
                </w:tcPr>
                <w:p w14:paraId="443BBF38" w14:textId="77777777" w:rsidR="00FC14FC" w:rsidRDefault="00FC14FC" w:rsidP="00D11B9D">
                  <w:pPr>
                    <w:pStyle w:val="TableColumnHeading"/>
                    <w:tabs>
                      <w:tab w:val="center" w:pos="1100"/>
                      <w:tab w:val="right" w:pos="2195"/>
                    </w:tabs>
                    <w:ind w:right="28"/>
                  </w:pPr>
                  <w:r>
                    <w:t>7.5% flat tax</w:t>
                  </w:r>
                </w:p>
              </w:tc>
            </w:tr>
            <w:tr w:rsidR="00FC14FC" w14:paraId="75E6FD73" w14:textId="77777777" w:rsidTr="00D11B9D">
              <w:trPr>
                <w:trHeight w:val="292"/>
              </w:trPr>
              <w:tc>
                <w:tcPr>
                  <w:tcW w:w="5000" w:type="pct"/>
                  <w:gridSpan w:val="5"/>
                  <w:tcBorders>
                    <w:top w:val="single" w:sz="6" w:space="0" w:color="BFBFBF"/>
                  </w:tcBorders>
                  <w:shd w:val="clear" w:color="auto" w:fill="auto"/>
                  <w:vAlign w:val="bottom"/>
                </w:tcPr>
                <w:p w14:paraId="4A63E8CE" w14:textId="77777777" w:rsidR="00FC14FC" w:rsidRDefault="00FC14FC" w:rsidP="00D11B9D">
                  <w:pPr>
                    <w:pStyle w:val="TableUnitsRow"/>
                    <w:ind w:right="28"/>
                    <w:jc w:val="left"/>
                    <w:rPr>
                      <w:b/>
                    </w:rPr>
                  </w:pPr>
                  <w:r>
                    <w:rPr>
                      <w:b/>
                    </w:rPr>
                    <w:t>Products in population by fund type</w:t>
                  </w:r>
                </w:p>
              </w:tc>
            </w:tr>
            <w:tr w:rsidR="00FC14FC" w14:paraId="6FF439DD" w14:textId="77777777" w:rsidTr="00D11B9D">
              <w:trPr>
                <w:trHeight w:val="255"/>
              </w:trPr>
              <w:tc>
                <w:tcPr>
                  <w:tcW w:w="1259" w:type="pct"/>
                  <w:shd w:val="clear" w:color="auto" w:fill="auto"/>
                  <w:vAlign w:val="bottom"/>
                </w:tcPr>
                <w:p w14:paraId="39962415" w14:textId="77777777" w:rsidR="00FC14FC" w:rsidRDefault="00FC14FC" w:rsidP="00D11B9D">
                  <w:pPr>
                    <w:pStyle w:val="TableBodyText"/>
                    <w:jc w:val="left"/>
                  </w:pPr>
                  <w:r>
                    <w:t>Corporate</w:t>
                  </w:r>
                </w:p>
              </w:tc>
              <w:tc>
                <w:tcPr>
                  <w:tcW w:w="951" w:type="pct"/>
                  <w:shd w:val="clear" w:color="auto" w:fill="auto"/>
                  <w:vAlign w:val="bottom"/>
                </w:tcPr>
                <w:p w14:paraId="4FF3047B" w14:textId="77777777" w:rsidR="00FC14FC" w:rsidRDefault="00FC14FC" w:rsidP="00D11B9D">
                  <w:pPr>
                    <w:pStyle w:val="TableBodyText"/>
                  </w:pPr>
                  <w:r w:rsidRPr="00AC457F">
                    <w:t>13</w:t>
                  </w:r>
                </w:p>
              </w:tc>
              <w:tc>
                <w:tcPr>
                  <w:tcW w:w="933" w:type="pct"/>
                  <w:vAlign w:val="bottom"/>
                </w:tcPr>
                <w:p w14:paraId="38FFCE22" w14:textId="77777777" w:rsidR="00FC14FC" w:rsidRDefault="00FC14FC" w:rsidP="00D11B9D">
                  <w:pPr>
                    <w:pStyle w:val="TableBodyText"/>
                  </w:pPr>
                  <w:r w:rsidRPr="00AC457F">
                    <w:t>13</w:t>
                  </w:r>
                </w:p>
              </w:tc>
              <w:tc>
                <w:tcPr>
                  <w:tcW w:w="909" w:type="pct"/>
                  <w:shd w:val="clear" w:color="auto" w:fill="auto"/>
                  <w:vAlign w:val="bottom"/>
                </w:tcPr>
                <w:p w14:paraId="4893B3F6" w14:textId="77777777" w:rsidR="00FC14FC" w:rsidRDefault="00FC14FC" w:rsidP="00D11B9D">
                  <w:pPr>
                    <w:pStyle w:val="TableBodyText"/>
                  </w:pPr>
                  <w:r w:rsidRPr="00AC457F">
                    <w:t>13</w:t>
                  </w:r>
                </w:p>
              </w:tc>
              <w:tc>
                <w:tcPr>
                  <w:tcW w:w="948" w:type="pct"/>
                  <w:vAlign w:val="bottom"/>
                </w:tcPr>
                <w:p w14:paraId="656BB463" w14:textId="77777777" w:rsidR="00FC14FC" w:rsidRDefault="00FC14FC" w:rsidP="00D11B9D">
                  <w:pPr>
                    <w:pStyle w:val="TableBodyText"/>
                    <w:ind w:right="28"/>
                  </w:pPr>
                  <w:r w:rsidRPr="00AC457F">
                    <w:t>13</w:t>
                  </w:r>
                </w:p>
              </w:tc>
            </w:tr>
            <w:tr w:rsidR="00FC14FC" w14:paraId="27355491" w14:textId="77777777" w:rsidTr="00D11B9D">
              <w:trPr>
                <w:trHeight w:val="255"/>
              </w:trPr>
              <w:tc>
                <w:tcPr>
                  <w:tcW w:w="1259" w:type="pct"/>
                  <w:shd w:val="clear" w:color="auto" w:fill="auto"/>
                  <w:vAlign w:val="bottom"/>
                </w:tcPr>
                <w:p w14:paraId="075CD5D0" w14:textId="77777777" w:rsidR="00FC14FC" w:rsidRDefault="00FC14FC" w:rsidP="00D11B9D">
                  <w:pPr>
                    <w:pStyle w:val="TableBodyText"/>
                    <w:jc w:val="left"/>
                  </w:pPr>
                  <w:r>
                    <w:t>Industry</w:t>
                  </w:r>
                </w:p>
              </w:tc>
              <w:tc>
                <w:tcPr>
                  <w:tcW w:w="951" w:type="pct"/>
                  <w:shd w:val="clear" w:color="auto" w:fill="auto"/>
                  <w:vAlign w:val="bottom"/>
                </w:tcPr>
                <w:p w14:paraId="0F83503A" w14:textId="77777777" w:rsidR="00FC14FC" w:rsidRDefault="00FC14FC" w:rsidP="00D11B9D">
                  <w:pPr>
                    <w:pStyle w:val="TableBodyText"/>
                  </w:pPr>
                  <w:r>
                    <w:t>39</w:t>
                  </w:r>
                </w:p>
              </w:tc>
              <w:tc>
                <w:tcPr>
                  <w:tcW w:w="933" w:type="pct"/>
                  <w:vAlign w:val="bottom"/>
                </w:tcPr>
                <w:p w14:paraId="3BA9755F" w14:textId="77777777" w:rsidR="00FC14FC" w:rsidRDefault="00FC14FC" w:rsidP="00D11B9D">
                  <w:pPr>
                    <w:pStyle w:val="TableBodyText"/>
                  </w:pPr>
                  <w:r>
                    <w:t>39</w:t>
                  </w:r>
                </w:p>
              </w:tc>
              <w:tc>
                <w:tcPr>
                  <w:tcW w:w="909" w:type="pct"/>
                  <w:shd w:val="clear" w:color="auto" w:fill="auto"/>
                  <w:vAlign w:val="bottom"/>
                </w:tcPr>
                <w:p w14:paraId="6F088F1B" w14:textId="77777777" w:rsidR="00FC14FC" w:rsidRDefault="00FC14FC" w:rsidP="00D11B9D">
                  <w:pPr>
                    <w:pStyle w:val="TableBodyText"/>
                  </w:pPr>
                  <w:r>
                    <w:t>39</w:t>
                  </w:r>
                </w:p>
              </w:tc>
              <w:tc>
                <w:tcPr>
                  <w:tcW w:w="948" w:type="pct"/>
                  <w:vAlign w:val="bottom"/>
                </w:tcPr>
                <w:p w14:paraId="3666F798" w14:textId="77777777" w:rsidR="00FC14FC" w:rsidRDefault="00FC14FC" w:rsidP="00D11B9D">
                  <w:pPr>
                    <w:pStyle w:val="TableBodyText"/>
                    <w:ind w:right="28"/>
                  </w:pPr>
                  <w:r>
                    <w:t>39</w:t>
                  </w:r>
                </w:p>
              </w:tc>
            </w:tr>
            <w:tr w:rsidR="00FC14FC" w14:paraId="0E85266B" w14:textId="77777777" w:rsidTr="00D11B9D">
              <w:trPr>
                <w:trHeight w:val="255"/>
              </w:trPr>
              <w:tc>
                <w:tcPr>
                  <w:tcW w:w="1259" w:type="pct"/>
                  <w:shd w:val="clear" w:color="auto" w:fill="auto"/>
                  <w:vAlign w:val="bottom"/>
                </w:tcPr>
                <w:p w14:paraId="43FA0A0E" w14:textId="77777777" w:rsidR="00FC14FC" w:rsidRDefault="00FC14FC" w:rsidP="00D11B9D">
                  <w:pPr>
                    <w:pStyle w:val="TableBodyText"/>
                    <w:jc w:val="left"/>
                  </w:pPr>
                  <w:r>
                    <w:t>Public Sector</w:t>
                  </w:r>
                </w:p>
              </w:tc>
              <w:tc>
                <w:tcPr>
                  <w:tcW w:w="951" w:type="pct"/>
                  <w:shd w:val="clear" w:color="auto" w:fill="auto"/>
                  <w:vAlign w:val="bottom"/>
                </w:tcPr>
                <w:p w14:paraId="6A608A95" w14:textId="77777777" w:rsidR="00FC14FC" w:rsidRDefault="00FC14FC" w:rsidP="00D11B9D">
                  <w:pPr>
                    <w:pStyle w:val="TableBodyText"/>
                  </w:pPr>
                  <w:r w:rsidRPr="00AC457F">
                    <w:t>12</w:t>
                  </w:r>
                </w:p>
              </w:tc>
              <w:tc>
                <w:tcPr>
                  <w:tcW w:w="933" w:type="pct"/>
                  <w:vAlign w:val="bottom"/>
                </w:tcPr>
                <w:p w14:paraId="14B16B9F" w14:textId="77777777" w:rsidR="00FC14FC" w:rsidRDefault="00FC14FC" w:rsidP="00D11B9D">
                  <w:pPr>
                    <w:pStyle w:val="TableBodyText"/>
                  </w:pPr>
                  <w:r w:rsidRPr="00AC457F">
                    <w:t>12</w:t>
                  </w:r>
                </w:p>
              </w:tc>
              <w:tc>
                <w:tcPr>
                  <w:tcW w:w="909" w:type="pct"/>
                  <w:shd w:val="clear" w:color="auto" w:fill="auto"/>
                  <w:vAlign w:val="bottom"/>
                </w:tcPr>
                <w:p w14:paraId="757A5F0B" w14:textId="77777777" w:rsidR="00FC14FC" w:rsidRDefault="00FC14FC" w:rsidP="00D11B9D">
                  <w:pPr>
                    <w:pStyle w:val="TableBodyText"/>
                  </w:pPr>
                  <w:r w:rsidRPr="00AC457F">
                    <w:t>12</w:t>
                  </w:r>
                </w:p>
              </w:tc>
              <w:tc>
                <w:tcPr>
                  <w:tcW w:w="948" w:type="pct"/>
                  <w:vAlign w:val="bottom"/>
                </w:tcPr>
                <w:p w14:paraId="729D103F" w14:textId="77777777" w:rsidR="00FC14FC" w:rsidRDefault="00FC14FC" w:rsidP="00D11B9D">
                  <w:pPr>
                    <w:pStyle w:val="TableBodyText"/>
                    <w:ind w:right="28"/>
                  </w:pPr>
                  <w:r w:rsidRPr="00AC457F">
                    <w:t>12</w:t>
                  </w:r>
                </w:p>
              </w:tc>
            </w:tr>
            <w:tr w:rsidR="00FC14FC" w14:paraId="20371F6A" w14:textId="77777777" w:rsidTr="00D11B9D">
              <w:trPr>
                <w:trHeight w:val="245"/>
              </w:trPr>
              <w:tc>
                <w:tcPr>
                  <w:tcW w:w="1259" w:type="pct"/>
                  <w:shd w:val="clear" w:color="auto" w:fill="auto"/>
                  <w:vAlign w:val="bottom"/>
                </w:tcPr>
                <w:p w14:paraId="251F8F25" w14:textId="77777777" w:rsidR="00FC14FC" w:rsidRDefault="00FC14FC" w:rsidP="00D11B9D">
                  <w:pPr>
                    <w:pStyle w:val="TableBodyText"/>
                    <w:jc w:val="left"/>
                  </w:pPr>
                  <w:r>
                    <w:t>Retail</w:t>
                  </w:r>
                </w:p>
              </w:tc>
              <w:tc>
                <w:tcPr>
                  <w:tcW w:w="951" w:type="pct"/>
                  <w:shd w:val="clear" w:color="auto" w:fill="auto"/>
                  <w:vAlign w:val="bottom"/>
                </w:tcPr>
                <w:p w14:paraId="46C341BA" w14:textId="77777777" w:rsidR="00FC14FC" w:rsidRDefault="00FC14FC" w:rsidP="00D11B9D">
                  <w:pPr>
                    <w:pStyle w:val="TableBodyText"/>
                  </w:pPr>
                  <w:r w:rsidRPr="00AC457F">
                    <w:t>41</w:t>
                  </w:r>
                </w:p>
              </w:tc>
              <w:tc>
                <w:tcPr>
                  <w:tcW w:w="933" w:type="pct"/>
                  <w:vAlign w:val="bottom"/>
                </w:tcPr>
                <w:p w14:paraId="4BBD5AC1" w14:textId="77777777" w:rsidR="00FC14FC" w:rsidRDefault="00FC14FC" w:rsidP="00D11B9D">
                  <w:pPr>
                    <w:pStyle w:val="TableBodyText"/>
                  </w:pPr>
                  <w:r w:rsidRPr="00AC457F">
                    <w:t>41</w:t>
                  </w:r>
                </w:p>
              </w:tc>
              <w:tc>
                <w:tcPr>
                  <w:tcW w:w="909" w:type="pct"/>
                  <w:shd w:val="clear" w:color="auto" w:fill="auto"/>
                  <w:vAlign w:val="bottom"/>
                </w:tcPr>
                <w:p w14:paraId="3A4F8451" w14:textId="77777777" w:rsidR="00FC14FC" w:rsidRDefault="00FC14FC" w:rsidP="00D11B9D">
                  <w:pPr>
                    <w:pStyle w:val="TableBodyText"/>
                  </w:pPr>
                  <w:r w:rsidRPr="00AC457F">
                    <w:t>41</w:t>
                  </w:r>
                </w:p>
              </w:tc>
              <w:tc>
                <w:tcPr>
                  <w:tcW w:w="948" w:type="pct"/>
                  <w:vAlign w:val="bottom"/>
                </w:tcPr>
                <w:p w14:paraId="1793E7FA" w14:textId="77777777" w:rsidR="00FC14FC" w:rsidRDefault="00FC14FC" w:rsidP="00D11B9D">
                  <w:pPr>
                    <w:pStyle w:val="TableBodyText"/>
                    <w:ind w:right="28"/>
                  </w:pPr>
                  <w:r w:rsidRPr="00AC457F">
                    <w:t>41</w:t>
                  </w:r>
                </w:p>
              </w:tc>
            </w:tr>
            <w:tr w:rsidR="00FC14FC" w14:paraId="5AC65175" w14:textId="77777777" w:rsidTr="00D11B9D">
              <w:trPr>
                <w:trHeight w:val="510"/>
              </w:trPr>
              <w:tc>
                <w:tcPr>
                  <w:tcW w:w="5000" w:type="pct"/>
                  <w:gridSpan w:val="5"/>
                  <w:shd w:val="clear" w:color="auto" w:fill="F2F2F2" w:themeFill="background1" w:themeFillShade="F2"/>
                  <w:vAlign w:val="bottom"/>
                </w:tcPr>
                <w:p w14:paraId="7DBCE4D2" w14:textId="77777777" w:rsidR="00FC14FC" w:rsidRDefault="00FC14FC" w:rsidP="00D11B9D">
                  <w:pPr>
                    <w:pStyle w:val="TableBodyText"/>
                    <w:spacing w:before="40"/>
                    <w:ind w:left="1440" w:right="28" w:hanging="1434"/>
                    <w:jc w:val="left"/>
                    <w:rPr>
                      <w:b/>
                    </w:rPr>
                  </w:pPr>
                  <w:r>
                    <w:rPr>
                      <w:b/>
                    </w:rPr>
                    <w:t>Products in sample by fund type</w:t>
                  </w:r>
                </w:p>
                <w:p w14:paraId="52A338C9" w14:textId="77777777" w:rsidR="00FC14FC" w:rsidRDefault="00FC14FC" w:rsidP="00D11B9D">
                  <w:pPr>
                    <w:pStyle w:val="TableBodyText"/>
                    <w:spacing w:before="40"/>
                    <w:ind w:left="1440" w:right="28" w:hanging="1434"/>
                    <w:jc w:val="left"/>
                    <w:rPr>
                      <w:b/>
                    </w:rPr>
                  </w:pPr>
                  <w:r>
                    <w:t>Percentage of fund</w:t>
                  </w:r>
                  <w:r>
                    <w:noBreakHyphen/>
                    <w:t>type population (number of funds)</w:t>
                  </w:r>
                </w:p>
              </w:tc>
            </w:tr>
            <w:tr w:rsidR="00FC14FC" w14:paraId="55D5AEF7" w14:textId="77777777" w:rsidTr="00D11B9D">
              <w:trPr>
                <w:trHeight w:val="255"/>
              </w:trPr>
              <w:tc>
                <w:tcPr>
                  <w:tcW w:w="1259" w:type="pct"/>
                  <w:shd w:val="clear" w:color="auto" w:fill="F2F2F2" w:themeFill="background1" w:themeFillShade="F2"/>
                  <w:vAlign w:val="bottom"/>
                </w:tcPr>
                <w:p w14:paraId="052FD890" w14:textId="77777777" w:rsidR="00FC14FC" w:rsidRDefault="00FC14FC" w:rsidP="00D11B9D">
                  <w:pPr>
                    <w:pStyle w:val="TableBodyText"/>
                    <w:jc w:val="left"/>
                  </w:pPr>
                  <w:r>
                    <w:t>Corporate</w:t>
                  </w:r>
                </w:p>
              </w:tc>
              <w:tc>
                <w:tcPr>
                  <w:tcW w:w="951" w:type="pct"/>
                  <w:shd w:val="clear" w:color="auto" w:fill="F2F2F2" w:themeFill="background1" w:themeFillShade="F2"/>
                  <w:vAlign w:val="bottom"/>
                </w:tcPr>
                <w:p w14:paraId="1793C4BC" w14:textId="77777777" w:rsidR="00FC14FC" w:rsidRDefault="00FC14FC" w:rsidP="00D11B9D">
                  <w:pPr>
                    <w:pStyle w:val="TableBodyText"/>
                  </w:pPr>
                  <w:r>
                    <w:t>62 (8)</w:t>
                  </w:r>
                </w:p>
              </w:tc>
              <w:tc>
                <w:tcPr>
                  <w:tcW w:w="933" w:type="pct"/>
                  <w:shd w:val="clear" w:color="auto" w:fill="F2F2F2" w:themeFill="background1" w:themeFillShade="F2"/>
                  <w:vAlign w:val="bottom"/>
                </w:tcPr>
                <w:p w14:paraId="1AEF3186" w14:textId="77777777" w:rsidR="00FC14FC" w:rsidRDefault="00FC14FC" w:rsidP="00D11B9D">
                  <w:pPr>
                    <w:pStyle w:val="TableBodyText"/>
                  </w:pPr>
                  <w:r>
                    <w:t>62 (8)</w:t>
                  </w:r>
                </w:p>
              </w:tc>
              <w:tc>
                <w:tcPr>
                  <w:tcW w:w="909" w:type="pct"/>
                  <w:shd w:val="clear" w:color="auto" w:fill="F2F2F2" w:themeFill="background1" w:themeFillShade="F2"/>
                  <w:vAlign w:val="bottom"/>
                </w:tcPr>
                <w:p w14:paraId="654B9142" w14:textId="77777777" w:rsidR="00FC14FC" w:rsidRDefault="00FC14FC" w:rsidP="00D11B9D">
                  <w:pPr>
                    <w:pStyle w:val="TableBodyText"/>
                  </w:pPr>
                  <w:r>
                    <w:t>62 (8)</w:t>
                  </w:r>
                </w:p>
              </w:tc>
              <w:tc>
                <w:tcPr>
                  <w:tcW w:w="948" w:type="pct"/>
                  <w:shd w:val="clear" w:color="auto" w:fill="F2F2F2" w:themeFill="background1" w:themeFillShade="F2"/>
                  <w:vAlign w:val="bottom"/>
                </w:tcPr>
                <w:p w14:paraId="1F1077EE" w14:textId="77777777" w:rsidR="00FC14FC" w:rsidRDefault="00FC14FC" w:rsidP="00D11B9D">
                  <w:pPr>
                    <w:pStyle w:val="TableBodyText"/>
                    <w:ind w:right="28"/>
                  </w:pPr>
                  <w:r>
                    <w:t>62 (8)</w:t>
                  </w:r>
                </w:p>
              </w:tc>
            </w:tr>
            <w:tr w:rsidR="00FC14FC" w14:paraId="1091AE1C" w14:textId="77777777" w:rsidTr="00D11B9D">
              <w:trPr>
                <w:trHeight w:val="245"/>
              </w:trPr>
              <w:tc>
                <w:tcPr>
                  <w:tcW w:w="1259" w:type="pct"/>
                  <w:shd w:val="clear" w:color="auto" w:fill="F2F2F2" w:themeFill="background1" w:themeFillShade="F2"/>
                  <w:vAlign w:val="bottom"/>
                </w:tcPr>
                <w:p w14:paraId="01A61AD7" w14:textId="77777777" w:rsidR="00FC14FC" w:rsidRDefault="00FC14FC" w:rsidP="00D11B9D">
                  <w:pPr>
                    <w:pStyle w:val="TableBodyText"/>
                    <w:jc w:val="left"/>
                  </w:pPr>
                  <w:r>
                    <w:t>Industry</w:t>
                  </w:r>
                </w:p>
              </w:tc>
              <w:tc>
                <w:tcPr>
                  <w:tcW w:w="951" w:type="pct"/>
                  <w:shd w:val="clear" w:color="auto" w:fill="F2F2F2" w:themeFill="background1" w:themeFillShade="F2"/>
                  <w:vAlign w:val="bottom"/>
                </w:tcPr>
                <w:p w14:paraId="5C606D2A" w14:textId="77777777" w:rsidR="00FC14FC" w:rsidRDefault="00FC14FC" w:rsidP="00D11B9D">
                  <w:pPr>
                    <w:pStyle w:val="TableBodyText"/>
                  </w:pPr>
                  <w:r>
                    <w:t>85 (33)</w:t>
                  </w:r>
                </w:p>
              </w:tc>
              <w:tc>
                <w:tcPr>
                  <w:tcW w:w="933" w:type="pct"/>
                  <w:shd w:val="clear" w:color="auto" w:fill="F2F2F2" w:themeFill="background1" w:themeFillShade="F2"/>
                  <w:vAlign w:val="bottom"/>
                </w:tcPr>
                <w:p w14:paraId="7A48D3E6" w14:textId="77777777" w:rsidR="00FC14FC" w:rsidRDefault="00FC14FC" w:rsidP="00D11B9D">
                  <w:pPr>
                    <w:pStyle w:val="TableBodyText"/>
                  </w:pPr>
                  <w:r>
                    <w:t>85 (33)</w:t>
                  </w:r>
                </w:p>
              </w:tc>
              <w:tc>
                <w:tcPr>
                  <w:tcW w:w="909" w:type="pct"/>
                  <w:shd w:val="clear" w:color="auto" w:fill="F2F2F2" w:themeFill="background1" w:themeFillShade="F2"/>
                  <w:vAlign w:val="bottom"/>
                </w:tcPr>
                <w:p w14:paraId="56F61C95" w14:textId="77777777" w:rsidR="00FC14FC" w:rsidRDefault="00FC14FC" w:rsidP="00D11B9D">
                  <w:pPr>
                    <w:pStyle w:val="TableBodyText"/>
                  </w:pPr>
                  <w:r>
                    <w:t>85 (33)</w:t>
                  </w:r>
                </w:p>
              </w:tc>
              <w:tc>
                <w:tcPr>
                  <w:tcW w:w="948" w:type="pct"/>
                  <w:shd w:val="clear" w:color="auto" w:fill="F2F2F2" w:themeFill="background1" w:themeFillShade="F2"/>
                  <w:vAlign w:val="bottom"/>
                </w:tcPr>
                <w:p w14:paraId="3AB36E0D" w14:textId="77777777" w:rsidR="00FC14FC" w:rsidRDefault="00FC14FC" w:rsidP="00D11B9D">
                  <w:pPr>
                    <w:pStyle w:val="TableBodyText"/>
                    <w:ind w:right="28"/>
                  </w:pPr>
                  <w:r>
                    <w:t>85 (33)</w:t>
                  </w:r>
                </w:p>
              </w:tc>
            </w:tr>
            <w:tr w:rsidR="00FC14FC" w14:paraId="4BD31E24" w14:textId="77777777" w:rsidTr="00D11B9D">
              <w:trPr>
                <w:trHeight w:val="255"/>
              </w:trPr>
              <w:tc>
                <w:tcPr>
                  <w:tcW w:w="1259" w:type="pct"/>
                  <w:shd w:val="clear" w:color="auto" w:fill="F2F2F2" w:themeFill="background1" w:themeFillShade="F2"/>
                  <w:vAlign w:val="bottom"/>
                </w:tcPr>
                <w:p w14:paraId="3FD1234A" w14:textId="77777777" w:rsidR="00FC14FC" w:rsidRDefault="00FC14FC" w:rsidP="00D11B9D">
                  <w:pPr>
                    <w:pStyle w:val="TableBodyText"/>
                    <w:jc w:val="left"/>
                  </w:pPr>
                  <w:r>
                    <w:t>Public Sector</w:t>
                  </w:r>
                </w:p>
              </w:tc>
              <w:tc>
                <w:tcPr>
                  <w:tcW w:w="951" w:type="pct"/>
                  <w:shd w:val="clear" w:color="auto" w:fill="F2F2F2" w:themeFill="background1" w:themeFillShade="F2"/>
                  <w:vAlign w:val="bottom"/>
                </w:tcPr>
                <w:p w14:paraId="5543B3C9" w14:textId="77777777" w:rsidR="00FC14FC" w:rsidRDefault="00FC14FC" w:rsidP="00D11B9D">
                  <w:pPr>
                    <w:pStyle w:val="TableBodyText"/>
                  </w:pPr>
                  <w:r>
                    <w:t>58 (7)</w:t>
                  </w:r>
                </w:p>
              </w:tc>
              <w:tc>
                <w:tcPr>
                  <w:tcW w:w="933" w:type="pct"/>
                  <w:shd w:val="clear" w:color="auto" w:fill="F2F2F2" w:themeFill="background1" w:themeFillShade="F2"/>
                  <w:vAlign w:val="bottom"/>
                </w:tcPr>
                <w:p w14:paraId="2155010F" w14:textId="77777777" w:rsidR="00FC14FC" w:rsidRDefault="00FC14FC" w:rsidP="00D11B9D">
                  <w:pPr>
                    <w:pStyle w:val="TableBodyText"/>
                  </w:pPr>
                  <w:r>
                    <w:t>58 (7)</w:t>
                  </w:r>
                </w:p>
              </w:tc>
              <w:tc>
                <w:tcPr>
                  <w:tcW w:w="909" w:type="pct"/>
                  <w:shd w:val="clear" w:color="auto" w:fill="F2F2F2" w:themeFill="background1" w:themeFillShade="F2"/>
                  <w:vAlign w:val="bottom"/>
                </w:tcPr>
                <w:p w14:paraId="55166A86" w14:textId="77777777" w:rsidR="00FC14FC" w:rsidRDefault="00FC14FC" w:rsidP="00D11B9D">
                  <w:pPr>
                    <w:pStyle w:val="TableBodyText"/>
                  </w:pPr>
                  <w:r>
                    <w:t>58 (7)</w:t>
                  </w:r>
                </w:p>
              </w:tc>
              <w:tc>
                <w:tcPr>
                  <w:tcW w:w="948" w:type="pct"/>
                  <w:shd w:val="clear" w:color="auto" w:fill="F2F2F2" w:themeFill="background1" w:themeFillShade="F2"/>
                  <w:vAlign w:val="bottom"/>
                </w:tcPr>
                <w:p w14:paraId="58017ADC" w14:textId="77777777" w:rsidR="00FC14FC" w:rsidRDefault="00FC14FC" w:rsidP="00D11B9D">
                  <w:pPr>
                    <w:pStyle w:val="TableBodyText"/>
                    <w:ind w:right="28"/>
                  </w:pPr>
                  <w:r>
                    <w:t>58 (7)</w:t>
                  </w:r>
                </w:p>
              </w:tc>
            </w:tr>
            <w:tr w:rsidR="00FC14FC" w14:paraId="7E9C94DE" w14:textId="77777777" w:rsidTr="00D11B9D">
              <w:trPr>
                <w:trHeight w:val="255"/>
              </w:trPr>
              <w:tc>
                <w:tcPr>
                  <w:tcW w:w="1259" w:type="pct"/>
                  <w:shd w:val="clear" w:color="auto" w:fill="F2F2F2" w:themeFill="background1" w:themeFillShade="F2"/>
                  <w:vAlign w:val="bottom"/>
                </w:tcPr>
                <w:p w14:paraId="7D382B35" w14:textId="77777777" w:rsidR="00FC14FC" w:rsidRDefault="00FC14FC" w:rsidP="00D11B9D">
                  <w:pPr>
                    <w:pStyle w:val="TableBodyText"/>
                    <w:jc w:val="left"/>
                  </w:pPr>
                  <w:r>
                    <w:t>Retail</w:t>
                  </w:r>
                </w:p>
              </w:tc>
              <w:tc>
                <w:tcPr>
                  <w:tcW w:w="951" w:type="pct"/>
                  <w:shd w:val="clear" w:color="auto" w:fill="F2F2F2" w:themeFill="background1" w:themeFillShade="F2"/>
                  <w:vAlign w:val="bottom"/>
                </w:tcPr>
                <w:p w14:paraId="6EDE922D" w14:textId="77777777" w:rsidR="00FC14FC" w:rsidRDefault="00FC14FC" w:rsidP="00D11B9D">
                  <w:pPr>
                    <w:pStyle w:val="TableBodyText"/>
                  </w:pPr>
                  <w:r>
                    <w:t>39 (16)</w:t>
                  </w:r>
                </w:p>
              </w:tc>
              <w:tc>
                <w:tcPr>
                  <w:tcW w:w="933" w:type="pct"/>
                  <w:shd w:val="clear" w:color="auto" w:fill="F2F2F2" w:themeFill="background1" w:themeFillShade="F2"/>
                  <w:vAlign w:val="bottom"/>
                </w:tcPr>
                <w:p w14:paraId="6B9AC759" w14:textId="77777777" w:rsidR="00FC14FC" w:rsidRDefault="00FC14FC" w:rsidP="00D11B9D">
                  <w:pPr>
                    <w:pStyle w:val="TableBodyText"/>
                  </w:pPr>
                  <w:r>
                    <w:t>39 (16)</w:t>
                  </w:r>
                </w:p>
              </w:tc>
              <w:tc>
                <w:tcPr>
                  <w:tcW w:w="909" w:type="pct"/>
                  <w:shd w:val="clear" w:color="auto" w:fill="F2F2F2" w:themeFill="background1" w:themeFillShade="F2"/>
                  <w:vAlign w:val="bottom"/>
                </w:tcPr>
                <w:p w14:paraId="2BDE9D0A" w14:textId="77777777" w:rsidR="00FC14FC" w:rsidRDefault="00FC14FC" w:rsidP="00D11B9D">
                  <w:pPr>
                    <w:pStyle w:val="TableBodyText"/>
                  </w:pPr>
                  <w:r>
                    <w:t>39 (16)</w:t>
                  </w:r>
                </w:p>
              </w:tc>
              <w:tc>
                <w:tcPr>
                  <w:tcW w:w="948" w:type="pct"/>
                  <w:shd w:val="clear" w:color="auto" w:fill="F2F2F2" w:themeFill="background1" w:themeFillShade="F2"/>
                  <w:vAlign w:val="bottom"/>
                </w:tcPr>
                <w:p w14:paraId="163B5E47" w14:textId="77777777" w:rsidR="00FC14FC" w:rsidRDefault="00FC14FC" w:rsidP="00D11B9D">
                  <w:pPr>
                    <w:pStyle w:val="TableBodyText"/>
                    <w:ind w:right="28"/>
                  </w:pPr>
                  <w:r>
                    <w:t>39 (16)</w:t>
                  </w:r>
                </w:p>
              </w:tc>
            </w:tr>
            <w:tr w:rsidR="00FC14FC" w14:paraId="1BE225B1" w14:textId="77777777" w:rsidTr="00D11B9D">
              <w:trPr>
                <w:trHeight w:val="292"/>
              </w:trPr>
              <w:tc>
                <w:tcPr>
                  <w:tcW w:w="4052" w:type="pct"/>
                  <w:gridSpan w:val="4"/>
                  <w:shd w:val="clear" w:color="auto" w:fill="auto"/>
                  <w:vAlign w:val="bottom"/>
                </w:tcPr>
                <w:p w14:paraId="58080900" w14:textId="77777777" w:rsidR="00FC14FC" w:rsidRPr="00270413" w:rsidRDefault="00FC14FC" w:rsidP="00D11B9D">
                  <w:pPr>
                    <w:pStyle w:val="TableUnitsRow"/>
                    <w:jc w:val="left"/>
                    <w:rPr>
                      <w:b/>
                    </w:rPr>
                  </w:pPr>
                  <w:r w:rsidRPr="00270413">
                    <w:rPr>
                      <w:b/>
                    </w:rPr>
                    <w:t>Products performing above BP2</w:t>
                  </w:r>
                </w:p>
              </w:tc>
              <w:tc>
                <w:tcPr>
                  <w:tcW w:w="948" w:type="pct"/>
                </w:tcPr>
                <w:p w14:paraId="474E24AF" w14:textId="77777777" w:rsidR="00FC14FC" w:rsidRDefault="00FC14FC" w:rsidP="00D11B9D">
                  <w:pPr>
                    <w:pStyle w:val="TableUnitsRow"/>
                    <w:ind w:right="28"/>
                    <w:jc w:val="left"/>
                    <w:rPr>
                      <w:b/>
                    </w:rPr>
                  </w:pPr>
                </w:p>
              </w:tc>
            </w:tr>
            <w:tr w:rsidR="00FC14FC" w14:paraId="0823BE0C" w14:textId="77777777" w:rsidTr="00D11B9D">
              <w:trPr>
                <w:trHeight w:val="255"/>
              </w:trPr>
              <w:tc>
                <w:tcPr>
                  <w:tcW w:w="1259" w:type="pct"/>
                  <w:shd w:val="clear" w:color="auto" w:fill="auto"/>
                  <w:vAlign w:val="bottom"/>
                </w:tcPr>
                <w:p w14:paraId="4DCCC227" w14:textId="77777777" w:rsidR="00FC14FC" w:rsidRDefault="00FC14FC" w:rsidP="00D11B9D">
                  <w:pPr>
                    <w:pStyle w:val="TableBodyText"/>
                    <w:jc w:val="left"/>
                  </w:pPr>
                  <w:r>
                    <w:t>Number of products</w:t>
                  </w:r>
                </w:p>
              </w:tc>
              <w:tc>
                <w:tcPr>
                  <w:tcW w:w="951" w:type="pct"/>
                  <w:shd w:val="clear" w:color="auto" w:fill="auto"/>
                  <w:vAlign w:val="bottom"/>
                </w:tcPr>
                <w:p w14:paraId="43413D9E" w14:textId="77777777" w:rsidR="00FC14FC" w:rsidRDefault="00FC14FC" w:rsidP="00D11B9D">
                  <w:pPr>
                    <w:pStyle w:val="TableBodyText"/>
                  </w:pPr>
                  <w:r>
                    <w:t>37</w:t>
                  </w:r>
                </w:p>
              </w:tc>
              <w:tc>
                <w:tcPr>
                  <w:tcW w:w="933" w:type="pct"/>
                </w:tcPr>
                <w:p w14:paraId="38E59C02" w14:textId="77777777" w:rsidR="00FC14FC" w:rsidRDefault="00FC14FC" w:rsidP="00D11B9D">
                  <w:pPr>
                    <w:pStyle w:val="TableBodyText"/>
                  </w:pPr>
                  <w:r>
                    <w:t>21</w:t>
                  </w:r>
                </w:p>
              </w:tc>
              <w:tc>
                <w:tcPr>
                  <w:tcW w:w="909" w:type="pct"/>
                  <w:shd w:val="clear" w:color="auto" w:fill="auto"/>
                  <w:vAlign w:val="bottom"/>
                </w:tcPr>
                <w:p w14:paraId="5B9EC8C0" w14:textId="77777777" w:rsidR="00FC14FC" w:rsidRDefault="00FC14FC" w:rsidP="00D11B9D">
                  <w:pPr>
                    <w:pStyle w:val="TableBodyText"/>
                  </w:pPr>
                  <w:r>
                    <w:t>37</w:t>
                  </w:r>
                </w:p>
              </w:tc>
              <w:tc>
                <w:tcPr>
                  <w:tcW w:w="948" w:type="pct"/>
                </w:tcPr>
                <w:p w14:paraId="75884749" w14:textId="77777777" w:rsidR="00FC14FC" w:rsidDel="00D24EB1" w:rsidRDefault="00FC14FC" w:rsidP="00D11B9D">
                  <w:pPr>
                    <w:pStyle w:val="TableBodyText"/>
                    <w:ind w:right="28"/>
                  </w:pPr>
                  <w:r>
                    <w:t>33</w:t>
                  </w:r>
                </w:p>
              </w:tc>
            </w:tr>
            <w:tr w:rsidR="00FC14FC" w14:paraId="6B4377E9" w14:textId="77777777" w:rsidTr="00D11B9D">
              <w:trPr>
                <w:trHeight w:val="255"/>
              </w:trPr>
              <w:tc>
                <w:tcPr>
                  <w:tcW w:w="1259" w:type="pct"/>
                  <w:shd w:val="clear" w:color="auto" w:fill="auto"/>
                  <w:vAlign w:val="bottom"/>
                </w:tcPr>
                <w:p w14:paraId="5E3E9605" w14:textId="77777777" w:rsidR="00FC14FC" w:rsidRDefault="00FC14FC" w:rsidP="00D11B9D">
                  <w:pPr>
                    <w:pStyle w:val="TableBodyText"/>
                    <w:jc w:val="left"/>
                  </w:pPr>
                  <w:r>
                    <w:t>Accounts (m)</w:t>
                  </w:r>
                </w:p>
              </w:tc>
              <w:tc>
                <w:tcPr>
                  <w:tcW w:w="951" w:type="pct"/>
                  <w:shd w:val="clear" w:color="auto" w:fill="auto"/>
                  <w:vAlign w:val="bottom"/>
                </w:tcPr>
                <w:p w14:paraId="220E187B" w14:textId="77777777" w:rsidR="00FC14FC" w:rsidRDefault="00FC14FC" w:rsidP="00D11B9D">
                  <w:pPr>
                    <w:pStyle w:val="TableBodyText"/>
                  </w:pPr>
                  <w:r>
                    <w:t>9.7</w:t>
                  </w:r>
                </w:p>
              </w:tc>
              <w:tc>
                <w:tcPr>
                  <w:tcW w:w="933" w:type="pct"/>
                </w:tcPr>
                <w:p w14:paraId="11CDF849" w14:textId="77777777" w:rsidR="00FC14FC" w:rsidRDefault="00FC14FC" w:rsidP="00D11B9D">
                  <w:pPr>
                    <w:pStyle w:val="TableBodyText"/>
                  </w:pPr>
                  <w:r>
                    <w:t>8.6</w:t>
                  </w:r>
                </w:p>
              </w:tc>
              <w:tc>
                <w:tcPr>
                  <w:tcW w:w="909" w:type="pct"/>
                  <w:shd w:val="clear" w:color="auto" w:fill="auto"/>
                  <w:vAlign w:val="bottom"/>
                </w:tcPr>
                <w:p w14:paraId="25BAB494" w14:textId="77777777" w:rsidR="00FC14FC" w:rsidRDefault="00FC14FC" w:rsidP="00D11B9D">
                  <w:pPr>
                    <w:pStyle w:val="TableBodyText"/>
                  </w:pPr>
                  <w:r>
                    <w:t>9.7</w:t>
                  </w:r>
                </w:p>
              </w:tc>
              <w:tc>
                <w:tcPr>
                  <w:tcW w:w="948" w:type="pct"/>
                </w:tcPr>
                <w:p w14:paraId="06AE641E" w14:textId="77777777" w:rsidR="00FC14FC" w:rsidDel="00D24EB1" w:rsidRDefault="00FC14FC" w:rsidP="00D11B9D">
                  <w:pPr>
                    <w:pStyle w:val="TableBodyText"/>
                    <w:ind w:right="28"/>
                  </w:pPr>
                  <w:r>
                    <w:t>9.7</w:t>
                  </w:r>
                </w:p>
              </w:tc>
            </w:tr>
            <w:tr w:rsidR="00FC14FC" w14:paraId="0E78010E" w14:textId="77777777" w:rsidTr="00D11B9D">
              <w:trPr>
                <w:trHeight w:val="255"/>
              </w:trPr>
              <w:tc>
                <w:tcPr>
                  <w:tcW w:w="1259" w:type="pct"/>
                  <w:shd w:val="clear" w:color="auto" w:fill="auto"/>
                  <w:vAlign w:val="bottom"/>
                </w:tcPr>
                <w:p w14:paraId="165C1B82" w14:textId="77777777" w:rsidR="00FC14FC" w:rsidRDefault="00FC14FC" w:rsidP="00D11B9D">
                  <w:pPr>
                    <w:pStyle w:val="TableBodyText"/>
                    <w:jc w:val="left"/>
                  </w:pPr>
                  <w:r>
                    <w:t>Assets ($b)</w:t>
                  </w:r>
                </w:p>
              </w:tc>
              <w:tc>
                <w:tcPr>
                  <w:tcW w:w="951" w:type="pct"/>
                  <w:shd w:val="clear" w:color="auto" w:fill="auto"/>
                  <w:vAlign w:val="bottom"/>
                </w:tcPr>
                <w:p w14:paraId="6698196C" w14:textId="77777777" w:rsidR="00FC14FC" w:rsidRDefault="00FC14FC" w:rsidP="00D11B9D">
                  <w:pPr>
                    <w:pStyle w:val="TableBodyText"/>
                  </w:pPr>
                  <w:r>
                    <w:t>450</w:t>
                  </w:r>
                </w:p>
              </w:tc>
              <w:tc>
                <w:tcPr>
                  <w:tcW w:w="933" w:type="pct"/>
                </w:tcPr>
                <w:p w14:paraId="74144436" w14:textId="77777777" w:rsidR="00FC14FC" w:rsidRDefault="00FC14FC" w:rsidP="00D11B9D">
                  <w:pPr>
                    <w:pStyle w:val="TableBodyText"/>
                  </w:pPr>
                  <w:r>
                    <w:t>378</w:t>
                  </w:r>
                </w:p>
              </w:tc>
              <w:tc>
                <w:tcPr>
                  <w:tcW w:w="909" w:type="pct"/>
                  <w:shd w:val="clear" w:color="auto" w:fill="auto"/>
                  <w:vAlign w:val="bottom"/>
                </w:tcPr>
                <w:p w14:paraId="4889AEBF" w14:textId="77777777" w:rsidR="00FC14FC" w:rsidRDefault="00FC14FC" w:rsidP="00D11B9D">
                  <w:pPr>
                    <w:pStyle w:val="TableBodyText"/>
                  </w:pPr>
                  <w:r>
                    <w:t>450</w:t>
                  </w:r>
                </w:p>
              </w:tc>
              <w:tc>
                <w:tcPr>
                  <w:tcW w:w="948" w:type="pct"/>
                </w:tcPr>
                <w:p w14:paraId="6501BB36" w14:textId="77777777" w:rsidR="00FC14FC" w:rsidDel="00D24EB1" w:rsidRDefault="00FC14FC" w:rsidP="00D11B9D">
                  <w:pPr>
                    <w:pStyle w:val="TableBodyText"/>
                    <w:ind w:right="28"/>
                  </w:pPr>
                  <w:r>
                    <w:t>447</w:t>
                  </w:r>
                </w:p>
              </w:tc>
            </w:tr>
            <w:tr w:rsidR="00FC14FC" w14:paraId="549B182D" w14:textId="77777777" w:rsidTr="00D11B9D">
              <w:trPr>
                <w:trHeight w:val="292"/>
              </w:trPr>
              <w:tc>
                <w:tcPr>
                  <w:tcW w:w="5000" w:type="pct"/>
                  <w:gridSpan w:val="5"/>
                  <w:shd w:val="clear" w:color="auto" w:fill="F2F2F2" w:themeFill="background1" w:themeFillShade="F2"/>
                  <w:vAlign w:val="bottom"/>
                </w:tcPr>
                <w:p w14:paraId="2CCD21EC" w14:textId="77777777" w:rsidR="00FC14FC" w:rsidRPr="001C6FE0" w:rsidRDefault="00FC14FC" w:rsidP="00D11B9D">
                  <w:pPr>
                    <w:pStyle w:val="TableUnitsRow"/>
                    <w:ind w:left="720" w:right="28" w:hanging="714"/>
                    <w:jc w:val="left"/>
                    <w:rPr>
                      <w:b/>
                    </w:rPr>
                  </w:pPr>
                  <w:r w:rsidRPr="001C6FE0">
                    <w:rPr>
                      <w:b/>
                    </w:rPr>
                    <w:t>Products under BP2 but not underperforming</w:t>
                  </w:r>
                </w:p>
              </w:tc>
            </w:tr>
            <w:tr w:rsidR="00FC14FC" w14:paraId="46592023" w14:textId="77777777" w:rsidTr="00D11B9D">
              <w:trPr>
                <w:trHeight w:val="245"/>
              </w:trPr>
              <w:tc>
                <w:tcPr>
                  <w:tcW w:w="1259" w:type="pct"/>
                  <w:shd w:val="clear" w:color="auto" w:fill="F2F2F2" w:themeFill="background1" w:themeFillShade="F2"/>
                  <w:vAlign w:val="bottom"/>
                </w:tcPr>
                <w:p w14:paraId="5CFB4E16" w14:textId="77777777" w:rsidR="00FC14FC" w:rsidRDefault="00FC14FC" w:rsidP="00D11B9D">
                  <w:pPr>
                    <w:pStyle w:val="TableBodyText"/>
                    <w:jc w:val="left"/>
                  </w:pPr>
                  <w:r>
                    <w:t>Number of products</w:t>
                  </w:r>
                </w:p>
              </w:tc>
              <w:tc>
                <w:tcPr>
                  <w:tcW w:w="951" w:type="pct"/>
                  <w:shd w:val="clear" w:color="auto" w:fill="F2F2F2" w:themeFill="background1" w:themeFillShade="F2"/>
                  <w:vAlign w:val="bottom"/>
                </w:tcPr>
                <w:p w14:paraId="2FEF96BB" w14:textId="77777777" w:rsidR="00FC14FC" w:rsidRDefault="00FC14FC" w:rsidP="00D11B9D">
                  <w:pPr>
                    <w:pStyle w:val="TableBodyText"/>
                  </w:pPr>
                  <w:r>
                    <w:t>6</w:t>
                  </w:r>
                </w:p>
              </w:tc>
              <w:tc>
                <w:tcPr>
                  <w:tcW w:w="933" w:type="pct"/>
                  <w:shd w:val="clear" w:color="auto" w:fill="F2F2F2" w:themeFill="background1" w:themeFillShade="F2"/>
                </w:tcPr>
                <w:p w14:paraId="15765DA0" w14:textId="77777777" w:rsidR="00FC14FC" w:rsidRDefault="00FC14FC" w:rsidP="00D11B9D">
                  <w:pPr>
                    <w:pStyle w:val="TableBodyText"/>
                  </w:pPr>
                  <w:r>
                    <w:t>9</w:t>
                  </w:r>
                </w:p>
              </w:tc>
              <w:tc>
                <w:tcPr>
                  <w:tcW w:w="909" w:type="pct"/>
                  <w:shd w:val="clear" w:color="auto" w:fill="F2F2F2" w:themeFill="background1" w:themeFillShade="F2"/>
                  <w:vAlign w:val="bottom"/>
                </w:tcPr>
                <w:p w14:paraId="78F286DB" w14:textId="77777777" w:rsidR="00FC14FC" w:rsidRPr="002863C0" w:rsidRDefault="00FC14FC" w:rsidP="00D11B9D">
                  <w:pPr>
                    <w:pStyle w:val="TableBodyText"/>
                  </w:pPr>
                  <w:r>
                    <w:t>4</w:t>
                  </w:r>
                </w:p>
              </w:tc>
              <w:tc>
                <w:tcPr>
                  <w:tcW w:w="948" w:type="pct"/>
                  <w:shd w:val="clear" w:color="auto" w:fill="F2F2F2" w:themeFill="background1" w:themeFillShade="F2"/>
                </w:tcPr>
                <w:p w14:paraId="0B2C878F" w14:textId="77777777" w:rsidR="00FC14FC" w:rsidDel="00D24EB1" w:rsidRDefault="00FC14FC" w:rsidP="00D11B9D">
                  <w:pPr>
                    <w:pStyle w:val="TableBodyText"/>
                    <w:ind w:right="28"/>
                  </w:pPr>
                  <w:r>
                    <w:t>8</w:t>
                  </w:r>
                </w:p>
              </w:tc>
            </w:tr>
            <w:tr w:rsidR="00FC14FC" w14:paraId="15F9B56F" w14:textId="77777777" w:rsidTr="00D11B9D">
              <w:trPr>
                <w:trHeight w:val="255"/>
              </w:trPr>
              <w:tc>
                <w:tcPr>
                  <w:tcW w:w="1259" w:type="pct"/>
                  <w:shd w:val="clear" w:color="auto" w:fill="F2F2F2" w:themeFill="background1" w:themeFillShade="F2"/>
                  <w:vAlign w:val="bottom"/>
                </w:tcPr>
                <w:p w14:paraId="6432B87A" w14:textId="77777777" w:rsidR="00FC14FC" w:rsidRDefault="00FC14FC" w:rsidP="00D11B9D">
                  <w:pPr>
                    <w:pStyle w:val="TableBodyText"/>
                    <w:jc w:val="left"/>
                  </w:pPr>
                  <w:r>
                    <w:t>Accounts (m)</w:t>
                  </w:r>
                </w:p>
              </w:tc>
              <w:tc>
                <w:tcPr>
                  <w:tcW w:w="951" w:type="pct"/>
                  <w:shd w:val="clear" w:color="auto" w:fill="F2F2F2" w:themeFill="background1" w:themeFillShade="F2"/>
                  <w:vAlign w:val="bottom"/>
                </w:tcPr>
                <w:p w14:paraId="08DC1164" w14:textId="77777777" w:rsidR="00FC14FC" w:rsidRDefault="00FC14FC" w:rsidP="00D11B9D">
                  <w:pPr>
                    <w:pStyle w:val="TableBodyText"/>
                  </w:pPr>
                  <w:r>
                    <w:t>0.3</w:t>
                  </w:r>
                </w:p>
              </w:tc>
              <w:tc>
                <w:tcPr>
                  <w:tcW w:w="933" w:type="pct"/>
                  <w:shd w:val="clear" w:color="auto" w:fill="F2F2F2" w:themeFill="background1" w:themeFillShade="F2"/>
                </w:tcPr>
                <w:p w14:paraId="7D93E079" w14:textId="77777777" w:rsidR="00FC14FC" w:rsidRDefault="00FC14FC" w:rsidP="00D11B9D">
                  <w:pPr>
                    <w:pStyle w:val="TableBodyText"/>
                  </w:pPr>
                  <w:r>
                    <w:t>0.9</w:t>
                  </w:r>
                </w:p>
              </w:tc>
              <w:tc>
                <w:tcPr>
                  <w:tcW w:w="909" w:type="pct"/>
                  <w:shd w:val="clear" w:color="auto" w:fill="F2F2F2" w:themeFill="background1" w:themeFillShade="F2"/>
                  <w:vAlign w:val="bottom"/>
                </w:tcPr>
                <w:p w14:paraId="2D17762C" w14:textId="77777777" w:rsidR="00FC14FC" w:rsidRDefault="00FC14FC" w:rsidP="00D11B9D">
                  <w:pPr>
                    <w:pStyle w:val="TableBodyText"/>
                  </w:pPr>
                  <w:r>
                    <w:t>0.3</w:t>
                  </w:r>
                </w:p>
              </w:tc>
              <w:tc>
                <w:tcPr>
                  <w:tcW w:w="948" w:type="pct"/>
                  <w:shd w:val="clear" w:color="auto" w:fill="F2F2F2" w:themeFill="background1" w:themeFillShade="F2"/>
                </w:tcPr>
                <w:p w14:paraId="781D4555" w14:textId="77777777" w:rsidR="00FC14FC" w:rsidDel="00D24EB1" w:rsidRDefault="00FC14FC" w:rsidP="00D11B9D">
                  <w:pPr>
                    <w:pStyle w:val="TableBodyText"/>
                    <w:ind w:right="28"/>
                  </w:pPr>
                  <w:r>
                    <w:t>0.2</w:t>
                  </w:r>
                </w:p>
              </w:tc>
            </w:tr>
            <w:tr w:rsidR="00FC14FC" w14:paraId="66FA352E" w14:textId="77777777" w:rsidTr="00D11B9D">
              <w:trPr>
                <w:trHeight w:val="255"/>
              </w:trPr>
              <w:tc>
                <w:tcPr>
                  <w:tcW w:w="1259" w:type="pct"/>
                  <w:shd w:val="clear" w:color="auto" w:fill="F2F2F2" w:themeFill="background1" w:themeFillShade="F2"/>
                  <w:vAlign w:val="bottom"/>
                </w:tcPr>
                <w:p w14:paraId="27B21800" w14:textId="77777777" w:rsidR="00FC14FC" w:rsidRDefault="00FC14FC" w:rsidP="00D11B9D">
                  <w:pPr>
                    <w:pStyle w:val="TableBodyText"/>
                    <w:jc w:val="left"/>
                  </w:pPr>
                  <w:r>
                    <w:t>Assets ($b)</w:t>
                  </w:r>
                </w:p>
              </w:tc>
              <w:tc>
                <w:tcPr>
                  <w:tcW w:w="951" w:type="pct"/>
                  <w:shd w:val="clear" w:color="auto" w:fill="F2F2F2" w:themeFill="background1" w:themeFillShade="F2"/>
                  <w:vAlign w:val="bottom"/>
                </w:tcPr>
                <w:p w14:paraId="764F8613" w14:textId="77777777" w:rsidR="00FC14FC" w:rsidRDefault="00FC14FC" w:rsidP="00D11B9D">
                  <w:pPr>
                    <w:pStyle w:val="TableBodyText"/>
                  </w:pPr>
                  <w:r>
                    <w:t>12</w:t>
                  </w:r>
                </w:p>
              </w:tc>
              <w:tc>
                <w:tcPr>
                  <w:tcW w:w="933" w:type="pct"/>
                  <w:shd w:val="clear" w:color="auto" w:fill="F2F2F2" w:themeFill="background1" w:themeFillShade="F2"/>
                </w:tcPr>
                <w:p w14:paraId="63D76B14" w14:textId="77777777" w:rsidR="00FC14FC" w:rsidRDefault="00FC14FC" w:rsidP="00D11B9D">
                  <w:pPr>
                    <w:pStyle w:val="TableBodyText"/>
                  </w:pPr>
                  <w:r>
                    <w:t>49</w:t>
                  </w:r>
                </w:p>
              </w:tc>
              <w:tc>
                <w:tcPr>
                  <w:tcW w:w="909" w:type="pct"/>
                  <w:shd w:val="clear" w:color="auto" w:fill="F2F2F2" w:themeFill="background1" w:themeFillShade="F2"/>
                  <w:vAlign w:val="bottom"/>
                </w:tcPr>
                <w:p w14:paraId="5A33D8EC" w14:textId="77777777" w:rsidR="00FC14FC" w:rsidRDefault="00FC14FC" w:rsidP="00D11B9D">
                  <w:pPr>
                    <w:pStyle w:val="TableBodyText"/>
                  </w:pPr>
                  <w:r>
                    <w:t>9</w:t>
                  </w:r>
                </w:p>
              </w:tc>
              <w:tc>
                <w:tcPr>
                  <w:tcW w:w="948" w:type="pct"/>
                  <w:shd w:val="clear" w:color="auto" w:fill="F2F2F2" w:themeFill="background1" w:themeFillShade="F2"/>
                </w:tcPr>
                <w:p w14:paraId="1215BCD7" w14:textId="77777777" w:rsidR="00FC14FC" w:rsidDel="00D24EB1" w:rsidRDefault="00FC14FC" w:rsidP="00D11B9D">
                  <w:pPr>
                    <w:pStyle w:val="TableBodyText"/>
                    <w:ind w:right="28"/>
                  </w:pPr>
                  <w:r>
                    <w:t>9</w:t>
                  </w:r>
                </w:p>
              </w:tc>
            </w:tr>
            <w:tr w:rsidR="00FC14FC" w14:paraId="03B0F55D" w14:textId="77777777" w:rsidTr="00D11B9D">
              <w:trPr>
                <w:trHeight w:val="292"/>
              </w:trPr>
              <w:tc>
                <w:tcPr>
                  <w:tcW w:w="5000" w:type="pct"/>
                  <w:gridSpan w:val="5"/>
                  <w:shd w:val="clear" w:color="auto" w:fill="auto"/>
                  <w:vAlign w:val="bottom"/>
                </w:tcPr>
                <w:p w14:paraId="27D724F1" w14:textId="77777777" w:rsidR="00FC14FC" w:rsidRDefault="00FC14FC" w:rsidP="00D11B9D">
                  <w:pPr>
                    <w:pStyle w:val="TableUnitsRow"/>
                    <w:ind w:right="28"/>
                    <w:jc w:val="left"/>
                  </w:pPr>
                  <w:r w:rsidRPr="001C6FE0">
                    <w:rPr>
                      <w:b/>
                    </w:rPr>
                    <w:t>Underperforming products</w:t>
                  </w:r>
                </w:p>
              </w:tc>
            </w:tr>
            <w:tr w:rsidR="00FC14FC" w14:paraId="227DCE9B" w14:textId="77777777" w:rsidTr="00D11B9D">
              <w:trPr>
                <w:trHeight w:val="255"/>
              </w:trPr>
              <w:tc>
                <w:tcPr>
                  <w:tcW w:w="1259" w:type="pct"/>
                  <w:shd w:val="clear" w:color="auto" w:fill="auto"/>
                  <w:vAlign w:val="bottom"/>
                </w:tcPr>
                <w:p w14:paraId="36C1B306" w14:textId="77777777" w:rsidR="00FC14FC" w:rsidRDefault="00FC14FC" w:rsidP="00D11B9D">
                  <w:pPr>
                    <w:pStyle w:val="TableBodyText"/>
                    <w:jc w:val="left"/>
                  </w:pPr>
                  <w:r>
                    <w:t>Number of products</w:t>
                  </w:r>
                </w:p>
              </w:tc>
              <w:tc>
                <w:tcPr>
                  <w:tcW w:w="951" w:type="pct"/>
                  <w:shd w:val="clear" w:color="auto" w:fill="auto"/>
                  <w:vAlign w:val="bottom"/>
                </w:tcPr>
                <w:p w14:paraId="3FFDB689" w14:textId="77777777" w:rsidR="00FC14FC" w:rsidRDefault="00FC14FC" w:rsidP="00D11B9D">
                  <w:pPr>
                    <w:pStyle w:val="TableBodyText"/>
                  </w:pPr>
                  <w:r>
                    <w:t>21</w:t>
                  </w:r>
                </w:p>
              </w:tc>
              <w:tc>
                <w:tcPr>
                  <w:tcW w:w="933" w:type="pct"/>
                </w:tcPr>
                <w:p w14:paraId="035078F2" w14:textId="77777777" w:rsidR="00FC14FC" w:rsidRDefault="00FC14FC" w:rsidP="00D11B9D">
                  <w:pPr>
                    <w:pStyle w:val="TableBodyText"/>
                  </w:pPr>
                  <w:r>
                    <w:t>34</w:t>
                  </w:r>
                </w:p>
              </w:tc>
              <w:tc>
                <w:tcPr>
                  <w:tcW w:w="909" w:type="pct"/>
                  <w:shd w:val="clear" w:color="auto" w:fill="auto"/>
                  <w:vAlign w:val="bottom"/>
                </w:tcPr>
                <w:p w14:paraId="413C80DB" w14:textId="77777777" w:rsidR="00FC14FC" w:rsidRDefault="00FC14FC" w:rsidP="00D11B9D">
                  <w:pPr>
                    <w:pStyle w:val="TableBodyText"/>
                  </w:pPr>
                  <w:r>
                    <w:t>23</w:t>
                  </w:r>
                </w:p>
              </w:tc>
              <w:tc>
                <w:tcPr>
                  <w:tcW w:w="948" w:type="pct"/>
                </w:tcPr>
                <w:p w14:paraId="49281A17" w14:textId="77777777" w:rsidR="00FC14FC" w:rsidDel="00D24EB1" w:rsidRDefault="00FC14FC" w:rsidP="00D11B9D">
                  <w:pPr>
                    <w:pStyle w:val="TableBodyText"/>
                    <w:ind w:right="28"/>
                  </w:pPr>
                  <w:r>
                    <w:t>23</w:t>
                  </w:r>
                </w:p>
              </w:tc>
            </w:tr>
            <w:tr w:rsidR="00FC14FC" w14:paraId="15A406D9" w14:textId="77777777" w:rsidTr="00D11B9D">
              <w:trPr>
                <w:trHeight w:val="255"/>
              </w:trPr>
              <w:tc>
                <w:tcPr>
                  <w:tcW w:w="1259" w:type="pct"/>
                  <w:shd w:val="clear" w:color="auto" w:fill="auto"/>
                  <w:vAlign w:val="bottom"/>
                </w:tcPr>
                <w:p w14:paraId="4F6BD983" w14:textId="77777777" w:rsidR="00FC14FC" w:rsidRDefault="00FC14FC" w:rsidP="00D11B9D">
                  <w:pPr>
                    <w:pStyle w:val="TableBodyText"/>
                    <w:jc w:val="left"/>
                  </w:pPr>
                  <w:r>
                    <w:t>Accounts (m)</w:t>
                  </w:r>
                </w:p>
              </w:tc>
              <w:tc>
                <w:tcPr>
                  <w:tcW w:w="951" w:type="pct"/>
                  <w:shd w:val="clear" w:color="auto" w:fill="auto"/>
                  <w:vAlign w:val="bottom"/>
                </w:tcPr>
                <w:p w14:paraId="7784622F" w14:textId="77777777" w:rsidR="00FC14FC" w:rsidRDefault="00FC14FC" w:rsidP="00D11B9D">
                  <w:pPr>
                    <w:pStyle w:val="TableBodyText"/>
                  </w:pPr>
                  <w:r>
                    <w:t>1.6</w:t>
                  </w:r>
                </w:p>
              </w:tc>
              <w:tc>
                <w:tcPr>
                  <w:tcW w:w="933" w:type="pct"/>
                </w:tcPr>
                <w:p w14:paraId="2CB79EFC" w14:textId="77777777" w:rsidR="00FC14FC" w:rsidRDefault="00FC14FC" w:rsidP="00D11B9D">
                  <w:pPr>
                    <w:pStyle w:val="TableBodyText"/>
                  </w:pPr>
                  <w:r>
                    <w:t>2.1</w:t>
                  </w:r>
                </w:p>
              </w:tc>
              <w:tc>
                <w:tcPr>
                  <w:tcW w:w="909" w:type="pct"/>
                  <w:shd w:val="clear" w:color="auto" w:fill="auto"/>
                  <w:vAlign w:val="bottom"/>
                </w:tcPr>
                <w:p w14:paraId="1B5AF168" w14:textId="77777777" w:rsidR="00FC14FC" w:rsidRDefault="00FC14FC" w:rsidP="00D11B9D">
                  <w:pPr>
                    <w:pStyle w:val="TableBodyText"/>
                  </w:pPr>
                  <w:r>
                    <w:t>1.6</w:t>
                  </w:r>
                </w:p>
              </w:tc>
              <w:tc>
                <w:tcPr>
                  <w:tcW w:w="948" w:type="pct"/>
                </w:tcPr>
                <w:p w14:paraId="0AEBDDAE" w14:textId="77777777" w:rsidR="00FC14FC" w:rsidDel="00D24EB1" w:rsidRDefault="00FC14FC" w:rsidP="00D11B9D">
                  <w:pPr>
                    <w:pStyle w:val="TableBodyText"/>
                    <w:ind w:right="28"/>
                  </w:pPr>
                  <w:r>
                    <w:t>1.8</w:t>
                  </w:r>
                </w:p>
              </w:tc>
            </w:tr>
            <w:tr w:rsidR="00FC14FC" w14:paraId="4076FE35" w14:textId="77777777" w:rsidTr="00D11B9D">
              <w:trPr>
                <w:trHeight w:val="245"/>
              </w:trPr>
              <w:tc>
                <w:tcPr>
                  <w:tcW w:w="1259" w:type="pct"/>
                  <w:shd w:val="clear" w:color="auto" w:fill="auto"/>
                  <w:vAlign w:val="bottom"/>
                </w:tcPr>
                <w:p w14:paraId="50A773DE" w14:textId="77777777" w:rsidR="00FC14FC" w:rsidRDefault="00FC14FC" w:rsidP="00D11B9D">
                  <w:pPr>
                    <w:pStyle w:val="TableBodyText"/>
                    <w:jc w:val="left"/>
                  </w:pPr>
                  <w:r>
                    <w:t>Assets ($b)</w:t>
                  </w:r>
                </w:p>
              </w:tc>
              <w:tc>
                <w:tcPr>
                  <w:tcW w:w="951" w:type="pct"/>
                  <w:shd w:val="clear" w:color="auto" w:fill="auto"/>
                  <w:vAlign w:val="bottom"/>
                </w:tcPr>
                <w:p w14:paraId="4314FEF7" w14:textId="77777777" w:rsidR="00FC14FC" w:rsidRDefault="00FC14FC" w:rsidP="00D11B9D">
                  <w:pPr>
                    <w:pStyle w:val="TableBodyText"/>
                  </w:pPr>
                  <w:r>
                    <w:t>55</w:t>
                  </w:r>
                </w:p>
              </w:tc>
              <w:tc>
                <w:tcPr>
                  <w:tcW w:w="933" w:type="pct"/>
                </w:tcPr>
                <w:p w14:paraId="1786121D" w14:textId="77777777" w:rsidR="00FC14FC" w:rsidRDefault="00FC14FC" w:rsidP="00D11B9D">
                  <w:pPr>
                    <w:pStyle w:val="TableBodyText"/>
                  </w:pPr>
                  <w:r>
                    <w:t>90</w:t>
                  </w:r>
                </w:p>
              </w:tc>
              <w:tc>
                <w:tcPr>
                  <w:tcW w:w="909" w:type="pct"/>
                  <w:shd w:val="clear" w:color="auto" w:fill="auto"/>
                  <w:vAlign w:val="bottom"/>
                </w:tcPr>
                <w:p w14:paraId="0D71A7D9" w14:textId="77777777" w:rsidR="00FC14FC" w:rsidRDefault="00FC14FC" w:rsidP="00D11B9D">
                  <w:pPr>
                    <w:pStyle w:val="TableBodyText"/>
                  </w:pPr>
                  <w:r>
                    <w:t>58</w:t>
                  </w:r>
                </w:p>
              </w:tc>
              <w:tc>
                <w:tcPr>
                  <w:tcW w:w="948" w:type="pct"/>
                </w:tcPr>
                <w:p w14:paraId="5C40E3FB" w14:textId="77777777" w:rsidR="00FC14FC" w:rsidDel="00D24EB1" w:rsidRDefault="00FC14FC" w:rsidP="00D11B9D">
                  <w:pPr>
                    <w:pStyle w:val="TableBodyText"/>
                    <w:ind w:right="28"/>
                  </w:pPr>
                  <w:r>
                    <w:t>62</w:t>
                  </w:r>
                </w:p>
              </w:tc>
            </w:tr>
          </w:tbl>
          <w:p w14:paraId="300311EB" w14:textId="77777777" w:rsidR="00FC14FC" w:rsidRDefault="00FC14FC" w:rsidP="00D11B9D">
            <w:pPr>
              <w:pStyle w:val="Box"/>
            </w:pPr>
          </w:p>
        </w:tc>
      </w:tr>
      <w:tr w:rsidR="00FC14FC" w:rsidRPr="00984819" w14:paraId="06A6C34E" w14:textId="77777777" w:rsidTr="00D11B9D">
        <w:tc>
          <w:tcPr>
            <w:tcW w:w="5000" w:type="pct"/>
            <w:tcBorders>
              <w:top w:val="single" w:sz="4" w:space="0" w:color="BFBFBF" w:themeColor="background1" w:themeShade="BF"/>
              <w:left w:val="nil"/>
              <w:bottom w:val="nil"/>
              <w:right w:val="nil"/>
            </w:tcBorders>
            <w:shd w:val="clear" w:color="auto" w:fill="auto"/>
          </w:tcPr>
          <w:p w14:paraId="41CA3D84" w14:textId="77777777" w:rsidR="00FC14FC" w:rsidRPr="00984819" w:rsidRDefault="00FC14FC" w:rsidP="00D11B9D">
            <w:pPr>
              <w:pStyle w:val="Continued"/>
              <w:rPr>
                <w:szCs w:val="18"/>
              </w:rPr>
            </w:pPr>
            <w:r w:rsidRPr="009B565F">
              <w:rPr>
                <w:rStyle w:val="NoteLabel"/>
              </w:rPr>
              <w:t>(continued next page)</w:t>
            </w:r>
          </w:p>
        </w:tc>
      </w:tr>
      <w:tr w:rsidR="00FC14FC" w14:paraId="652D1468" w14:textId="77777777" w:rsidTr="00D11B9D">
        <w:tc>
          <w:tcPr>
            <w:tcW w:w="5000" w:type="pct"/>
            <w:tcBorders>
              <w:top w:val="nil"/>
              <w:left w:val="nil"/>
              <w:bottom w:val="single" w:sz="6" w:space="0" w:color="78A22F"/>
              <w:right w:val="nil"/>
            </w:tcBorders>
            <w:shd w:val="clear" w:color="auto" w:fill="auto"/>
          </w:tcPr>
          <w:p w14:paraId="469F37D1" w14:textId="77777777" w:rsidR="00FC14FC" w:rsidRDefault="00FC14FC" w:rsidP="00D11B9D">
            <w:pPr>
              <w:pStyle w:val="Box"/>
              <w:spacing w:before="0" w:line="120" w:lineRule="exact"/>
            </w:pPr>
          </w:p>
        </w:tc>
      </w:tr>
      <w:tr w:rsidR="00FC14FC" w:rsidRPr="00626D32" w14:paraId="52BF598D" w14:textId="77777777" w:rsidTr="00D11B9D">
        <w:tc>
          <w:tcPr>
            <w:tcW w:w="5000" w:type="pct"/>
            <w:tcBorders>
              <w:top w:val="single" w:sz="6" w:space="0" w:color="78A22F"/>
              <w:left w:val="nil"/>
              <w:bottom w:val="nil"/>
              <w:right w:val="nil"/>
            </w:tcBorders>
          </w:tcPr>
          <w:p w14:paraId="0D74BE90" w14:textId="77777777" w:rsidR="00FC14FC" w:rsidRPr="00626D32" w:rsidRDefault="00FC14FC" w:rsidP="00D11B9D">
            <w:pPr>
              <w:pStyle w:val="BoxSpaceBelow"/>
            </w:pPr>
          </w:p>
        </w:tc>
      </w:tr>
    </w:tbl>
    <w:p w14:paraId="11DB5BC1" w14:textId="77777777" w:rsidR="00FC14FC" w:rsidRDefault="00FC14FC" w:rsidP="00FC14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FC14FC" w:rsidRPr="00784A05" w14:paraId="03FAC062" w14:textId="77777777" w:rsidTr="00D11B9D">
        <w:trPr>
          <w:tblHeader/>
        </w:trPr>
        <w:tc>
          <w:tcPr>
            <w:tcW w:w="5000" w:type="pct"/>
            <w:tcBorders>
              <w:top w:val="single" w:sz="6" w:space="0" w:color="78A22F"/>
              <w:left w:val="nil"/>
              <w:bottom w:val="nil"/>
              <w:right w:val="nil"/>
            </w:tcBorders>
            <w:shd w:val="clear" w:color="auto" w:fill="auto"/>
          </w:tcPr>
          <w:p w14:paraId="275BB350" w14:textId="77777777" w:rsidR="00FC14FC" w:rsidRPr="00784A05" w:rsidRDefault="00FC14FC" w:rsidP="00D11B9D">
            <w:pPr>
              <w:pStyle w:val="TableTitle"/>
            </w:pPr>
            <w:r>
              <w:rPr>
                <w:b w:val="0"/>
              </w:rPr>
              <w:t>Table 4.43</w:t>
            </w:r>
            <w:r>
              <w:tab/>
            </w:r>
            <w:r w:rsidRPr="000A3BDE">
              <w:rPr>
                <w:b w:val="0"/>
                <w:sz w:val="18"/>
                <w:szCs w:val="18"/>
              </w:rPr>
              <w:t>(continued)</w:t>
            </w:r>
          </w:p>
        </w:tc>
      </w:tr>
      <w:tr w:rsidR="00FC14FC" w14:paraId="4039859F"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285"/>
              <w:gridCol w:w="1218"/>
              <w:gridCol w:w="1451"/>
              <w:gridCol w:w="92"/>
              <w:gridCol w:w="1323"/>
              <w:gridCol w:w="1136"/>
            </w:tblGrid>
            <w:tr w:rsidR="00FC14FC" w14:paraId="52B1A6F2" w14:textId="77777777" w:rsidTr="00D11B9D">
              <w:trPr>
                <w:tblHeader/>
              </w:trPr>
              <w:tc>
                <w:tcPr>
                  <w:tcW w:w="1931" w:type="pct"/>
                  <w:tcBorders>
                    <w:top w:val="single" w:sz="6" w:space="0" w:color="BFBFBF"/>
                    <w:bottom w:val="single" w:sz="6" w:space="0" w:color="BFBFBF"/>
                  </w:tcBorders>
                  <w:shd w:val="clear" w:color="auto" w:fill="auto"/>
                  <w:tcMar>
                    <w:top w:w="28" w:type="dxa"/>
                  </w:tcMar>
                </w:tcPr>
                <w:p w14:paraId="45B32B8B" w14:textId="77777777" w:rsidR="00FC14FC" w:rsidRDefault="00FC14FC" w:rsidP="00D11B9D">
                  <w:pPr>
                    <w:pStyle w:val="TableColumnHeading"/>
                    <w:jc w:val="left"/>
                  </w:pPr>
                </w:p>
              </w:tc>
              <w:tc>
                <w:tcPr>
                  <w:tcW w:w="716" w:type="pct"/>
                  <w:tcBorders>
                    <w:top w:val="single" w:sz="6" w:space="0" w:color="BFBFBF"/>
                    <w:bottom w:val="single" w:sz="6" w:space="0" w:color="BFBFBF"/>
                  </w:tcBorders>
                  <w:shd w:val="clear" w:color="auto" w:fill="auto"/>
                  <w:vAlign w:val="bottom"/>
                </w:tcPr>
                <w:p w14:paraId="059A5954" w14:textId="77777777" w:rsidR="00FC14FC" w:rsidRDefault="00FC14FC" w:rsidP="00D11B9D">
                  <w:pPr>
                    <w:pStyle w:val="TableColumnHeading"/>
                  </w:pPr>
                  <w:r>
                    <w:t>Chapter 2</w:t>
                  </w:r>
                </w:p>
              </w:tc>
              <w:tc>
                <w:tcPr>
                  <w:tcW w:w="907" w:type="pct"/>
                  <w:gridSpan w:val="2"/>
                  <w:tcBorders>
                    <w:top w:val="single" w:sz="6" w:space="0" w:color="BFBFBF"/>
                    <w:bottom w:val="single" w:sz="6" w:space="0" w:color="BFBFBF"/>
                  </w:tcBorders>
                  <w:shd w:val="clear" w:color="auto" w:fill="auto"/>
                  <w:tcMar>
                    <w:top w:w="28" w:type="dxa"/>
                  </w:tcMar>
                  <w:vAlign w:val="bottom"/>
                </w:tcPr>
                <w:p w14:paraId="0D61993A" w14:textId="77777777" w:rsidR="00FC14FC" w:rsidRDefault="00FC14FC" w:rsidP="00D11B9D">
                  <w:pPr>
                    <w:pStyle w:val="TableColumnHeading"/>
                  </w:pPr>
                  <w:r>
                    <w:t>6</w:t>
                  </w:r>
                  <w:r>
                    <w:noBreakHyphen/>
                    <w:t>year period (2012–2017)</w:t>
                  </w:r>
                </w:p>
              </w:tc>
              <w:tc>
                <w:tcPr>
                  <w:tcW w:w="778" w:type="pct"/>
                  <w:tcBorders>
                    <w:top w:val="single" w:sz="6" w:space="0" w:color="BFBFBF"/>
                    <w:bottom w:val="single" w:sz="6" w:space="0" w:color="BFBFBF"/>
                  </w:tcBorders>
                  <w:vAlign w:val="bottom"/>
                </w:tcPr>
                <w:p w14:paraId="743FF1E7" w14:textId="77777777" w:rsidR="00FC14FC" w:rsidRDefault="00FC14FC" w:rsidP="00D11B9D">
                  <w:pPr>
                    <w:pStyle w:val="TableColumnHeading"/>
                  </w:pPr>
                  <w:r>
                    <w:t>Net of fixed admin fees</w:t>
                  </w:r>
                </w:p>
              </w:tc>
              <w:tc>
                <w:tcPr>
                  <w:tcW w:w="668" w:type="pct"/>
                  <w:tcBorders>
                    <w:top w:val="single" w:sz="6" w:space="0" w:color="BFBFBF"/>
                    <w:bottom w:val="single" w:sz="6" w:space="0" w:color="BFBFBF"/>
                  </w:tcBorders>
                  <w:vAlign w:val="bottom"/>
                </w:tcPr>
                <w:p w14:paraId="54300EB9" w14:textId="77777777" w:rsidR="00FC14FC" w:rsidRDefault="00FC14FC" w:rsidP="00D11B9D">
                  <w:pPr>
                    <w:pStyle w:val="TableColumnHeading"/>
                    <w:ind w:right="28"/>
                  </w:pPr>
                  <w:r>
                    <w:t>7.5% flat tax</w:t>
                  </w:r>
                </w:p>
              </w:tc>
            </w:tr>
            <w:tr w:rsidR="00FC14FC" w14:paraId="39608E5C" w14:textId="77777777" w:rsidTr="00D11B9D">
              <w:trPr>
                <w:trHeight w:val="302"/>
              </w:trPr>
              <w:tc>
                <w:tcPr>
                  <w:tcW w:w="5000" w:type="pct"/>
                  <w:gridSpan w:val="6"/>
                  <w:shd w:val="clear" w:color="auto" w:fill="F2F2F2" w:themeFill="background1" w:themeFillShade="F2"/>
                  <w:vAlign w:val="bottom"/>
                </w:tcPr>
                <w:p w14:paraId="045E86A8" w14:textId="77777777" w:rsidR="00FC14FC" w:rsidRPr="001C6FE0" w:rsidRDefault="00FC14FC" w:rsidP="00D11B9D">
                  <w:pPr>
                    <w:pStyle w:val="TableUnitsRow"/>
                    <w:ind w:right="28"/>
                    <w:jc w:val="left"/>
                    <w:rPr>
                      <w:b/>
                    </w:rPr>
                  </w:pPr>
                  <w:r w:rsidRPr="001C6FE0">
                    <w:rPr>
                      <w:b/>
                    </w:rPr>
                    <w:t xml:space="preserve">Composition of underperformers </w:t>
                  </w:r>
                  <w:r>
                    <w:rPr>
                      <w:b/>
                    </w:rPr>
                    <w:t>(%)</w:t>
                  </w:r>
                </w:p>
              </w:tc>
            </w:tr>
            <w:tr w:rsidR="00FC14FC" w14:paraId="656DF280" w14:textId="77777777" w:rsidTr="00D11B9D">
              <w:trPr>
                <w:trHeight w:val="245"/>
              </w:trPr>
              <w:tc>
                <w:tcPr>
                  <w:tcW w:w="1931" w:type="pct"/>
                  <w:shd w:val="clear" w:color="auto" w:fill="F2F2F2" w:themeFill="background1" w:themeFillShade="F2"/>
                  <w:vAlign w:val="bottom"/>
                </w:tcPr>
                <w:p w14:paraId="48422328" w14:textId="77777777" w:rsidR="00FC14FC" w:rsidRDefault="00FC14FC" w:rsidP="00D11B9D">
                  <w:pPr>
                    <w:pStyle w:val="TableBodyText"/>
                    <w:jc w:val="left"/>
                  </w:pPr>
                  <w:r>
                    <w:t>Corporate</w:t>
                  </w:r>
                </w:p>
              </w:tc>
              <w:tc>
                <w:tcPr>
                  <w:tcW w:w="716" w:type="pct"/>
                  <w:shd w:val="clear" w:color="auto" w:fill="F2F2F2" w:themeFill="background1" w:themeFillShade="F2"/>
                  <w:vAlign w:val="bottom"/>
                </w:tcPr>
                <w:p w14:paraId="2C4B972A" w14:textId="77777777" w:rsidR="00FC14FC" w:rsidRDefault="00FC14FC" w:rsidP="00D11B9D">
                  <w:pPr>
                    <w:pStyle w:val="TableBodyText"/>
                  </w:pPr>
                  <w:r>
                    <w:t>5</w:t>
                  </w:r>
                </w:p>
              </w:tc>
              <w:tc>
                <w:tcPr>
                  <w:tcW w:w="853" w:type="pct"/>
                  <w:shd w:val="clear" w:color="auto" w:fill="F2F2F2" w:themeFill="background1" w:themeFillShade="F2"/>
                </w:tcPr>
                <w:p w14:paraId="6AF2F3BB" w14:textId="77777777" w:rsidR="00FC14FC" w:rsidRDefault="00FC14FC" w:rsidP="00D11B9D">
                  <w:pPr>
                    <w:pStyle w:val="TableBodyText"/>
                  </w:pPr>
                  <w:r>
                    <w:t>15</w:t>
                  </w:r>
                </w:p>
              </w:tc>
              <w:tc>
                <w:tcPr>
                  <w:tcW w:w="832" w:type="pct"/>
                  <w:gridSpan w:val="2"/>
                  <w:shd w:val="clear" w:color="auto" w:fill="F2F2F2" w:themeFill="background1" w:themeFillShade="F2"/>
                  <w:vAlign w:val="bottom"/>
                </w:tcPr>
                <w:p w14:paraId="057D4619" w14:textId="77777777" w:rsidR="00FC14FC" w:rsidRDefault="00FC14FC" w:rsidP="00D11B9D">
                  <w:pPr>
                    <w:pStyle w:val="TableBodyText"/>
                  </w:pPr>
                  <w:r>
                    <w:t>9</w:t>
                  </w:r>
                </w:p>
              </w:tc>
              <w:tc>
                <w:tcPr>
                  <w:tcW w:w="668" w:type="pct"/>
                  <w:shd w:val="clear" w:color="auto" w:fill="F2F2F2" w:themeFill="background1" w:themeFillShade="F2"/>
                </w:tcPr>
                <w:p w14:paraId="31F6D59F" w14:textId="77777777" w:rsidR="00FC14FC" w:rsidDel="00D24EB1" w:rsidRDefault="00FC14FC" w:rsidP="00D11B9D">
                  <w:pPr>
                    <w:pStyle w:val="TableBodyText"/>
                    <w:ind w:right="28"/>
                  </w:pPr>
                  <w:r>
                    <w:t>4</w:t>
                  </w:r>
                </w:p>
              </w:tc>
            </w:tr>
            <w:tr w:rsidR="00FC14FC" w14:paraId="020C1B5E" w14:textId="77777777" w:rsidTr="00D11B9D">
              <w:trPr>
                <w:trHeight w:val="255"/>
              </w:trPr>
              <w:tc>
                <w:tcPr>
                  <w:tcW w:w="1931" w:type="pct"/>
                  <w:shd w:val="clear" w:color="auto" w:fill="F2F2F2" w:themeFill="background1" w:themeFillShade="F2"/>
                  <w:vAlign w:val="bottom"/>
                </w:tcPr>
                <w:p w14:paraId="45FD0C1D" w14:textId="77777777" w:rsidR="00FC14FC" w:rsidRDefault="00FC14FC" w:rsidP="00D11B9D">
                  <w:pPr>
                    <w:pStyle w:val="TableBodyText"/>
                    <w:jc w:val="left"/>
                  </w:pPr>
                  <w:r>
                    <w:t>Industry</w:t>
                  </w:r>
                </w:p>
              </w:tc>
              <w:tc>
                <w:tcPr>
                  <w:tcW w:w="716" w:type="pct"/>
                  <w:shd w:val="clear" w:color="auto" w:fill="F2F2F2" w:themeFill="background1" w:themeFillShade="F2"/>
                  <w:vAlign w:val="bottom"/>
                </w:tcPr>
                <w:p w14:paraId="17C698CB" w14:textId="77777777" w:rsidR="00FC14FC" w:rsidRDefault="00FC14FC" w:rsidP="00D11B9D">
                  <w:pPr>
                    <w:pStyle w:val="TableBodyText"/>
                  </w:pPr>
                  <w:r>
                    <w:t>29</w:t>
                  </w:r>
                </w:p>
              </w:tc>
              <w:tc>
                <w:tcPr>
                  <w:tcW w:w="853" w:type="pct"/>
                  <w:shd w:val="clear" w:color="auto" w:fill="F2F2F2" w:themeFill="background1" w:themeFillShade="F2"/>
                </w:tcPr>
                <w:p w14:paraId="38E05892" w14:textId="77777777" w:rsidR="00FC14FC" w:rsidRDefault="00FC14FC" w:rsidP="00D11B9D">
                  <w:pPr>
                    <w:pStyle w:val="TableBodyText"/>
                  </w:pPr>
                  <w:r>
                    <w:t>32</w:t>
                  </w:r>
                </w:p>
              </w:tc>
              <w:tc>
                <w:tcPr>
                  <w:tcW w:w="832" w:type="pct"/>
                  <w:gridSpan w:val="2"/>
                  <w:shd w:val="clear" w:color="auto" w:fill="F2F2F2" w:themeFill="background1" w:themeFillShade="F2"/>
                  <w:vAlign w:val="bottom"/>
                </w:tcPr>
                <w:p w14:paraId="11B2B50E" w14:textId="77777777" w:rsidR="00FC14FC" w:rsidRDefault="00FC14FC" w:rsidP="00D11B9D">
                  <w:pPr>
                    <w:pStyle w:val="TableBodyText"/>
                  </w:pPr>
                  <w:r>
                    <w:t>26</w:t>
                  </w:r>
                </w:p>
              </w:tc>
              <w:tc>
                <w:tcPr>
                  <w:tcW w:w="668" w:type="pct"/>
                  <w:shd w:val="clear" w:color="auto" w:fill="F2F2F2" w:themeFill="background1" w:themeFillShade="F2"/>
                </w:tcPr>
                <w:p w14:paraId="0FD88FAA" w14:textId="77777777" w:rsidR="00FC14FC" w:rsidDel="00D24EB1" w:rsidRDefault="00FC14FC" w:rsidP="00D11B9D">
                  <w:pPr>
                    <w:pStyle w:val="TableBodyText"/>
                    <w:ind w:right="28"/>
                  </w:pPr>
                  <w:r>
                    <w:t>30</w:t>
                  </w:r>
                </w:p>
              </w:tc>
            </w:tr>
            <w:tr w:rsidR="00FC14FC" w14:paraId="7C9E5250" w14:textId="77777777" w:rsidTr="00D11B9D">
              <w:trPr>
                <w:trHeight w:val="255"/>
              </w:trPr>
              <w:tc>
                <w:tcPr>
                  <w:tcW w:w="1931" w:type="pct"/>
                  <w:shd w:val="clear" w:color="auto" w:fill="F2F2F2" w:themeFill="background1" w:themeFillShade="F2"/>
                  <w:vAlign w:val="bottom"/>
                </w:tcPr>
                <w:p w14:paraId="258297E0" w14:textId="77777777" w:rsidR="00FC14FC" w:rsidRDefault="00FC14FC" w:rsidP="00D11B9D">
                  <w:pPr>
                    <w:pStyle w:val="TableBodyText"/>
                    <w:jc w:val="left"/>
                  </w:pPr>
                  <w:r>
                    <w:t>Public Sector</w:t>
                  </w:r>
                </w:p>
              </w:tc>
              <w:tc>
                <w:tcPr>
                  <w:tcW w:w="716" w:type="pct"/>
                  <w:shd w:val="clear" w:color="auto" w:fill="F2F2F2" w:themeFill="background1" w:themeFillShade="F2"/>
                  <w:vAlign w:val="bottom"/>
                </w:tcPr>
                <w:p w14:paraId="1E094518" w14:textId="77777777" w:rsidR="00FC14FC" w:rsidRDefault="00FC14FC" w:rsidP="00D11B9D">
                  <w:pPr>
                    <w:pStyle w:val="TableBodyText"/>
                  </w:pPr>
                  <w:r>
                    <w:t>5</w:t>
                  </w:r>
                </w:p>
              </w:tc>
              <w:tc>
                <w:tcPr>
                  <w:tcW w:w="853" w:type="pct"/>
                  <w:shd w:val="clear" w:color="auto" w:fill="F2F2F2" w:themeFill="background1" w:themeFillShade="F2"/>
                </w:tcPr>
                <w:p w14:paraId="64AC7698" w14:textId="77777777" w:rsidR="00FC14FC" w:rsidRDefault="00FC14FC" w:rsidP="00D11B9D">
                  <w:pPr>
                    <w:pStyle w:val="TableBodyText"/>
                  </w:pPr>
                  <w:r>
                    <w:t>9</w:t>
                  </w:r>
                </w:p>
              </w:tc>
              <w:tc>
                <w:tcPr>
                  <w:tcW w:w="832" w:type="pct"/>
                  <w:gridSpan w:val="2"/>
                  <w:shd w:val="clear" w:color="auto" w:fill="F2F2F2" w:themeFill="background1" w:themeFillShade="F2"/>
                  <w:vAlign w:val="bottom"/>
                </w:tcPr>
                <w:p w14:paraId="474E8CFF" w14:textId="77777777" w:rsidR="00FC14FC" w:rsidRDefault="00FC14FC" w:rsidP="00D11B9D">
                  <w:pPr>
                    <w:pStyle w:val="TableBodyText"/>
                  </w:pPr>
                  <w:r>
                    <w:t>4</w:t>
                  </w:r>
                </w:p>
              </w:tc>
              <w:tc>
                <w:tcPr>
                  <w:tcW w:w="668" w:type="pct"/>
                  <w:shd w:val="clear" w:color="auto" w:fill="F2F2F2" w:themeFill="background1" w:themeFillShade="F2"/>
                </w:tcPr>
                <w:p w14:paraId="2B83DC11" w14:textId="77777777" w:rsidR="00FC14FC" w:rsidDel="00D24EB1" w:rsidRDefault="00FC14FC" w:rsidP="00D11B9D">
                  <w:pPr>
                    <w:pStyle w:val="TableBodyText"/>
                    <w:ind w:right="28"/>
                  </w:pPr>
                  <w:r>
                    <w:t>4</w:t>
                  </w:r>
                </w:p>
              </w:tc>
            </w:tr>
            <w:tr w:rsidR="00FC14FC" w14:paraId="3F94F9FE" w14:textId="77777777" w:rsidTr="00D11B9D">
              <w:trPr>
                <w:trHeight w:val="255"/>
              </w:trPr>
              <w:tc>
                <w:tcPr>
                  <w:tcW w:w="1931" w:type="pct"/>
                  <w:shd w:val="clear" w:color="auto" w:fill="F2F2F2" w:themeFill="background1" w:themeFillShade="F2"/>
                  <w:vAlign w:val="bottom"/>
                </w:tcPr>
                <w:p w14:paraId="60C8B49B" w14:textId="77777777" w:rsidR="00FC14FC" w:rsidRDefault="00FC14FC" w:rsidP="00D11B9D">
                  <w:pPr>
                    <w:pStyle w:val="TableBodyText"/>
                    <w:jc w:val="left"/>
                  </w:pPr>
                  <w:r>
                    <w:t>Retail</w:t>
                  </w:r>
                </w:p>
              </w:tc>
              <w:tc>
                <w:tcPr>
                  <w:tcW w:w="716" w:type="pct"/>
                  <w:shd w:val="clear" w:color="auto" w:fill="F2F2F2" w:themeFill="background1" w:themeFillShade="F2"/>
                  <w:vAlign w:val="bottom"/>
                </w:tcPr>
                <w:p w14:paraId="0EC58DBB" w14:textId="77777777" w:rsidR="00FC14FC" w:rsidRDefault="00FC14FC" w:rsidP="00D11B9D">
                  <w:pPr>
                    <w:pStyle w:val="TableBodyText"/>
                  </w:pPr>
                  <w:r>
                    <w:t>62</w:t>
                  </w:r>
                </w:p>
              </w:tc>
              <w:tc>
                <w:tcPr>
                  <w:tcW w:w="853" w:type="pct"/>
                  <w:shd w:val="clear" w:color="auto" w:fill="F2F2F2" w:themeFill="background1" w:themeFillShade="F2"/>
                </w:tcPr>
                <w:p w14:paraId="4BDAF63B" w14:textId="77777777" w:rsidR="00FC14FC" w:rsidRDefault="00FC14FC" w:rsidP="00D11B9D">
                  <w:pPr>
                    <w:pStyle w:val="TableBodyText"/>
                  </w:pPr>
                  <w:r>
                    <w:t>44</w:t>
                  </w:r>
                </w:p>
              </w:tc>
              <w:tc>
                <w:tcPr>
                  <w:tcW w:w="832" w:type="pct"/>
                  <w:gridSpan w:val="2"/>
                  <w:shd w:val="clear" w:color="auto" w:fill="F2F2F2" w:themeFill="background1" w:themeFillShade="F2"/>
                  <w:vAlign w:val="bottom"/>
                </w:tcPr>
                <w:p w14:paraId="2A251139" w14:textId="77777777" w:rsidR="00FC14FC" w:rsidRDefault="00FC14FC" w:rsidP="00D11B9D">
                  <w:pPr>
                    <w:pStyle w:val="TableBodyText"/>
                  </w:pPr>
                  <w:r>
                    <w:t>61</w:t>
                  </w:r>
                </w:p>
              </w:tc>
              <w:tc>
                <w:tcPr>
                  <w:tcW w:w="668" w:type="pct"/>
                  <w:shd w:val="clear" w:color="auto" w:fill="F2F2F2" w:themeFill="background1" w:themeFillShade="F2"/>
                </w:tcPr>
                <w:p w14:paraId="6B127EBD" w14:textId="77777777" w:rsidR="00FC14FC" w:rsidDel="00D24EB1" w:rsidRDefault="00FC14FC" w:rsidP="00D11B9D">
                  <w:pPr>
                    <w:pStyle w:val="TableBodyText"/>
                    <w:ind w:right="28"/>
                  </w:pPr>
                  <w:r>
                    <w:t>61</w:t>
                  </w:r>
                </w:p>
              </w:tc>
            </w:tr>
            <w:tr w:rsidR="00FC14FC" w14:paraId="39D3B050" w14:textId="77777777" w:rsidTr="00D11B9D">
              <w:trPr>
                <w:trHeight w:val="245"/>
              </w:trPr>
              <w:tc>
                <w:tcPr>
                  <w:tcW w:w="5000" w:type="pct"/>
                  <w:gridSpan w:val="6"/>
                  <w:shd w:val="clear" w:color="auto" w:fill="auto"/>
                  <w:vAlign w:val="bottom"/>
                </w:tcPr>
                <w:p w14:paraId="51475D50" w14:textId="77777777" w:rsidR="00FC14FC" w:rsidRPr="00125BD3" w:rsidRDefault="00FC14FC" w:rsidP="00D11B9D">
                  <w:pPr>
                    <w:pStyle w:val="TableBodyText"/>
                    <w:spacing w:before="40"/>
                    <w:ind w:right="28"/>
                    <w:jc w:val="left"/>
                  </w:pPr>
                  <w:r>
                    <w:rPr>
                      <w:b/>
                    </w:rPr>
                    <w:t xml:space="preserve">% of all MySuper products (in each fund type) that are underperforming </w:t>
                  </w:r>
                </w:p>
              </w:tc>
            </w:tr>
            <w:tr w:rsidR="00FC14FC" w14:paraId="352CB7A2" w14:textId="77777777" w:rsidTr="00D11B9D">
              <w:trPr>
                <w:trHeight w:val="236"/>
              </w:trPr>
              <w:tc>
                <w:tcPr>
                  <w:tcW w:w="1931" w:type="pct"/>
                  <w:shd w:val="clear" w:color="auto" w:fill="auto"/>
                  <w:vAlign w:val="bottom"/>
                </w:tcPr>
                <w:p w14:paraId="091FB645" w14:textId="77777777" w:rsidR="00FC14FC" w:rsidRDefault="00FC14FC" w:rsidP="00D11B9D">
                  <w:pPr>
                    <w:pStyle w:val="TableBodyText"/>
                    <w:jc w:val="left"/>
                    <w:rPr>
                      <w:b/>
                    </w:rPr>
                  </w:pPr>
                  <w:r>
                    <w:t>Corporate</w:t>
                  </w:r>
                </w:p>
              </w:tc>
              <w:tc>
                <w:tcPr>
                  <w:tcW w:w="716" w:type="pct"/>
                  <w:shd w:val="clear" w:color="auto" w:fill="auto"/>
                  <w:vAlign w:val="bottom"/>
                </w:tcPr>
                <w:p w14:paraId="20A03A4D" w14:textId="77777777" w:rsidR="00FC14FC" w:rsidRDefault="00FC14FC" w:rsidP="00D11B9D">
                  <w:pPr>
                    <w:pStyle w:val="TableBodyText"/>
                  </w:pPr>
                  <w:r>
                    <w:t>13</w:t>
                  </w:r>
                </w:p>
              </w:tc>
              <w:tc>
                <w:tcPr>
                  <w:tcW w:w="853" w:type="pct"/>
                  <w:shd w:val="clear" w:color="auto" w:fill="auto"/>
                  <w:vAlign w:val="bottom"/>
                </w:tcPr>
                <w:p w14:paraId="3DE96F85" w14:textId="77777777" w:rsidR="00FC14FC" w:rsidRDefault="00FC14FC" w:rsidP="00D11B9D">
                  <w:pPr>
                    <w:pStyle w:val="TableBodyText"/>
                  </w:pPr>
                  <w:r>
                    <w:t>63</w:t>
                  </w:r>
                </w:p>
              </w:tc>
              <w:tc>
                <w:tcPr>
                  <w:tcW w:w="832" w:type="pct"/>
                  <w:gridSpan w:val="2"/>
                  <w:shd w:val="clear" w:color="auto" w:fill="auto"/>
                  <w:vAlign w:val="bottom"/>
                </w:tcPr>
                <w:p w14:paraId="3F680919" w14:textId="77777777" w:rsidR="00FC14FC" w:rsidRDefault="00FC14FC" w:rsidP="00D11B9D">
                  <w:pPr>
                    <w:pStyle w:val="TableBodyText"/>
                  </w:pPr>
                  <w:r>
                    <w:t>25</w:t>
                  </w:r>
                </w:p>
              </w:tc>
              <w:tc>
                <w:tcPr>
                  <w:tcW w:w="668" w:type="pct"/>
                </w:tcPr>
                <w:p w14:paraId="1531DE60" w14:textId="77777777" w:rsidR="00FC14FC" w:rsidRDefault="00FC14FC" w:rsidP="00D11B9D">
                  <w:pPr>
                    <w:pStyle w:val="TableBodyText"/>
                    <w:ind w:right="28"/>
                  </w:pPr>
                  <w:r>
                    <w:t>12</w:t>
                  </w:r>
                </w:p>
              </w:tc>
            </w:tr>
            <w:tr w:rsidR="00FC14FC" w14:paraId="7EE1434D" w14:textId="77777777" w:rsidTr="00D11B9D">
              <w:trPr>
                <w:trHeight w:val="245"/>
              </w:trPr>
              <w:tc>
                <w:tcPr>
                  <w:tcW w:w="1931" w:type="pct"/>
                  <w:shd w:val="clear" w:color="auto" w:fill="auto"/>
                  <w:vAlign w:val="bottom"/>
                </w:tcPr>
                <w:p w14:paraId="0F8D8285" w14:textId="77777777" w:rsidR="00FC14FC" w:rsidRDefault="00FC14FC" w:rsidP="00D11B9D">
                  <w:pPr>
                    <w:pStyle w:val="TableBodyText"/>
                    <w:jc w:val="left"/>
                  </w:pPr>
                  <w:r>
                    <w:t>Industry</w:t>
                  </w:r>
                </w:p>
              </w:tc>
              <w:tc>
                <w:tcPr>
                  <w:tcW w:w="716" w:type="pct"/>
                  <w:shd w:val="clear" w:color="auto" w:fill="auto"/>
                  <w:vAlign w:val="bottom"/>
                </w:tcPr>
                <w:p w14:paraId="42D4D26D" w14:textId="77777777" w:rsidR="00FC14FC" w:rsidRDefault="00FC14FC" w:rsidP="00D11B9D">
                  <w:pPr>
                    <w:pStyle w:val="TableBodyText"/>
                  </w:pPr>
                  <w:r>
                    <w:t>18</w:t>
                  </w:r>
                </w:p>
              </w:tc>
              <w:tc>
                <w:tcPr>
                  <w:tcW w:w="853" w:type="pct"/>
                  <w:shd w:val="clear" w:color="auto" w:fill="auto"/>
                  <w:vAlign w:val="bottom"/>
                </w:tcPr>
                <w:p w14:paraId="79997C95" w14:textId="77777777" w:rsidR="00FC14FC" w:rsidRDefault="00FC14FC" w:rsidP="00D11B9D">
                  <w:pPr>
                    <w:pStyle w:val="TableBodyText"/>
                  </w:pPr>
                  <w:r>
                    <w:t>33</w:t>
                  </w:r>
                </w:p>
              </w:tc>
              <w:tc>
                <w:tcPr>
                  <w:tcW w:w="832" w:type="pct"/>
                  <w:gridSpan w:val="2"/>
                  <w:shd w:val="clear" w:color="auto" w:fill="auto"/>
                  <w:vAlign w:val="bottom"/>
                </w:tcPr>
                <w:p w14:paraId="104D49EE" w14:textId="77777777" w:rsidR="00FC14FC" w:rsidRDefault="00FC14FC" w:rsidP="00D11B9D">
                  <w:pPr>
                    <w:pStyle w:val="TableBodyText"/>
                  </w:pPr>
                  <w:r>
                    <w:t>18</w:t>
                  </w:r>
                </w:p>
              </w:tc>
              <w:tc>
                <w:tcPr>
                  <w:tcW w:w="668" w:type="pct"/>
                </w:tcPr>
                <w:p w14:paraId="0019F539" w14:textId="77777777" w:rsidR="00FC14FC" w:rsidRDefault="00FC14FC" w:rsidP="00D11B9D">
                  <w:pPr>
                    <w:pStyle w:val="TableBodyText"/>
                    <w:ind w:right="28"/>
                  </w:pPr>
                  <w:r>
                    <w:t>21</w:t>
                  </w:r>
                </w:p>
              </w:tc>
            </w:tr>
            <w:tr w:rsidR="00FC14FC" w14:paraId="0ABA6D26" w14:textId="77777777" w:rsidTr="00D11B9D">
              <w:trPr>
                <w:trHeight w:val="245"/>
              </w:trPr>
              <w:tc>
                <w:tcPr>
                  <w:tcW w:w="1931" w:type="pct"/>
                  <w:shd w:val="clear" w:color="auto" w:fill="auto"/>
                  <w:vAlign w:val="bottom"/>
                </w:tcPr>
                <w:p w14:paraId="22DFD8A3" w14:textId="77777777" w:rsidR="00FC14FC" w:rsidRDefault="00FC14FC" w:rsidP="00D11B9D">
                  <w:pPr>
                    <w:pStyle w:val="TableBodyText"/>
                    <w:jc w:val="left"/>
                  </w:pPr>
                  <w:r>
                    <w:t>Public Sector</w:t>
                  </w:r>
                </w:p>
              </w:tc>
              <w:tc>
                <w:tcPr>
                  <w:tcW w:w="716" w:type="pct"/>
                  <w:shd w:val="clear" w:color="auto" w:fill="auto"/>
                  <w:vAlign w:val="bottom"/>
                </w:tcPr>
                <w:p w14:paraId="0086A97B" w14:textId="77777777" w:rsidR="00FC14FC" w:rsidRDefault="00FC14FC" w:rsidP="00D11B9D">
                  <w:pPr>
                    <w:pStyle w:val="TableBodyText"/>
                  </w:pPr>
                  <w:r>
                    <w:t>14</w:t>
                  </w:r>
                </w:p>
              </w:tc>
              <w:tc>
                <w:tcPr>
                  <w:tcW w:w="853" w:type="pct"/>
                  <w:shd w:val="clear" w:color="auto" w:fill="auto"/>
                  <w:vAlign w:val="bottom"/>
                </w:tcPr>
                <w:p w14:paraId="49207301" w14:textId="77777777" w:rsidR="00FC14FC" w:rsidRDefault="00FC14FC" w:rsidP="00D11B9D">
                  <w:pPr>
                    <w:pStyle w:val="TableBodyText"/>
                  </w:pPr>
                  <w:r>
                    <w:t>43</w:t>
                  </w:r>
                </w:p>
              </w:tc>
              <w:tc>
                <w:tcPr>
                  <w:tcW w:w="832" w:type="pct"/>
                  <w:gridSpan w:val="2"/>
                  <w:shd w:val="clear" w:color="auto" w:fill="auto"/>
                  <w:vAlign w:val="bottom"/>
                </w:tcPr>
                <w:p w14:paraId="7CE8C45A" w14:textId="77777777" w:rsidR="00FC14FC" w:rsidRDefault="00FC14FC" w:rsidP="00D11B9D">
                  <w:pPr>
                    <w:pStyle w:val="TableBodyText"/>
                  </w:pPr>
                  <w:r>
                    <w:t>14</w:t>
                  </w:r>
                </w:p>
              </w:tc>
              <w:tc>
                <w:tcPr>
                  <w:tcW w:w="668" w:type="pct"/>
                </w:tcPr>
                <w:p w14:paraId="08C1B7F2" w14:textId="77777777" w:rsidR="00FC14FC" w:rsidRDefault="00FC14FC" w:rsidP="00D11B9D">
                  <w:pPr>
                    <w:pStyle w:val="TableBodyText"/>
                    <w:ind w:right="28"/>
                  </w:pPr>
                  <w:r>
                    <w:t>14</w:t>
                  </w:r>
                </w:p>
              </w:tc>
            </w:tr>
            <w:tr w:rsidR="00FC14FC" w14:paraId="2B40E933" w14:textId="77777777" w:rsidTr="00D11B9D">
              <w:trPr>
                <w:trHeight w:val="255"/>
              </w:trPr>
              <w:tc>
                <w:tcPr>
                  <w:tcW w:w="1931" w:type="pct"/>
                  <w:shd w:val="clear" w:color="auto" w:fill="auto"/>
                  <w:vAlign w:val="bottom"/>
                </w:tcPr>
                <w:p w14:paraId="2CFA010E" w14:textId="77777777" w:rsidR="00FC14FC" w:rsidRDefault="00FC14FC" w:rsidP="00D11B9D">
                  <w:pPr>
                    <w:pStyle w:val="TableBodyText"/>
                    <w:jc w:val="left"/>
                  </w:pPr>
                  <w:r>
                    <w:t>Retail</w:t>
                  </w:r>
                </w:p>
              </w:tc>
              <w:tc>
                <w:tcPr>
                  <w:tcW w:w="716" w:type="pct"/>
                  <w:shd w:val="clear" w:color="auto" w:fill="auto"/>
                  <w:vAlign w:val="bottom"/>
                </w:tcPr>
                <w:p w14:paraId="0E073D0C" w14:textId="77777777" w:rsidR="00FC14FC" w:rsidRDefault="00FC14FC" w:rsidP="00D11B9D">
                  <w:pPr>
                    <w:pStyle w:val="TableBodyText"/>
                  </w:pPr>
                  <w:r>
                    <w:t>81</w:t>
                  </w:r>
                </w:p>
              </w:tc>
              <w:tc>
                <w:tcPr>
                  <w:tcW w:w="853" w:type="pct"/>
                  <w:shd w:val="clear" w:color="auto" w:fill="auto"/>
                  <w:vAlign w:val="bottom"/>
                </w:tcPr>
                <w:p w14:paraId="46BDA95C" w14:textId="77777777" w:rsidR="00FC14FC" w:rsidRDefault="00FC14FC" w:rsidP="00D11B9D">
                  <w:pPr>
                    <w:pStyle w:val="TableBodyText"/>
                  </w:pPr>
                  <w:r>
                    <w:t>94</w:t>
                  </w:r>
                </w:p>
              </w:tc>
              <w:tc>
                <w:tcPr>
                  <w:tcW w:w="832" w:type="pct"/>
                  <w:gridSpan w:val="2"/>
                  <w:shd w:val="clear" w:color="auto" w:fill="auto"/>
                  <w:vAlign w:val="bottom"/>
                </w:tcPr>
                <w:p w14:paraId="75170A81" w14:textId="77777777" w:rsidR="00FC14FC" w:rsidRDefault="00FC14FC" w:rsidP="00D11B9D">
                  <w:pPr>
                    <w:pStyle w:val="TableBodyText"/>
                  </w:pPr>
                  <w:r>
                    <w:t>88</w:t>
                  </w:r>
                </w:p>
              </w:tc>
              <w:tc>
                <w:tcPr>
                  <w:tcW w:w="668" w:type="pct"/>
                </w:tcPr>
                <w:p w14:paraId="0FFB0023" w14:textId="77777777" w:rsidR="00FC14FC" w:rsidRDefault="00FC14FC" w:rsidP="00D11B9D">
                  <w:pPr>
                    <w:pStyle w:val="TableBodyText"/>
                    <w:ind w:right="28"/>
                  </w:pPr>
                  <w:r>
                    <w:t>88</w:t>
                  </w:r>
                </w:p>
              </w:tc>
            </w:tr>
            <w:tr w:rsidR="00FC14FC" w14:paraId="352E3F78" w14:textId="77777777" w:rsidTr="00D11B9D">
              <w:trPr>
                <w:trHeight w:val="245"/>
              </w:trPr>
              <w:tc>
                <w:tcPr>
                  <w:tcW w:w="5000" w:type="pct"/>
                  <w:gridSpan w:val="6"/>
                  <w:shd w:val="clear" w:color="auto" w:fill="F2F2F2" w:themeFill="background1" w:themeFillShade="F2"/>
                  <w:vAlign w:val="bottom"/>
                </w:tcPr>
                <w:p w14:paraId="743F22FD" w14:textId="77777777" w:rsidR="00FC14FC" w:rsidRPr="00125BD3" w:rsidRDefault="00FC14FC" w:rsidP="00D11B9D">
                  <w:pPr>
                    <w:pStyle w:val="TableBodyText"/>
                    <w:spacing w:before="40"/>
                    <w:ind w:right="28"/>
                    <w:jc w:val="left"/>
                  </w:pPr>
                  <w:r>
                    <w:rPr>
                      <w:b/>
                    </w:rPr>
                    <w:t>% of all MySuper assets (in each fund type) that are in underperforming products</w:t>
                  </w:r>
                </w:p>
              </w:tc>
            </w:tr>
            <w:tr w:rsidR="00FC14FC" w14:paraId="5B66624C" w14:textId="77777777" w:rsidTr="00D11B9D">
              <w:trPr>
                <w:trHeight w:val="236"/>
              </w:trPr>
              <w:tc>
                <w:tcPr>
                  <w:tcW w:w="1931" w:type="pct"/>
                  <w:shd w:val="clear" w:color="auto" w:fill="F2F2F2" w:themeFill="background1" w:themeFillShade="F2"/>
                  <w:vAlign w:val="bottom"/>
                </w:tcPr>
                <w:p w14:paraId="4A45A64D" w14:textId="77777777" w:rsidR="00FC14FC" w:rsidRDefault="00FC14FC" w:rsidP="00D11B9D">
                  <w:pPr>
                    <w:pStyle w:val="TableBodyText"/>
                    <w:jc w:val="left"/>
                    <w:rPr>
                      <w:b/>
                    </w:rPr>
                  </w:pPr>
                  <w:r>
                    <w:t>Corporate</w:t>
                  </w:r>
                </w:p>
              </w:tc>
              <w:tc>
                <w:tcPr>
                  <w:tcW w:w="716" w:type="pct"/>
                  <w:shd w:val="clear" w:color="auto" w:fill="F2F2F2" w:themeFill="background1" w:themeFillShade="F2"/>
                  <w:vAlign w:val="bottom"/>
                </w:tcPr>
                <w:p w14:paraId="6D09AB4A" w14:textId="77777777" w:rsidR="00FC14FC" w:rsidRDefault="00FC14FC" w:rsidP="00D11B9D">
                  <w:pPr>
                    <w:pStyle w:val="TableBodyText"/>
                  </w:pPr>
                  <w:r>
                    <w:t>2</w:t>
                  </w:r>
                </w:p>
              </w:tc>
              <w:tc>
                <w:tcPr>
                  <w:tcW w:w="853" w:type="pct"/>
                  <w:shd w:val="clear" w:color="auto" w:fill="F2F2F2" w:themeFill="background1" w:themeFillShade="F2"/>
                  <w:vAlign w:val="bottom"/>
                </w:tcPr>
                <w:p w14:paraId="26FD357D" w14:textId="77777777" w:rsidR="00FC14FC" w:rsidRDefault="00FC14FC" w:rsidP="00D11B9D">
                  <w:pPr>
                    <w:pStyle w:val="TableBodyText"/>
                  </w:pPr>
                  <w:r>
                    <w:t>62</w:t>
                  </w:r>
                </w:p>
              </w:tc>
              <w:tc>
                <w:tcPr>
                  <w:tcW w:w="832" w:type="pct"/>
                  <w:gridSpan w:val="2"/>
                  <w:shd w:val="clear" w:color="auto" w:fill="F2F2F2" w:themeFill="background1" w:themeFillShade="F2"/>
                  <w:vAlign w:val="bottom"/>
                </w:tcPr>
                <w:p w14:paraId="5AF9BCC6" w14:textId="77777777" w:rsidR="00FC14FC" w:rsidRDefault="00FC14FC" w:rsidP="00D11B9D">
                  <w:pPr>
                    <w:pStyle w:val="TableBodyText"/>
                  </w:pPr>
                  <w:r>
                    <w:t>11</w:t>
                  </w:r>
                </w:p>
              </w:tc>
              <w:tc>
                <w:tcPr>
                  <w:tcW w:w="668" w:type="pct"/>
                  <w:shd w:val="clear" w:color="auto" w:fill="F2F2F2" w:themeFill="background1" w:themeFillShade="F2"/>
                </w:tcPr>
                <w:p w14:paraId="39CBD2E5" w14:textId="77777777" w:rsidR="00FC14FC" w:rsidRDefault="00FC14FC" w:rsidP="00D11B9D">
                  <w:pPr>
                    <w:pStyle w:val="TableBodyText"/>
                    <w:ind w:right="28"/>
                  </w:pPr>
                  <w:r>
                    <w:t>2</w:t>
                  </w:r>
                </w:p>
              </w:tc>
            </w:tr>
            <w:tr w:rsidR="00FC14FC" w14:paraId="03766AAA" w14:textId="77777777" w:rsidTr="00D11B9D">
              <w:trPr>
                <w:trHeight w:val="245"/>
              </w:trPr>
              <w:tc>
                <w:tcPr>
                  <w:tcW w:w="1931" w:type="pct"/>
                  <w:shd w:val="clear" w:color="auto" w:fill="F2F2F2" w:themeFill="background1" w:themeFillShade="F2"/>
                  <w:vAlign w:val="bottom"/>
                </w:tcPr>
                <w:p w14:paraId="01D5E5EA" w14:textId="77777777" w:rsidR="00FC14FC" w:rsidRDefault="00FC14FC" w:rsidP="00D11B9D">
                  <w:pPr>
                    <w:pStyle w:val="TableBodyText"/>
                    <w:jc w:val="left"/>
                  </w:pPr>
                  <w:r>
                    <w:t>Industry</w:t>
                  </w:r>
                </w:p>
              </w:tc>
              <w:tc>
                <w:tcPr>
                  <w:tcW w:w="716" w:type="pct"/>
                  <w:shd w:val="clear" w:color="auto" w:fill="F2F2F2" w:themeFill="background1" w:themeFillShade="F2"/>
                  <w:vAlign w:val="bottom"/>
                </w:tcPr>
                <w:p w14:paraId="05E1EF7E" w14:textId="77777777" w:rsidR="00FC14FC" w:rsidRDefault="00FC14FC" w:rsidP="00D11B9D">
                  <w:pPr>
                    <w:pStyle w:val="TableBodyText"/>
                  </w:pPr>
                  <w:r>
                    <w:t>3</w:t>
                  </w:r>
                </w:p>
              </w:tc>
              <w:tc>
                <w:tcPr>
                  <w:tcW w:w="853" w:type="pct"/>
                  <w:shd w:val="clear" w:color="auto" w:fill="F2F2F2" w:themeFill="background1" w:themeFillShade="F2"/>
                  <w:vAlign w:val="bottom"/>
                </w:tcPr>
                <w:p w14:paraId="47AD7211" w14:textId="77777777" w:rsidR="00FC14FC" w:rsidRDefault="00FC14FC" w:rsidP="00D11B9D">
                  <w:pPr>
                    <w:pStyle w:val="TableBodyText"/>
                  </w:pPr>
                  <w:r>
                    <w:t>5</w:t>
                  </w:r>
                </w:p>
              </w:tc>
              <w:tc>
                <w:tcPr>
                  <w:tcW w:w="832" w:type="pct"/>
                  <w:gridSpan w:val="2"/>
                  <w:shd w:val="clear" w:color="auto" w:fill="F2F2F2" w:themeFill="background1" w:themeFillShade="F2"/>
                  <w:vAlign w:val="bottom"/>
                </w:tcPr>
                <w:p w14:paraId="63FDD6F9" w14:textId="77777777" w:rsidR="00FC14FC" w:rsidRDefault="00FC14FC" w:rsidP="00D11B9D">
                  <w:pPr>
                    <w:pStyle w:val="TableBodyText"/>
                  </w:pPr>
                  <w:r>
                    <w:t>3</w:t>
                  </w:r>
                </w:p>
              </w:tc>
              <w:tc>
                <w:tcPr>
                  <w:tcW w:w="668" w:type="pct"/>
                  <w:shd w:val="clear" w:color="auto" w:fill="F2F2F2" w:themeFill="background1" w:themeFillShade="F2"/>
                </w:tcPr>
                <w:p w14:paraId="1C2CF317" w14:textId="77777777" w:rsidR="00FC14FC" w:rsidRDefault="00FC14FC" w:rsidP="00D11B9D">
                  <w:pPr>
                    <w:pStyle w:val="TableBodyText"/>
                    <w:ind w:right="28"/>
                  </w:pPr>
                  <w:r>
                    <w:t>5</w:t>
                  </w:r>
                </w:p>
              </w:tc>
            </w:tr>
            <w:tr w:rsidR="00FC14FC" w14:paraId="101FF492" w14:textId="77777777" w:rsidTr="00D11B9D">
              <w:trPr>
                <w:trHeight w:val="245"/>
              </w:trPr>
              <w:tc>
                <w:tcPr>
                  <w:tcW w:w="1931" w:type="pct"/>
                  <w:shd w:val="clear" w:color="auto" w:fill="F2F2F2" w:themeFill="background1" w:themeFillShade="F2"/>
                  <w:vAlign w:val="bottom"/>
                </w:tcPr>
                <w:p w14:paraId="70E69CCC" w14:textId="77777777" w:rsidR="00FC14FC" w:rsidRDefault="00FC14FC" w:rsidP="00D11B9D">
                  <w:pPr>
                    <w:pStyle w:val="TableBodyText"/>
                    <w:jc w:val="left"/>
                  </w:pPr>
                  <w:r>
                    <w:t>Public Sector</w:t>
                  </w:r>
                </w:p>
              </w:tc>
              <w:tc>
                <w:tcPr>
                  <w:tcW w:w="716" w:type="pct"/>
                  <w:shd w:val="clear" w:color="auto" w:fill="F2F2F2" w:themeFill="background1" w:themeFillShade="F2"/>
                  <w:vAlign w:val="bottom"/>
                </w:tcPr>
                <w:p w14:paraId="5A1A4248" w14:textId="77777777" w:rsidR="00FC14FC" w:rsidRDefault="00FC14FC" w:rsidP="00D11B9D">
                  <w:pPr>
                    <w:pStyle w:val="TableBodyText"/>
                  </w:pPr>
                  <w:r>
                    <w:t>1</w:t>
                  </w:r>
                </w:p>
              </w:tc>
              <w:tc>
                <w:tcPr>
                  <w:tcW w:w="853" w:type="pct"/>
                  <w:shd w:val="clear" w:color="auto" w:fill="F2F2F2" w:themeFill="background1" w:themeFillShade="F2"/>
                  <w:vAlign w:val="bottom"/>
                </w:tcPr>
                <w:p w14:paraId="3C6DADE1" w14:textId="77777777" w:rsidR="00FC14FC" w:rsidRDefault="00FC14FC" w:rsidP="00D11B9D">
                  <w:pPr>
                    <w:pStyle w:val="TableBodyText"/>
                  </w:pPr>
                  <w:r>
                    <w:t>20</w:t>
                  </w:r>
                </w:p>
              </w:tc>
              <w:tc>
                <w:tcPr>
                  <w:tcW w:w="832" w:type="pct"/>
                  <w:gridSpan w:val="2"/>
                  <w:shd w:val="clear" w:color="auto" w:fill="F2F2F2" w:themeFill="background1" w:themeFillShade="F2"/>
                  <w:vAlign w:val="bottom"/>
                </w:tcPr>
                <w:p w14:paraId="56B475E4" w14:textId="77777777" w:rsidR="00FC14FC" w:rsidRDefault="00FC14FC" w:rsidP="00D11B9D">
                  <w:pPr>
                    <w:pStyle w:val="TableBodyText"/>
                  </w:pPr>
                  <w:r>
                    <w:t>1</w:t>
                  </w:r>
                </w:p>
              </w:tc>
              <w:tc>
                <w:tcPr>
                  <w:tcW w:w="668" w:type="pct"/>
                  <w:shd w:val="clear" w:color="auto" w:fill="F2F2F2" w:themeFill="background1" w:themeFillShade="F2"/>
                </w:tcPr>
                <w:p w14:paraId="641B8DE8" w14:textId="77777777" w:rsidR="00FC14FC" w:rsidRDefault="00FC14FC" w:rsidP="00D11B9D">
                  <w:pPr>
                    <w:pStyle w:val="TableBodyText"/>
                    <w:ind w:right="28"/>
                  </w:pPr>
                  <w:r>
                    <w:t>1</w:t>
                  </w:r>
                </w:p>
              </w:tc>
            </w:tr>
            <w:tr w:rsidR="00FC14FC" w14:paraId="07AE36FA" w14:textId="77777777" w:rsidTr="00D11B9D">
              <w:trPr>
                <w:trHeight w:val="245"/>
              </w:trPr>
              <w:tc>
                <w:tcPr>
                  <w:tcW w:w="1931" w:type="pct"/>
                  <w:tcBorders>
                    <w:bottom w:val="single" w:sz="6" w:space="0" w:color="BFBFBF"/>
                  </w:tcBorders>
                  <w:shd w:val="clear" w:color="auto" w:fill="F2F2F2" w:themeFill="background1" w:themeFillShade="F2"/>
                  <w:vAlign w:val="bottom"/>
                </w:tcPr>
                <w:p w14:paraId="34F63F1C" w14:textId="77777777" w:rsidR="00FC14FC" w:rsidRDefault="00FC14FC" w:rsidP="00D11B9D">
                  <w:pPr>
                    <w:pStyle w:val="TableBodyText"/>
                    <w:jc w:val="left"/>
                  </w:pPr>
                  <w:r>
                    <w:t>Retail</w:t>
                  </w:r>
                </w:p>
              </w:tc>
              <w:tc>
                <w:tcPr>
                  <w:tcW w:w="716" w:type="pct"/>
                  <w:tcBorders>
                    <w:bottom w:val="single" w:sz="6" w:space="0" w:color="BFBFBF"/>
                  </w:tcBorders>
                  <w:shd w:val="clear" w:color="auto" w:fill="F2F2F2" w:themeFill="background1" w:themeFillShade="F2"/>
                  <w:vAlign w:val="bottom"/>
                </w:tcPr>
                <w:p w14:paraId="65DFE63E" w14:textId="77777777" w:rsidR="00FC14FC" w:rsidRDefault="00FC14FC" w:rsidP="00D11B9D">
                  <w:pPr>
                    <w:pStyle w:val="TableBodyText"/>
                  </w:pPr>
                  <w:r>
                    <w:t>96</w:t>
                  </w:r>
                </w:p>
              </w:tc>
              <w:tc>
                <w:tcPr>
                  <w:tcW w:w="853" w:type="pct"/>
                  <w:tcBorders>
                    <w:bottom w:val="single" w:sz="6" w:space="0" w:color="BFBFBF"/>
                  </w:tcBorders>
                  <w:shd w:val="clear" w:color="auto" w:fill="F2F2F2" w:themeFill="background1" w:themeFillShade="F2"/>
                  <w:vAlign w:val="bottom"/>
                </w:tcPr>
                <w:p w14:paraId="5990C6E4" w14:textId="77777777" w:rsidR="00FC14FC" w:rsidRDefault="00FC14FC" w:rsidP="00D11B9D">
                  <w:pPr>
                    <w:pStyle w:val="TableBodyText"/>
                  </w:pPr>
                  <w:r>
                    <w:t>100</w:t>
                  </w:r>
                </w:p>
              </w:tc>
              <w:tc>
                <w:tcPr>
                  <w:tcW w:w="832" w:type="pct"/>
                  <w:gridSpan w:val="2"/>
                  <w:tcBorders>
                    <w:bottom w:val="single" w:sz="6" w:space="0" w:color="BFBFBF"/>
                  </w:tcBorders>
                  <w:shd w:val="clear" w:color="auto" w:fill="F2F2F2" w:themeFill="background1" w:themeFillShade="F2"/>
                  <w:vAlign w:val="bottom"/>
                </w:tcPr>
                <w:p w14:paraId="222B0806" w14:textId="77777777" w:rsidR="00FC14FC" w:rsidRDefault="00FC14FC" w:rsidP="00D11B9D">
                  <w:pPr>
                    <w:pStyle w:val="TableBodyText"/>
                  </w:pPr>
                  <w:r>
                    <w:t>100</w:t>
                  </w:r>
                </w:p>
              </w:tc>
              <w:tc>
                <w:tcPr>
                  <w:tcW w:w="668" w:type="pct"/>
                  <w:tcBorders>
                    <w:bottom w:val="single" w:sz="6" w:space="0" w:color="BFBFBF"/>
                  </w:tcBorders>
                  <w:shd w:val="clear" w:color="auto" w:fill="F2F2F2" w:themeFill="background1" w:themeFillShade="F2"/>
                </w:tcPr>
                <w:p w14:paraId="67DF96EF" w14:textId="77777777" w:rsidR="00FC14FC" w:rsidRDefault="00FC14FC" w:rsidP="00D11B9D">
                  <w:pPr>
                    <w:pStyle w:val="TableBodyText"/>
                    <w:ind w:right="28"/>
                  </w:pPr>
                  <w:r>
                    <w:t>100</w:t>
                  </w:r>
                </w:p>
              </w:tc>
            </w:tr>
            <w:tr w:rsidR="00FC14FC" w14:paraId="7E66ADA5" w14:textId="77777777" w:rsidTr="00D11B9D">
              <w:tc>
                <w:tcPr>
                  <w:tcW w:w="4332" w:type="pct"/>
                  <w:gridSpan w:val="5"/>
                  <w:shd w:val="clear" w:color="auto" w:fill="auto"/>
                </w:tcPr>
                <w:p w14:paraId="417FDABB" w14:textId="77777777" w:rsidR="00FC14FC" w:rsidRDefault="00FC14FC" w:rsidP="00D11B9D">
                  <w:pPr>
                    <w:pStyle w:val="TableBodyText"/>
                    <w:spacing w:before="40"/>
                    <w:jc w:val="left"/>
                    <w:rPr>
                      <w:b/>
                    </w:rPr>
                  </w:pPr>
                  <w:r>
                    <w:rPr>
                      <w:b/>
                    </w:rPr>
                    <w:t>% of all MySuper accounts (in each fund type) that are in underperforming products</w:t>
                  </w:r>
                </w:p>
              </w:tc>
              <w:tc>
                <w:tcPr>
                  <w:tcW w:w="668" w:type="pct"/>
                </w:tcPr>
                <w:p w14:paraId="60F6FD77" w14:textId="77777777" w:rsidR="00FC14FC" w:rsidRDefault="00FC14FC" w:rsidP="00D11B9D">
                  <w:pPr>
                    <w:pStyle w:val="TableBodyText"/>
                    <w:ind w:right="28"/>
                    <w:jc w:val="left"/>
                    <w:rPr>
                      <w:b/>
                    </w:rPr>
                  </w:pPr>
                </w:p>
              </w:tc>
            </w:tr>
            <w:tr w:rsidR="00FC14FC" w14:paraId="3D5A5D3A" w14:textId="77777777" w:rsidTr="00D11B9D">
              <w:tc>
                <w:tcPr>
                  <w:tcW w:w="1931" w:type="pct"/>
                  <w:shd w:val="clear" w:color="auto" w:fill="auto"/>
                  <w:vAlign w:val="bottom"/>
                </w:tcPr>
                <w:p w14:paraId="442096F7" w14:textId="77777777" w:rsidR="00FC14FC" w:rsidRDefault="00FC14FC" w:rsidP="00D11B9D">
                  <w:pPr>
                    <w:pStyle w:val="TableBodyText"/>
                    <w:jc w:val="left"/>
                  </w:pPr>
                  <w:r>
                    <w:t>Corporate</w:t>
                  </w:r>
                </w:p>
              </w:tc>
              <w:tc>
                <w:tcPr>
                  <w:tcW w:w="716" w:type="pct"/>
                  <w:shd w:val="clear" w:color="auto" w:fill="auto"/>
                  <w:vAlign w:val="bottom"/>
                </w:tcPr>
                <w:p w14:paraId="314C5DAB" w14:textId="77777777" w:rsidR="00FC14FC" w:rsidRDefault="00FC14FC" w:rsidP="00D11B9D">
                  <w:pPr>
                    <w:pStyle w:val="TableBodyText"/>
                  </w:pPr>
                  <w:r>
                    <w:t>3</w:t>
                  </w:r>
                </w:p>
              </w:tc>
              <w:tc>
                <w:tcPr>
                  <w:tcW w:w="907" w:type="pct"/>
                  <w:gridSpan w:val="2"/>
                  <w:shd w:val="clear" w:color="auto" w:fill="auto"/>
                  <w:vAlign w:val="bottom"/>
                </w:tcPr>
                <w:p w14:paraId="59B23E17" w14:textId="77777777" w:rsidR="00FC14FC" w:rsidRDefault="00FC14FC" w:rsidP="00D11B9D">
                  <w:pPr>
                    <w:pStyle w:val="TableBodyText"/>
                  </w:pPr>
                  <w:r>
                    <w:t>57</w:t>
                  </w:r>
                </w:p>
              </w:tc>
              <w:tc>
                <w:tcPr>
                  <w:tcW w:w="778" w:type="pct"/>
                </w:tcPr>
                <w:p w14:paraId="2604D172" w14:textId="77777777" w:rsidR="00FC14FC" w:rsidRDefault="00FC14FC" w:rsidP="00D11B9D">
                  <w:pPr>
                    <w:pStyle w:val="TableBodyText"/>
                  </w:pPr>
                  <w:r>
                    <w:t>10</w:t>
                  </w:r>
                </w:p>
              </w:tc>
              <w:tc>
                <w:tcPr>
                  <w:tcW w:w="668" w:type="pct"/>
                </w:tcPr>
                <w:p w14:paraId="21E3DB22" w14:textId="77777777" w:rsidR="00FC14FC" w:rsidRDefault="00FC14FC" w:rsidP="00D11B9D">
                  <w:pPr>
                    <w:pStyle w:val="TableBodyText"/>
                    <w:ind w:right="28"/>
                  </w:pPr>
                  <w:r>
                    <w:t>3</w:t>
                  </w:r>
                </w:p>
              </w:tc>
            </w:tr>
            <w:tr w:rsidR="00FC14FC" w14:paraId="162E2BE5" w14:textId="77777777" w:rsidTr="00D11B9D">
              <w:tc>
                <w:tcPr>
                  <w:tcW w:w="1931" w:type="pct"/>
                  <w:shd w:val="clear" w:color="auto" w:fill="auto"/>
                  <w:vAlign w:val="bottom"/>
                </w:tcPr>
                <w:p w14:paraId="4EB7448C" w14:textId="77777777" w:rsidR="00FC14FC" w:rsidRDefault="00FC14FC" w:rsidP="00D11B9D">
                  <w:pPr>
                    <w:pStyle w:val="TableBodyText"/>
                    <w:jc w:val="left"/>
                  </w:pPr>
                  <w:r>
                    <w:t>Industry</w:t>
                  </w:r>
                </w:p>
              </w:tc>
              <w:tc>
                <w:tcPr>
                  <w:tcW w:w="716" w:type="pct"/>
                  <w:shd w:val="clear" w:color="auto" w:fill="auto"/>
                  <w:vAlign w:val="bottom"/>
                </w:tcPr>
                <w:p w14:paraId="67CD9DD3" w14:textId="77777777" w:rsidR="00FC14FC" w:rsidRDefault="00FC14FC" w:rsidP="00D11B9D">
                  <w:pPr>
                    <w:pStyle w:val="TableBodyText"/>
                  </w:pPr>
                  <w:r>
                    <w:t>4</w:t>
                  </w:r>
                </w:p>
              </w:tc>
              <w:tc>
                <w:tcPr>
                  <w:tcW w:w="907" w:type="pct"/>
                  <w:gridSpan w:val="2"/>
                  <w:shd w:val="clear" w:color="auto" w:fill="auto"/>
                  <w:vAlign w:val="bottom"/>
                </w:tcPr>
                <w:p w14:paraId="562CA83A" w14:textId="77777777" w:rsidR="00FC14FC" w:rsidRDefault="00FC14FC" w:rsidP="00D11B9D">
                  <w:pPr>
                    <w:pStyle w:val="TableBodyText"/>
                  </w:pPr>
                  <w:r>
                    <w:t>6</w:t>
                  </w:r>
                </w:p>
              </w:tc>
              <w:tc>
                <w:tcPr>
                  <w:tcW w:w="778" w:type="pct"/>
                </w:tcPr>
                <w:p w14:paraId="0A3EAD96" w14:textId="77777777" w:rsidR="00FC14FC" w:rsidRDefault="00FC14FC" w:rsidP="00D11B9D">
                  <w:pPr>
                    <w:pStyle w:val="TableBodyText"/>
                  </w:pPr>
                  <w:r>
                    <w:t>4</w:t>
                  </w:r>
                </w:p>
              </w:tc>
              <w:tc>
                <w:tcPr>
                  <w:tcW w:w="668" w:type="pct"/>
                </w:tcPr>
                <w:p w14:paraId="21961847" w14:textId="77777777" w:rsidR="00FC14FC" w:rsidRDefault="00FC14FC" w:rsidP="00D11B9D">
                  <w:pPr>
                    <w:pStyle w:val="TableBodyText"/>
                    <w:ind w:right="28"/>
                  </w:pPr>
                  <w:r>
                    <w:t>6</w:t>
                  </w:r>
                </w:p>
              </w:tc>
            </w:tr>
            <w:tr w:rsidR="00FC14FC" w14:paraId="568D30DB" w14:textId="77777777" w:rsidTr="00D11B9D">
              <w:tc>
                <w:tcPr>
                  <w:tcW w:w="1931" w:type="pct"/>
                  <w:shd w:val="clear" w:color="auto" w:fill="auto"/>
                  <w:vAlign w:val="bottom"/>
                </w:tcPr>
                <w:p w14:paraId="0456AA57" w14:textId="77777777" w:rsidR="00FC14FC" w:rsidRDefault="00FC14FC" w:rsidP="00D11B9D">
                  <w:pPr>
                    <w:pStyle w:val="TableBodyText"/>
                    <w:jc w:val="left"/>
                  </w:pPr>
                  <w:r>
                    <w:t>Public Sector</w:t>
                  </w:r>
                </w:p>
              </w:tc>
              <w:tc>
                <w:tcPr>
                  <w:tcW w:w="716" w:type="pct"/>
                  <w:shd w:val="clear" w:color="auto" w:fill="auto"/>
                  <w:vAlign w:val="bottom"/>
                </w:tcPr>
                <w:p w14:paraId="0BD17D49" w14:textId="77777777" w:rsidR="00FC14FC" w:rsidRDefault="00FC14FC" w:rsidP="00D11B9D">
                  <w:pPr>
                    <w:pStyle w:val="TableBodyText"/>
                  </w:pPr>
                  <w:r>
                    <w:t>5</w:t>
                  </w:r>
                </w:p>
              </w:tc>
              <w:tc>
                <w:tcPr>
                  <w:tcW w:w="907" w:type="pct"/>
                  <w:gridSpan w:val="2"/>
                  <w:shd w:val="clear" w:color="auto" w:fill="auto"/>
                  <w:vAlign w:val="bottom"/>
                </w:tcPr>
                <w:p w14:paraId="7EC01D67" w14:textId="77777777" w:rsidR="00FC14FC" w:rsidRPr="000A3BDE" w:rsidRDefault="00FC14FC" w:rsidP="00D11B9D">
                  <w:pPr>
                    <w:pStyle w:val="TableBodyText"/>
                  </w:pPr>
                  <w:r>
                    <w:t>20</w:t>
                  </w:r>
                </w:p>
              </w:tc>
              <w:tc>
                <w:tcPr>
                  <w:tcW w:w="778" w:type="pct"/>
                </w:tcPr>
                <w:p w14:paraId="2B34E7FD" w14:textId="77777777" w:rsidR="00FC14FC" w:rsidRDefault="00FC14FC" w:rsidP="00D11B9D">
                  <w:pPr>
                    <w:pStyle w:val="TableBodyText"/>
                  </w:pPr>
                  <w:r>
                    <w:t>5</w:t>
                  </w:r>
                </w:p>
              </w:tc>
              <w:tc>
                <w:tcPr>
                  <w:tcW w:w="668" w:type="pct"/>
                </w:tcPr>
                <w:p w14:paraId="27B49A38" w14:textId="77777777" w:rsidR="00FC14FC" w:rsidRDefault="00FC14FC" w:rsidP="00D11B9D">
                  <w:pPr>
                    <w:pStyle w:val="TableBodyText"/>
                    <w:ind w:right="28"/>
                  </w:pPr>
                  <w:r>
                    <w:t>5</w:t>
                  </w:r>
                </w:p>
              </w:tc>
            </w:tr>
            <w:tr w:rsidR="00FC14FC" w14:paraId="0EFDF780" w14:textId="77777777" w:rsidTr="00D11B9D">
              <w:tc>
                <w:tcPr>
                  <w:tcW w:w="1931" w:type="pct"/>
                  <w:tcBorders>
                    <w:bottom w:val="single" w:sz="6" w:space="0" w:color="BFBFBF"/>
                  </w:tcBorders>
                  <w:shd w:val="clear" w:color="auto" w:fill="auto"/>
                  <w:vAlign w:val="bottom"/>
                </w:tcPr>
                <w:p w14:paraId="01982B96" w14:textId="77777777" w:rsidR="00FC14FC" w:rsidRDefault="00FC14FC" w:rsidP="00D11B9D">
                  <w:pPr>
                    <w:pStyle w:val="TableBodyText"/>
                    <w:jc w:val="left"/>
                  </w:pPr>
                  <w:r>
                    <w:t>Retail</w:t>
                  </w:r>
                </w:p>
              </w:tc>
              <w:tc>
                <w:tcPr>
                  <w:tcW w:w="716" w:type="pct"/>
                  <w:tcBorders>
                    <w:bottom w:val="single" w:sz="6" w:space="0" w:color="BFBFBF"/>
                  </w:tcBorders>
                  <w:shd w:val="clear" w:color="auto" w:fill="auto"/>
                  <w:vAlign w:val="bottom"/>
                </w:tcPr>
                <w:p w14:paraId="45CCCDCB" w14:textId="77777777" w:rsidR="00FC14FC" w:rsidRDefault="00FC14FC" w:rsidP="00D11B9D">
                  <w:pPr>
                    <w:pStyle w:val="TableBodyText"/>
                  </w:pPr>
                  <w:r>
                    <w:t>99</w:t>
                  </w:r>
                </w:p>
              </w:tc>
              <w:tc>
                <w:tcPr>
                  <w:tcW w:w="907" w:type="pct"/>
                  <w:gridSpan w:val="2"/>
                  <w:tcBorders>
                    <w:bottom w:val="single" w:sz="6" w:space="0" w:color="BFBFBF"/>
                  </w:tcBorders>
                  <w:shd w:val="clear" w:color="auto" w:fill="auto"/>
                  <w:vAlign w:val="bottom"/>
                </w:tcPr>
                <w:p w14:paraId="5CFFB658" w14:textId="77777777" w:rsidR="00FC14FC" w:rsidRDefault="00FC14FC" w:rsidP="00D11B9D">
                  <w:pPr>
                    <w:pStyle w:val="TableBodyText"/>
                  </w:pPr>
                  <w:r>
                    <w:t>100</w:t>
                  </w:r>
                </w:p>
              </w:tc>
              <w:tc>
                <w:tcPr>
                  <w:tcW w:w="778" w:type="pct"/>
                  <w:tcBorders>
                    <w:bottom w:val="single" w:sz="6" w:space="0" w:color="BFBFBF"/>
                  </w:tcBorders>
                </w:tcPr>
                <w:p w14:paraId="59032BDA" w14:textId="77777777" w:rsidR="00FC14FC" w:rsidRDefault="00FC14FC" w:rsidP="00D11B9D">
                  <w:pPr>
                    <w:pStyle w:val="TableBodyText"/>
                  </w:pPr>
                  <w:r>
                    <w:t>100</w:t>
                  </w:r>
                </w:p>
              </w:tc>
              <w:tc>
                <w:tcPr>
                  <w:tcW w:w="668" w:type="pct"/>
                  <w:tcBorders>
                    <w:bottom w:val="single" w:sz="6" w:space="0" w:color="BFBFBF"/>
                  </w:tcBorders>
                </w:tcPr>
                <w:p w14:paraId="69B63AE3" w14:textId="77777777" w:rsidR="00FC14FC" w:rsidRDefault="00FC14FC" w:rsidP="00D11B9D">
                  <w:pPr>
                    <w:pStyle w:val="TableBodyText"/>
                    <w:ind w:right="28"/>
                  </w:pPr>
                  <w:r>
                    <w:t>100</w:t>
                  </w:r>
                </w:p>
              </w:tc>
            </w:tr>
          </w:tbl>
          <w:p w14:paraId="400CA598" w14:textId="77777777" w:rsidR="00FC14FC" w:rsidRDefault="00FC14FC" w:rsidP="00D11B9D">
            <w:pPr>
              <w:pStyle w:val="Box"/>
            </w:pPr>
          </w:p>
        </w:tc>
      </w:tr>
      <w:tr w:rsidR="00FC14FC" w:rsidRPr="00984819" w14:paraId="0665A3CE" w14:textId="77777777" w:rsidTr="00D11B9D">
        <w:tc>
          <w:tcPr>
            <w:tcW w:w="5000" w:type="pct"/>
            <w:tcBorders>
              <w:top w:val="nil"/>
              <w:left w:val="nil"/>
              <w:bottom w:val="nil"/>
              <w:right w:val="nil"/>
            </w:tcBorders>
            <w:shd w:val="clear" w:color="auto" w:fill="auto"/>
          </w:tcPr>
          <w:p w14:paraId="79C7F096" w14:textId="77777777" w:rsidR="00FC14FC" w:rsidRPr="00984819" w:rsidRDefault="00FC14FC" w:rsidP="00D11B9D">
            <w:pPr>
              <w:pStyle w:val="Note"/>
              <w:rPr>
                <w:szCs w:val="18"/>
              </w:rPr>
            </w:pPr>
            <w:r w:rsidRPr="003447A9">
              <w:rPr>
                <w:rStyle w:val="NoteLabel"/>
              </w:rPr>
              <w:t>a</w:t>
            </w:r>
            <w:r>
              <w:rPr>
                <w:b/>
              </w:rPr>
              <w:t xml:space="preserve"> </w:t>
            </w:r>
            <w:r>
              <w:t>Composition percentages may not sum to 100 due to rounding. Some percentages have also been rounded up to 100 from</w:t>
            </w:r>
            <w:r w:rsidDel="00F8115C">
              <w:t xml:space="preserve"> </w:t>
            </w:r>
            <w:r>
              <w:t>&gt;99.5 per cent.</w:t>
            </w:r>
          </w:p>
        </w:tc>
      </w:tr>
      <w:tr w:rsidR="00FC14FC" w14:paraId="1E2FCE90" w14:textId="77777777" w:rsidTr="00D11B9D">
        <w:tc>
          <w:tcPr>
            <w:tcW w:w="5000" w:type="pct"/>
            <w:tcBorders>
              <w:top w:val="nil"/>
              <w:left w:val="nil"/>
              <w:bottom w:val="nil"/>
              <w:right w:val="nil"/>
            </w:tcBorders>
            <w:shd w:val="clear" w:color="auto" w:fill="auto"/>
          </w:tcPr>
          <w:p w14:paraId="0449CC50" w14:textId="77777777" w:rsidR="00FC14FC" w:rsidRDefault="00FC14FC" w:rsidP="00D11B9D">
            <w:pPr>
              <w:pStyle w:val="Source"/>
            </w:pPr>
            <w:r>
              <w:rPr>
                <w:i/>
              </w:rPr>
              <w:t>S</w:t>
            </w:r>
            <w:r w:rsidRPr="00784A05">
              <w:rPr>
                <w:i/>
              </w:rPr>
              <w:t>ource</w:t>
            </w:r>
            <w:r w:rsidRPr="00176D3F">
              <w:t xml:space="preserve">: </w:t>
            </w:r>
            <w:r>
              <w:rPr>
                <w:rFonts w:asciiTheme="minorHAnsi" w:cstheme="minorBidi"/>
                <w:color w:val="000000" w:themeColor="text1"/>
                <w:kern w:val="24"/>
                <w:szCs w:val="18"/>
              </w:rPr>
              <w:t xml:space="preserve">PC analysis of APRA </w:t>
            </w:r>
            <w:r w:rsidRPr="002856AA">
              <w:rPr>
                <w:rFonts w:cs="Arial"/>
              </w:rPr>
              <w:t>(2018b, 2018a)</w:t>
            </w:r>
            <w:r>
              <w:rPr>
                <w:rFonts w:asciiTheme="minorHAnsi" w:cstheme="minorBidi"/>
                <w:color w:val="000000" w:themeColor="text1"/>
                <w:kern w:val="24"/>
                <w:szCs w:val="18"/>
              </w:rPr>
              <w:t>, financial market index data (various providers), and SuperRatings data</w:t>
            </w:r>
            <w:r>
              <w:rPr>
                <w:szCs w:val="18"/>
              </w:rPr>
              <w:t>.</w:t>
            </w:r>
          </w:p>
        </w:tc>
      </w:tr>
      <w:tr w:rsidR="00FC14FC" w14:paraId="41C13246" w14:textId="77777777" w:rsidTr="00D11B9D">
        <w:tc>
          <w:tcPr>
            <w:tcW w:w="5000" w:type="pct"/>
            <w:tcBorders>
              <w:top w:val="nil"/>
              <w:left w:val="nil"/>
              <w:bottom w:val="single" w:sz="6" w:space="0" w:color="78A22F"/>
              <w:right w:val="nil"/>
            </w:tcBorders>
            <w:shd w:val="clear" w:color="auto" w:fill="auto"/>
          </w:tcPr>
          <w:p w14:paraId="2B143851" w14:textId="77777777" w:rsidR="00FC14FC" w:rsidRDefault="00FC14FC" w:rsidP="00D11B9D">
            <w:pPr>
              <w:pStyle w:val="Box"/>
              <w:spacing w:before="0" w:line="120" w:lineRule="exact"/>
            </w:pPr>
          </w:p>
        </w:tc>
      </w:tr>
      <w:tr w:rsidR="00FC14FC" w:rsidRPr="00626D32" w14:paraId="79DC8852" w14:textId="77777777" w:rsidTr="00D11B9D">
        <w:tc>
          <w:tcPr>
            <w:tcW w:w="5000" w:type="pct"/>
            <w:tcBorders>
              <w:top w:val="single" w:sz="6" w:space="0" w:color="78A22F"/>
              <w:left w:val="nil"/>
              <w:bottom w:val="nil"/>
              <w:right w:val="nil"/>
            </w:tcBorders>
          </w:tcPr>
          <w:p w14:paraId="2BB27FC6" w14:textId="77777777" w:rsidR="00FC14FC" w:rsidRPr="00626D32" w:rsidRDefault="00FC14FC" w:rsidP="00D11B9D">
            <w:pPr>
              <w:pStyle w:val="BoxSpaceBelow"/>
            </w:pPr>
          </w:p>
        </w:tc>
      </w:tr>
    </w:tbl>
    <w:p w14:paraId="1C66B73D" w14:textId="77777777" w:rsidR="00FC14FC" w:rsidRDefault="00FC14FC" w:rsidP="00FC14FC">
      <w:pPr>
        <w:pStyle w:val="Heading3"/>
      </w:pPr>
      <w:r>
        <w:t>Choice option</w:t>
      </w:r>
      <w:r>
        <w:noBreakHyphen/>
        <w:t>level analysis</w:t>
      </w:r>
    </w:p>
    <w:p w14:paraId="2B9065F8" w14:textId="77777777" w:rsidR="00FC14FC" w:rsidRDefault="00FC14FC" w:rsidP="00FC14FC">
      <w:pPr>
        <w:pStyle w:val="BodyText"/>
      </w:pPr>
      <w:r>
        <w:t xml:space="preserve">In chapter 2, the distribution of choice option performance points to about 36 per cent of options in the sample as underperforming a listed benchmark (BP1) by more than 25 basis points. This analysis, however, assumed an administration fee equal to the choice segment median administration fee. Some choice options may have substantially higher administration fees. </w:t>
      </w:r>
    </w:p>
    <w:p w14:paraId="5DA4A785" w14:textId="77777777" w:rsidR="00FC14FC" w:rsidRPr="00C7129C" w:rsidRDefault="00FC14FC" w:rsidP="00FC14FC">
      <w:pPr>
        <w:pStyle w:val="BodyText"/>
      </w:pPr>
      <w:r>
        <w:t>To test the sensitivity of the analysis to administration fees, the administration fee assumption was relaxed by allowing for administration fees to vary by the fund</w:t>
      </w:r>
      <w:r>
        <w:noBreakHyphen/>
        <w:t xml:space="preserve">type medians in the tailored BPs. This means, for example, that the administration fees applied to retail option benchmarks are substantially higher. Figure 4.20 presents this analysis and shows that under this alternative fee assumption there is a smaller tail of underperforming choice options and more options performing above their tailored benchmark. The composition of </w:t>
      </w:r>
      <w:r>
        <w:lastRenderedPageBreak/>
        <w:t>underperforming choice options changes slightly, but retail funds continue to be overrepresented (table 4.44).</w:t>
      </w:r>
    </w:p>
    <w:p w14:paraId="10BB7DA6" w14:textId="77777777" w:rsidR="00FC14FC" w:rsidRDefault="00FC14FC" w:rsidP="00FC14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C14FC" w14:paraId="0DA83204" w14:textId="77777777" w:rsidTr="00D11B9D">
        <w:trPr>
          <w:tblHeader/>
        </w:trPr>
        <w:tc>
          <w:tcPr>
            <w:tcW w:w="5000" w:type="pct"/>
            <w:tcBorders>
              <w:top w:val="single" w:sz="6" w:space="0" w:color="78A22F"/>
              <w:left w:val="nil"/>
              <w:bottom w:val="nil"/>
              <w:right w:val="nil"/>
            </w:tcBorders>
            <w:shd w:val="clear" w:color="auto" w:fill="auto"/>
          </w:tcPr>
          <w:p w14:paraId="03D0051A" w14:textId="77777777" w:rsidR="00FC14FC" w:rsidRDefault="00FC14FC" w:rsidP="00D11B9D">
            <w:pPr>
              <w:pStyle w:val="FigureTitle"/>
            </w:pPr>
            <w:r w:rsidRPr="00784A05">
              <w:rPr>
                <w:b w:val="0"/>
              </w:rPr>
              <w:t xml:space="preserve">Figure </w:t>
            </w:r>
            <w:r>
              <w:rPr>
                <w:b w:val="0"/>
              </w:rPr>
              <w:t>4.20</w:t>
            </w:r>
            <w:r>
              <w:tab/>
              <w:t>Distribution of choice options using fund</w:t>
            </w:r>
            <w:r>
              <w:noBreakHyphen/>
              <w:t>type administration fees</w:t>
            </w:r>
            <w:r w:rsidRPr="001926AD">
              <w:rPr>
                <w:rStyle w:val="NoteLabel"/>
              </w:rPr>
              <w:t>a</w:t>
            </w:r>
          </w:p>
          <w:p w14:paraId="5E6067F9" w14:textId="77777777" w:rsidR="00FC14FC" w:rsidRDefault="00FC14FC" w:rsidP="00D11B9D">
            <w:pPr>
              <w:pStyle w:val="Subtitle"/>
            </w:pPr>
            <w:r w:rsidRPr="002D557A">
              <w:t xml:space="preserve">Performance relative to </w:t>
            </w:r>
            <w:r>
              <w:t>option</w:t>
            </w:r>
            <w:r>
              <w:noBreakHyphen/>
            </w:r>
            <w:r w:rsidRPr="002D557A">
              <w:t>tailored benchmark portfolios</w:t>
            </w:r>
            <w:r>
              <w:t>, 2005–2017</w:t>
            </w:r>
          </w:p>
          <w:p w14:paraId="338197C5" w14:textId="77777777" w:rsidR="00FC14FC" w:rsidRPr="00176D3F" w:rsidRDefault="00FC14FC" w:rsidP="00D11B9D">
            <w:pPr>
              <w:pStyle w:val="Subtitle"/>
            </w:pPr>
            <w:r>
              <w:t>Size of circles indicates the size of each option’s assets under management</w:t>
            </w:r>
          </w:p>
        </w:tc>
      </w:tr>
      <w:tr w:rsidR="00FC14FC" w14:paraId="629B6B3B" w14:textId="77777777" w:rsidTr="00D11B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C14FC" w:rsidRPr="00B1465D" w14:paraId="45B828DF" w14:textId="77777777" w:rsidTr="00D11B9D">
              <w:trPr>
                <w:tblHeader/>
                <w:jc w:val="center"/>
              </w:trPr>
              <w:tc>
                <w:tcPr>
                  <w:tcW w:w="5000" w:type="pct"/>
                  <w:tcBorders>
                    <w:top w:val="nil"/>
                    <w:bottom w:val="nil"/>
                  </w:tcBorders>
                </w:tcPr>
                <w:p w14:paraId="089387F1" w14:textId="77777777" w:rsidR="00FC14FC" w:rsidRDefault="00FC14FC" w:rsidP="00D11B9D">
                  <w:pPr>
                    <w:pStyle w:val="Figure"/>
                    <w:spacing w:before="60" w:after="60"/>
                    <w:rPr>
                      <w:rFonts w:ascii="Arial" w:hAnsi="Arial" w:cs="Arial"/>
                      <w:sz w:val="18"/>
                      <w:szCs w:val="18"/>
                    </w:rPr>
                  </w:pPr>
                  <w:r w:rsidRPr="005623A3">
                    <w:rPr>
                      <w:rFonts w:ascii="Arial" w:hAnsi="Arial" w:cs="Arial"/>
                      <w:noProof/>
                      <w:sz w:val="18"/>
                      <w:szCs w:val="18"/>
                    </w:rPr>
                    <w:drawing>
                      <wp:inline distT="0" distB="0" distL="0" distR="0" wp14:anchorId="1CEDC272" wp14:editId="6849631B">
                        <wp:extent cx="5402580" cy="4511040"/>
                        <wp:effectExtent l="0" t="0" r="0" b="3810"/>
                        <wp:docPr id="20" name="Picture 20" descr="Fig 4.20. This bubble chart shows the 13 year performance of individual choice options against a tailored BP1. It shows 193 of 581 options in the dataset underperforming a tailored BP2. " title="Distribution of choice options using fund-type administration f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402580" cy="4511040"/>
                                </a:xfrm>
                                <a:prstGeom prst="rect">
                                  <a:avLst/>
                                </a:prstGeom>
                                <a:noFill/>
                                <a:ln>
                                  <a:noFill/>
                                </a:ln>
                              </pic:spPr>
                            </pic:pic>
                          </a:graphicData>
                        </a:graphic>
                      </wp:inline>
                    </w:drawing>
                  </w:r>
                </w:p>
                <w:tbl>
                  <w:tblPr>
                    <w:tblW w:w="0" w:type="auto"/>
                    <w:tblLook w:val="04A0" w:firstRow="1" w:lastRow="0" w:firstColumn="1" w:lastColumn="0" w:noHBand="0" w:noVBand="1"/>
                  </w:tblPr>
                  <w:tblGrid>
                    <w:gridCol w:w="1559"/>
                    <w:gridCol w:w="2311"/>
                    <w:gridCol w:w="1658"/>
                    <w:gridCol w:w="2966"/>
                  </w:tblGrid>
                  <w:tr w:rsidR="00FC14FC" w14:paraId="50CD9C47" w14:textId="77777777" w:rsidTr="00D11B9D">
                    <w:tc>
                      <w:tcPr>
                        <w:tcW w:w="1559" w:type="dxa"/>
                        <w:shd w:val="clear" w:color="auto" w:fill="F2F2F2" w:themeFill="background1" w:themeFillShade="F2"/>
                      </w:tcPr>
                      <w:p w14:paraId="1ED2DCC7"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1A6C88ED"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unpublished APRA data, financial market index data (various providers) and </w:t>
                        </w:r>
                        <w:r w:rsidRPr="002B579E">
                          <w:rPr>
                            <w:rFonts w:asciiTheme="minorHAnsi" w:hAnsi="Arial" w:cstheme="minorBidi"/>
                            <w:color w:val="000000" w:themeColor="text1"/>
                            <w:kern w:val="24"/>
                            <w:sz w:val="18"/>
                            <w:szCs w:val="18"/>
                          </w:rPr>
                          <w:t>SuperRatings data</w:t>
                        </w:r>
                        <w:r>
                          <w:rPr>
                            <w:rFonts w:asciiTheme="minorHAnsi" w:hAnsi="Arial" w:cstheme="minorBidi"/>
                            <w:color w:val="000000" w:themeColor="text1"/>
                            <w:kern w:val="24"/>
                            <w:sz w:val="18"/>
                            <w:szCs w:val="18"/>
                          </w:rPr>
                          <w:t>.</w:t>
                        </w:r>
                      </w:p>
                    </w:tc>
                  </w:tr>
                  <w:tr w:rsidR="00FC14FC" w14:paraId="67E7689F" w14:textId="77777777" w:rsidTr="00D11B9D">
                    <w:tc>
                      <w:tcPr>
                        <w:tcW w:w="1559" w:type="dxa"/>
                        <w:shd w:val="clear" w:color="auto" w:fill="F2F2F2" w:themeFill="background1" w:themeFillShade="F2"/>
                      </w:tcPr>
                      <w:p w14:paraId="7AF121C3"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0FA92B1B" w14:textId="77777777" w:rsidR="00FC14FC" w:rsidRDefault="00FC14FC" w:rsidP="00D11B9D">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Option</w:t>
                        </w:r>
                        <w:r w:rsidRPr="002B579E">
                          <w:rPr>
                            <w:rFonts w:asciiTheme="minorHAnsi" w:hAnsi="Arial" w:cstheme="minorBidi"/>
                            <w:color w:val="000000" w:themeColor="text1"/>
                            <w:kern w:val="24"/>
                            <w:sz w:val="18"/>
                            <w:szCs w:val="18"/>
                          </w:rPr>
                          <w:t xml:space="preserve"> tailored BP1</w:t>
                        </w:r>
                        <w:r>
                          <w:rPr>
                            <w:rFonts w:asciiTheme="minorHAnsi" w:hAnsi="Arial" w:cstheme="minorBidi"/>
                            <w:color w:val="000000" w:themeColor="text1"/>
                            <w:kern w:val="24"/>
                            <w:sz w:val="18"/>
                            <w:szCs w:val="18"/>
                          </w:rPr>
                          <w:t>.</w:t>
                        </w:r>
                      </w:p>
                    </w:tc>
                  </w:tr>
                  <w:tr w:rsidR="00FC14FC" w14:paraId="08A95703" w14:textId="77777777" w:rsidTr="00D11B9D">
                    <w:tc>
                      <w:tcPr>
                        <w:tcW w:w="1559" w:type="dxa"/>
                        <w:shd w:val="clear" w:color="auto" w:fill="F2F2F2" w:themeFill="background1" w:themeFillShade="F2"/>
                      </w:tcPr>
                      <w:p w14:paraId="33A59658" w14:textId="77777777" w:rsidR="00FC14FC" w:rsidRDefault="00FC14FC" w:rsidP="00D11B9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72858E19" w14:textId="77777777" w:rsidR="00FC14FC" w:rsidRPr="008B39D4" w:rsidRDefault="00FC14FC" w:rsidP="00D11B9D">
                        <w:pPr>
                          <w:pStyle w:val="NormalWeb"/>
                          <w:spacing w:before="0" w:beforeAutospacing="0" w:after="0" w:afterAutospacing="0"/>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The chart shows 362 accumulation options from APRA</w:t>
                        </w:r>
                        <w:r>
                          <w:rPr>
                            <w:rFonts w:asciiTheme="minorHAnsi" w:hAnsi="Arial" w:cstheme="minorBidi"/>
                            <w:color w:val="000000" w:themeColor="text1"/>
                            <w:kern w:val="24"/>
                            <w:sz w:val="18"/>
                            <w:szCs w:val="18"/>
                          </w:rPr>
                          <w:noBreakHyphen/>
                          <w:t>regulated</w:t>
                        </w:r>
                        <w:r w:rsidRPr="002B579E">
                          <w:rPr>
                            <w:rFonts w:asciiTheme="minorHAnsi" w:hAnsi="Arial" w:cstheme="minorBidi"/>
                            <w:color w:val="000000" w:themeColor="text1"/>
                            <w:kern w:val="24"/>
                            <w:sz w:val="18"/>
                            <w:szCs w:val="18"/>
                          </w:rPr>
                          <w:t xml:space="preserve"> f</w:t>
                        </w:r>
                        <w:r>
                          <w:rPr>
                            <w:rFonts w:asciiTheme="minorHAnsi" w:hAnsi="Arial" w:cstheme="minorBidi"/>
                            <w:color w:val="000000" w:themeColor="text1"/>
                            <w:kern w:val="24"/>
                            <w:sz w:val="18"/>
                            <w:szCs w:val="18"/>
                          </w:rPr>
                          <w:t>unds with an estimated $161 billion in assets in the choice segment. Legacy products are excluded.</w:t>
                        </w:r>
                      </w:p>
                    </w:tc>
                  </w:tr>
                  <w:tr w:rsidR="00FC14FC" w14:paraId="4BD1372C" w14:textId="77777777" w:rsidTr="00D11B9D">
                    <w:tc>
                      <w:tcPr>
                        <w:tcW w:w="1559" w:type="dxa"/>
                        <w:shd w:val="clear" w:color="auto" w:fill="F2F2F2" w:themeFill="background1" w:themeFillShade="F2"/>
                      </w:tcPr>
                      <w:p w14:paraId="637BC05D" w14:textId="77777777" w:rsidR="00FC14FC" w:rsidRPr="004E69F4" w:rsidRDefault="00FC14FC" w:rsidP="00D11B9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1D8FAB6B"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c>
                      <w:tcPr>
                        <w:tcW w:w="1658" w:type="dxa"/>
                        <w:shd w:val="clear" w:color="auto" w:fill="F2F2F2" w:themeFill="background1" w:themeFillShade="F2"/>
                      </w:tcPr>
                      <w:p w14:paraId="2BAFF679" w14:textId="77777777" w:rsidR="00FC14FC" w:rsidRPr="004E69F4" w:rsidRDefault="00FC14FC" w:rsidP="00D11B9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188F4831" w14:textId="77777777" w:rsidR="00FC14FC" w:rsidRPr="00A95597"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r w:rsidR="00FC14FC" w14:paraId="0457FE89" w14:textId="77777777" w:rsidTr="00D11B9D">
                    <w:tc>
                      <w:tcPr>
                        <w:tcW w:w="1559" w:type="dxa"/>
                        <w:shd w:val="clear" w:color="auto" w:fill="F2F2F2" w:themeFill="background1" w:themeFillShade="F2"/>
                      </w:tcPr>
                      <w:p w14:paraId="343E75BE" w14:textId="77777777" w:rsidR="00FC14FC" w:rsidRDefault="00FC14FC" w:rsidP="00D11B9D">
                        <w:pPr>
                          <w:pStyle w:val="Figure"/>
                          <w:spacing w:before="0" w:after="0"/>
                          <w:jc w:val="left"/>
                          <w:rPr>
                            <w:rFonts w:asciiTheme="minorHAnsi" w:hAnsi="Arial" w:cstheme="minorBidi"/>
                            <w:b/>
                            <w:color w:val="000000" w:themeColor="text1"/>
                            <w:kern w:val="24"/>
                            <w:sz w:val="18"/>
                            <w:szCs w:val="18"/>
                          </w:rPr>
                        </w:pPr>
                        <w:r w:rsidRPr="002D557A">
                          <w:rPr>
                            <w:rFonts w:ascii="Arial" w:hAnsi="Arial" w:cs="Arial"/>
                            <w:b/>
                            <w:sz w:val="18"/>
                            <w:szCs w:val="18"/>
                          </w:rPr>
                          <w:t>Further results</w:t>
                        </w:r>
                      </w:p>
                    </w:tc>
                    <w:tc>
                      <w:tcPr>
                        <w:tcW w:w="6935" w:type="dxa"/>
                        <w:gridSpan w:val="3"/>
                        <w:shd w:val="clear" w:color="auto" w:fill="F2F2F2" w:themeFill="background1" w:themeFillShade="F2"/>
                      </w:tcPr>
                      <w:p w14:paraId="5B37BCEF" w14:textId="77777777" w:rsidR="00FC14FC" w:rsidRPr="007D5233" w:rsidRDefault="00FC14FC" w:rsidP="00D11B9D">
                        <w:pPr>
                          <w:pStyle w:val="NormalWeb"/>
                          <w:spacing w:before="0" w:beforeAutospacing="0" w:after="0" w:afterAutospacing="0"/>
                          <w:rPr>
                            <w:rFonts w:ascii="Arial" w:eastAsia="+mn-ea" w:hAnsi="Arial" w:cs="Arial"/>
                            <w:color w:val="000000" w:themeColor="text1"/>
                            <w:kern w:val="24"/>
                            <w:sz w:val="18"/>
                            <w:szCs w:val="18"/>
                          </w:rPr>
                        </w:pPr>
                        <w:r>
                          <w:rPr>
                            <w:rFonts w:asciiTheme="minorHAnsi" w:hAnsi="Arial" w:cstheme="minorBidi"/>
                            <w:color w:val="000000" w:themeColor="text1"/>
                            <w:kern w:val="24"/>
                            <w:sz w:val="18"/>
                            <w:szCs w:val="18"/>
                          </w:rPr>
                          <w:t>26 options</w:t>
                        </w:r>
                        <w:r w:rsidRPr="002D557A">
                          <w:rPr>
                            <w:rFonts w:asciiTheme="minorHAnsi" w:hAnsi="Arial" w:cstheme="minorBidi"/>
                            <w:color w:val="000000" w:themeColor="text1"/>
                            <w:kern w:val="24"/>
                            <w:sz w:val="18"/>
                            <w:szCs w:val="18"/>
                          </w:rPr>
                          <w:t xml:space="preserve"> performed less than 25</w:t>
                        </w:r>
                        <w:r>
                          <w:rPr>
                            <w:rFonts w:asciiTheme="minorHAnsi" w:hAnsi="Arial" w:cstheme="minorBidi"/>
                            <w:color w:val="000000" w:themeColor="text1"/>
                            <w:kern w:val="24"/>
                            <w:sz w:val="18"/>
                            <w:szCs w:val="18"/>
                          </w:rPr>
                          <w:t xml:space="preserve"> basis points below BP1</w:t>
                        </w:r>
                        <w:r w:rsidRPr="002D557A">
                          <w:rPr>
                            <w:rFonts w:asciiTheme="minorHAnsi" w:hAnsi="Arial" w:cstheme="minorBidi"/>
                            <w:color w:val="000000" w:themeColor="text1"/>
                            <w:kern w:val="24"/>
                            <w:sz w:val="18"/>
                            <w:szCs w:val="18"/>
                          </w:rPr>
                          <w:t xml:space="preserve"> (</w:t>
                        </w:r>
                        <w:r>
                          <w:rPr>
                            <w:rFonts w:asciiTheme="minorHAnsi" w:hAnsi="Arial" w:cstheme="minorBidi"/>
                            <w:color w:val="000000" w:themeColor="text1"/>
                            <w:kern w:val="24"/>
                            <w:sz w:val="18"/>
                            <w:szCs w:val="18"/>
                          </w:rPr>
                          <w:t>$7.6</w:t>
                        </w:r>
                        <w:r w:rsidRPr="002D557A">
                          <w:rPr>
                            <w:rFonts w:asciiTheme="minorHAnsi" w:hAnsi="Arial" w:cstheme="minorBidi"/>
                            <w:color w:val="000000" w:themeColor="text1"/>
                            <w:kern w:val="24"/>
                            <w:sz w:val="18"/>
                            <w:szCs w:val="18"/>
                          </w:rPr>
                          <w:t> billion in assets).</w:t>
                        </w:r>
                      </w:p>
                    </w:tc>
                  </w:tr>
                </w:tbl>
                <w:p w14:paraId="3ECC7BDA" w14:textId="77777777" w:rsidR="00FC14FC" w:rsidRPr="00B1465D" w:rsidRDefault="00FC14FC" w:rsidP="00D11B9D">
                  <w:pPr>
                    <w:pStyle w:val="Figure"/>
                    <w:spacing w:before="60" w:after="60"/>
                    <w:rPr>
                      <w:rFonts w:ascii="Arial" w:hAnsi="Arial" w:cs="Arial"/>
                      <w:sz w:val="18"/>
                      <w:szCs w:val="18"/>
                    </w:rPr>
                  </w:pPr>
                </w:p>
              </w:tc>
            </w:tr>
          </w:tbl>
          <w:p w14:paraId="4504C236" w14:textId="77777777" w:rsidR="00FC14FC" w:rsidRDefault="00FC14FC" w:rsidP="00D11B9D">
            <w:pPr>
              <w:pStyle w:val="Figure"/>
            </w:pPr>
          </w:p>
        </w:tc>
      </w:tr>
      <w:tr w:rsidR="00FC14FC" w:rsidRPr="00176D3F" w14:paraId="2AA90F11" w14:textId="77777777" w:rsidTr="00D11B9D">
        <w:tc>
          <w:tcPr>
            <w:tcW w:w="5000" w:type="pct"/>
            <w:tcBorders>
              <w:top w:val="nil"/>
              <w:left w:val="nil"/>
              <w:bottom w:val="nil"/>
              <w:right w:val="nil"/>
            </w:tcBorders>
            <w:shd w:val="clear" w:color="auto" w:fill="auto"/>
          </w:tcPr>
          <w:p w14:paraId="7F6D998F" w14:textId="77777777" w:rsidR="00FC14FC" w:rsidRPr="00176D3F" w:rsidRDefault="00FC14FC" w:rsidP="00D11B9D">
            <w:pPr>
              <w:pStyle w:val="Note"/>
            </w:pPr>
            <w:r>
              <w:rPr>
                <w:rStyle w:val="NoteLabel"/>
              </w:rPr>
              <w:t>a</w:t>
            </w:r>
            <w:r>
              <w:t xml:space="preserve"> </w:t>
            </w:r>
            <w:r w:rsidRPr="00247263">
              <w:t>Net returns are estimated less investment fees, taxes and implicit asset</w:t>
            </w:r>
            <w:r>
              <w:noBreakHyphen/>
            </w:r>
            <w:r w:rsidRPr="00247263">
              <w:t>based administration fees. This means that some options may be reported gross of asset</w:t>
            </w:r>
            <w:r>
              <w:noBreakHyphen/>
            </w:r>
            <w:r w:rsidRPr="00247263">
              <w:t>based administration fees.</w:t>
            </w:r>
            <w:r>
              <w:t xml:space="preserve"> </w:t>
            </w:r>
          </w:p>
        </w:tc>
      </w:tr>
      <w:tr w:rsidR="00FC14FC" w14:paraId="36B655DA" w14:textId="77777777" w:rsidTr="00D11B9D">
        <w:tc>
          <w:tcPr>
            <w:tcW w:w="5000" w:type="pct"/>
            <w:tcBorders>
              <w:top w:val="nil"/>
              <w:left w:val="nil"/>
              <w:bottom w:val="single" w:sz="6" w:space="0" w:color="78A22F"/>
              <w:right w:val="nil"/>
            </w:tcBorders>
            <w:shd w:val="clear" w:color="auto" w:fill="auto"/>
          </w:tcPr>
          <w:p w14:paraId="32B3CC6E" w14:textId="77777777" w:rsidR="00FC14FC" w:rsidRDefault="00FC14FC" w:rsidP="00D11B9D">
            <w:pPr>
              <w:pStyle w:val="Figurespace"/>
            </w:pPr>
          </w:p>
        </w:tc>
      </w:tr>
    </w:tbl>
    <w:p w14:paraId="0C086763" w14:textId="77777777" w:rsidR="00FC14FC" w:rsidRDefault="00FC14FC" w:rsidP="00FC14FC">
      <w:pPr>
        <w:pStyle w:val="BodyText"/>
      </w:pPr>
    </w:p>
    <w:p w14:paraId="3972F69D" w14:textId="77777777" w:rsidR="00FC14FC" w:rsidRDefault="00FC14FC" w:rsidP="00FC14FC">
      <w:pPr>
        <w:pStyle w:val="BoxSpaceAbove"/>
        <w:spacing w:before="12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4FC" w14:paraId="692C5FAF" w14:textId="77777777" w:rsidTr="00D11B9D">
        <w:trPr>
          <w:tblHeader/>
        </w:trPr>
        <w:tc>
          <w:tcPr>
            <w:tcW w:w="5000" w:type="pct"/>
            <w:tcBorders>
              <w:top w:val="single" w:sz="6" w:space="0" w:color="78A22F"/>
              <w:left w:val="nil"/>
              <w:bottom w:val="nil"/>
              <w:right w:val="nil"/>
            </w:tcBorders>
            <w:shd w:val="clear" w:color="auto" w:fill="auto"/>
          </w:tcPr>
          <w:p w14:paraId="0A6BC0FA" w14:textId="77777777" w:rsidR="00FC14FC" w:rsidRPr="00CA5256" w:rsidRDefault="00FC14FC" w:rsidP="00D11B9D">
            <w:pPr>
              <w:pStyle w:val="TableTitle"/>
              <w:rPr>
                <w:rStyle w:val="NoteLabel"/>
              </w:rPr>
            </w:pPr>
            <w:r>
              <w:rPr>
                <w:b w:val="0"/>
              </w:rPr>
              <w:t>Table 4.44</w:t>
            </w:r>
            <w:r>
              <w:tab/>
              <w:t>Composition of underperforming choice options</w:t>
            </w:r>
            <w:r w:rsidRPr="00CA5256">
              <w:rPr>
                <w:rStyle w:val="NoteLabel"/>
              </w:rPr>
              <w:t>a</w:t>
            </w:r>
          </w:p>
          <w:p w14:paraId="62D6E56D" w14:textId="77777777" w:rsidR="00FC14FC" w:rsidRPr="00784A05" w:rsidRDefault="00FC14FC" w:rsidP="00D11B9D">
            <w:pPr>
              <w:pStyle w:val="Subtitle"/>
            </w:pPr>
            <w:r>
              <w:t>2005–2017, with fund</w:t>
            </w:r>
            <w:r>
              <w:noBreakHyphen/>
              <w:t>type administration fees</w:t>
            </w:r>
          </w:p>
        </w:tc>
      </w:tr>
      <w:tr w:rsidR="00FC14FC" w14:paraId="17534749" w14:textId="77777777" w:rsidTr="00D11B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FC14FC" w14:paraId="5C13B072" w14:textId="77777777" w:rsidTr="00D11B9D">
              <w:trPr>
                <w:tblHeader/>
              </w:trPr>
              <w:tc>
                <w:tcPr>
                  <w:tcW w:w="1669" w:type="pct"/>
                  <w:tcBorders>
                    <w:top w:val="single" w:sz="6" w:space="0" w:color="BFBFBF"/>
                    <w:bottom w:val="single" w:sz="6" w:space="0" w:color="BFBFBF"/>
                  </w:tcBorders>
                  <w:shd w:val="clear" w:color="auto" w:fill="auto"/>
                  <w:tcMar>
                    <w:top w:w="28" w:type="dxa"/>
                  </w:tcMar>
                  <w:vAlign w:val="bottom"/>
                </w:tcPr>
                <w:p w14:paraId="665FBBA7" w14:textId="77777777" w:rsidR="00FC14FC" w:rsidRDefault="00FC14FC" w:rsidP="00D11B9D">
                  <w:pPr>
                    <w:pStyle w:val="TableColumnHeading"/>
                    <w:jc w:val="left"/>
                  </w:pPr>
                  <w:r>
                    <w:t>Fund type</w:t>
                  </w:r>
                </w:p>
              </w:tc>
              <w:tc>
                <w:tcPr>
                  <w:tcW w:w="1666" w:type="pct"/>
                  <w:tcBorders>
                    <w:top w:val="single" w:sz="6" w:space="0" w:color="BFBFBF"/>
                    <w:bottom w:val="single" w:sz="6" w:space="0" w:color="BFBFBF"/>
                  </w:tcBorders>
                  <w:shd w:val="clear" w:color="auto" w:fill="auto"/>
                  <w:vAlign w:val="bottom"/>
                </w:tcPr>
                <w:p w14:paraId="01AED1E9" w14:textId="77777777" w:rsidR="00FC14FC" w:rsidRPr="00185176" w:rsidRDefault="00FC14FC" w:rsidP="00D11B9D">
                  <w:pPr>
                    <w:pStyle w:val="TableColumnHeading"/>
                  </w:pPr>
                  <w:r w:rsidRPr="00185176">
                    <w:t xml:space="preserve">Composition of underperformers </w:t>
                  </w:r>
                </w:p>
              </w:tc>
              <w:tc>
                <w:tcPr>
                  <w:tcW w:w="1666" w:type="pct"/>
                  <w:tcBorders>
                    <w:top w:val="single" w:sz="6" w:space="0" w:color="BFBFBF"/>
                    <w:bottom w:val="single" w:sz="6" w:space="0" w:color="BFBFBF"/>
                  </w:tcBorders>
                  <w:shd w:val="clear" w:color="auto" w:fill="auto"/>
                  <w:tcMar>
                    <w:top w:w="28" w:type="dxa"/>
                  </w:tcMar>
                  <w:vAlign w:val="bottom"/>
                </w:tcPr>
                <w:p w14:paraId="2AB77BC3" w14:textId="77777777" w:rsidR="00FC14FC" w:rsidRDefault="00FC14FC" w:rsidP="00D11B9D">
                  <w:pPr>
                    <w:pStyle w:val="TableColumnHeading"/>
                    <w:ind w:right="28"/>
                  </w:pPr>
                  <w:r>
                    <w:t xml:space="preserve">Underperformers as a percentage of all in fund type </w:t>
                  </w:r>
                </w:p>
              </w:tc>
            </w:tr>
            <w:tr w:rsidR="00FC14FC" w14:paraId="1C2ADEE0" w14:textId="77777777" w:rsidTr="00D11B9D">
              <w:tc>
                <w:tcPr>
                  <w:tcW w:w="1669" w:type="pct"/>
                  <w:tcBorders>
                    <w:top w:val="single" w:sz="6" w:space="0" w:color="BFBFBF"/>
                  </w:tcBorders>
                  <w:shd w:val="clear" w:color="auto" w:fill="auto"/>
                </w:tcPr>
                <w:p w14:paraId="7A64F6A1" w14:textId="77777777" w:rsidR="00FC14FC" w:rsidRPr="00C81C6F" w:rsidRDefault="00FC14FC" w:rsidP="00D11B9D">
                  <w:pPr>
                    <w:pStyle w:val="TableUnitsRow"/>
                  </w:pPr>
                </w:p>
              </w:tc>
              <w:tc>
                <w:tcPr>
                  <w:tcW w:w="1666" w:type="pct"/>
                  <w:tcBorders>
                    <w:top w:val="single" w:sz="6" w:space="0" w:color="BFBFBF"/>
                  </w:tcBorders>
                  <w:shd w:val="clear" w:color="auto" w:fill="auto"/>
                </w:tcPr>
                <w:p w14:paraId="0E5669F0" w14:textId="77777777" w:rsidR="00FC14FC" w:rsidRPr="00C81C6F" w:rsidRDefault="00FC14FC" w:rsidP="00D11B9D">
                  <w:pPr>
                    <w:pStyle w:val="TableUnitsRow"/>
                  </w:pPr>
                  <w:r w:rsidRPr="00C81C6F">
                    <w:t>%</w:t>
                  </w:r>
                </w:p>
              </w:tc>
              <w:tc>
                <w:tcPr>
                  <w:tcW w:w="1666" w:type="pct"/>
                  <w:tcBorders>
                    <w:top w:val="single" w:sz="6" w:space="0" w:color="BFBFBF"/>
                  </w:tcBorders>
                  <w:shd w:val="clear" w:color="auto" w:fill="auto"/>
                </w:tcPr>
                <w:p w14:paraId="242AE1F3" w14:textId="77777777" w:rsidR="00FC14FC" w:rsidRPr="00C81C6F" w:rsidRDefault="00FC14FC" w:rsidP="00D11B9D">
                  <w:pPr>
                    <w:pStyle w:val="TableUnitsRow"/>
                    <w:ind w:right="28"/>
                  </w:pPr>
                  <w:r w:rsidRPr="00C81C6F">
                    <w:t>%</w:t>
                  </w:r>
                </w:p>
              </w:tc>
            </w:tr>
            <w:tr w:rsidR="00FC14FC" w14:paraId="1A82D290" w14:textId="77777777" w:rsidTr="00D11B9D">
              <w:tc>
                <w:tcPr>
                  <w:tcW w:w="1669" w:type="pct"/>
                  <w:shd w:val="clear" w:color="auto" w:fill="auto"/>
                </w:tcPr>
                <w:p w14:paraId="33B508AC" w14:textId="77777777" w:rsidR="00FC14FC" w:rsidRDefault="00FC14FC" w:rsidP="00D11B9D">
                  <w:pPr>
                    <w:pStyle w:val="TableUnitsRow"/>
                    <w:jc w:val="left"/>
                  </w:pPr>
                  <w:r>
                    <w:t>Corporate</w:t>
                  </w:r>
                </w:p>
              </w:tc>
              <w:tc>
                <w:tcPr>
                  <w:tcW w:w="1666" w:type="pct"/>
                  <w:shd w:val="clear" w:color="auto" w:fill="auto"/>
                </w:tcPr>
                <w:p w14:paraId="431A8B65" w14:textId="77777777" w:rsidR="00FC14FC" w:rsidRDefault="00FC14FC" w:rsidP="00D11B9D">
                  <w:pPr>
                    <w:pStyle w:val="TableUnitsRow"/>
                  </w:pPr>
                  <w:r>
                    <w:t>1</w:t>
                  </w:r>
                </w:p>
              </w:tc>
              <w:tc>
                <w:tcPr>
                  <w:tcW w:w="1666" w:type="pct"/>
                  <w:shd w:val="clear" w:color="auto" w:fill="auto"/>
                </w:tcPr>
                <w:p w14:paraId="6C628485" w14:textId="77777777" w:rsidR="00FC14FC" w:rsidRDefault="00FC14FC" w:rsidP="00D11B9D">
                  <w:pPr>
                    <w:pStyle w:val="TableUnitsRow"/>
                    <w:ind w:right="28"/>
                  </w:pPr>
                  <w:r>
                    <w:t>14</w:t>
                  </w:r>
                </w:p>
              </w:tc>
            </w:tr>
            <w:tr w:rsidR="00FC14FC" w14:paraId="7C382F16" w14:textId="77777777" w:rsidTr="00D11B9D">
              <w:tc>
                <w:tcPr>
                  <w:tcW w:w="1669" w:type="pct"/>
                  <w:shd w:val="clear" w:color="auto" w:fill="F2F2F2" w:themeFill="background1" w:themeFillShade="F2"/>
                </w:tcPr>
                <w:p w14:paraId="27D495B0" w14:textId="77777777" w:rsidR="00FC14FC" w:rsidRDefault="00FC14FC" w:rsidP="00D11B9D">
                  <w:pPr>
                    <w:pStyle w:val="TableBodyText"/>
                    <w:jc w:val="left"/>
                  </w:pPr>
                  <w:r>
                    <w:t>Industry</w:t>
                  </w:r>
                </w:p>
              </w:tc>
              <w:tc>
                <w:tcPr>
                  <w:tcW w:w="1666" w:type="pct"/>
                  <w:shd w:val="clear" w:color="auto" w:fill="F2F2F2" w:themeFill="background1" w:themeFillShade="F2"/>
                </w:tcPr>
                <w:p w14:paraId="217F3D55" w14:textId="77777777" w:rsidR="00FC14FC" w:rsidRDefault="00FC14FC" w:rsidP="00D11B9D">
                  <w:pPr>
                    <w:pStyle w:val="TableBodyText"/>
                  </w:pPr>
                  <w:r>
                    <w:t>8</w:t>
                  </w:r>
                </w:p>
              </w:tc>
              <w:tc>
                <w:tcPr>
                  <w:tcW w:w="1666" w:type="pct"/>
                  <w:shd w:val="clear" w:color="auto" w:fill="F2F2F2" w:themeFill="background1" w:themeFillShade="F2"/>
                </w:tcPr>
                <w:p w14:paraId="2960A8CB" w14:textId="77777777" w:rsidR="00FC14FC" w:rsidRDefault="00FC14FC" w:rsidP="00D11B9D">
                  <w:pPr>
                    <w:pStyle w:val="TableBodyText"/>
                    <w:ind w:right="28"/>
                  </w:pPr>
                  <w:r>
                    <w:t>10</w:t>
                  </w:r>
                </w:p>
              </w:tc>
            </w:tr>
            <w:tr w:rsidR="00FC14FC" w14:paraId="23D30305" w14:textId="77777777" w:rsidTr="00D11B9D">
              <w:tc>
                <w:tcPr>
                  <w:tcW w:w="1669" w:type="pct"/>
                  <w:shd w:val="clear" w:color="auto" w:fill="auto"/>
                </w:tcPr>
                <w:p w14:paraId="127359CE" w14:textId="77777777" w:rsidR="00FC14FC" w:rsidRDefault="00FC14FC" w:rsidP="00D11B9D">
                  <w:pPr>
                    <w:pStyle w:val="TableBodyText"/>
                    <w:jc w:val="left"/>
                  </w:pPr>
                  <w:r>
                    <w:t>Public Sector</w:t>
                  </w:r>
                </w:p>
              </w:tc>
              <w:tc>
                <w:tcPr>
                  <w:tcW w:w="1666" w:type="pct"/>
                  <w:shd w:val="clear" w:color="auto" w:fill="auto"/>
                </w:tcPr>
                <w:p w14:paraId="6E48DC38" w14:textId="77777777" w:rsidR="00FC14FC" w:rsidRDefault="00FC14FC" w:rsidP="00D11B9D">
                  <w:pPr>
                    <w:pStyle w:val="TableBodyText"/>
                  </w:pPr>
                  <w:r>
                    <w:t>3</w:t>
                  </w:r>
                </w:p>
              </w:tc>
              <w:tc>
                <w:tcPr>
                  <w:tcW w:w="1666" w:type="pct"/>
                  <w:shd w:val="clear" w:color="auto" w:fill="auto"/>
                </w:tcPr>
                <w:p w14:paraId="7C354CDF" w14:textId="77777777" w:rsidR="00FC14FC" w:rsidRDefault="00FC14FC" w:rsidP="00D11B9D">
                  <w:pPr>
                    <w:pStyle w:val="TableBodyText"/>
                    <w:ind w:right="28"/>
                  </w:pPr>
                  <w:r>
                    <w:t>21</w:t>
                  </w:r>
                </w:p>
              </w:tc>
            </w:tr>
            <w:tr w:rsidR="00FC14FC" w14:paraId="020746E2" w14:textId="77777777" w:rsidTr="00D11B9D">
              <w:tc>
                <w:tcPr>
                  <w:tcW w:w="1669" w:type="pct"/>
                  <w:tcBorders>
                    <w:bottom w:val="single" w:sz="6" w:space="0" w:color="BFBFBF"/>
                  </w:tcBorders>
                  <w:shd w:val="clear" w:color="auto" w:fill="F2F2F2" w:themeFill="background1" w:themeFillShade="F2"/>
                </w:tcPr>
                <w:p w14:paraId="7127A1F8" w14:textId="77777777" w:rsidR="00FC14FC" w:rsidRDefault="00FC14FC" w:rsidP="00D11B9D">
                  <w:pPr>
                    <w:pStyle w:val="TableBodyText"/>
                    <w:jc w:val="left"/>
                  </w:pPr>
                  <w:r>
                    <w:t>Retail</w:t>
                  </w:r>
                </w:p>
              </w:tc>
              <w:tc>
                <w:tcPr>
                  <w:tcW w:w="1666" w:type="pct"/>
                  <w:tcBorders>
                    <w:bottom w:val="single" w:sz="6" w:space="0" w:color="BFBFBF"/>
                  </w:tcBorders>
                  <w:shd w:val="clear" w:color="auto" w:fill="F2F2F2" w:themeFill="background1" w:themeFillShade="F2"/>
                </w:tcPr>
                <w:p w14:paraId="187D880E" w14:textId="77777777" w:rsidR="00FC14FC" w:rsidRDefault="00FC14FC" w:rsidP="00D11B9D">
                  <w:pPr>
                    <w:pStyle w:val="TableBodyText"/>
                  </w:pPr>
                  <w:r>
                    <w:t>88</w:t>
                  </w:r>
                </w:p>
              </w:tc>
              <w:tc>
                <w:tcPr>
                  <w:tcW w:w="1666" w:type="pct"/>
                  <w:tcBorders>
                    <w:bottom w:val="single" w:sz="6" w:space="0" w:color="BFBFBF"/>
                  </w:tcBorders>
                  <w:shd w:val="clear" w:color="auto" w:fill="F2F2F2" w:themeFill="background1" w:themeFillShade="F2"/>
                </w:tcPr>
                <w:p w14:paraId="22D9365D" w14:textId="77777777" w:rsidR="00FC14FC" w:rsidRDefault="00FC14FC" w:rsidP="00D11B9D">
                  <w:pPr>
                    <w:pStyle w:val="TableBodyText"/>
                    <w:ind w:right="28"/>
                  </w:pPr>
                  <w:r>
                    <w:t>48</w:t>
                  </w:r>
                </w:p>
              </w:tc>
            </w:tr>
          </w:tbl>
          <w:p w14:paraId="6C370F4F" w14:textId="77777777" w:rsidR="00FC14FC" w:rsidRDefault="00FC14FC" w:rsidP="00D11B9D">
            <w:pPr>
              <w:pStyle w:val="Box"/>
            </w:pPr>
          </w:p>
        </w:tc>
      </w:tr>
      <w:tr w:rsidR="00FC14FC" w:rsidRPr="00176D3F" w14:paraId="39F6FC3D" w14:textId="77777777" w:rsidTr="00D11B9D">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70E27031" w14:textId="77777777" w:rsidR="00FC14FC" w:rsidRPr="00176D3F" w:rsidRDefault="00FC14FC" w:rsidP="00D11B9D">
            <w:pPr>
              <w:pStyle w:val="Note"/>
            </w:pPr>
            <w:r>
              <w:rPr>
                <w:rStyle w:val="NoteLabel"/>
              </w:rPr>
              <w:t>a</w:t>
            </w:r>
            <w:r>
              <w:t xml:space="preserve"> The percentage of choice option assets and accounts (in each fund type) that are underperforming has not been reported due to the small sample sizes. </w:t>
            </w:r>
          </w:p>
        </w:tc>
      </w:tr>
      <w:tr w:rsidR="00FC14FC" w14:paraId="16486192" w14:textId="77777777" w:rsidTr="00D11B9D">
        <w:tc>
          <w:tcPr>
            <w:tcW w:w="5000" w:type="pct"/>
            <w:tcBorders>
              <w:top w:val="nil"/>
              <w:left w:val="nil"/>
              <w:bottom w:val="nil"/>
              <w:right w:val="nil"/>
            </w:tcBorders>
            <w:shd w:val="clear" w:color="auto" w:fill="auto"/>
          </w:tcPr>
          <w:p w14:paraId="5337947D" w14:textId="77777777" w:rsidR="00FC14FC" w:rsidRDefault="00FC14FC" w:rsidP="00D11B9D">
            <w:pPr>
              <w:pStyle w:val="Source"/>
            </w:pPr>
            <w:r>
              <w:rPr>
                <w:i/>
              </w:rPr>
              <w:t>Sources</w:t>
            </w:r>
            <w:r w:rsidRPr="00167F06">
              <w:t xml:space="preserve">: </w:t>
            </w:r>
            <w:r>
              <w:rPr>
                <w:rFonts w:asciiTheme="minorHAnsi" w:cstheme="minorBidi"/>
                <w:color w:val="000000" w:themeColor="text1"/>
                <w:kern w:val="24"/>
                <w:szCs w:val="18"/>
              </w:rPr>
              <w:t xml:space="preserve">PC analysis of </w:t>
            </w:r>
            <w:r>
              <w:t xml:space="preserve">unpublished APRA </w:t>
            </w:r>
            <w:r w:rsidDel="00DF46E2">
              <w:t>data</w:t>
            </w:r>
            <w:r>
              <w:rPr>
                <w:rFonts w:asciiTheme="minorHAnsi" w:cstheme="minorBidi"/>
                <w:color w:val="000000" w:themeColor="text1"/>
                <w:kern w:val="24"/>
                <w:szCs w:val="18"/>
              </w:rPr>
              <w:t xml:space="preserve">, financial market index data (various providers) and </w:t>
            </w:r>
            <w:r w:rsidRPr="002B579E">
              <w:rPr>
                <w:rFonts w:asciiTheme="minorHAnsi" w:cstheme="minorBidi"/>
                <w:color w:val="000000" w:themeColor="text1"/>
                <w:kern w:val="24"/>
                <w:szCs w:val="18"/>
              </w:rPr>
              <w:t>SuperRatings data</w:t>
            </w:r>
            <w:r>
              <w:rPr>
                <w:rFonts w:asciiTheme="minorHAnsi" w:cstheme="minorBidi"/>
                <w:color w:val="000000" w:themeColor="text1"/>
                <w:kern w:val="24"/>
                <w:szCs w:val="18"/>
              </w:rPr>
              <w:t>.</w:t>
            </w:r>
          </w:p>
        </w:tc>
      </w:tr>
      <w:tr w:rsidR="00FC14FC" w14:paraId="65CEC9FC" w14:textId="77777777" w:rsidTr="00D11B9D">
        <w:tc>
          <w:tcPr>
            <w:tcW w:w="5000" w:type="pct"/>
            <w:tcBorders>
              <w:top w:val="nil"/>
              <w:left w:val="nil"/>
              <w:bottom w:val="single" w:sz="6" w:space="0" w:color="78A22F"/>
              <w:right w:val="nil"/>
            </w:tcBorders>
            <w:shd w:val="clear" w:color="auto" w:fill="auto"/>
          </w:tcPr>
          <w:p w14:paraId="71D3CF90" w14:textId="77777777" w:rsidR="00FC14FC" w:rsidRDefault="00FC14FC" w:rsidP="00D11B9D">
            <w:pPr>
              <w:pStyle w:val="Box"/>
              <w:spacing w:before="0" w:line="120" w:lineRule="exact"/>
            </w:pPr>
          </w:p>
        </w:tc>
      </w:tr>
      <w:tr w:rsidR="00FC14FC" w:rsidRPr="000863A5" w14:paraId="150B4DE9" w14:textId="77777777" w:rsidTr="00D11B9D">
        <w:tc>
          <w:tcPr>
            <w:tcW w:w="5000" w:type="pct"/>
            <w:tcBorders>
              <w:top w:val="single" w:sz="6" w:space="0" w:color="78A22F"/>
              <w:left w:val="nil"/>
              <w:bottom w:val="nil"/>
              <w:right w:val="nil"/>
            </w:tcBorders>
          </w:tcPr>
          <w:p w14:paraId="4927C05B" w14:textId="77777777" w:rsidR="00FC14FC" w:rsidRPr="00626D32" w:rsidRDefault="00FC14FC" w:rsidP="00D11B9D">
            <w:pPr>
              <w:pStyle w:val="BoxSpaceBelow"/>
            </w:pPr>
          </w:p>
        </w:tc>
      </w:tr>
    </w:tbl>
    <w:p w14:paraId="6DB897DE" w14:textId="77777777" w:rsidR="00FC14FC" w:rsidRDefault="00FC14FC" w:rsidP="00FC14FC">
      <w:pPr>
        <w:pStyle w:val="Heading3"/>
      </w:pPr>
      <w:r>
        <w:t>References</w:t>
      </w:r>
    </w:p>
    <w:p w14:paraId="5DA710A4" w14:textId="77777777" w:rsidR="00FC14FC" w:rsidRPr="00E924F4" w:rsidRDefault="00FC14FC" w:rsidP="00FC14FC">
      <w:pPr>
        <w:pStyle w:val="Reference"/>
        <w:rPr>
          <w:spacing w:val="-2"/>
          <w:sz w:val="22"/>
          <w:szCs w:val="22"/>
        </w:rPr>
      </w:pPr>
      <w:r w:rsidRPr="00E924F4">
        <w:rPr>
          <w:spacing w:val="-2"/>
          <w:sz w:val="22"/>
          <w:szCs w:val="22"/>
        </w:rPr>
        <w:t xml:space="preserve">ABS (Australian Bureau of Statistics) 2017a, </w:t>
      </w:r>
      <w:r w:rsidRPr="00E924F4">
        <w:rPr>
          <w:i/>
          <w:iCs/>
          <w:spacing w:val="-2"/>
          <w:sz w:val="22"/>
          <w:szCs w:val="22"/>
        </w:rPr>
        <w:t>2016 Census</w:t>
      </w:r>
      <w:r w:rsidRPr="00E924F4">
        <w:rPr>
          <w:spacing w:val="-2"/>
          <w:sz w:val="22"/>
          <w:szCs w:val="22"/>
        </w:rPr>
        <w:t>, Cat. no. 2071.0, Canberra.</w:t>
      </w:r>
    </w:p>
    <w:p w14:paraId="6D363A1E" w14:textId="77777777" w:rsidR="00FC14FC" w:rsidRPr="00E924F4" w:rsidRDefault="00FC14FC" w:rsidP="00FC14FC">
      <w:pPr>
        <w:pStyle w:val="Reference"/>
        <w:rPr>
          <w:spacing w:val="-2"/>
          <w:sz w:val="22"/>
          <w:szCs w:val="22"/>
        </w:rPr>
      </w:pPr>
      <w:r w:rsidRPr="00E924F4">
        <w:rPr>
          <w:spacing w:val="-2"/>
          <w:sz w:val="22"/>
          <w:szCs w:val="22"/>
        </w:rPr>
        <w:t xml:space="preserve">—— 2017b, </w:t>
      </w:r>
      <w:r w:rsidRPr="00E924F4">
        <w:rPr>
          <w:i/>
          <w:iCs/>
          <w:spacing w:val="-2"/>
          <w:sz w:val="22"/>
          <w:szCs w:val="22"/>
        </w:rPr>
        <w:t>Household Income and Wealth, Australia 2015-16</w:t>
      </w:r>
      <w:r w:rsidRPr="00E924F4">
        <w:rPr>
          <w:spacing w:val="-2"/>
          <w:sz w:val="22"/>
          <w:szCs w:val="22"/>
        </w:rPr>
        <w:t>, Cat. no. 6523.0, Canberra.</w:t>
      </w:r>
    </w:p>
    <w:p w14:paraId="5460893B" w14:textId="77777777" w:rsidR="00FC14FC" w:rsidRPr="00E924F4" w:rsidRDefault="00FC14FC" w:rsidP="00FC14FC">
      <w:pPr>
        <w:pStyle w:val="Reference"/>
        <w:rPr>
          <w:spacing w:val="-2"/>
          <w:sz w:val="22"/>
          <w:szCs w:val="22"/>
        </w:rPr>
      </w:pPr>
      <w:r w:rsidRPr="00E924F4">
        <w:rPr>
          <w:spacing w:val="-2"/>
          <w:sz w:val="22"/>
          <w:szCs w:val="22"/>
        </w:rPr>
        <w:t xml:space="preserve">—— 2018, </w:t>
      </w:r>
      <w:r w:rsidRPr="00E924F4">
        <w:rPr>
          <w:i/>
          <w:iCs/>
          <w:spacing w:val="-2"/>
          <w:sz w:val="22"/>
          <w:szCs w:val="22"/>
        </w:rPr>
        <w:t>Venture Capital and Later Stage Private Equity, Australia, 2016-17</w:t>
      </w:r>
      <w:r w:rsidRPr="00E924F4">
        <w:rPr>
          <w:spacing w:val="-2"/>
          <w:sz w:val="22"/>
          <w:szCs w:val="22"/>
        </w:rPr>
        <w:t>, Cat. no. 5678.0, Canberra.</w:t>
      </w:r>
    </w:p>
    <w:p w14:paraId="167D91D9" w14:textId="77777777" w:rsidR="00FC14FC" w:rsidRPr="00E924F4" w:rsidRDefault="00FC14FC" w:rsidP="00FC14FC">
      <w:pPr>
        <w:pStyle w:val="Reference"/>
        <w:rPr>
          <w:spacing w:val="-2"/>
          <w:sz w:val="22"/>
          <w:szCs w:val="22"/>
        </w:rPr>
      </w:pPr>
      <w:r w:rsidRPr="00E924F4">
        <w:rPr>
          <w:spacing w:val="-2"/>
          <w:sz w:val="22"/>
          <w:szCs w:val="22"/>
        </w:rPr>
        <w:t xml:space="preserve">APRA (Australian Prudential Regulation Authority) 2018a, </w:t>
      </w:r>
      <w:r w:rsidRPr="00E924F4">
        <w:rPr>
          <w:i/>
          <w:iCs/>
          <w:spacing w:val="-2"/>
          <w:sz w:val="22"/>
          <w:szCs w:val="22"/>
        </w:rPr>
        <w:t>Annual MySuper Statistics June 2017</w:t>
      </w:r>
      <w:r w:rsidRPr="00E924F4">
        <w:rPr>
          <w:spacing w:val="-2"/>
          <w:sz w:val="22"/>
          <w:szCs w:val="22"/>
        </w:rPr>
        <w:t>, Sydney.</w:t>
      </w:r>
    </w:p>
    <w:p w14:paraId="6A50FD82" w14:textId="77777777" w:rsidR="00FC14FC" w:rsidRPr="00E924F4" w:rsidRDefault="00FC14FC" w:rsidP="00FC14FC">
      <w:pPr>
        <w:pStyle w:val="Reference"/>
        <w:rPr>
          <w:spacing w:val="-2"/>
          <w:sz w:val="22"/>
          <w:szCs w:val="22"/>
        </w:rPr>
      </w:pPr>
      <w:r w:rsidRPr="00E924F4">
        <w:rPr>
          <w:spacing w:val="-2"/>
          <w:sz w:val="22"/>
          <w:szCs w:val="22"/>
        </w:rPr>
        <w:t xml:space="preserve">—— 2018b, </w:t>
      </w:r>
      <w:r w:rsidRPr="00E924F4">
        <w:rPr>
          <w:i/>
          <w:iCs/>
          <w:spacing w:val="-2"/>
          <w:sz w:val="22"/>
          <w:szCs w:val="22"/>
        </w:rPr>
        <w:t>Quarterly MySuper Statistics June 2018</w:t>
      </w:r>
      <w:r w:rsidRPr="00E924F4">
        <w:rPr>
          <w:spacing w:val="-2"/>
          <w:sz w:val="22"/>
          <w:szCs w:val="22"/>
        </w:rPr>
        <w:t>, Sydney.</w:t>
      </w:r>
    </w:p>
    <w:p w14:paraId="401A4F99" w14:textId="77777777" w:rsidR="00FC14FC" w:rsidRPr="00E924F4" w:rsidRDefault="00FC14FC" w:rsidP="00FC14FC">
      <w:pPr>
        <w:pStyle w:val="Reference"/>
        <w:rPr>
          <w:spacing w:val="-2"/>
          <w:sz w:val="22"/>
          <w:szCs w:val="22"/>
        </w:rPr>
      </w:pPr>
      <w:r w:rsidRPr="00E924F4">
        <w:rPr>
          <w:spacing w:val="-2"/>
          <w:sz w:val="22"/>
          <w:szCs w:val="22"/>
        </w:rPr>
        <w:t xml:space="preserve">—— 2018c, </w:t>
      </w:r>
      <w:r w:rsidRPr="00E924F4">
        <w:rPr>
          <w:i/>
          <w:iCs/>
          <w:spacing w:val="-2"/>
          <w:sz w:val="22"/>
          <w:szCs w:val="22"/>
        </w:rPr>
        <w:t>Quarterly Superannuation Performance, June 2018</w:t>
      </w:r>
      <w:r w:rsidRPr="00E924F4">
        <w:rPr>
          <w:spacing w:val="-2"/>
          <w:sz w:val="22"/>
          <w:szCs w:val="22"/>
        </w:rPr>
        <w:t>, Sydney.</w:t>
      </w:r>
    </w:p>
    <w:p w14:paraId="4C6C8596" w14:textId="77777777" w:rsidR="00FC14FC" w:rsidRPr="00E924F4" w:rsidRDefault="00FC14FC" w:rsidP="00FC14FC">
      <w:pPr>
        <w:pStyle w:val="Reference"/>
        <w:rPr>
          <w:spacing w:val="-2"/>
          <w:sz w:val="22"/>
          <w:szCs w:val="22"/>
        </w:rPr>
      </w:pPr>
      <w:r w:rsidRPr="00E924F4">
        <w:rPr>
          <w:spacing w:val="-2"/>
          <w:sz w:val="22"/>
          <w:szCs w:val="22"/>
        </w:rPr>
        <w:t xml:space="preserve">ATO (Australian Taxation Office) 2018a, </w:t>
      </w:r>
      <w:r w:rsidRPr="00E924F4">
        <w:rPr>
          <w:i/>
          <w:iCs/>
          <w:spacing w:val="-2"/>
          <w:sz w:val="22"/>
          <w:szCs w:val="22"/>
        </w:rPr>
        <w:t>Company Tax and Imputation: Average Franking Credit and Rebate Yields</w:t>
      </w:r>
      <w:r w:rsidRPr="00E924F4">
        <w:rPr>
          <w:spacing w:val="-2"/>
          <w:sz w:val="22"/>
          <w:szCs w:val="22"/>
        </w:rPr>
        <w:t>, www.ato.gov.au/Rates/Company-tax---imputation--average-franking-credit---rebate-yields (accessed 13 December 2018).</w:t>
      </w:r>
    </w:p>
    <w:p w14:paraId="7A4D9FA2" w14:textId="77777777" w:rsidR="00FC14FC" w:rsidRPr="00E924F4" w:rsidRDefault="00FC14FC" w:rsidP="00FC14FC">
      <w:pPr>
        <w:pStyle w:val="Reference"/>
        <w:rPr>
          <w:spacing w:val="-2"/>
          <w:sz w:val="22"/>
          <w:szCs w:val="22"/>
        </w:rPr>
      </w:pPr>
      <w:r w:rsidRPr="00E924F4">
        <w:rPr>
          <w:spacing w:val="-2"/>
          <w:sz w:val="22"/>
          <w:szCs w:val="22"/>
        </w:rPr>
        <w:t xml:space="preserve">—— 2018b, </w:t>
      </w:r>
      <w:r w:rsidRPr="00E924F4">
        <w:rPr>
          <w:i/>
          <w:iCs/>
          <w:spacing w:val="-2"/>
          <w:sz w:val="22"/>
          <w:szCs w:val="22"/>
        </w:rPr>
        <w:t>Self-Managed Super Funds: A Statistical Overview 2015–2016</w:t>
      </w:r>
      <w:r w:rsidRPr="00E924F4">
        <w:rPr>
          <w:spacing w:val="-2"/>
          <w:sz w:val="22"/>
          <w:szCs w:val="22"/>
        </w:rPr>
        <w:t>, www.ato.gov.au/About-ATO/Research-and-statistics/In-detail/Super-statistics/SMSF/Self-managed-superannuation-funds--A-statistical-overview-2015-2016/ (accessed 25 September 2018).</w:t>
      </w:r>
    </w:p>
    <w:p w14:paraId="0EF20962" w14:textId="77777777" w:rsidR="00FC14FC" w:rsidRPr="00E924F4" w:rsidRDefault="00FC14FC" w:rsidP="00FC14FC">
      <w:pPr>
        <w:pStyle w:val="Reference"/>
        <w:rPr>
          <w:spacing w:val="-2"/>
          <w:sz w:val="22"/>
          <w:szCs w:val="22"/>
        </w:rPr>
      </w:pPr>
      <w:r w:rsidRPr="00E924F4">
        <w:rPr>
          <w:spacing w:val="-2"/>
          <w:sz w:val="22"/>
          <w:szCs w:val="22"/>
        </w:rPr>
        <w:t xml:space="preserve">ISA (Industry Super Australia) 2018, </w:t>
      </w:r>
      <w:r w:rsidRPr="00E924F4">
        <w:rPr>
          <w:i/>
          <w:iCs/>
          <w:spacing w:val="-2"/>
          <w:sz w:val="22"/>
          <w:szCs w:val="22"/>
        </w:rPr>
        <w:t>Are Comparisons Based on Superannuation Fund-Level Performance Useful?</w:t>
      </w:r>
      <w:r w:rsidRPr="00E924F4">
        <w:rPr>
          <w:spacing w:val="-2"/>
          <w:sz w:val="22"/>
          <w:szCs w:val="22"/>
        </w:rPr>
        <w:t>, Melbourne.</w:t>
      </w:r>
    </w:p>
    <w:p w14:paraId="765EAE12" w14:textId="77777777" w:rsidR="00FC14FC" w:rsidRPr="00E924F4" w:rsidRDefault="00FC14FC" w:rsidP="00FC14FC">
      <w:pPr>
        <w:pStyle w:val="Reference"/>
        <w:rPr>
          <w:spacing w:val="-2"/>
          <w:sz w:val="22"/>
          <w:szCs w:val="22"/>
        </w:rPr>
      </w:pPr>
      <w:r w:rsidRPr="00E924F4">
        <w:rPr>
          <w:spacing w:val="-2"/>
          <w:sz w:val="22"/>
          <w:szCs w:val="22"/>
        </w:rPr>
        <w:t xml:space="preserve">MSCI 2018a, </w:t>
      </w:r>
      <w:r w:rsidRPr="00E924F4">
        <w:rPr>
          <w:i/>
          <w:iCs/>
          <w:spacing w:val="-2"/>
          <w:sz w:val="22"/>
          <w:szCs w:val="22"/>
        </w:rPr>
        <w:t>MSCI Australia Quarterly Unlisted Infrastructure Index</w:t>
      </w:r>
      <w:r w:rsidRPr="00E924F4">
        <w:rPr>
          <w:spacing w:val="-2"/>
          <w:sz w:val="22"/>
          <w:szCs w:val="22"/>
        </w:rPr>
        <w:t>, Results for the month to 30 June 2018, New York.</w:t>
      </w:r>
    </w:p>
    <w:p w14:paraId="2948CE98" w14:textId="77777777" w:rsidR="00FC14FC" w:rsidRPr="00E924F4" w:rsidRDefault="00FC14FC" w:rsidP="00FC14FC">
      <w:pPr>
        <w:pStyle w:val="Reference"/>
        <w:rPr>
          <w:spacing w:val="-2"/>
          <w:sz w:val="22"/>
          <w:szCs w:val="22"/>
        </w:rPr>
      </w:pPr>
      <w:r w:rsidRPr="00E924F4">
        <w:rPr>
          <w:spacing w:val="-2"/>
          <w:sz w:val="22"/>
          <w:szCs w:val="22"/>
        </w:rPr>
        <w:t xml:space="preserve">—— 2018b, </w:t>
      </w:r>
      <w:r w:rsidRPr="00E924F4">
        <w:rPr>
          <w:i/>
          <w:iCs/>
          <w:spacing w:val="-2"/>
          <w:sz w:val="22"/>
          <w:szCs w:val="22"/>
        </w:rPr>
        <w:t>MSCI World Ex-Australian Index (USD)</w:t>
      </w:r>
      <w:r w:rsidRPr="00E924F4">
        <w:rPr>
          <w:spacing w:val="-2"/>
          <w:sz w:val="22"/>
          <w:szCs w:val="22"/>
        </w:rPr>
        <w:t>, https://www.msci.com/documents/10199/</w:t>
      </w:r>
      <w:r>
        <w:rPr>
          <w:spacing w:val="-2"/>
          <w:sz w:val="22"/>
          <w:szCs w:val="22"/>
        </w:rPr>
        <w:br/>
      </w:r>
      <w:r w:rsidRPr="00E924F4">
        <w:rPr>
          <w:spacing w:val="-2"/>
          <w:sz w:val="22"/>
          <w:szCs w:val="22"/>
        </w:rPr>
        <w:t>49479550-e805-4895-ba73-2893b1f3d60b (accessed 10 December 2018).</w:t>
      </w:r>
    </w:p>
    <w:p w14:paraId="692A5FFA" w14:textId="77777777" w:rsidR="00FC14FC" w:rsidRPr="00E924F4" w:rsidRDefault="00FC14FC" w:rsidP="00FC14FC">
      <w:pPr>
        <w:pStyle w:val="Reference"/>
        <w:rPr>
          <w:spacing w:val="-2"/>
          <w:sz w:val="22"/>
          <w:szCs w:val="22"/>
        </w:rPr>
      </w:pPr>
      <w:r w:rsidRPr="00E924F4">
        <w:rPr>
          <w:spacing w:val="-2"/>
          <w:sz w:val="22"/>
          <w:szCs w:val="22"/>
        </w:rPr>
        <w:t xml:space="preserve">NAB (National Australia Bank) 2015, </w:t>
      </w:r>
      <w:r w:rsidRPr="00E924F4">
        <w:rPr>
          <w:i/>
          <w:iCs/>
          <w:spacing w:val="-2"/>
          <w:sz w:val="22"/>
          <w:szCs w:val="22"/>
        </w:rPr>
        <w:t>2015 NAB Superannuation FX Survey: Tuned in to a changing AUD</w:t>
      </w:r>
      <w:r w:rsidRPr="00E924F4">
        <w:rPr>
          <w:spacing w:val="-2"/>
          <w:sz w:val="22"/>
          <w:szCs w:val="22"/>
        </w:rPr>
        <w:t>, Sydney.</w:t>
      </w:r>
    </w:p>
    <w:p w14:paraId="19B0F3F5" w14:textId="77777777" w:rsidR="00FC14FC" w:rsidRPr="00E924F4" w:rsidRDefault="00FC14FC" w:rsidP="00FC14FC">
      <w:pPr>
        <w:pStyle w:val="Reference"/>
        <w:rPr>
          <w:spacing w:val="-2"/>
          <w:sz w:val="22"/>
          <w:szCs w:val="22"/>
        </w:rPr>
      </w:pPr>
      <w:r w:rsidRPr="00E924F4">
        <w:rPr>
          <w:spacing w:val="-2"/>
          <w:sz w:val="22"/>
          <w:szCs w:val="22"/>
        </w:rPr>
        <w:lastRenderedPageBreak/>
        <w:t xml:space="preserve">—— 2017, </w:t>
      </w:r>
      <w:r w:rsidRPr="00E924F4">
        <w:rPr>
          <w:i/>
          <w:iCs/>
          <w:spacing w:val="-2"/>
          <w:sz w:val="22"/>
          <w:szCs w:val="22"/>
        </w:rPr>
        <w:t>Super evolution: NAB Superannuation FX Hedging Survey 2017</w:t>
      </w:r>
      <w:r w:rsidRPr="00E924F4">
        <w:rPr>
          <w:spacing w:val="-2"/>
          <w:sz w:val="22"/>
          <w:szCs w:val="22"/>
        </w:rPr>
        <w:t>, Sydney.</w:t>
      </w:r>
    </w:p>
    <w:p w14:paraId="348BB454" w14:textId="77777777" w:rsidR="00FC14FC" w:rsidRPr="00E924F4" w:rsidRDefault="00FC14FC" w:rsidP="00FC14FC">
      <w:pPr>
        <w:pStyle w:val="Reference"/>
        <w:rPr>
          <w:spacing w:val="-2"/>
          <w:sz w:val="22"/>
          <w:szCs w:val="22"/>
        </w:rPr>
      </w:pPr>
      <w:r w:rsidRPr="00E924F4">
        <w:rPr>
          <w:spacing w:val="-2"/>
          <w:sz w:val="22"/>
          <w:szCs w:val="22"/>
        </w:rPr>
        <w:t xml:space="preserve">PC (Productivity Commission) 2016, </w:t>
      </w:r>
      <w:r w:rsidRPr="00E924F4">
        <w:rPr>
          <w:i/>
          <w:iCs/>
          <w:spacing w:val="-2"/>
          <w:sz w:val="22"/>
          <w:szCs w:val="22"/>
        </w:rPr>
        <w:t>How to Assess the Competitiveness and Efficiency of the Superannuation System</w:t>
      </w:r>
      <w:r w:rsidRPr="00E924F4">
        <w:rPr>
          <w:spacing w:val="-2"/>
          <w:sz w:val="22"/>
          <w:szCs w:val="22"/>
        </w:rPr>
        <w:t>, Research Report, Canberra.</w:t>
      </w:r>
    </w:p>
    <w:p w14:paraId="6E91C870" w14:textId="77777777" w:rsidR="00FC14FC" w:rsidRPr="00E924F4" w:rsidRDefault="00FC14FC" w:rsidP="00FC14FC">
      <w:pPr>
        <w:pStyle w:val="Reference"/>
        <w:rPr>
          <w:spacing w:val="-2"/>
          <w:sz w:val="22"/>
          <w:szCs w:val="22"/>
        </w:rPr>
      </w:pPr>
      <w:r w:rsidRPr="00E924F4">
        <w:rPr>
          <w:spacing w:val="-2"/>
          <w:sz w:val="22"/>
          <w:szCs w:val="22"/>
        </w:rPr>
        <w:t xml:space="preserve">Rawson, M. and Johnson, B. 2015, </w:t>
      </w:r>
      <w:r w:rsidRPr="00E924F4">
        <w:rPr>
          <w:i/>
          <w:iCs/>
          <w:spacing w:val="-2"/>
          <w:sz w:val="22"/>
          <w:szCs w:val="22"/>
        </w:rPr>
        <w:t>2015 Fee Study: Investors are Driving Expense Ratios Down</w:t>
      </w:r>
      <w:r w:rsidRPr="00E924F4">
        <w:rPr>
          <w:spacing w:val="-2"/>
          <w:sz w:val="22"/>
          <w:szCs w:val="22"/>
        </w:rPr>
        <w:t>, Morningstar, Chicago.</w:t>
      </w:r>
    </w:p>
    <w:p w14:paraId="69C36D4B" w14:textId="77777777" w:rsidR="00FC14FC" w:rsidRPr="00E924F4" w:rsidRDefault="00FC14FC" w:rsidP="00FC14FC">
      <w:pPr>
        <w:pStyle w:val="Reference"/>
        <w:rPr>
          <w:spacing w:val="-2"/>
          <w:sz w:val="22"/>
          <w:szCs w:val="22"/>
        </w:rPr>
      </w:pPr>
      <w:r w:rsidRPr="00E924F4">
        <w:rPr>
          <w:spacing w:val="-2"/>
          <w:sz w:val="22"/>
          <w:szCs w:val="22"/>
        </w:rPr>
        <w:t xml:space="preserve">Sy, W. 2009a, </w:t>
      </w:r>
      <w:r w:rsidRPr="00E924F4">
        <w:rPr>
          <w:i/>
          <w:iCs/>
          <w:spacing w:val="-2"/>
          <w:sz w:val="22"/>
          <w:szCs w:val="22"/>
        </w:rPr>
        <w:t>A Note on Investment Returns and Returns on Assets of Managed Funds</w:t>
      </w:r>
      <w:r w:rsidRPr="00E924F4">
        <w:rPr>
          <w:spacing w:val="-2"/>
          <w:sz w:val="22"/>
          <w:szCs w:val="22"/>
        </w:rPr>
        <w:t>, Working Paper, Australian Prudential Regulation Authority, Sydney.</w:t>
      </w:r>
    </w:p>
    <w:p w14:paraId="0944B2C9" w14:textId="77777777" w:rsidR="00FC14FC" w:rsidRPr="00E924F4" w:rsidRDefault="00FC14FC" w:rsidP="00FC14FC">
      <w:pPr>
        <w:pStyle w:val="Reference"/>
        <w:rPr>
          <w:spacing w:val="-2"/>
          <w:sz w:val="22"/>
          <w:szCs w:val="22"/>
        </w:rPr>
      </w:pPr>
      <w:r w:rsidRPr="00E924F4">
        <w:rPr>
          <w:spacing w:val="-2"/>
          <w:sz w:val="22"/>
          <w:szCs w:val="22"/>
        </w:rPr>
        <w:t xml:space="preserve">—— 2009b, </w:t>
      </w:r>
      <w:r w:rsidRPr="00E924F4">
        <w:rPr>
          <w:i/>
          <w:iCs/>
          <w:spacing w:val="-2"/>
          <w:sz w:val="22"/>
          <w:szCs w:val="22"/>
        </w:rPr>
        <w:t>A note on investment returns and returns on assets of managed funds</w:t>
      </w:r>
      <w:r w:rsidRPr="00E924F4">
        <w:rPr>
          <w:spacing w:val="-2"/>
          <w:sz w:val="22"/>
          <w:szCs w:val="22"/>
        </w:rPr>
        <w:t>, APRA Working Papers.</w:t>
      </w:r>
    </w:p>
    <w:p w14:paraId="2B8B8903" w14:textId="77777777" w:rsidR="00FC14FC" w:rsidRPr="00E924F4" w:rsidRDefault="00FC14FC" w:rsidP="00FC14FC">
      <w:pPr>
        <w:pStyle w:val="Reference"/>
        <w:rPr>
          <w:spacing w:val="-2"/>
          <w:sz w:val="22"/>
          <w:szCs w:val="22"/>
        </w:rPr>
      </w:pPr>
      <w:r w:rsidRPr="00E924F4">
        <w:rPr>
          <w:spacing w:val="-2"/>
          <w:sz w:val="22"/>
          <w:szCs w:val="22"/>
        </w:rPr>
        <w:t xml:space="preserve">Vlastelica, R. 2017, </w:t>
      </w:r>
      <w:r w:rsidRPr="00E924F4">
        <w:rPr>
          <w:i/>
          <w:iCs/>
          <w:spacing w:val="-2"/>
          <w:sz w:val="22"/>
          <w:szCs w:val="22"/>
        </w:rPr>
        <w:t>ETF Fee War Brings More Pain to Active Managers</w:t>
      </w:r>
      <w:r w:rsidRPr="00E924F4">
        <w:rPr>
          <w:spacing w:val="-2"/>
          <w:sz w:val="22"/>
          <w:szCs w:val="22"/>
        </w:rPr>
        <w:t>, https://www.fnlondon.com/</w:t>
      </w:r>
      <w:r>
        <w:rPr>
          <w:spacing w:val="-2"/>
          <w:sz w:val="22"/>
          <w:szCs w:val="22"/>
        </w:rPr>
        <w:br/>
      </w:r>
      <w:r w:rsidRPr="00E924F4">
        <w:rPr>
          <w:spacing w:val="-2"/>
          <w:sz w:val="22"/>
          <w:szCs w:val="22"/>
        </w:rPr>
        <w:t>articles/</w:t>
      </w:r>
      <w:bookmarkStart w:id="17" w:name="_GoBack"/>
      <w:bookmarkEnd w:id="17"/>
      <w:r w:rsidRPr="00E924F4">
        <w:rPr>
          <w:spacing w:val="-2"/>
          <w:sz w:val="22"/>
          <w:szCs w:val="22"/>
        </w:rPr>
        <w:t>etf-fee-war-brings-more-pain-to-active-managers-20170918 (accessed 8 May 2018).</w:t>
      </w:r>
    </w:p>
    <w:sectPr w:rsidR="00FC14FC" w:rsidRPr="00E924F4" w:rsidSect="00F20664">
      <w:headerReference w:type="even" r:id="rId74"/>
      <w:headerReference w:type="default" r:id="rId75"/>
      <w:footerReference w:type="even" r:id="rId76"/>
      <w:footerReference w:type="default" r:id="rId77"/>
      <w:headerReference w:type="first" r:id="rId78"/>
      <w:footerReference w:type="first" r:id="rId79"/>
      <w:pgSz w:w="11907" w:h="16840" w:code="9"/>
      <w:pgMar w:top="1985" w:right="1304" w:bottom="1418" w:left="1814" w:header="1701" w:footer="56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B341" w14:textId="77777777" w:rsidR="005D5F2F" w:rsidRDefault="005D5F2F">
      <w:r>
        <w:separator/>
      </w:r>
    </w:p>
  </w:endnote>
  <w:endnote w:type="continuationSeparator" w:id="0">
    <w:p w14:paraId="14520289" w14:textId="77777777" w:rsidR="005D5F2F" w:rsidRDefault="005D5F2F">
      <w:r>
        <w:continuationSeparator/>
      </w:r>
    </w:p>
  </w:endnote>
  <w:endnote w:type="continuationNotice" w:id="1">
    <w:p w14:paraId="6688585D" w14:textId="77777777" w:rsidR="005D5F2F" w:rsidRDefault="005D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25BC477B" w14:textId="77777777" w:rsidTr="00A85997">
      <w:trPr>
        <w:trHeight w:val="567"/>
      </w:trPr>
      <w:tc>
        <w:tcPr>
          <w:tcW w:w="510" w:type="dxa"/>
          <w:tcBorders>
            <w:top w:val="single" w:sz="4" w:space="0" w:color="auto"/>
          </w:tcBorders>
          <w:shd w:val="clear" w:color="auto" w:fill="auto"/>
        </w:tcPr>
        <w:p w14:paraId="11335CB2"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2</w:t>
          </w:r>
          <w:r>
            <w:rPr>
              <w:rStyle w:val="PageNumber"/>
            </w:rPr>
            <w:fldChar w:fldCharType="end"/>
          </w:r>
        </w:p>
      </w:tc>
      <w:tc>
        <w:tcPr>
          <w:tcW w:w="7767" w:type="dxa"/>
          <w:tcBorders>
            <w:top w:val="single" w:sz="4" w:space="0" w:color="auto"/>
          </w:tcBorders>
          <w:shd w:val="clear" w:color="auto" w:fill="auto"/>
        </w:tcPr>
        <w:p w14:paraId="7A77C937" w14:textId="77777777" w:rsidR="00FC14FC" w:rsidRDefault="00FC14FC" w:rsidP="00A85997">
          <w:pPr>
            <w:pStyle w:val="Footer"/>
          </w:pPr>
          <w:r>
            <w:t>superannuation: ASSESSING EFFICIENCY AND COMPETITIVENESS</w:t>
          </w:r>
        </w:p>
      </w:tc>
      <w:tc>
        <w:tcPr>
          <w:tcW w:w="510" w:type="dxa"/>
          <w:tcBorders>
            <w:top w:val="single" w:sz="4" w:space="0" w:color="auto"/>
          </w:tcBorders>
          <w:shd w:val="clear" w:color="auto" w:fill="auto"/>
        </w:tcPr>
        <w:p w14:paraId="606F37CB" w14:textId="77777777" w:rsidR="00FC14FC" w:rsidRDefault="00FC14FC" w:rsidP="00A85997">
          <w:pPr>
            <w:pStyle w:val="Footer"/>
          </w:pPr>
        </w:p>
      </w:tc>
    </w:tr>
  </w:tbl>
  <w:p w14:paraId="430F0044" w14:textId="77777777" w:rsidR="00FC14FC" w:rsidRPr="00A85997" w:rsidRDefault="00FC14FC" w:rsidP="00A85997">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34671A60" w14:textId="77777777" w:rsidTr="00A85997">
      <w:trPr>
        <w:trHeight w:val="567"/>
      </w:trPr>
      <w:tc>
        <w:tcPr>
          <w:tcW w:w="510" w:type="dxa"/>
          <w:tcBorders>
            <w:top w:val="single" w:sz="4" w:space="0" w:color="auto"/>
          </w:tcBorders>
          <w:shd w:val="clear" w:color="auto" w:fill="auto"/>
        </w:tcPr>
        <w:p w14:paraId="0A17C7A4" w14:textId="77777777" w:rsidR="00FC14FC" w:rsidRDefault="00FC14FC" w:rsidP="00A85997">
          <w:pPr>
            <w:pStyle w:val="Footer"/>
          </w:pPr>
        </w:p>
      </w:tc>
      <w:tc>
        <w:tcPr>
          <w:tcW w:w="7767" w:type="dxa"/>
          <w:tcBorders>
            <w:top w:val="single" w:sz="4" w:space="0" w:color="auto"/>
          </w:tcBorders>
          <w:shd w:val="clear" w:color="auto" w:fill="auto"/>
        </w:tcPr>
        <w:p w14:paraId="4D5286BD" w14:textId="77777777" w:rsidR="00FC14FC" w:rsidRDefault="00FC14FC" w:rsidP="00A85997">
          <w:pPr>
            <w:pStyle w:val="Footer"/>
            <w:jc w:val="right"/>
          </w:pPr>
          <w:r>
            <w:t>TECHNICAL SUPPLEMENT: INVESTMENT PERFORMANCE METHODOLOGY AND ANALYSIS</w:t>
          </w:r>
        </w:p>
      </w:tc>
      <w:tc>
        <w:tcPr>
          <w:tcW w:w="510" w:type="dxa"/>
          <w:tcBorders>
            <w:top w:val="single" w:sz="4" w:space="0" w:color="auto"/>
          </w:tcBorders>
          <w:shd w:val="clear" w:color="auto" w:fill="auto"/>
        </w:tcPr>
        <w:p w14:paraId="7207E849" w14:textId="77777777" w:rsidR="00FC14FC" w:rsidRPr="00A85997" w:rsidRDefault="00FC14FC" w:rsidP="00A8599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45</w:t>
          </w:r>
          <w:r>
            <w:rPr>
              <w:rStyle w:val="PageNumber"/>
            </w:rPr>
            <w:fldChar w:fldCharType="end"/>
          </w:r>
        </w:p>
      </w:tc>
    </w:tr>
  </w:tbl>
  <w:p w14:paraId="726BB767" w14:textId="77777777" w:rsidR="00FC14FC" w:rsidRPr="00A85997" w:rsidRDefault="00FC14FC" w:rsidP="00A85997">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88C6"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46</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8E3E"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131</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790570AB" w14:textId="77777777" w:rsidTr="00A85997">
      <w:trPr>
        <w:trHeight w:val="567"/>
      </w:trPr>
      <w:tc>
        <w:tcPr>
          <w:tcW w:w="510" w:type="dxa"/>
          <w:tcBorders>
            <w:top w:val="single" w:sz="4" w:space="0" w:color="auto"/>
          </w:tcBorders>
          <w:shd w:val="clear" w:color="auto" w:fill="auto"/>
        </w:tcPr>
        <w:p w14:paraId="1890BD33"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132</w:t>
          </w:r>
          <w:r>
            <w:rPr>
              <w:rStyle w:val="PageNumber"/>
            </w:rPr>
            <w:fldChar w:fldCharType="end"/>
          </w:r>
        </w:p>
      </w:tc>
      <w:tc>
        <w:tcPr>
          <w:tcW w:w="7767" w:type="dxa"/>
          <w:tcBorders>
            <w:top w:val="single" w:sz="4" w:space="0" w:color="auto"/>
          </w:tcBorders>
          <w:shd w:val="clear" w:color="auto" w:fill="auto"/>
        </w:tcPr>
        <w:p w14:paraId="03B718FC" w14:textId="77777777" w:rsidR="00FC14FC" w:rsidRDefault="00FC14FC" w:rsidP="00A85997">
          <w:pPr>
            <w:pStyle w:val="Footer"/>
          </w:pPr>
          <w:r>
            <w:t>SUPERANNAUTION: ASSESSING EFFICIENCY AND COMPETITIVENESS</w:t>
          </w:r>
        </w:p>
      </w:tc>
      <w:tc>
        <w:tcPr>
          <w:tcW w:w="510" w:type="dxa"/>
          <w:tcBorders>
            <w:top w:val="single" w:sz="4" w:space="0" w:color="auto"/>
          </w:tcBorders>
          <w:shd w:val="clear" w:color="auto" w:fill="auto"/>
        </w:tcPr>
        <w:p w14:paraId="22462BA7" w14:textId="77777777" w:rsidR="00FC14FC" w:rsidRDefault="00FC14FC" w:rsidP="00A85997">
          <w:pPr>
            <w:pStyle w:val="Footer"/>
          </w:pPr>
        </w:p>
      </w:tc>
    </w:tr>
  </w:tbl>
  <w:p w14:paraId="60C04981" w14:textId="77777777" w:rsidR="00FC14FC" w:rsidRPr="00A85997" w:rsidRDefault="00FC14FC" w:rsidP="00A85997">
    <w:pPr>
      <w:pStyle w:val="FooterEn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19737D5C" w14:textId="77777777" w:rsidTr="00A85997">
      <w:trPr>
        <w:trHeight w:val="567"/>
      </w:trPr>
      <w:tc>
        <w:tcPr>
          <w:tcW w:w="510" w:type="dxa"/>
          <w:tcBorders>
            <w:top w:val="single" w:sz="4" w:space="0" w:color="auto"/>
          </w:tcBorders>
          <w:shd w:val="clear" w:color="auto" w:fill="auto"/>
        </w:tcPr>
        <w:p w14:paraId="220640FE" w14:textId="77777777" w:rsidR="00FC14FC" w:rsidRDefault="00FC14FC" w:rsidP="00A85997">
          <w:pPr>
            <w:pStyle w:val="Footer"/>
          </w:pPr>
        </w:p>
      </w:tc>
      <w:tc>
        <w:tcPr>
          <w:tcW w:w="7767" w:type="dxa"/>
          <w:tcBorders>
            <w:top w:val="single" w:sz="4" w:space="0" w:color="auto"/>
          </w:tcBorders>
          <w:shd w:val="clear" w:color="auto" w:fill="auto"/>
        </w:tcPr>
        <w:p w14:paraId="64F822C4" w14:textId="77777777" w:rsidR="00FC14FC" w:rsidRDefault="00FC14FC" w:rsidP="00A85997">
          <w:pPr>
            <w:pStyle w:val="Footer"/>
            <w:jc w:val="right"/>
          </w:pPr>
          <w:r>
            <w:t>TECHNICAL SUPPLEMENT: INVESTMENT PERFORMANCE METHODOLOGY AND ANALYSIS</w:t>
          </w:r>
        </w:p>
      </w:tc>
      <w:tc>
        <w:tcPr>
          <w:tcW w:w="510" w:type="dxa"/>
          <w:tcBorders>
            <w:top w:val="single" w:sz="4" w:space="0" w:color="auto"/>
          </w:tcBorders>
          <w:shd w:val="clear" w:color="auto" w:fill="auto"/>
        </w:tcPr>
        <w:p w14:paraId="1E5AB8E2" w14:textId="77777777" w:rsidR="00FC14FC" w:rsidRPr="00A85997" w:rsidRDefault="00FC14FC" w:rsidP="00A8599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47</w:t>
          </w:r>
          <w:r>
            <w:rPr>
              <w:rStyle w:val="PageNumber"/>
            </w:rPr>
            <w:fldChar w:fldCharType="end"/>
          </w:r>
        </w:p>
      </w:tc>
    </w:tr>
  </w:tbl>
  <w:p w14:paraId="7E9D024B" w14:textId="77777777" w:rsidR="00FC14FC" w:rsidRPr="00A85997" w:rsidRDefault="00FC14FC" w:rsidP="00A85997">
    <w:pPr>
      <w:pStyle w:val="FooterEn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7AD9D"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48</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45F9B"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149</w:t>
    </w:r>
    <w:r>
      <w:rPr>
        <w:rStyle w:val="PageNumber"/>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05502E65" w14:textId="77777777" w:rsidTr="00A85997">
      <w:trPr>
        <w:trHeight w:val="567"/>
      </w:trPr>
      <w:tc>
        <w:tcPr>
          <w:tcW w:w="510" w:type="dxa"/>
          <w:tcBorders>
            <w:top w:val="single" w:sz="4" w:space="0" w:color="auto"/>
          </w:tcBorders>
          <w:shd w:val="clear" w:color="auto" w:fill="auto"/>
        </w:tcPr>
        <w:p w14:paraId="11775114"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58</w:t>
          </w:r>
          <w:r>
            <w:rPr>
              <w:rStyle w:val="PageNumber"/>
            </w:rPr>
            <w:fldChar w:fldCharType="end"/>
          </w:r>
        </w:p>
      </w:tc>
      <w:tc>
        <w:tcPr>
          <w:tcW w:w="7767" w:type="dxa"/>
          <w:tcBorders>
            <w:top w:val="single" w:sz="4" w:space="0" w:color="auto"/>
          </w:tcBorders>
          <w:shd w:val="clear" w:color="auto" w:fill="auto"/>
        </w:tcPr>
        <w:p w14:paraId="296E230B" w14:textId="77777777" w:rsidR="00FC14FC" w:rsidRDefault="00FC14FC" w:rsidP="00A85997">
          <w:pPr>
            <w:pStyle w:val="Footer"/>
          </w:pPr>
          <w:r>
            <w:t>SUPERANNUATION: ASSESSING EFFICIENCY AND COMPETITIVENESS</w:t>
          </w:r>
        </w:p>
      </w:tc>
      <w:tc>
        <w:tcPr>
          <w:tcW w:w="510" w:type="dxa"/>
          <w:tcBorders>
            <w:top w:val="single" w:sz="4" w:space="0" w:color="auto"/>
          </w:tcBorders>
          <w:shd w:val="clear" w:color="auto" w:fill="auto"/>
        </w:tcPr>
        <w:p w14:paraId="01431383" w14:textId="77777777" w:rsidR="00FC14FC" w:rsidRDefault="00FC14FC" w:rsidP="00A85997">
          <w:pPr>
            <w:pStyle w:val="Footer"/>
          </w:pPr>
        </w:p>
      </w:tc>
    </w:tr>
  </w:tbl>
  <w:p w14:paraId="70109173" w14:textId="77777777" w:rsidR="00FC14FC" w:rsidRPr="00A85997" w:rsidRDefault="00FC14FC" w:rsidP="00A85997">
    <w:pPr>
      <w:pStyle w:val="FooterEnd"/>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14FC" w14:paraId="7B0220C3" w14:textId="77777777" w:rsidTr="005F48ED">
      <w:trPr>
        <w:trHeight w:hRule="exact" w:val="567"/>
      </w:trPr>
      <w:tc>
        <w:tcPr>
          <w:tcW w:w="510" w:type="dxa"/>
        </w:tcPr>
        <w:p w14:paraId="55809138" w14:textId="77777777" w:rsidR="00FC14FC" w:rsidRDefault="00FC14FC">
          <w:pPr>
            <w:pStyle w:val="Footer"/>
            <w:ind w:right="360" w:firstLine="360"/>
          </w:pPr>
        </w:p>
      </w:tc>
      <w:tc>
        <w:tcPr>
          <w:tcW w:w="7767" w:type="dxa"/>
        </w:tcPr>
        <w:p w14:paraId="404FF419" w14:textId="77777777" w:rsidR="00FC14FC" w:rsidRPr="00BA5B14" w:rsidRDefault="00FC14FC" w:rsidP="0013739A">
          <w:pPr>
            <w:pStyle w:val="Footer"/>
            <w:jc w:val="right"/>
            <w:rPr>
              <w:rFonts w:cs="Arial"/>
            </w:rPr>
          </w:pPr>
          <w:r>
            <w:t>TECHNICAL SUPPLEMENT: INVESTMENT PERFORMANCE METHODOLOGY AND ANALYSIS</w:t>
          </w:r>
        </w:p>
      </w:tc>
      <w:tc>
        <w:tcPr>
          <w:tcW w:w="510" w:type="dxa"/>
        </w:tcPr>
        <w:p w14:paraId="56544C5B" w14:textId="77777777" w:rsidR="00FC14FC" w:rsidRPr="00A24443" w:rsidRDefault="00FC14F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20664">
            <w:rPr>
              <w:rStyle w:val="PageNumber"/>
              <w:caps w:val="0"/>
              <w:noProof/>
            </w:rPr>
            <w:t>57</w:t>
          </w:r>
          <w:r w:rsidRPr="00A24443">
            <w:rPr>
              <w:rStyle w:val="PageNumber"/>
              <w:caps w:val="0"/>
            </w:rPr>
            <w:fldChar w:fldCharType="end"/>
          </w:r>
        </w:p>
      </w:tc>
    </w:tr>
  </w:tbl>
  <w:p w14:paraId="1BAFD3A6" w14:textId="77777777" w:rsidR="00FC14FC" w:rsidRDefault="00FC14FC">
    <w:pPr>
      <w:pStyle w:val="FooterEnd"/>
    </w:pPr>
  </w:p>
  <w:p w14:paraId="4357560E" w14:textId="77777777" w:rsidR="00FC14FC" w:rsidRPr="00A85997" w:rsidRDefault="00FC14FC" w:rsidP="00A85997">
    <w:pPr>
      <w:pStyle w:val="FooterEnd"/>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37E01" w14:textId="77777777" w:rsidR="00FC14FC" w:rsidRPr="00A85997" w:rsidRDefault="00FC14FC" w:rsidP="00C26EC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142</w:t>
    </w:r>
    <w:r>
      <w:rPr>
        <w:rStyle w:val="PageNumber"/>
      </w:rPr>
      <w:fldChar w:fldCharType="end"/>
    </w:r>
  </w:p>
  <w:p w14:paraId="718597E5" w14:textId="77777777" w:rsidR="00FC14FC" w:rsidRPr="00A85997" w:rsidRDefault="00FC14FC" w:rsidP="00A85997">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21124542" w14:textId="77777777" w:rsidTr="00A85997">
      <w:trPr>
        <w:trHeight w:val="567"/>
      </w:trPr>
      <w:tc>
        <w:tcPr>
          <w:tcW w:w="510" w:type="dxa"/>
          <w:tcBorders>
            <w:top w:val="single" w:sz="4" w:space="0" w:color="auto"/>
          </w:tcBorders>
          <w:shd w:val="clear" w:color="auto" w:fill="auto"/>
        </w:tcPr>
        <w:p w14:paraId="185E8130" w14:textId="77777777" w:rsidR="00FC14FC" w:rsidRDefault="00FC14FC" w:rsidP="00A85997">
          <w:pPr>
            <w:pStyle w:val="Footer"/>
          </w:pPr>
        </w:p>
      </w:tc>
      <w:tc>
        <w:tcPr>
          <w:tcW w:w="7767" w:type="dxa"/>
          <w:tcBorders>
            <w:top w:val="single" w:sz="4" w:space="0" w:color="auto"/>
          </w:tcBorders>
          <w:shd w:val="clear" w:color="auto" w:fill="auto"/>
        </w:tcPr>
        <w:p w14:paraId="7C8EC91A" w14:textId="77777777" w:rsidR="00FC14FC" w:rsidRDefault="00FC14FC" w:rsidP="00A85997">
          <w:pPr>
            <w:pStyle w:val="Footer"/>
            <w:jc w:val="right"/>
          </w:pPr>
          <w:r>
            <w:t>TECHNICAL SUPPLEMENT: INVESTMENT PERFORMANCE METHODOLOGY AND ANALYSIS</w:t>
          </w:r>
        </w:p>
      </w:tc>
      <w:tc>
        <w:tcPr>
          <w:tcW w:w="510" w:type="dxa"/>
          <w:tcBorders>
            <w:top w:val="single" w:sz="4" w:space="0" w:color="auto"/>
          </w:tcBorders>
          <w:shd w:val="clear" w:color="auto" w:fill="auto"/>
        </w:tcPr>
        <w:p w14:paraId="0CC5F345" w14:textId="77777777" w:rsidR="00FC14FC" w:rsidRPr="00A85997" w:rsidRDefault="00FC14FC" w:rsidP="00A8599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1</w:t>
          </w:r>
          <w:r>
            <w:rPr>
              <w:rStyle w:val="PageNumber"/>
            </w:rPr>
            <w:fldChar w:fldCharType="end"/>
          </w:r>
        </w:p>
      </w:tc>
    </w:tr>
  </w:tbl>
  <w:p w14:paraId="54F7A860" w14:textId="77777777" w:rsidR="00FC14FC" w:rsidRPr="00A85997" w:rsidRDefault="00FC14FC" w:rsidP="00A85997">
    <w:pPr>
      <w:pStyle w:val="FooterEnd"/>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EF45" w14:textId="77777777" w:rsidR="00FC14FC" w:rsidRDefault="00FC14FC">
    <w:pPr>
      <w:pStyle w:val="FooterEnd"/>
    </w:pPr>
  </w:p>
  <w:p w14:paraId="67451D4E" w14:textId="77777777" w:rsidR="00FC14FC" w:rsidRPr="00A85997" w:rsidRDefault="00FC14FC" w:rsidP="000245C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59</w:t>
    </w:r>
    <w:r>
      <w:rPr>
        <w:rStyle w:val="PageNumber"/>
      </w:rPr>
      <w:fldChar w:fldCharType="end"/>
    </w:r>
  </w:p>
  <w:p w14:paraId="6182211C" w14:textId="77777777" w:rsidR="00FC14FC" w:rsidRPr="00A85997" w:rsidRDefault="00FC14FC" w:rsidP="00A85997">
    <w:pPr>
      <w:pStyle w:val="FooterEnd"/>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0868C58D" w14:textId="77777777" w:rsidTr="008E6FA5">
      <w:trPr>
        <w:trHeight w:hRule="exact" w:val="567"/>
      </w:trPr>
      <w:tc>
        <w:tcPr>
          <w:tcW w:w="510" w:type="dxa"/>
        </w:tcPr>
        <w:p w14:paraId="563CC21C" w14:textId="77777777" w:rsidR="005D5F2F" w:rsidRPr="00A24443" w:rsidRDefault="005D5F2F" w:rsidP="00BB06D4">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20664">
            <w:rPr>
              <w:rStyle w:val="PageNumber"/>
              <w:caps w:val="0"/>
              <w:noProof/>
            </w:rPr>
            <w:t>94</w:t>
          </w:r>
          <w:r w:rsidRPr="00A24443">
            <w:rPr>
              <w:rStyle w:val="PageNumber"/>
              <w:caps w:val="0"/>
            </w:rPr>
            <w:fldChar w:fldCharType="end"/>
          </w:r>
        </w:p>
      </w:tc>
      <w:tc>
        <w:tcPr>
          <w:tcW w:w="7767" w:type="dxa"/>
        </w:tcPr>
        <w:p w14:paraId="73EF99B7" w14:textId="0EA42673" w:rsidR="005D5F2F" w:rsidRPr="0013739A" w:rsidRDefault="005D5F2F" w:rsidP="00BB06D4">
          <w:pPr>
            <w:pStyle w:val="Footer"/>
            <w:rPr>
              <w:rFonts w:cs="Arial"/>
            </w:rPr>
          </w:pPr>
          <w:r>
            <w:rPr>
              <w:rFonts w:cs="Arial"/>
            </w:rPr>
            <w:t>Superannuation: Efficiency and Competitiveness</w:t>
          </w:r>
        </w:p>
      </w:tc>
      <w:tc>
        <w:tcPr>
          <w:tcW w:w="510" w:type="dxa"/>
        </w:tcPr>
        <w:p w14:paraId="49E8F0C0" w14:textId="77777777" w:rsidR="005D5F2F" w:rsidRDefault="005D5F2F" w:rsidP="00BB06D4">
          <w:pPr>
            <w:pStyle w:val="Footer"/>
          </w:pPr>
        </w:p>
      </w:tc>
    </w:tr>
  </w:tbl>
  <w:p w14:paraId="366F76DC" w14:textId="77777777" w:rsidR="005D5F2F" w:rsidRDefault="005D5F2F" w:rsidP="00094012">
    <w:pPr>
      <w:pStyle w:val="FooterEnd"/>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3E89CFF6" w14:textId="77777777" w:rsidTr="005F48ED">
      <w:trPr>
        <w:trHeight w:hRule="exact" w:val="567"/>
      </w:trPr>
      <w:tc>
        <w:tcPr>
          <w:tcW w:w="510" w:type="dxa"/>
        </w:tcPr>
        <w:p w14:paraId="3E89CFF3" w14:textId="77777777" w:rsidR="005D5F2F" w:rsidRDefault="005D5F2F">
          <w:pPr>
            <w:pStyle w:val="Footer"/>
            <w:ind w:right="360" w:firstLine="360"/>
          </w:pPr>
        </w:p>
      </w:tc>
      <w:tc>
        <w:tcPr>
          <w:tcW w:w="7767" w:type="dxa"/>
        </w:tcPr>
        <w:p w14:paraId="3E89CFF4" w14:textId="6DB9AB4B" w:rsidR="005D5F2F" w:rsidRPr="00BA5B14" w:rsidRDefault="005D5F2F" w:rsidP="0013739A">
          <w:pPr>
            <w:pStyle w:val="Footer"/>
            <w:jc w:val="right"/>
            <w:rPr>
              <w:rFonts w:cs="Arial"/>
            </w:rPr>
          </w:pPr>
          <w:r>
            <w:rPr>
              <w:rFonts w:cs="Arial"/>
            </w:rPr>
            <w:t>Technical supplement 4</w:t>
          </w:r>
          <w:bookmarkStart w:id="18" w:name="DraftReportOdd"/>
          <w:bookmarkEnd w:id="18"/>
        </w:p>
      </w:tc>
      <w:tc>
        <w:tcPr>
          <w:tcW w:w="510" w:type="dxa"/>
        </w:tcPr>
        <w:p w14:paraId="3E89CFF5" w14:textId="77777777" w:rsidR="005D5F2F" w:rsidRPr="00A24443" w:rsidRDefault="005D5F2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20664">
            <w:rPr>
              <w:rStyle w:val="PageNumber"/>
              <w:caps w:val="0"/>
              <w:noProof/>
            </w:rPr>
            <w:t>95</w:t>
          </w:r>
          <w:r w:rsidRPr="00A24443">
            <w:rPr>
              <w:rStyle w:val="PageNumber"/>
              <w:caps w:val="0"/>
            </w:rPr>
            <w:fldChar w:fldCharType="end"/>
          </w:r>
        </w:p>
      </w:tc>
    </w:tr>
  </w:tbl>
  <w:p w14:paraId="3E89CFF7" w14:textId="77777777" w:rsidR="005D5F2F" w:rsidRDefault="005D5F2F">
    <w:pPr>
      <w:pStyle w:val="FooterEnd"/>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26455" w14:textId="77777777" w:rsidR="005D5F2F" w:rsidRDefault="005D5F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FFB6C"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AF94"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00FC8143" w14:textId="77777777" w:rsidTr="00A85997">
      <w:trPr>
        <w:trHeight w:val="567"/>
      </w:trPr>
      <w:tc>
        <w:tcPr>
          <w:tcW w:w="510" w:type="dxa"/>
          <w:tcBorders>
            <w:top w:val="single" w:sz="4" w:space="0" w:color="auto"/>
          </w:tcBorders>
          <w:shd w:val="clear" w:color="auto" w:fill="auto"/>
        </w:tcPr>
        <w:p w14:paraId="0D88D70A"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36</w:t>
          </w:r>
          <w:r>
            <w:rPr>
              <w:rStyle w:val="PageNumber"/>
            </w:rPr>
            <w:fldChar w:fldCharType="end"/>
          </w:r>
        </w:p>
      </w:tc>
      <w:tc>
        <w:tcPr>
          <w:tcW w:w="7767" w:type="dxa"/>
          <w:tcBorders>
            <w:top w:val="single" w:sz="4" w:space="0" w:color="auto"/>
          </w:tcBorders>
          <w:shd w:val="clear" w:color="auto" w:fill="auto"/>
        </w:tcPr>
        <w:p w14:paraId="55AE42DE" w14:textId="77777777" w:rsidR="00FC14FC" w:rsidRDefault="00FC14FC" w:rsidP="00A85997">
          <w:pPr>
            <w:pStyle w:val="Footer"/>
          </w:pPr>
          <w:r>
            <w:t>SUPERANNAUTION: ASSESSING EFFICIENCY AND COMPETITIVENESS</w:t>
          </w:r>
        </w:p>
      </w:tc>
      <w:tc>
        <w:tcPr>
          <w:tcW w:w="510" w:type="dxa"/>
          <w:tcBorders>
            <w:top w:val="single" w:sz="4" w:space="0" w:color="auto"/>
          </w:tcBorders>
          <w:shd w:val="clear" w:color="auto" w:fill="auto"/>
        </w:tcPr>
        <w:p w14:paraId="19482D3F" w14:textId="77777777" w:rsidR="00FC14FC" w:rsidRDefault="00FC14FC" w:rsidP="00A85997">
          <w:pPr>
            <w:pStyle w:val="Footer"/>
          </w:pPr>
        </w:p>
      </w:tc>
    </w:tr>
  </w:tbl>
  <w:p w14:paraId="71F7A3BB" w14:textId="77777777" w:rsidR="00FC14FC" w:rsidRPr="00A85997" w:rsidRDefault="00FC14FC" w:rsidP="00A85997">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27192D9B" w14:textId="77777777" w:rsidTr="00A85997">
      <w:trPr>
        <w:trHeight w:val="567"/>
      </w:trPr>
      <w:tc>
        <w:tcPr>
          <w:tcW w:w="510" w:type="dxa"/>
          <w:tcBorders>
            <w:top w:val="single" w:sz="4" w:space="0" w:color="auto"/>
          </w:tcBorders>
          <w:shd w:val="clear" w:color="auto" w:fill="auto"/>
        </w:tcPr>
        <w:p w14:paraId="7833AC92" w14:textId="77777777" w:rsidR="00FC14FC" w:rsidRDefault="00FC14FC" w:rsidP="00A85997">
          <w:pPr>
            <w:pStyle w:val="Footer"/>
          </w:pPr>
        </w:p>
      </w:tc>
      <w:tc>
        <w:tcPr>
          <w:tcW w:w="7767" w:type="dxa"/>
          <w:tcBorders>
            <w:top w:val="single" w:sz="4" w:space="0" w:color="auto"/>
          </w:tcBorders>
          <w:shd w:val="clear" w:color="auto" w:fill="auto"/>
        </w:tcPr>
        <w:p w14:paraId="71705DC3" w14:textId="77777777" w:rsidR="00FC14FC" w:rsidRDefault="00FC14FC" w:rsidP="00A85997">
          <w:pPr>
            <w:pStyle w:val="Footer"/>
            <w:jc w:val="right"/>
          </w:pPr>
          <w:r>
            <w:t>TECHNICAL SUPPLEMENT: INVESTMENT PERFORMANCE METHODOLOGY AND ANALYSIS</w:t>
          </w:r>
        </w:p>
      </w:tc>
      <w:tc>
        <w:tcPr>
          <w:tcW w:w="510" w:type="dxa"/>
          <w:tcBorders>
            <w:top w:val="single" w:sz="4" w:space="0" w:color="auto"/>
          </w:tcBorders>
          <w:shd w:val="clear" w:color="auto" w:fill="auto"/>
        </w:tcPr>
        <w:p w14:paraId="7ECA0470" w14:textId="77777777" w:rsidR="00FC14FC" w:rsidRPr="00A85997" w:rsidRDefault="00FC14FC" w:rsidP="00A8599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35</w:t>
          </w:r>
          <w:r>
            <w:rPr>
              <w:rStyle w:val="PageNumber"/>
            </w:rPr>
            <w:fldChar w:fldCharType="end"/>
          </w:r>
        </w:p>
      </w:tc>
    </w:tr>
  </w:tbl>
  <w:p w14:paraId="0BF762F6" w14:textId="77777777" w:rsidR="00FC14FC" w:rsidRPr="00A85997" w:rsidRDefault="00FC14FC" w:rsidP="00A85997">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37BF2"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40</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64D1"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41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C14FC" w14:paraId="0147AEB3" w14:textId="77777777" w:rsidTr="00A85997">
      <w:trPr>
        <w:trHeight w:val="567"/>
      </w:trPr>
      <w:tc>
        <w:tcPr>
          <w:tcW w:w="510" w:type="dxa"/>
          <w:tcBorders>
            <w:top w:val="single" w:sz="4" w:space="0" w:color="auto"/>
          </w:tcBorders>
          <w:shd w:val="clear" w:color="auto" w:fill="auto"/>
        </w:tcPr>
        <w:p w14:paraId="4833C54F" w14:textId="77777777" w:rsidR="00FC14FC" w:rsidRPr="00A85997" w:rsidRDefault="00FC14FC"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0664">
            <w:rPr>
              <w:rStyle w:val="PageNumber"/>
              <w:noProof/>
            </w:rPr>
            <w:t>44</w:t>
          </w:r>
          <w:r>
            <w:rPr>
              <w:rStyle w:val="PageNumber"/>
            </w:rPr>
            <w:fldChar w:fldCharType="end"/>
          </w:r>
        </w:p>
      </w:tc>
      <w:tc>
        <w:tcPr>
          <w:tcW w:w="7767" w:type="dxa"/>
          <w:tcBorders>
            <w:top w:val="single" w:sz="4" w:space="0" w:color="auto"/>
          </w:tcBorders>
          <w:shd w:val="clear" w:color="auto" w:fill="auto"/>
        </w:tcPr>
        <w:p w14:paraId="05254297" w14:textId="77777777" w:rsidR="00FC14FC" w:rsidRDefault="00FC14FC" w:rsidP="00A85997">
          <w:pPr>
            <w:pStyle w:val="Footer"/>
          </w:pPr>
          <w:r>
            <w:t>SUPERANNAUTION: ASSESSING EFFICIENCY AND COMPETITIVENESS</w:t>
          </w:r>
        </w:p>
      </w:tc>
      <w:tc>
        <w:tcPr>
          <w:tcW w:w="510" w:type="dxa"/>
          <w:tcBorders>
            <w:top w:val="single" w:sz="4" w:space="0" w:color="auto"/>
          </w:tcBorders>
          <w:shd w:val="clear" w:color="auto" w:fill="auto"/>
        </w:tcPr>
        <w:p w14:paraId="01785B00" w14:textId="77777777" w:rsidR="00FC14FC" w:rsidRDefault="00FC14FC" w:rsidP="00A85997">
          <w:pPr>
            <w:pStyle w:val="Footer"/>
          </w:pPr>
        </w:p>
      </w:tc>
    </w:tr>
  </w:tbl>
  <w:p w14:paraId="3605B623" w14:textId="77777777" w:rsidR="00FC14FC" w:rsidRPr="00A85997" w:rsidRDefault="00FC14FC" w:rsidP="00A8599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FC7A2" w14:textId="77777777" w:rsidR="005D5F2F" w:rsidRDefault="005D5F2F">
      <w:r>
        <w:separator/>
      </w:r>
    </w:p>
  </w:footnote>
  <w:footnote w:type="continuationSeparator" w:id="0">
    <w:p w14:paraId="68EF0A8F" w14:textId="77777777" w:rsidR="005D5F2F" w:rsidRDefault="005D5F2F">
      <w:r>
        <w:continuationSeparator/>
      </w:r>
    </w:p>
  </w:footnote>
  <w:footnote w:type="continuationNotice" w:id="1">
    <w:p w14:paraId="627BAD92" w14:textId="77777777" w:rsidR="005D5F2F" w:rsidRDefault="005D5F2F"/>
  </w:footnote>
  <w:footnote w:id="2">
    <w:p w14:paraId="626BFEE3" w14:textId="77777777" w:rsidR="00FC14FC" w:rsidRDefault="00FC14FC" w:rsidP="00FC14FC">
      <w:pPr>
        <w:pStyle w:val="FootnoteText"/>
      </w:pPr>
      <w:r w:rsidRPr="00CF15EF">
        <w:rPr>
          <w:rStyle w:val="FootnoteReference"/>
        </w:rPr>
        <w:footnoteRef/>
      </w:r>
      <w:r>
        <w:tab/>
        <w:t>Unless otherwise stated, all years referred to in this technical supplement indicate the financial year ending June of that year. In this case, 1997 represents financial year 1996</w:t>
      </w:r>
      <w:r>
        <w:softHyphen/>
      </w:r>
      <w:r>
        <w:noBreakHyphen/>
        <w:t xml:space="preserve">97. </w:t>
      </w:r>
    </w:p>
  </w:footnote>
  <w:footnote w:id="3">
    <w:p w14:paraId="641E42DF" w14:textId="77777777" w:rsidR="00FC14FC" w:rsidRDefault="00FC14FC" w:rsidP="00FC14FC">
      <w:pPr>
        <w:pStyle w:val="FootnoteText"/>
      </w:pPr>
      <w:r w:rsidRPr="00CF15EF">
        <w:rPr>
          <w:rStyle w:val="FootnoteReference"/>
        </w:rPr>
        <w:footnoteRef/>
      </w:r>
      <w:r>
        <w:tab/>
        <w:t>Due to the lack of correspondence between fund and product/option data SuperRatings collect, the Commission assumed a fund was present in SuperRatings’ product/option-level data if the fund was present in SuperRatings’ fund information dataset.</w:t>
      </w:r>
    </w:p>
  </w:footnote>
  <w:footnote w:id="4">
    <w:p w14:paraId="77F8613D" w14:textId="77777777" w:rsidR="00FC14FC" w:rsidRDefault="00FC14FC" w:rsidP="00FC14FC">
      <w:pPr>
        <w:pStyle w:val="FootnoteText"/>
      </w:pPr>
      <w:r w:rsidRPr="00CF15EF">
        <w:rPr>
          <w:rStyle w:val="FootnoteReference"/>
        </w:rPr>
        <w:footnoteRef/>
      </w:r>
      <w:r>
        <w:tab/>
        <w:t>Fund type, fund size and fund returns data are always from APRA data. For the purposes of the selection bias assessment, research firm data are only used to break up APRA data into the two groups; ‘Funds represented in research firm data’ and ‘Funds not represented in research firm data’.</w:t>
      </w:r>
    </w:p>
  </w:footnote>
  <w:footnote w:id="5">
    <w:p w14:paraId="0EB76783" w14:textId="77777777" w:rsidR="00FC14FC" w:rsidRDefault="00FC14FC" w:rsidP="00FC14FC">
      <w:pPr>
        <w:pStyle w:val="FootnoteText"/>
      </w:pPr>
      <w:r w:rsidRPr="00CF15EF">
        <w:rPr>
          <w:rStyle w:val="FootnoteReference"/>
        </w:rPr>
        <w:footnoteRef/>
      </w:r>
      <w:r>
        <w:tab/>
        <w:t xml:space="preserve">Similar analysis was attempted with Rainmaker data but SuperRatings had superior coverage. </w:t>
      </w:r>
    </w:p>
  </w:footnote>
  <w:footnote w:id="6">
    <w:p w14:paraId="2D0AB3EE" w14:textId="77777777" w:rsidR="00FC14FC" w:rsidRDefault="00FC14FC" w:rsidP="00FC14FC">
      <w:pPr>
        <w:pStyle w:val="FootnoteText"/>
      </w:pPr>
      <w:r w:rsidRPr="00CF15EF">
        <w:rPr>
          <w:rStyle w:val="FootnoteReference"/>
        </w:rPr>
        <w:footnoteRef/>
      </w:r>
      <w:r>
        <w:tab/>
        <w:t xml:space="preserve">The simulated proxy is a simulated local currency FTSE EPRA NAREIT Developed index. </w:t>
      </w:r>
    </w:p>
  </w:footnote>
  <w:footnote w:id="7">
    <w:p w14:paraId="0EA572CD" w14:textId="77777777" w:rsidR="00FC14FC" w:rsidRPr="00387727" w:rsidRDefault="00FC14FC" w:rsidP="00FC14FC">
      <w:pPr>
        <w:pStyle w:val="FootnoteText"/>
      </w:pPr>
      <w:r w:rsidRPr="00CF15EF">
        <w:rPr>
          <w:rStyle w:val="FootnoteReference"/>
        </w:rPr>
        <w:footnoteRef/>
      </w:r>
      <w:r>
        <w:tab/>
        <w:t>There are problems with asset allocations that some funds report to APRA in some years. For example, there are cases where funds have reported all assets being in ‘other’ assets or all assets being in cash. As these allocations are impossible to verify, but have been audited and reported by funds, the Commission considers it reasonable to include these asset allocations in its analysis.</w:t>
      </w:r>
    </w:p>
  </w:footnote>
  <w:footnote w:id="8">
    <w:p w14:paraId="7C31E4EE" w14:textId="77777777" w:rsidR="00FC14FC" w:rsidRDefault="00FC14FC" w:rsidP="00FC14FC">
      <w:pPr>
        <w:pStyle w:val="FootnoteText"/>
      </w:pPr>
      <w:r w:rsidRPr="00CF15EF">
        <w:rPr>
          <w:rStyle w:val="FootnoteReference"/>
        </w:rPr>
        <w:footnoteRef/>
      </w:r>
      <w:r>
        <w:tab/>
        <w:t xml:space="preserve">Asset classes which are considered to be defensive are cash and fixed income. All other asset classes are considered to be growth. </w:t>
      </w:r>
    </w:p>
  </w:footnote>
  <w:footnote w:id="9">
    <w:p w14:paraId="21288316" w14:textId="77777777" w:rsidR="00FC14FC" w:rsidRPr="000136CC" w:rsidRDefault="00FC14FC" w:rsidP="00FC14FC">
      <w:pPr>
        <w:pStyle w:val="FootnoteText"/>
        <w:rPr>
          <w:spacing w:val="-2"/>
        </w:rPr>
      </w:pPr>
      <w:r w:rsidRPr="00CF15EF">
        <w:rPr>
          <w:rStyle w:val="FootnoteReference"/>
        </w:rPr>
        <w:footnoteRef/>
      </w:r>
      <w:r>
        <w:t xml:space="preserve"> </w:t>
      </w:r>
      <w:r>
        <w:tab/>
      </w:r>
      <w:r w:rsidRPr="000136CC">
        <w:rPr>
          <w:spacing w:val="-2"/>
        </w:rPr>
        <w:t>The benchmarking analysis only adjusted for domestic tax; international tax was excluded from the analysis.</w:t>
      </w:r>
    </w:p>
  </w:footnote>
  <w:footnote w:id="10">
    <w:p w14:paraId="2A39A9F3" w14:textId="77777777" w:rsidR="00FC14FC" w:rsidRDefault="00FC14FC" w:rsidP="00FC14FC">
      <w:pPr>
        <w:pStyle w:val="FootnoteText"/>
      </w:pPr>
      <w:r w:rsidRPr="00CF15EF">
        <w:rPr>
          <w:rStyle w:val="FootnoteReference"/>
        </w:rPr>
        <w:footnoteRef/>
      </w:r>
      <w:r>
        <w:tab/>
        <w:t xml:space="preserve">In APRA data, administration expenses are distinguished from advice expenses. The Commission has included advice expenses when calculating administration expense ratios. </w:t>
      </w:r>
    </w:p>
  </w:footnote>
  <w:footnote w:id="11">
    <w:p w14:paraId="0139A9A5" w14:textId="77777777" w:rsidR="00FC14FC" w:rsidRDefault="00FC14FC" w:rsidP="00FC14FC">
      <w:pPr>
        <w:pStyle w:val="FootnoteText"/>
      </w:pPr>
      <w:r w:rsidRPr="00CF15EF">
        <w:rPr>
          <w:rStyle w:val="FootnoteReference"/>
        </w:rPr>
        <w:footnoteRef/>
      </w:r>
      <w:r>
        <w:tab/>
        <w:t>Expenses incurred by funds are considered rather than fees because net returns in APRA fund</w:t>
      </w:r>
      <w:r>
        <w:noBreakHyphen/>
        <w:t>level data are calculated using expenses. However, fees are used in the MySuper product decompositions.</w:t>
      </w:r>
    </w:p>
  </w:footnote>
  <w:footnote w:id="12">
    <w:p w14:paraId="1C2DD4AB" w14:textId="77777777" w:rsidR="00FC14FC" w:rsidRDefault="00FC14FC" w:rsidP="00FC14FC">
      <w:pPr>
        <w:pStyle w:val="FootnoteText"/>
      </w:pPr>
      <w:r w:rsidRPr="00CF15EF">
        <w:rPr>
          <w:rStyle w:val="FootnoteReference"/>
        </w:rPr>
        <w:footnoteRef/>
      </w:r>
      <w:r>
        <w:tab/>
        <w:t>Most retail funds have a negative outperformance gap, as the retail segment returns are below their benchmark. Subtracting this from the not</w:t>
      </w:r>
      <w:r>
        <w:noBreakHyphen/>
        <w:t>for</w:t>
      </w:r>
      <w:r>
        <w:noBreakHyphen/>
        <w:t>profit outperformance gap leads to a larger total outperformance gap (subtracting a negative number from a positive number).</w:t>
      </w:r>
    </w:p>
  </w:footnote>
  <w:footnote w:id="13">
    <w:p w14:paraId="254460AB" w14:textId="77777777" w:rsidR="00FC14FC" w:rsidRDefault="00FC14FC" w:rsidP="00FC14FC">
      <w:pPr>
        <w:pStyle w:val="FootnoteText"/>
      </w:pPr>
      <w:r>
        <w:rPr>
          <w:rStyle w:val="FootnoteReference"/>
        </w:rPr>
        <w:footnoteRef/>
      </w:r>
      <w:r>
        <w:tab/>
        <w:t xml:space="preserve">Prior to 2004, APRA also used a ROA measure. </w:t>
      </w:r>
    </w:p>
  </w:footnote>
  <w:footnote w:id="14">
    <w:p w14:paraId="4B3D361B" w14:textId="77777777" w:rsidR="00FC14FC" w:rsidRDefault="00FC14FC" w:rsidP="00FC14FC">
      <w:pPr>
        <w:pStyle w:val="FootnoteText"/>
      </w:pPr>
      <w:r>
        <w:rPr>
          <w:rStyle w:val="FootnoteReference"/>
        </w:rPr>
        <w:footnoteRef/>
      </w:r>
      <w:r>
        <w:tab/>
        <w:t xml:space="preserve">Specifically, the adjustment is half of the sum of net member flows and net insurance flows. </w:t>
      </w:r>
    </w:p>
  </w:footnote>
  <w:footnote w:id="15">
    <w:p w14:paraId="065191ED" w14:textId="77777777" w:rsidR="00FC14FC" w:rsidRPr="00970769" w:rsidRDefault="00FC14FC" w:rsidP="00FC14FC">
      <w:pPr>
        <w:pStyle w:val="FootnoteText"/>
      </w:pPr>
      <w:r w:rsidRPr="00CF15EF">
        <w:rPr>
          <w:rStyle w:val="FootnoteReference"/>
        </w:rPr>
        <w:footnoteRef/>
      </w:r>
      <w:r>
        <w:tab/>
        <w:t>Equivalent to a 5 per cent long-term gross real rate of return, less fixed and variable charges over the accumulation stage.</w:t>
      </w:r>
    </w:p>
  </w:footnote>
  <w:footnote w:id="16">
    <w:p w14:paraId="0257E04E" w14:textId="77777777" w:rsidR="00FC14FC" w:rsidRDefault="00FC14FC" w:rsidP="00FC14FC">
      <w:pPr>
        <w:pStyle w:val="FootnoteText"/>
      </w:pPr>
      <w:r w:rsidRPr="00CF15EF">
        <w:rPr>
          <w:rStyle w:val="FootnoteReference"/>
        </w:rPr>
        <w:footnoteRef/>
      </w:r>
      <w:r>
        <w:tab/>
        <w:t>These BPs also do not include the indirect investment fees as discussed in section 4.2.</w:t>
      </w:r>
    </w:p>
  </w:footnote>
  <w:footnote w:id="17">
    <w:p w14:paraId="0044D473" w14:textId="77777777" w:rsidR="00FC14FC" w:rsidRDefault="00FC14FC" w:rsidP="00FC14FC">
      <w:pPr>
        <w:pStyle w:val="FootnoteText"/>
      </w:pPr>
      <w:r w:rsidRPr="00CF15EF">
        <w:rPr>
          <w:rStyle w:val="FootnoteReference"/>
        </w:rPr>
        <w:footnoteRef/>
      </w:r>
      <w:r>
        <w:tab/>
        <w:t xml:space="preserve">In most cases, the Commission used the maximum and minimum asset allocations in the data. Discretion was applied where there were clear outliers or potential misreporting. </w:t>
      </w:r>
    </w:p>
  </w:footnote>
  <w:footnote w:id="18">
    <w:p w14:paraId="6B96F786" w14:textId="77777777" w:rsidR="00FC14FC" w:rsidRDefault="00FC14FC" w:rsidP="00FC14FC">
      <w:pPr>
        <w:pStyle w:val="FootnoteText"/>
      </w:pPr>
      <w:r w:rsidRPr="00CF15EF">
        <w:rPr>
          <w:rStyle w:val="FootnoteReference"/>
        </w:rPr>
        <w:footnoteRef/>
      </w:r>
      <w:r>
        <w:tab/>
        <w:t xml:space="preserve">Although the definition is an imperfect measure of this — many MySuper members are likely to have actively selected that product.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FC14FC" w14:paraId="5AFFFA02" w14:textId="77777777" w:rsidTr="00A85997">
      <w:trPr>
        <w:trHeight w:val="300"/>
      </w:trPr>
      <w:tc>
        <w:tcPr>
          <w:tcW w:w="2154" w:type="dxa"/>
          <w:tcBorders>
            <w:top w:val="single" w:sz="24" w:space="0" w:color="auto"/>
          </w:tcBorders>
          <w:shd w:val="clear" w:color="auto" w:fill="auto"/>
        </w:tcPr>
        <w:p w14:paraId="19A2C5EA" w14:textId="77777777" w:rsidR="00FC14FC" w:rsidRDefault="00FC14FC" w:rsidP="00A85997">
          <w:pPr>
            <w:pStyle w:val="HeaderEven"/>
          </w:pPr>
        </w:p>
      </w:tc>
      <w:tc>
        <w:tcPr>
          <w:tcW w:w="6633" w:type="dxa"/>
          <w:tcBorders>
            <w:top w:val="single" w:sz="6" w:space="0" w:color="auto"/>
          </w:tcBorders>
          <w:shd w:val="clear" w:color="auto" w:fill="auto"/>
        </w:tcPr>
        <w:p w14:paraId="148F5D6E" w14:textId="77777777" w:rsidR="00FC14FC" w:rsidRDefault="00FC14FC" w:rsidP="00A85997">
          <w:pPr>
            <w:pStyle w:val="HeaderEven"/>
          </w:pPr>
        </w:p>
      </w:tc>
    </w:tr>
  </w:tbl>
  <w:p w14:paraId="29270FA5" w14:textId="77777777" w:rsidR="00FC14FC" w:rsidRPr="00A85997" w:rsidRDefault="00FC14FC" w:rsidP="00A85997">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C14FC" w14:paraId="3397ABB4" w14:textId="77777777" w:rsidTr="00A85997">
      <w:trPr>
        <w:trHeight w:val="300"/>
      </w:trPr>
      <w:tc>
        <w:tcPr>
          <w:tcW w:w="6633" w:type="dxa"/>
          <w:tcBorders>
            <w:top w:val="single" w:sz="6" w:space="0" w:color="auto"/>
          </w:tcBorders>
          <w:shd w:val="clear" w:color="auto" w:fill="auto"/>
        </w:tcPr>
        <w:p w14:paraId="113BE322" w14:textId="77777777" w:rsidR="00FC14FC" w:rsidRDefault="00FC14FC" w:rsidP="00A85997">
          <w:pPr>
            <w:pStyle w:val="HeaderOdd"/>
          </w:pPr>
        </w:p>
      </w:tc>
      <w:tc>
        <w:tcPr>
          <w:tcW w:w="2154" w:type="dxa"/>
          <w:tcBorders>
            <w:top w:val="single" w:sz="24" w:space="0" w:color="auto"/>
          </w:tcBorders>
          <w:shd w:val="clear" w:color="auto" w:fill="auto"/>
        </w:tcPr>
        <w:p w14:paraId="41855842" w14:textId="77777777" w:rsidR="00FC14FC" w:rsidRDefault="00FC14FC" w:rsidP="00A85997">
          <w:pPr>
            <w:pStyle w:val="HeaderOdd"/>
          </w:pPr>
        </w:p>
      </w:tc>
    </w:tr>
  </w:tbl>
  <w:p w14:paraId="5CA2D60E" w14:textId="77777777" w:rsidR="00FC14FC" w:rsidRPr="00A85997" w:rsidRDefault="00FC14FC" w:rsidP="00A85997">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D107" w14:textId="77777777" w:rsidR="00FC14FC" w:rsidRPr="00A85997" w:rsidRDefault="00FC14FC" w:rsidP="00A85997">
    <w:pPr>
      <w:pStyle w:val="Header"/>
      <w:spacing w:line="2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7FDB0" w14:textId="77777777" w:rsidR="00FC14FC" w:rsidRPr="00A85997" w:rsidRDefault="00FC14FC" w:rsidP="00A85997">
    <w:pPr>
      <w:pStyle w:val="Header"/>
      <w:spacing w:line="20"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FC14FC" w14:paraId="4B6C1E17" w14:textId="77777777" w:rsidTr="00A85997">
      <w:trPr>
        <w:trHeight w:val="300"/>
      </w:trPr>
      <w:tc>
        <w:tcPr>
          <w:tcW w:w="2154" w:type="dxa"/>
          <w:tcBorders>
            <w:top w:val="single" w:sz="24" w:space="0" w:color="auto"/>
          </w:tcBorders>
          <w:shd w:val="clear" w:color="auto" w:fill="auto"/>
        </w:tcPr>
        <w:p w14:paraId="06981969" w14:textId="77777777" w:rsidR="00FC14FC" w:rsidRDefault="00FC14FC" w:rsidP="00A85997">
          <w:pPr>
            <w:pStyle w:val="HeaderEven"/>
          </w:pPr>
        </w:p>
      </w:tc>
      <w:tc>
        <w:tcPr>
          <w:tcW w:w="6633" w:type="dxa"/>
          <w:tcBorders>
            <w:top w:val="single" w:sz="6" w:space="0" w:color="auto"/>
          </w:tcBorders>
          <w:shd w:val="clear" w:color="auto" w:fill="auto"/>
        </w:tcPr>
        <w:p w14:paraId="141381ED" w14:textId="77777777" w:rsidR="00FC14FC" w:rsidRDefault="00FC14FC" w:rsidP="00A85997">
          <w:pPr>
            <w:pStyle w:val="HeaderEven"/>
          </w:pPr>
        </w:p>
      </w:tc>
    </w:tr>
  </w:tbl>
  <w:p w14:paraId="0DCB2CA7" w14:textId="77777777" w:rsidR="00FC14FC" w:rsidRPr="00A85997" w:rsidRDefault="00FC14FC" w:rsidP="00A85997">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C14FC" w14:paraId="492C2636" w14:textId="77777777" w:rsidTr="00A85997">
      <w:trPr>
        <w:trHeight w:val="300"/>
      </w:trPr>
      <w:tc>
        <w:tcPr>
          <w:tcW w:w="6633" w:type="dxa"/>
          <w:tcBorders>
            <w:top w:val="single" w:sz="6" w:space="0" w:color="auto"/>
          </w:tcBorders>
          <w:shd w:val="clear" w:color="auto" w:fill="auto"/>
        </w:tcPr>
        <w:p w14:paraId="3B614439" w14:textId="77777777" w:rsidR="00FC14FC" w:rsidRDefault="00FC14FC" w:rsidP="00A85997">
          <w:pPr>
            <w:pStyle w:val="HeaderOdd"/>
          </w:pPr>
        </w:p>
      </w:tc>
      <w:tc>
        <w:tcPr>
          <w:tcW w:w="2154" w:type="dxa"/>
          <w:tcBorders>
            <w:top w:val="single" w:sz="24" w:space="0" w:color="auto"/>
          </w:tcBorders>
          <w:shd w:val="clear" w:color="auto" w:fill="auto"/>
        </w:tcPr>
        <w:p w14:paraId="1D831793" w14:textId="77777777" w:rsidR="00FC14FC" w:rsidRDefault="00FC14FC" w:rsidP="00A85997">
          <w:pPr>
            <w:pStyle w:val="HeaderOdd"/>
          </w:pPr>
        </w:p>
      </w:tc>
    </w:tr>
  </w:tbl>
  <w:p w14:paraId="3DC2CE38" w14:textId="77777777" w:rsidR="00FC14FC" w:rsidRPr="00A85997" w:rsidRDefault="00FC14FC" w:rsidP="00A85997">
    <w:pPr>
      <w:pStyle w:val="HeaderEn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8A118" w14:textId="77777777" w:rsidR="00FC14FC" w:rsidRPr="00A85997" w:rsidRDefault="00FC14FC" w:rsidP="00A85997">
    <w:pPr>
      <w:pStyle w:val="Header"/>
      <w:spacing w:line="20"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0CC37" w14:textId="77777777" w:rsidR="00FC14FC" w:rsidRPr="00A85997" w:rsidRDefault="00FC14FC" w:rsidP="00A85997">
    <w:pPr>
      <w:pStyle w:val="Header"/>
      <w:spacing w:line="20"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FC14FC" w14:paraId="7BFD6EB2" w14:textId="77777777" w:rsidTr="00A85997">
      <w:trPr>
        <w:trHeight w:val="300"/>
      </w:trPr>
      <w:tc>
        <w:tcPr>
          <w:tcW w:w="2154" w:type="dxa"/>
          <w:tcBorders>
            <w:top w:val="single" w:sz="24" w:space="0" w:color="auto"/>
          </w:tcBorders>
          <w:shd w:val="clear" w:color="auto" w:fill="auto"/>
        </w:tcPr>
        <w:p w14:paraId="4528934C" w14:textId="77777777" w:rsidR="00FC14FC" w:rsidRDefault="00FC14FC" w:rsidP="00A85997">
          <w:pPr>
            <w:pStyle w:val="HeaderEven"/>
          </w:pPr>
        </w:p>
      </w:tc>
      <w:tc>
        <w:tcPr>
          <w:tcW w:w="6633" w:type="dxa"/>
          <w:tcBorders>
            <w:top w:val="single" w:sz="6" w:space="0" w:color="auto"/>
          </w:tcBorders>
          <w:shd w:val="clear" w:color="auto" w:fill="auto"/>
        </w:tcPr>
        <w:p w14:paraId="40A7AF50" w14:textId="77777777" w:rsidR="00FC14FC" w:rsidRDefault="00FC14FC" w:rsidP="00A85997">
          <w:pPr>
            <w:pStyle w:val="HeaderEven"/>
          </w:pPr>
        </w:p>
      </w:tc>
    </w:tr>
  </w:tbl>
  <w:p w14:paraId="448C8C50" w14:textId="77777777" w:rsidR="00FC14FC" w:rsidRPr="00A85997" w:rsidRDefault="00FC14FC" w:rsidP="00A85997">
    <w:pPr>
      <w:pStyle w:val="HeaderEn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C14FC" w14:paraId="02E7FE48" w14:textId="77777777" w:rsidTr="00A85997">
      <w:trPr>
        <w:trHeight w:val="300"/>
      </w:trPr>
      <w:tc>
        <w:tcPr>
          <w:tcW w:w="6633" w:type="dxa"/>
          <w:tcBorders>
            <w:top w:val="single" w:sz="6" w:space="0" w:color="auto"/>
          </w:tcBorders>
          <w:shd w:val="clear" w:color="auto" w:fill="auto"/>
        </w:tcPr>
        <w:p w14:paraId="2D5B91D5" w14:textId="77777777" w:rsidR="00FC14FC" w:rsidRDefault="00FC14FC" w:rsidP="00A85997">
          <w:pPr>
            <w:pStyle w:val="HeaderOdd"/>
          </w:pPr>
        </w:p>
      </w:tc>
      <w:tc>
        <w:tcPr>
          <w:tcW w:w="2154" w:type="dxa"/>
          <w:tcBorders>
            <w:top w:val="single" w:sz="24" w:space="0" w:color="auto"/>
          </w:tcBorders>
          <w:shd w:val="clear" w:color="auto" w:fill="auto"/>
        </w:tcPr>
        <w:p w14:paraId="2CF660B0" w14:textId="77777777" w:rsidR="00FC14FC" w:rsidRDefault="00FC14FC" w:rsidP="00A85997">
          <w:pPr>
            <w:pStyle w:val="HeaderOdd"/>
          </w:pPr>
        </w:p>
      </w:tc>
    </w:tr>
  </w:tbl>
  <w:p w14:paraId="1912C86E" w14:textId="77777777" w:rsidR="00FC14FC" w:rsidRPr="00A85997" w:rsidRDefault="00FC14FC" w:rsidP="00A85997">
    <w:pPr>
      <w:pStyle w:val="HeaderEn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EC1C" w14:textId="77777777" w:rsidR="00FC14FC" w:rsidRPr="00A85997" w:rsidRDefault="00FC14FC" w:rsidP="00A85997">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C14FC" w14:paraId="534AB1BA" w14:textId="77777777" w:rsidTr="00A85997">
      <w:trPr>
        <w:trHeight w:val="300"/>
      </w:trPr>
      <w:tc>
        <w:tcPr>
          <w:tcW w:w="6633" w:type="dxa"/>
          <w:tcBorders>
            <w:top w:val="single" w:sz="6" w:space="0" w:color="auto"/>
          </w:tcBorders>
          <w:shd w:val="clear" w:color="auto" w:fill="auto"/>
        </w:tcPr>
        <w:p w14:paraId="60D72A0B" w14:textId="77777777" w:rsidR="00FC14FC" w:rsidRDefault="00FC14FC" w:rsidP="00A85997">
          <w:pPr>
            <w:pStyle w:val="HeaderOdd"/>
          </w:pPr>
        </w:p>
      </w:tc>
      <w:tc>
        <w:tcPr>
          <w:tcW w:w="2154" w:type="dxa"/>
          <w:tcBorders>
            <w:top w:val="single" w:sz="24" w:space="0" w:color="auto"/>
          </w:tcBorders>
          <w:shd w:val="clear" w:color="auto" w:fill="auto"/>
        </w:tcPr>
        <w:p w14:paraId="3974DCE3" w14:textId="77777777" w:rsidR="00FC14FC" w:rsidRDefault="00FC14FC" w:rsidP="00A85997">
          <w:pPr>
            <w:pStyle w:val="HeaderOdd"/>
          </w:pPr>
        </w:p>
      </w:tc>
    </w:tr>
  </w:tbl>
  <w:p w14:paraId="73910E6D" w14:textId="77777777" w:rsidR="00FC14FC" w:rsidRPr="00A85997" w:rsidRDefault="00FC14FC" w:rsidP="00A85997">
    <w:pPr>
      <w:pStyle w:val="HeaderEnd"/>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3FE4C" w14:textId="77777777" w:rsidR="00FC14FC" w:rsidRPr="00A85997" w:rsidRDefault="00FC14FC" w:rsidP="00A85997">
    <w:pPr>
      <w:pStyle w:val="HeaderEn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5F2F" w14:paraId="6A0F9E0B" w14:textId="77777777" w:rsidTr="008E6FA5">
      <w:tc>
        <w:tcPr>
          <w:tcW w:w="2155" w:type="dxa"/>
          <w:tcBorders>
            <w:top w:val="single" w:sz="24" w:space="0" w:color="auto"/>
          </w:tcBorders>
        </w:tcPr>
        <w:p w14:paraId="6CF0BA9D" w14:textId="77777777" w:rsidR="005D5F2F" w:rsidRDefault="005D5F2F" w:rsidP="00BB06D4">
          <w:pPr>
            <w:pStyle w:val="HeaderEven"/>
          </w:pPr>
        </w:p>
      </w:tc>
      <w:tc>
        <w:tcPr>
          <w:tcW w:w="6634" w:type="dxa"/>
          <w:tcBorders>
            <w:top w:val="single" w:sz="6" w:space="0" w:color="auto"/>
          </w:tcBorders>
        </w:tcPr>
        <w:p w14:paraId="6A340E25" w14:textId="77777777" w:rsidR="005D5F2F" w:rsidRDefault="005D5F2F" w:rsidP="00BB06D4">
          <w:pPr>
            <w:pStyle w:val="HeaderEven"/>
          </w:pPr>
        </w:p>
      </w:tc>
    </w:tr>
  </w:tbl>
  <w:p w14:paraId="742F0ED1" w14:textId="77777777" w:rsidR="005D5F2F" w:rsidRDefault="005D5F2F" w:rsidP="00BB06D4">
    <w:pPr>
      <w:pStyle w:val="HeaderEnd"/>
    </w:pPr>
  </w:p>
  <w:p w14:paraId="4C586DAC" w14:textId="77777777" w:rsidR="005D5F2F" w:rsidRDefault="005D5F2F" w:rsidP="00BB06D4">
    <w:pPr>
      <w:pStyle w:val="HeaderEnd"/>
    </w:pPr>
  </w:p>
  <w:p w14:paraId="1B89AEB3" w14:textId="77777777" w:rsidR="005D5F2F" w:rsidRDefault="005D5F2F">
    <w:pPr>
      <w:pStyle w:val="HeaderEn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5F2F" w14:paraId="3E89CFEC" w14:textId="77777777">
      <w:tc>
        <w:tcPr>
          <w:tcW w:w="6634" w:type="dxa"/>
          <w:tcBorders>
            <w:top w:val="single" w:sz="6" w:space="0" w:color="auto"/>
          </w:tcBorders>
        </w:tcPr>
        <w:p w14:paraId="3E89CFEA" w14:textId="77777777" w:rsidR="005D5F2F" w:rsidRDefault="005D5F2F" w:rsidP="00E669E2">
          <w:pPr>
            <w:pStyle w:val="HeaderOdd"/>
          </w:pPr>
        </w:p>
      </w:tc>
      <w:tc>
        <w:tcPr>
          <w:tcW w:w="2155" w:type="dxa"/>
          <w:tcBorders>
            <w:top w:val="single" w:sz="24" w:space="0" w:color="auto"/>
          </w:tcBorders>
        </w:tcPr>
        <w:p w14:paraId="3E89CFEB" w14:textId="77777777" w:rsidR="005D5F2F" w:rsidRDefault="005D5F2F" w:rsidP="00E669E2">
          <w:pPr>
            <w:pStyle w:val="HeaderOdd"/>
          </w:pPr>
        </w:p>
      </w:tc>
    </w:tr>
  </w:tbl>
  <w:p w14:paraId="3E89CFED" w14:textId="77777777" w:rsidR="005D5F2F" w:rsidRDefault="005D5F2F">
    <w:pPr>
      <w:pStyle w:val="HeaderEn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99255" w14:textId="77777777" w:rsidR="005D5F2F" w:rsidRDefault="005D5F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B0A0F" w14:textId="77777777" w:rsidR="00FC14FC" w:rsidRPr="00A85997" w:rsidRDefault="00FC14FC" w:rsidP="00A85997">
    <w:pPr>
      <w:pStyle w:val="Header"/>
      <w:spacing w:line="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AA08" w14:textId="77777777" w:rsidR="00FC14FC" w:rsidRPr="00A85997" w:rsidRDefault="00FC14FC" w:rsidP="00A85997">
    <w:pPr>
      <w:pStyle w:val="Header"/>
      <w:spacing w:line="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FC14FC" w14:paraId="5B4DDF27" w14:textId="77777777" w:rsidTr="00A85997">
      <w:trPr>
        <w:trHeight w:val="300"/>
      </w:trPr>
      <w:tc>
        <w:tcPr>
          <w:tcW w:w="2154" w:type="dxa"/>
          <w:tcBorders>
            <w:top w:val="single" w:sz="24" w:space="0" w:color="auto"/>
          </w:tcBorders>
          <w:shd w:val="clear" w:color="auto" w:fill="auto"/>
        </w:tcPr>
        <w:p w14:paraId="14CA2569" w14:textId="77777777" w:rsidR="00FC14FC" w:rsidRDefault="00FC14FC" w:rsidP="00A85997">
          <w:pPr>
            <w:pStyle w:val="HeaderEven"/>
          </w:pPr>
        </w:p>
      </w:tc>
      <w:tc>
        <w:tcPr>
          <w:tcW w:w="6633" w:type="dxa"/>
          <w:tcBorders>
            <w:top w:val="single" w:sz="6" w:space="0" w:color="auto"/>
          </w:tcBorders>
          <w:shd w:val="clear" w:color="auto" w:fill="auto"/>
        </w:tcPr>
        <w:p w14:paraId="2A09F6CD" w14:textId="77777777" w:rsidR="00FC14FC" w:rsidRDefault="00FC14FC" w:rsidP="00A85997">
          <w:pPr>
            <w:pStyle w:val="HeaderEven"/>
          </w:pPr>
        </w:p>
      </w:tc>
    </w:tr>
  </w:tbl>
  <w:p w14:paraId="5576BC59" w14:textId="77777777" w:rsidR="00FC14FC" w:rsidRPr="00A85997" w:rsidRDefault="00FC14FC" w:rsidP="00A85997">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C14FC" w14:paraId="03E4557F" w14:textId="77777777" w:rsidTr="00A85997">
      <w:trPr>
        <w:trHeight w:val="300"/>
      </w:trPr>
      <w:tc>
        <w:tcPr>
          <w:tcW w:w="6633" w:type="dxa"/>
          <w:tcBorders>
            <w:top w:val="single" w:sz="6" w:space="0" w:color="auto"/>
          </w:tcBorders>
          <w:shd w:val="clear" w:color="auto" w:fill="auto"/>
        </w:tcPr>
        <w:p w14:paraId="611DAEBA" w14:textId="77777777" w:rsidR="00FC14FC" w:rsidRDefault="00FC14FC" w:rsidP="00A85997">
          <w:pPr>
            <w:pStyle w:val="HeaderOdd"/>
          </w:pPr>
        </w:p>
      </w:tc>
      <w:tc>
        <w:tcPr>
          <w:tcW w:w="2154" w:type="dxa"/>
          <w:tcBorders>
            <w:top w:val="single" w:sz="24" w:space="0" w:color="auto"/>
          </w:tcBorders>
          <w:shd w:val="clear" w:color="auto" w:fill="auto"/>
        </w:tcPr>
        <w:p w14:paraId="4AC50883" w14:textId="77777777" w:rsidR="00FC14FC" w:rsidRDefault="00FC14FC" w:rsidP="00A85997">
          <w:pPr>
            <w:pStyle w:val="HeaderOdd"/>
          </w:pPr>
        </w:p>
      </w:tc>
    </w:tr>
  </w:tbl>
  <w:p w14:paraId="69B09CAF" w14:textId="77777777" w:rsidR="00FC14FC" w:rsidRPr="00A85997" w:rsidRDefault="00FC14FC" w:rsidP="00A85997">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00C93" w14:textId="77777777" w:rsidR="00FC14FC" w:rsidRPr="00A85997" w:rsidRDefault="00FC14FC" w:rsidP="00A85997">
    <w:pPr>
      <w:pStyle w:val="Header"/>
      <w:spacing w:line="20"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4A8A" w14:textId="77777777" w:rsidR="00FC14FC" w:rsidRPr="00A85997" w:rsidRDefault="00FC14FC" w:rsidP="00A85997">
    <w:pPr>
      <w:pStyle w:val="Header"/>
      <w:spacing w:line="20"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FC14FC" w14:paraId="3D41456A" w14:textId="77777777" w:rsidTr="00A85997">
      <w:trPr>
        <w:trHeight w:val="300"/>
      </w:trPr>
      <w:tc>
        <w:tcPr>
          <w:tcW w:w="2154" w:type="dxa"/>
          <w:tcBorders>
            <w:top w:val="single" w:sz="24" w:space="0" w:color="auto"/>
          </w:tcBorders>
          <w:shd w:val="clear" w:color="auto" w:fill="auto"/>
        </w:tcPr>
        <w:p w14:paraId="4705B875" w14:textId="77777777" w:rsidR="00FC14FC" w:rsidRDefault="00FC14FC" w:rsidP="00A85997">
          <w:pPr>
            <w:pStyle w:val="HeaderEven"/>
          </w:pPr>
        </w:p>
      </w:tc>
      <w:tc>
        <w:tcPr>
          <w:tcW w:w="6633" w:type="dxa"/>
          <w:tcBorders>
            <w:top w:val="single" w:sz="6" w:space="0" w:color="auto"/>
          </w:tcBorders>
          <w:shd w:val="clear" w:color="auto" w:fill="auto"/>
        </w:tcPr>
        <w:p w14:paraId="41824296" w14:textId="77777777" w:rsidR="00FC14FC" w:rsidRDefault="00FC14FC" w:rsidP="00A85997">
          <w:pPr>
            <w:pStyle w:val="HeaderEven"/>
          </w:pPr>
        </w:p>
      </w:tc>
    </w:tr>
  </w:tbl>
  <w:p w14:paraId="0C10D3F2" w14:textId="77777777" w:rsidR="00FC14FC" w:rsidRPr="00A85997" w:rsidRDefault="00FC14FC" w:rsidP="00A85997">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4ED3475"/>
    <w:multiLevelType w:val="hybridMultilevel"/>
    <w:tmpl w:val="A59AA688"/>
    <w:lvl w:ilvl="0" w:tplc="5BB0085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945581A"/>
    <w:multiLevelType w:val="hybridMultilevel"/>
    <w:tmpl w:val="24D09AE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531127"/>
    <w:multiLevelType w:val="hybridMultilevel"/>
    <w:tmpl w:val="24C8977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2061E08"/>
    <w:multiLevelType w:val="hybridMultilevel"/>
    <w:tmpl w:val="22823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3E27CBE"/>
    <w:multiLevelType w:val="hybridMultilevel"/>
    <w:tmpl w:val="CCB23D0C"/>
    <w:lvl w:ilvl="0" w:tplc="223A84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64917AC"/>
    <w:multiLevelType w:val="hybridMultilevel"/>
    <w:tmpl w:val="7ABCE2D4"/>
    <w:lvl w:ilvl="0" w:tplc="7AF22A86">
      <w:start w:val="6"/>
      <w:numFmt w:val="bullet"/>
      <w:pStyle w:val="TableBullet-level2"/>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17" w15:restartNumberingAfterBreak="0">
    <w:nsid w:val="1D421953"/>
    <w:multiLevelType w:val="hybridMultilevel"/>
    <w:tmpl w:val="C9E27E82"/>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15:restartNumberingAfterBreak="0">
    <w:nsid w:val="203D7DCD"/>
    <w:multiLevelType w:val="hybridMultilevel"/>
    <w:tmpl w:val="E7A8DB60"/>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15:restartNumberingAfterBreak="0">
    <w:nsid w:val="42D81F14"/>
    <w:multiLevelType w:val="hybridMultilevel"/>
    <w:tmpl w:val="BCCEB14C"/>
    <w:lvl w:ilvl="0" w:tplc="23FCBC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662E56"/>
    <w:multiLevelType w:val="hybridMultilevel"/>
    <w:tmpl w:val="CF3A8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3F0F31"/>
    <w:multiLevelType w:val="hybridMultilevel"/>
    <w:tmpl w:val="BE4AC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15:restartNumberingAfterBreak="0">
    <w:nsid w:val="56210B18"/>
    <w:multiLevelType w:val="hybridMultilevel"/>
    <w:tmpl w:val="A7284EAE"/>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EA405AB"/>
    <w:multiLevelType w:val="hybridMultilevel"/>
    <w:tmpl w:val="D3A26E02"/>
    <w:lvl w:ilvl="0" w:tplc="FC90AC56">
      <w:start w:val="4"/>
      <w:numFmt w:val="bullet"/>
      <w:lvlText w:val="-"/>
      <w:lvlJc w:val="left"/>
      <w:pPr>
        <w:ind w:left="720" w:hanging="360"/>
      </w:pPr>
      <w:rPr>
        <w:rFonts w:ascii="Times New Roman" w:eastAsia="Times New Roman" w:hAnsi="Times New Roman" w:cs="Times New Roman" w:hint="default"/>
        <w:b/>
        <w:color w:val="FF0000"/>
        <w:u w:val="dotte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4" w15:restartNumberingAfterBreak="0">
    <w:nsid w:val="67C71059"/>
    <w:multiLevelType w:val="hybridMultilevel"/>
    <w:tmpl w:val="41525484"/>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5" w15:restartNumberingAfterBreak="0">
    <w:nsid w:val="6C3D1DD6"/>
    <w:multiLevelType w:val="hybridMultilevel"/>
    <w:tmpl w:val="8232451C"/>
    <w:lvl w:ilvl="0" w:tplc="9654A464">
      <w:start w:val="1"/>
      <w:numFmt w:val="bullet"/>
      <w:lvlText w:val="•"/>
      <w:lvlJc w:val="left"/>
      <w:pPr>
        <w:tabs>
          <w:tab w:val="num" w:pos="720"/>
        </w:tabs>
        <w:ind w:left="720" w:hanging="360"/>
      </w:pPr>
      <w:rPr>
        <w:rFonts w:ascii="Arial" w:hAnsi="Arial" w:hint="default"/>
      </w:rPr>
    </w:lvl>
    <w:lvl w:ilvl="1" w:tplc="1C1A661C" w:tentative="1">
      <w:start w:val="1"/>
      <w:numFmt w:val="bullet"/>
      <w:lvlText w:val="•"/>
      <w:lvlJc w:val="left"/>
      <w:pPr>
        <w:tabs>
          <w:tab w:val="num" w:pos="1440"/>
        </w:tabs>
        <w:ind w:left="1440" w:hanging="360"/>
      </w:pPr>
      <w:rPr>
        <w:rFonts w:ascii="Arial" w:hAnsi="Arial" w:hint="default"/>
      </w:rPr>
    </w:lvl>
    <w:lvl w:ilvl="2" w:tplc="BC22D98E" w:tentative="1">
      <w:start w:val="1"/>
      <w:numFmt w:val="bullet"/>
      <w:lvlText w:val="•"/>
      <w:lvlJc w:val="left"/>
      <w:pPr>
        <w:tabs>
          <w:tab w:val="num" w:pos="2160"/>
        </w:tabs>
        <w:ind w:left="2160" w:hanging="360"/>
      </w:pPr>
      <w:rPr>
        <w:rFonts w:ascii="Arial" w:hAnsi="Arial" w:hint="default"/>
      </w:rPr>
    </w:lvl>
    <w:lvl w:ilvl="3" w:tplc="B9BA9BA8" w:tentative="1">
      <w:start w:val="1"/>
      <w:numFmt w:val="bullet"/>
      <w:lvlText w:val="•"/>
      <w:lvlJc w:val="left"/>
      <w:pPr>
        <w:tabs>
          <w:tab w:val="num" w:pos="2880"/>
        </w:tabs>
        <w:ind w:left="2880" w:hanging="360"/>
      </w:pPr>
      <w:rPr>
        <w:rFonts w:ascii="Arial" w:hAnsi="Arial" w:hint="default"/>
      </w:rPr>
    </w:lvl>
    <w:lvl w:ilvl="4" w:tplc="1CB24C00" w:tentative="1">
      <w:start w:val="1"/>
      <w:numFmt w:val="bullet"/>
      <w:lvlText w:val="•"/>
      <w:lvlJc w:val="left"/>
      <w:pPr>
        <w:tabs>
          <w:tab w:val="num" w:pos="3600"/>
        </w:tabs>
        <w:ind w:left="3600" w:hanging="360"/>
      </w:pPr>
      <w:rPr>
        <w:rFonts w:ascii="Arial" w:hAnsi="Arial" w:hint="default"/>
      </w:rPr>
    </w:lvl>
    <w:lvl w:ilvl="5" w:tplc="FB14CB24" w:tentative="1">
      <w:start w:val="1"/>
      <w:numFmt w:val="bullet"/>
      <w:lvlText w:val="•"/>
      <w:lvlJc w:val="left"/>
      <w:pPr>
        <w:tabs>
          <w:tab w:val="num" w:pos="4320"/>
        </w:tabs>
        <w:ind w:left="4320" w:hanging="360"/>
      </w:pPr>
      <w:rPr>
        <w:rFonts w:ascii="Arial" w:hAnsi="Arial" w:hint="default"/>
      </w:rPr>
    </w:lvl>
    <w:lvl w:ilvl="6" w:tplc="AD10C3F2" w:tentative="1">
      <w:start w:val="1"/>
      <w:numFmt w:val="bullet"/>
      <w:lvlText w:val="•"/>
      <w:lvlJc w:val="left"/>
      <w:pPr>
        <w:tabs>
          <w:tab w:val="num" w:pos="5040"/>
        </w:tabs>
        <w:ind w:left="5040" w:hanging="360"/>
      </w:pPr>
      <w:rPr>
        <w:rFonts w:ascii="Arial" w:hAnsi="Arial" w:hint="default"/>
      </w:rPr>
    </w:lvl>
    <w:lvl w:ilvl="7" w:tplc="9DC66532" w:tentative="1">
      <w:start w:val="1"/>
      <w:numFmt w:val="bullet"/>
      <w:lvlText w:val="•"/>
      <w:lvlJc w:val="left"/>
      <w:pPr>
        <w:tabs>
          <w:tab w:val="num" w:pos="5760"/>
        </w:tabs>
        <w:ind w:left="5760" w:hanging="360"/>
      </w:pPr>
      <w:rPr>
        <w:rFonts w:ascii="Arial" w:hAnsi="Arial" w:hint="default"/>
      </w:rPr>
    </w:lvl>
    <w:lvl w:ilvl="8" w:tplc="AEF6A4D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272C3C"/>
    <w:multiLevelType w:val="hybridMultilevel"/>
    <w:tmpl w:val="80DE6A64"/>
    <w:lvl w:ilvl="0" w:tplc="4AD43D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807E4E"/>
    <w:multiLevelType w:val="hybridMultilevel"/>
    <w:tmpl w:val="13003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0" w15:restartNumberingAfterBreak="0">
    <w:nsid w:val="7C982111"/>
    <w:multiLevelType w:val="multilevel"/>
    <w:tmpl w:val="E0B8929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Bullet"/>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3"/>
  </w:num>
  <w:num w:numId="3">
    <w:abstractNumId w:val="26"/>
  </w:num>
  <w:num w:numId="4">
    <w:abstractNumId w:val="4"/>
  </w:num>
  <w:num w:numId="5">
    <w:abstractNumId w:val="33"/>
  </w:num>
  <w:num w:numId="6">
    <w:abstractNumId w:val="28"/>
  </w:num>
  <w:num w:numId="7">
    <w:abstractNumId w:val="11"/>
  </w:num>
  <w:num w:numId="8">
    <w:abstractNumId w:val="27"/>
  </w:num>
  <w:num w:numId="9">
    <w:abstractNumId w:val="9"/>
  </w:num>
  <w:num w:numId="10">
    <w:abstractNumId w:val="8"/>
  </w:num>
  <w:num w:numId="11">
    <w:abstractNumId w:val="19"/>
  </w:num>
  <w:num w:numId="12">
    <w:abstractNumId w:val="20"/>
  </w:num>
  <w:num w:numId="13">
    <w:abstractNumId w:val="6"/>
  </w:num>
  <w:num w:numId="14">
    <w:abstractNumId w:val="30"/>
  </w:num>
  <w:num w:numId="15">
    <w:abstractNumId w:val="38"/>
  </w:num>
  <w:num w:numId="16">
    <w:abstractNumId w:val="25"/>
  </w:num>
  <w:num w:numId="17">
    <w:abstractNumId w:val="39"/>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2"/>
  </w:num>
  <w:num w:numId="21">
    <w:abstractNumId w:val="14"/>
  </w:num>
  <w:num w:numId="22">
    <w:abstractNumId w:val="37"/>
  </w:num>
  <w:num w:numId="23">
    <w:abstractNumId w:val="1"/>
  </w:num>
  <w:num w:numId="24">
    <w:abstractNumId w:val="31"/>
  </w:num>
  <w:num w:numId="25">
    <w:abstractNumId w:val="35"/>
  </w:num>
  <w:num w:numId="26">
    <w:abstractNumId w:val="13"/>
  </w:num>
  <w:num w:numId="27">
    <w:abstractNumId w:val="5"/>
  </w:num>
  <w:num w:numId="28">
    <w:abstractNumId w:val="36"/>
  </w:num>
  <w:num w:numId="29">
    <w:abstractNumId w:val="22"/>
  </w:num>
  <w:num w:numId="30">
    <w:abstractNumId w:val="24"/>
  </w:num>
  <w:num w:numId="31">
    <w:abstractNumId w:val="23"/>
  </w:num>
  <w:num w:numId="32">
    <w:abstractNumId w:val="12"/>
  </w:num>
  <w:num w:numId="33">
    <w:abstractNumId w:val="12"/>
  </w:num>
  <w:num w:numId="34">
    <w:abstractNumId w:val="34"/>
  </w:num>
  <w:num w:numId="35">
    <w:abstractNumId w:val="29"/>
  </w:num>
  <w:num w:numId="36">
    <w:abstractNumId w:val="18"/>
  </w:num>
  <w:num w:numId="37">
    <w:abstractNumId w:val="17"/>
  </w:num>
  <w:num w:numId="38">
    <w:abstractNumId w:val="7"/>
  </w:num>
  <w:num w:numId="39">
    <w:abstractNumId w:val="1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40"/>
  </w:num>
  <w:num w:numId="4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4"/>
    <w:docVar w:name="FindingOptions" w:val="1"/>
    <w:docVar w:name="RecOptions" w:val="111"/>
    <w:docVar w:name="ShortChapterTitle" w:val="Technical supplement 4"/>
    <w:docVar w:name="ShortReportTitle" w:val="Superannuation: Efficiency and Competitiveness"/>
  </w:docVars>
  <w:rsids>
    <w:rsidRoot w:val="00650A4F"/>
    <w:rsid w:val="00000CF4"/>
    <w:rsid w:val="00001CFC"/>
    <w:rsid w:val="0000204D"/>
    <w:rsid w:val="000021E4"/>
    <w:rsid w:val="00005115"/>
    <w:rsid w:val="00005C13"/>
    <w:rsid w:val="00007979"/>
    <w:rsid w:val="00007B15"/>
    <w:rsid w:val="00010589"/>
    <w:rsid w:val="000111EE"/>
    <w:rsid w:val="000113B2"/>
    <w:rsid w:val="00011545"/>
    <w:rsid w:val="00012734"/>
    <w:rsid w:val="000144B7"/>
    <w:rsid w:val="000154AB"/>
    <w:rsid w:val="00015CF9"/>
    <w:rsid w:val="00016E81"/>
    <w:rsid w:val="00017180"/>
    <w:rsid w:val="00017DCB"/>
    <w:rsid w:val="00020C06"/>
    <w:rsid w:val="000216D1"/>
    <w:rsid w:val="00021CD2"/>
    <w:rsid w:val="000227D5"/>
    <w:rsid w:val="00024562"/>
    <w:rsid w:val="000245AA"/>
    <w:rsid w:val="00025405"/>
    <w:rsid w:val="00025C1C"/>
    <w:rsid w:val="00025C5B"/>
    <w:rsid w:val="00026562"/>
    <w:rsid w:val="00027E41"/>
    <w:rsid w:val="000300E8"/>
    <w:rsid w:val="0003013A"/>
    <w:rsid w:val="00030865"/>
    <w:rsid w:val="00030C0D"/>
    <w:rsid w:val="000333AC"/>
    <w:rsid w:val="00033964"/>
    <w:rsid w:val="00033E9F"/>
    <w:rsid w:val="00034AEC"/>
    <w:rsid w:val="0003579D"/>
    <w:rsid w:val="00036523"/>
    <w:rsid w:val="0003664B"/>
    <w:rsid w:val="00037817"/>
    <w:rsid w:val="00037D90"/>
    <w:rsid w:val="00040338"/>
    <w:rsid w:val="0004111F"/>
    <w:rsid w:val="000426A8"/>
    <w:rsid w:val="0004374F"/>
    <w:rsid w:val="000477F3"/>
    <w:rsid w:val="00050262"/>
    <w:rsid w:val="00050284"/>
    <w:rsid w:val="00050A30"/>
    <w:rsid w:val="000521BD"/>
    <w:rsid w:val="0005295A"/>
    <w:rsid w:val="00052D62"/>
    <w:rsid w:val="000535B5"/>
    <w:rsid w:val="00054492"/>
    <w:rsid w:val="00055077"/>
    <w:rsid w:val="000557C1"/>
    <w:rsid w:val="000565B3"/>
    <w:rsid w:val="00056715"/>
    <w:rsid w:val="00057CD3"/>
    <w:rsid w:val="00057CEB"/>
    <w:rsid w:val="00057D85"/>
    <w:rsid w:val="000607E9"/>
    <w:rsid w:val="000619EE"/>
    <w:rsid w:val="00064BF4"/>
    <w:rsid w:val="0006572E"/>
    <w:rsid w:val="000672B2"/>
    <w:rsid w:val="00067AC4"/>
    <w:rsid w:val="00067F35"/>
    <w:rsid w:val="0007150B"/>
    <w:rsid w:val="00072871"/>
    <w:rsid w:val="00072A6D"/>
    <w:rsid w:val="000733AD"/>
    <w:rsid w:val="0007377A"/>
    <w:rsid w:val="00073E37"/>
    <w:rsid w:val="00074BCD"/>
    <w:rsid w:val="000756D0"/>
    <w:rsid w:val="0007621C"/>
    <w:rsid w:val="000778E0"/>
    <w:rsid w:val="000779FF"/>
    <w:rsid w:val="00077C89"/>
    <w:rsid w:val="00082A06"/>
    <w:rsid w:val="00082CFA"/>
    <w:rsid w:val="000830D5"/>
    <w:rsid w:val="00083563"/>
    <w:rsid w:val="00084993"/>
    <w:rsid w:val="00084A5F"/>
    <w:rsid w:val="00084E0D"/>
    <w:rsid w:val="000857C1"/>
    <w:rsid w:val="00086EF1"/>
    <w:rsid w:val="0009097C"/>
    <w:rsid w:val="000916B1"/>
    <w:rsid w:val="00091A20"/>
    <w:rsid w:val="00091FAA"/>
    <w:rsid w:val="00091FCD"/>
    <w:rsid w:val="000922C2"/>
    <w:rsid w:val="00092E4C"/>
    <w:rsid w:val="0009383C"/>
    <w:rsid w:val="000938F5"/>
    <w:rsid w:val="00093A0F"/>
    <w:rsid w:val="00094012"/>
    <w:rsid w:val="00094A9E"/>
    <w:rsid w:val="00095663"/>
    <w:rsid w:val="00096E55"/>
    <w:rsid w:val="0009783E"/>
    <w:rsid w:val="000A0FBE"/>
    <w:rsid w:val="000A2252"/>
    <w:rsid w:val="000A2965"/>
    <w:rsid w:val="000A2A34"/>
    <w:rsid w:val="000A2CC6"/>
    <w:rsid w:val="000A317B"/>
    <w:rsid w:val="000A3927"/>
    <w:rsid w:val="000A3BDE"/>
    <w:rsid w:val="000A3CA0"/>
    <w:rsid w:val="000A4EAA"/>
    <w:rsid w:val="000A722B"/>
    <w:rsid w:val="000A799A"/>
    <w:rsid w:val="000A7ABE"/>
    <w:rsid w:val="000B02C8"/>
    <w:rsid w:val="000B1022"/>
    <w:rsid w:val="000B200C"/>
    <w:rsid w:val="000B215E"/>
    <w:rsid w:val="000B5254"/>
    <w:rsid w:val="000B55D0"/>
    <w:rsid w:val="000B5DEC"/>
    <w:rsid w:val="000B601B"/>
    <w:rsid w:val="000C047C"/>
    <w:rsid w:val="000C0F9F"/>
    <w:rsid w:val="000C11F6"/>
    <w:rsid w:val="000C207E"/>
    <w:rsid w:val="000C2085"/>
    <w:rsid w:val="000C2650"/>
    <w:rsid w:val="000C2E16"/>
    <w:rsid w:val="000C591E"/>
    <w:rsid w:val="000C6FF5"/>
    <w:rsid w:val="000D02EF"/>
    <w:rsid w:val="000D0E2E"/>
    <w:rsid w:val="000D1AB0"/>
    <w:rsid w:val="000D1CCE"/>
    <w:rsid w:val="000D2FBE"/>
    <w:rsid w:val="000D3F61"/>
    <w:rsid w:val="000D41E9"/>
    <w:rsid w:val="000D48E2"/>
    <w:rsid w:val="000D48F5"/>
    <w:rsid w:val="000D490E"/>
    <w:rsid w:val="000D53F2"/>
    <w:rsid w:val="000D55DE"/>
    <w:rsid w:val="000D6C78"/>
    <w:rsid w:val="000E12A7"/>
    <w:rsid w:val="000E3300"/>
    <w:rsid w:val="000E37E2"/>
    <w:rsid w:val="000E4EED"/>
    <w:rsid w:val="000E4FCA"/>
    <w:rsid w:val="000E5092"/>
    <w:rsid w:val="000E6266"/>
    <w:rsid w:val="000E7535"/>
    <w:rsid w:val="000E7F9F"/>
    <w:rsid w:val="000F0035"/>
    <w:rsid w:val="000F04E7"/>
    <w:rsid w:val="000F060A"/>
    <w:rsid w:val="000F15B5"/>
    <w:rsid w:val="000F165A"/>
    <w:rsid w:val="000F2335"/>
    <w:rsid w:val="000F316C"/>
    <w:rsid w:val="000F420B"/>
    <w:rsid w:val="000F539C"/>
    <w:rsid w:val="000F5F35"/>
    <w:rsid w:val="000F6976"/>
    <w:rsid w:val="000F7533"/>
    <w:rsid w:val="001006DF"/>
    <w:rsid w:val="00100944"/>
    <w:rsid w:val="00101534"/>
    <w:rsid w:val="00101D5B"/>
    <w:rsid w:val="00101DFC"/>
    <w:rsid w:val="001023F6"/>
    <w:rsid w:val="00102E4F"/>
    <w:rsid w:val="00102EE8"/>
    <w:rsid w:val="00103820"/>
    <w:rsid w:val="001067E7"/>
    <w:rsid w:val="001067FF"/>
    <w:rsid w:val="00110116"/>
    <w:rsid w:val="00112940"/>
    <w:rsid w:val="001149C2"/>
    <w:rsid w:val="001166D9"/>
    <w:rsid w:val="001171F4"/>
    <w:rsid w:val="00117423"/>
    <w:rsid w:val="00120072"/>
    <w:rsid w:val="00120DF7"/>
    <w:rsid w:val="001217D2"/>
    <w:rsid w:val="0012291E"/>
    <w:rsid w:val="00122A25"/>
    <w:rsid w:val="00122BF0"/>
    <w:rsid w:val="0012538D"/>
    <w:rsid w:val="00125D3F"/>
    <w:rsid w:val="00125ED9"/>
    <w:rsid w:val="00126730"/>
    <w:rsid w:val="001267A5"/>
    <w:rsid w:val="00126EB8"/>
    <w:rsid w:val="00126F53"/>
    <w:rsid w:val="001274D4"/>
    <w:rsid w:val="00131AFC"/>
    <w:rsid w:val="00131ECD"/>
    <w:rsid w:val="0013296C"/>
    <w:rsid w:val="00133385"/>
    <w:rsid w:val="001346E9"/>
    <w:rsid w:val="00134FC5"/>
    <w:rsid w:val="00136293"/>
    <w:rsid w:val="001363AA"/>
    <w:rsid w:val="00136485"/>
    <w:rsid w:val="0013739A"/>
    <w:rsid w:val="0013746E"/>
    <w:rsid w:val="00137BAC"/>
    <w:rsid w:val="00140B51"/>
    <w:rsid w:val="00140E35"/>
    <w:rsid w:val="00142165"/>
    <w:rsid w:val="001430F2"/>
    <w:rsid w:val="001432B2"/>
    <w:rsid w:val="00143D13"/>
    <w:rsid w:val="0014436B"/>
    <w:rsid w:val="001445FD"/>
    <w:rsid w:val="00145369"/>
    <w:rsid w:val="001458EB"/>
    <w:rsid w:val="001516E7"/>
    <w:rsid w:val="00151EDF"/>
    <w:rsid w:val="001520FD"/>
    <w:rsid w:val="00152C3A"/>
    <w:rsid w:val="00152E11"/>
    <w:rsid w:val="001536D3"/>
    <w:rsid w:val="0015515E"/>
    <w:rsid w:val="00156DBA"/>
    <w:rsid w:val="001575E3"/>
    <w:rsid w:val="00160752"/>
    <w:rsid w:val="00161832"/>
    <w:rsid w:val="00162434"/>
    <w:rsid w:val="00162C57"/>
    <w:rsid w:val="00163191"/>
    <w:rsid w:val="001631A3"/>
    <w:rsid w:val="00163543"/>
    <w:rsid w:val="00163A84"/>
    <w:rsid w:val="00163FE1"/>
    <w:rsid w:val="00164246"/>
    <w:rsid w:val="001642B9"/>
    <w:rsid w:val="00164480"/>
    <w:rsid w:val="00164AEC"/>
    <w:rsid w:val="00164D72"/>
    <w:rsid w:val="001652B5"/>
    <w:rsid w:val="00170DCD"/>
    <w:rsid w:val="00172E85"/>
    <w:rsid w:val="001730F7"/>
    <w:rsid w:val="00173F61"/>
    <w:rsid w:val="00174207"/>
    <w:rsid w:val="00175BF2"/>
    <w:rsid w:val="00175D1D"/>
    <w:rsid w:val="001770DE"/>
    <w:rsid w:val="001771AF"/>
    <w:rsid w:val="00177DEF"/>
    <w:rsid w:val="0018139B"/>
    <w:rsid w:val="00181B63"/>
    <w:rsid w:val="00183BEF"/>
    <w:rsid w:val="00183C5D"/>
    <w:rsid w:val="00183E82"/>
    <w:rsid w:val="00184E2E"/>
    <w:rsid w:val="00185176"/>
    <w:rsid w:val="00185699"/>
    <w:rsid w:val="00186481"/>
    <w:rsid w:val="001878BB"/>
    <w:rsid w:val="00187B1E"/>
    <w:rsid w:val="00187B39"/>
    <w:rsid w:val="00187CB8"/>
    <w:rsid w:val="00187D78"/>
    <w:rsid w:val="001901EF"/>
    <w:rsid w:val="00191AE0"/>
    <w:rsid w:val="00191AF7"/>
    <w:rsid w:val="00191B90"/>
    <w:rsid w:val="00191BDE"/>
    <w:rsid w:val="001925D4"/>
    <w:rsid w:val="001926AD"/>
    <w:rsid w:val="001927C6"/>
    <w:rsid w:val="0019293B"/>
    <w:rsid w:val="00192A6F"/>
    <w:rsid w:val="00193850"/>
    <w:rsid w:val="0019426B"/>
    <w:rsid w:val="001943B4"/>
    <w:rsid w:val="001961D7"/>
    <w:rsid w:val="00196F6B"/>
    <w:rsid w:val="001972E0"/>
    <w:rsid w:val="001A1134"/>
    <w:rsid w:val="001A21D4"/>
    <w:rsid w:val="001A2C7B"/>
    <w:rsid w:val="001A48BD"/>
    <w:rsid w:val="001A4DD2"/>
    <w:rsid w:val="001A4F29"/>
    <w:rsid w:val="001A5A5E"/>
    <w:rsid w:val="001A5E7A"/>
    <w:rsid w:val="001A6017"/>
    <w:rsid w:val="001A6A4B"/>
    <w:rsid w:val="001A6ECA"/>
    <w:rsid w:val="001A703F"/>
    <w:rsid w:val="001B0DC0"/>
    <w:rsid w:val="001B22F7"/>
    <w:rsid w:val="001B3182"/>
    <w:rsid w:val="001B3F41"/>
    <w:rsid w:val="001B58C5"/>
    <w:rsid w:val="001C0865"/>
    <w:rsid w:val="001C0AED"/>
    <w:rsid w:val="001C15B0"/>
    <w:rsid w:val="001C17CA"/>
    <w:rsid w:val="001C2C1E"/>
    <w:rsid w:val="001C2D64"/>
    <w:rsid w:val="001C3966"/>
    <w:rsid w:val="001C3ABA"/>
    <w:rsid w:val="001C430F"/>
    <w:rsid w:val="001C4D19"/>
    <w:rsid w:val="001C5111"/>
    <w:rsid w:val="001C6656"/>
    <w:rsid w:val="001C67CA"/>
    <w:rsid w:val="001C6FE0"/>
    <w:rsid w:val="001D05CC"/>
    <w:rsid w:val="001D2927"/>
    <w:rsid w:val="001D3748"/>
    <w:rsid w:val="001D4123"/>
    <w:rsid w:val="001D480B"/>
    <w:rsid w:val="001D4E7D"/>
    <w:rsid w:val="001D6CDF"/>
    <w:rsid w:val="001D793D"/>
    <w:rsid w:val="001D7A78"/>
    <w:rsid w:val="001E0ACD"/>
    <w:rsid w:val="001E0DDB"/>
    <w:rsid w:val="001E0EC5"/>
    <w:rsid w:val="001E10EB"/>
    <w:rsid w:val="001E1C39"/>
    <w:rsid w:val="001E2061"/>
    <w:rsid w:val="001E243A"/>
    <w:rsid w:val="001E63A9"/>
    <w:rsid w:val="001E6421"/>
    <w:rsid w:val="001E7BE8"/>
    <w:rsid w:val="001F0053"/>
    <w:rsid w:val="001F0248"/>
    <w:rsid w:val="001F2B30"/>
    <w:rsid w:val="001F3171"/>
    <w:rsid w:val="001F3ADC"/>
    <w:rsid w:val="001F3EB3"/>
    <w:rsid w:val="001F4BBF"/>
    <w:rsid w:val="001F4C79"/>
    <w:rsid w:val="001F4DD1"/>
    <w:rsid w:val="001F4F86"/>
    <w:rsid w:val="001F5D65"/>
    <w:rsid w:val="001F6A64"/>
    <w:rsid w:val="001F72CA"/>
    <w:rsid w:val="001F7498"/>
    <w:rsid w:val="00200191"/>
    <w:rsid w:val="002012FF"/>
    <w:rsid w:val="002015F0"/>
    <w:rsid w:val="00201DA9"/>
    <w:rsid w:val="002020C5"/>
    <w:rsid w:val="002025B2"/>
    <w:rsid w:val="00202C2C"/>
    <w:rsid w:val="00203050"/>
    <w:rsid w:val="0021045D"/>
    <w:rsid w:val="00210B02"/>
    <w:rsid w:val="00211095"/>
    <w:rsid w:val="00212A61"/>
    <w:rsid w:val="002135AB"/>
    <w:rsid w:val="0021380C"/>
    <w:rsid w:val="00213CB8"/>
    <w:rsid w:val="00213DD7"/>
    <w:rsid w:val="002144BE"/>
    <w:rsid w:val="00214B48"/>
    <w:rsid w:val="00214D23"/>
    <w:rsid w:val="00216196"/>
    <w:rsid w:val="0021672A"/>
    <w:rsid w:val="0021675F"/>
    <w:rsid w:val="00221A3D"/>
    <w:rsid w:val="00222060"/>
    <w:rsid w:val="0022240D"/>
    <w:rsid w:val="00223596"/>
    <w:rsid w:val="00223C59"/>
    <w:rsid w:val="00224F41"/>
    <w:rsid w:val="00226875"/>
    <w:rsid w:val="00227AC6"/>
    <w:rsid w:val="00230E23"/>
    <w:rsid w:val="002320B8"/>
    <w:rsid w:val="00232250"/>
    <w:rsid w:val="0023260B"/>
    <w:rsid w:val="002329C5"/>
    <w:rsid w:val="00232F7F"/>
    <w:rsid w:val="0023405F"/>
    <w:rsid w:val="0023406A"/>
    <w:rsid w:val="0023588C"/>
    <w:rsid w:val="00236294"/>
    <w:rsid w:val="00236982"/>
    <w:rsid w:val="0023723E"/>
    <w:rsid w:val="002373C8"/>
    <w:rsid w:val="00237713"/>
    <w:rsid w:val="00240FE0"/>
    <w:rsid w:val="00242279"/>
    <w:rsid w:val="00242881"/>
    <w:rsid w:val="002436D1"/>
    <w:rsid w:val="002436D8"/>
    <w:rsid w:val="00243997"/>
    <w:rsid w:val="0024516C"/>
    <w:rsid w:val="002453C6"/>
    <w:rsid w:val="00245C82"/>
    <w:rsid w:val="00245EF4"/>
    <w:rsid w:val="00245FAF"/>
    <w:rsid w:val="0024657D"/>
    <w:rsid w:val="00247263"/>
    <w:rsid w:val="00247CA4"/>
    <w:rsid w:val="00250F1F"/>
    <w:rsid w:val="0025157F"/>
    <w:rsid w:val="002532DB"/>
    <w:rsid w:val="00253613"/>
    <w:rsid w:val="00255081"/>
    <w:rsid w:val="00255292"/>
    <w:rsid w:val="00255B6B"/>
    <w:rsid w:val="00256AB8"/>
    <w:rsid w:val="00256BE3"/>
    <w:rsid w:val="00257632"/>
    <w:rsid w:val="00257A3A"/>
    <w:rsid w:val="00257CCD"/>
    <w:rsid w:val="00257D33"/>
    <w:rsid w:val="002608CE"/>
    <w:rsid w:val="00263380"/>
    <w:rsid w:val="00263FBE"/>
    <w:rsid w:val="0026518F"/>
    <w:rsid w:val="00265740"/>
    <w:rsid w:val="00266310"/>
    <w:rsid w:val="00270413"/>
    <w:rsid w:val="00270BE2"/>
    <w:rsid w:val="00270DF3"/>
    <w:rsid w:val="002717AB"/>
    <w:rsid w:val="002724BA"/>
    <w:rsid w:val="00272D64"/>
    <w:rsid w:val="002741DB"/>
    <w:rsid w:val="00274829"/>
    <w:rsid w:val="0027539E"/>
    <w:rsid w:val="00275542"/>
    <w:rsid w:val="00276B6E"/>
    <w:rsid w:val="0027752A"/>
    <w:rsid w:val="00280A56"/>
    <w:rsid w:val="00282588"/>
    <w:rsid w:val="0028315B"/>
    <w:rsid w:val="0028328F"/>
    <w:rsid w:val="002863C0"/>
    <w:rsid w:val="00286716"/>
    <w:rsid w:val="00286D30"/>
    <w:rsid w:val="00291B40"/>
    <w:rsid w:val="00292507"/>
    <w:rsid w:val="00292652"/>
    <w:rsid w:val="00292C3A"/>
    <w:rsid w:val="002931EE"/>
    <w:rsid w:val="002939EF"/>
    <w:rsid w:val="002968FB"/>
    <w:rsid w:val="00296EAC"/>
    <w:rsid w:val="00297558"/>
    <w:rsid w:val="002A00D0"/>
    <w:rsid w:val="002A04ED"/>
    <w:rsid w:val="002A1B43"/>
    <w:rsid w:val="002A286F"/>
    <w:rsid w:val="002A2EC2"/>
    <w:rsid w:val="002A400E"/>
    <w:rsid w:val="002A470B"/>
    <w:rsid w:val="002A544F"/>
    <w:rsid w:val="002A5B61"/>
    <w:rsid w:val="002A6883"/>
    <w:rsid w:val="002A6DA4"/>
    <w:rsid w:val="002B1F20"/>
    <w:rsid w:val="002B2C4B"/>
    <w:rsid w:val="002B3196"/>
    <w:rsid w:val="002B4008"/>
    <w:rsid w:val="002B4772"/>
    <w:rsid w:val="002B4991"/>
    <w:rsid w:val="002B5007"/>
    <w:rsid w:val="002B7642"/>
    <w:rsid w:val="002C041D"/>
    <w:rsid w:val="002C27FE"/>
    <w:rsid w:val="002C33A8"/>
    <w:rsid w:val="002C343B"/>
    <w:rsid w:val="002C439F"/>
    <w:rsid w:val="002C4953"/>
    <w:rsid w:val="002C5A8C"/>
    <w:rsid w:val="002C6A77"/>
    <w:rsid w:val="002C6BBC"/>
    <w:rsid w:val="002C71F6"/>
    <w:rsid w:val="002D07DC"/>
    <w:rsid w:val="002D0C42"/>
    <w:rsid w:val="002D0E8E"/>
    <w:rsid w:val="002D1B3B"/>
    <w:rsid w:val="002D2C5D"/>
    <w:rsid w:val="002D3CCF"/>
    <w:rsid w:val="002D466E"/>
    <w:rsid w:val="002D5111"/>
    <w:rsid w:val="002D5C8B"/>
    <w:rsid w:val="002E00B8"/>
    <w:rsid w:val="002E03AA"/>
    <w:rsid w:val="002E1699"/>
    <w:rsid w:val="002E1A97"/>
    <w:rsid w:val="002E2E59"/>
    <w:rsid w:val="002E40DE"/>
    <w:rsid w:val="002E431A"/>
    <w:rsid w:val="002E4C97"/>
    <w:rsid w:val="002E4E3B"/>
    <w:rsid w:val="002E5F93"/>
    <w:rsid w:val="002E605F"/>
    <w:rsid w:val="002E62CB"/>
    <w:rsid w:val="002E7C3C"/>
    <w:rsid w:val="002F158D"/>
    <w:rsid w:val="002F17FE"/>
    <w:rsid w:val="002F36A1"/>
    <w:rsid w:val="002F4137"/>
    <w:rsid w:val="002F46CA"/>
    <w:rsid w:val="002F4FC2"/>
    <w:rsid w:val="002F5D21"/>
    <w:rsid w:val="002F7892"/>
    <w:rsid w:val="00300123"/>
    <w:rsid w:val="00300832"/>
    <w:rsid w:val="0030089A"/>
    <w:rsid w:val="00301189"/>
    <w:rsid w:val="00301E4A"/>
    <w:rsid w:val="00302919"/>
    <w:rsid w:val="003045BD"/>
    <w:rsid w:val="00306DA1"/>
    <w:rsid w:val="00306F5A"/>
    <w:rsid w:val="003072ED"/>
    <w:rsid w:val="00307556"/>
    <w:rsid w:val="003120BC"/>
    <w:rsid w:val="0031324D"/>
    <w:rsid w:val="003149EE"/>
    <w:rsid w:val="00316189"/>
    <w:rsid w:val="003168B8"/>
    <w:rsid w:val="0031705D"/>
    <w:rsid w:val="00320357"/>
    <w:rsid w:val="00320920"/>
    <w:rsid w:val="00320C87"/>
    <w:rsid w:val="00322D64"/>
    <w:rsid w:val="00323426"/>
    <w:rsid w:val="00323E09"/>
    <w:rsid w:val="00325026"/>
    <w:rsid w:val="0032506D"/>
    <w:rsid w:val="00325CF3"/>
    <w:rsid w:val="0032605D"/>
    <w:rsid w:val="0032766A"/>
    <w:rsid w:val="00327DEB"/>
    <w:rsid w:val="00330E23"/>
    <w:rsid w:val="003319BA"/>
    <w:rsid w:val="00331B3B"/>
    <w:rsid w:val="003323E4"/>
    <w:rsid w:val="00333932"/>
    <w:rsid w:val="0033453B"/>
    <w:rsid w:val="00334817"/>
    <w:rsid w:val="00334E3E"/>
    <w:rsid w:val="00335010"/>
    <w:rsid w:val="003357A5"/>
    <w:rsid w:val="003357FF"/>
    <w:rsid w:val="003370E2"/>
    <w:rsid w:val="003406AD"/>
    <w:rsid w:val="00340AA5"/>
    <w:rsid w:val="00340D10"/>
    <w:rsid w:val="00340F7B"/>
    <w:rsid w:val="00341560"/>
    <w:rsid w:val="00341645"/>
    <w:rsid w:val="0034181F"/>
    <w:rsid w:val="00342EBB"/>
    <w:rsid w:val="0034351E"/>
    <w:rsid w:val="00344C35"/>
    <w:rsid w:val="0034507A"/>
    <w:rsid w:val="00345AA3"/>
    <w:rsid w:val="003474B8"/>
    <w:rsid w:val="0035014C"/>
    <w:rsid w:val="00350B5E"/>
    <w:rsid w:val="00351337"/>
    <w:rsid w:val="003513A5"/>
    <w:rsid w:val="0035183F"/>
    <w:rsid w:val="003518AA"/>
    <w:rsid w:val="00352165"/>
    <w:rsid w:val="0035219D"/>
    <w:rsid w:val="003521AD"/>
    <w:rsid w:val="00353182"/>
    <w:rsid w:val="0035346A"/>
    <w:rsid w:val="0035394F"/>
    <w:rsid w:val="00353A13"/>
    <w:rsid w:val="00354902"/>
    <w:rsid w:val="0035498C"/>
    <w:rsid w:val="00355098"/>
    <w:rsid w:val="003565D9"/>
    <w:rsid w:val="003602E1"/>
    <w:rsid w:val="00361279"/>
    <w:rsid w:val="003622AD"/>
    <w:rsid w:val="00362926"/>
    <w:rsid w:val="00362FA9"/>
    <w:rsid w:val="00364BAE"/>
    <w:rsid w:val="00366D3F"/>
    <w:rsid w:val="0036719B"/>
    <w:rsid w:val="00367C89"/>
    <w:rsid w:val="0037026F"/>
    <w:rsid w:val="00371240"/>
    <w:rsid w:val="00371D06"/>
    <w:rsid w:val="00373FDB"/>
    <w:rsid w:val="00374731"/>
    <w:rsid w:val="00374AB0"/>
    <w:rsid w:val="00374FB2"/>
    <w:rsid w:val="00375068"/>
    <w:rsid w:val="00376E59"/>
    <w:rsid w:val="00377EC1"/>
    <w:rsid w:val="00380340"/>
    <w:rsid w:val="00381914"/>
    <w:rsid w:val="00383793"/>
    <w:rsid w:val="0038434B"/>
    <w:rsid w:val="00384A21"/>
    <w:rsid w:val="00384F1E"/>
    <w:rsid w:val="00384F73"/>
    <w:rsid w:val="003853C3"/>
    <w:rsid w:val="00385AFF"/>
    <w:rsid w:val="00385DCF"/>
    <w:rsid w:val="0038646A"/>
    <w:rsid w:val="003869BC"/>
    <w:rsid w:val="00386FFB"/>
    <w:rsid w:val="003872F5"/>
    <w:rsid w:val="00387727"/>
    <w:rsid w:val="0039178F"/>
    <w:rsid w:val="0039191E"/>
    <w:rsid w:val="003919F9"/>
    <w:rsid w:val="003920CF"/>
    <w:rsid w:val="0039222D"/>
    <w:rsid w:val="003929AD"/>
    <w:rsid w:val="0039335D"/>
    <w:rsid w:val="00394544"/>
    <w:rsid w:val="0039591E"/>
    <w:rsid w:val="00396D5B"/>
    <w:rsid w:val="003A3C28"/>
    <w:rsid w:val="003A3E8D"/>
    <w:rsid w:val="003A5B55"/>
    <w:rsid w:val="003A5DFD"/>
    <w:rsid w:val="003A6607"/>
    <w:rsid w:val="003A6E8C"/>
    <w:rsid w:val="003A7A27"/>
    <w:rsid w:val="003A7B5A"/>
    <w:rsid w:val="003A7C89"/>
    <w:rsid w:val="003B079A"/>
    <w:rsid w:val="003B0996"/>
    <w:rsid w:val="003B1DB6"/>
    <w:rsid w:val="003B23C2"/>
    <w:rsid w:val="003B27DF"/>
    <w:rsid w:val="003B5A79"/>
    <w:rsid w:val="003B6511"/>
    <w:rsid w:val="003B75FA"/>
    <w:rsid w:val="003B770E"/>
    <w:rsid w:val="003C0870"/>
    <w:rsid w:val="003C2B17"/>
    <w:rsid w:val="003C2DEE"/>
    <w:rsid w:val="003C38B5"/>
    <w:rsid w:val="003C4744"/>
    <w:rsid w:val="003C4DB3"/>
    <w:rsid w:val="003C5D99"/>
    <w:rsid w:val="003C5FF6"/>
    <w:rsid w:val="003C6087"/>
    <w:rsid w:val="003C65A8"/>
    <w:rsid w:val="003C7C28"/>
    <w:rsid w:val="003C7D16"/>
    <w:rsid w:val="003D0BE0"/>
    <w:rsid w:val="003D1087"/>
    <w:rsid w:val="003D14F1"/>
    <w:rsid w:val="003D1790"/>
    <w:rsid w:val="003D2CCB"/>
    <w:rsid w:val="003D2E6B"/>
    <w:rsid w:val="003D33AB"/>
    <w:rsid w:val="003D3A84"/>
    <w:rsid w:val="003D4B8F"/>
    <w:rsid w:val="003D5F7A"/>
    <w:rsid w:val="003D6BBD"/>
    <w:rsid w:val="003D700E"/>
    <w:rsid w:val="003E02B1"/>
    <w:rsid w:val="003E044A"/>
    <w:rsid w:val="003E2353"/>
    <w:rsid w:val="003E2F59"/>
    <w:rsid w:val="003E746B"/>
    <w:rsid w:val="003E77DA"/>
    <w:rsid w:val="003E797B"/>
    <w:rsid w:val="003E7DEA"/>
    <w:rsid w:val="003F0789"/>
    <w:rsid w:val="003F1ADE"/>
    <w:rsid w:val="003F37D0"/>
    <w:rsid w:val="003F3CF6"/>
    <w:rsid w:val="003F464D"/>
    <w:rsid w:val="003F60D8"/>
    <w:rsid w:val="003F7A80"/>
    <w:rsid w:val="004002EB"/>
    <w:rsid w:val="00400B68"/>
    <w:rsid w:val="00400ED3"/>
    <w:rsid w:val="00401882"/>
    <w:rsid w:val="0040246C"/>
    <w:rsid w:val="004026A1"/>
    <w:rsid w:val="004027E8"/>
    <w:rsid w:val="004053D1"/>
    <w:rsid w:val="00405F44"/>
    <w:rsid w:val="00406081"/>
    <w:rsid w:val="004078E5"/>
    <w:rsid w:val="004100C8"/>
    <w:rsid w:val="004106F4"/>
    <w:rsid w:val="00411452"/>
    <w:rsid w:val="00411933"/>
    <w:rsid w:val="00411DBD"/>
    <w:rsid w:val="00412351"/>
    <w:rsid w:val="004123C1"/>
    <w:rsid w:val="00412731"/>
    <w:rsid w:val="00412ACE"/>
    <w:rsid w:val="00413296"/>
    <w:rsid w:val="004136E1"/>
    <w:rsid w:val="00413DB2"/>
    <w:rsid w:val="0041415A"/>
    <w:rsid w:val="004145D2"/>
    <w:rsid w:val="00414847"/>
    <w:rsid w:val="00416957"/>
    <w:rsid w:val="004176B8"/>
    <w:rsid w:val="00420157"/>
    <w:rsid w:val="00422FA9"/>
    <w:rsid w:val="00423031"/>
    <w:rsid w:val="00423D8B"/>
    <w:rsid w:val="00424833"/>
    <w:rsid w:val="00425128"/>
    <w:rsid w:val="0042517F"/>
    <w:rsid w:val="004253DD"/>
    <w:rsid w:val="004255DB"/>
    <w:rsid w:val="00425946"/>
    <w:rsid w:val="00426CB4"/>
    <w:rsid w:val="0042769D"/>
    <w:rsid w:val="004309B4"/>
    <w:rsid w:val="00430C1B"/>
    <w:rsid w:val="00431249"/>
    <w:rsid w:val="004346FE"/>
    <w:rsid w:val="00434C19"/>
    <w:rsid w:val="0043687A"/>
    <w:rsid w:val="00437A13"/>
    <w:rsid w:val="00437E66"/>
    <w:rsid w:val="00440979"/>
    <w:rsid w:val="0044190E"/>
    <w:rsid w:val="004419D5"/>
    <w:rsid w:val="00443681"/>
    <w:rsid w:val="0044486C"/>
    <w:rsid w:val="0044518D"/>
    <w:rsid w:val="00445A49"/>
    <w:rsid w:val="00445AEC"/>
    <w:rsid w:val="00445EBF"/>
    <w:rsid w:val="00446952"/>
    <w:rsid w:val="00447CEF"/>
    <w:rsid w:val="00450810"/>
    <w:rsid w:val="00450875"/>
    <w:rsid w:val="00450A16"/>
    <w:rsid w:val="00450C57"/>
    <w:rsid w:val="00450DFB"/>
    <w:rsid w:val="00451C21"/>
    <w:rsid w:val="0045263F"/>
    <w:rsid w:val="004546DC"/>
    <w:rsid w:val="00454F19"/>
    <w:rsid w:val="0045692C"/>
    <w:rsid w:val="00460F20"/>
    <w:rsid w:val="004618BE"/>
    <w:rsid w:val="00462C59"/>
    <w:rsid w:val="00462D9A"/>
    <w:rsid w:val="004645D5"/>
    <w:rsid w:val="0046492F"/>
    <w:rsid w:val="00464966"/>
    <w:rsid w:val="00466068"/>
    <w:rsid w:val="00466785"/>
    <w:rsid w:val="00466D0B"/>
    <w:rsid w:val="0046777C"/>
    <w:rsid w:val="004700A7"/>
    <w:rsid w:val="00470737"/>
    <w:rsid w:val="00470832"/>
    <w:rsid w:val="0047190D"/>
    <w:rsid w:val="00472F41"/>
    <w:rsid w:val="004732F3"/>
    <w:rsid w:val="0047358F"/>
    <w:rsid w:val="00474159"/>
    <w:rsid w:val="00474E16"/>
    <w:rsid w:val="00475023"/>
    <w:rsid w:val="00477144"/>
    <w:rsid w:val="004772D2"/>
    <w:rsid w:val="00477718"/>
    <w:rsid w:val="004804A8"/>
    <w:rsid w:val="00481B35"/>
    <w:rsid w:val="0048279B"/>
    <w:rsid w:val="00482D59"/>
    <w:rsid w:val="004845F2"/>
    <w:rsid w:val="0048691D"/>
    <w:rsid w:val="00486C24"/>
    <w:rsid w:val="00486FBF"/>
    <w:rsid w:val="00487BB1"/>
    <w:rsid w:val="0049037A"/>
    <w:rsid w:val="00491380"/>
    <w:rsid w:val="00492DBD"/>
    <w:rsid w:val="0049459F"/>
    <w:rsid w:val="004948A1"/>
    <w:rsid w:val="00494EC2"/>
    <w:rsid w:val="00495B49"/>
    <w:rsid w:val="00497C97"/>
    <w:rsid w:val="004A0052"/>
    <w:rsid w:val="004A0EFE"/>
    <w:rsid w:val="004A1EC6"/>
    <w:rsid w:val="004A33DF"/>
    <w:rsid w:val="004A35C3"/>
    <w:rsid w:val="004A38DD"/>
    <w:rsid w:val="004A435C"/>
    <w:rsid w:val="004A466B"/>
    <w:rsid w:val="004A47D6"/>
    <w:rsid w:val="004A6BA7"/>
    <w:rsid w:val="004B0D7B"/>
    <w:rsid w:val="004B0FF3"/>
    <w:rsid w:val="004B2D25"/>
    <w:rsid w:val="004B3369"/>
    <w:rsid w:val="004B43AE"/>
    <w:rsid w:val="004B6A3C"/>
    <w:rsid w:val="004B6F8C"/>
    <w:rsid w:val="004C0861"/>
    <w:rsid w:val="004C0DDF"/>
    <w:rsid w:val="004C0F0E"/>
    <w:rsid w:val="004C129E"/>
    <w:rsid w:val="004C30ED"/>
    <w:rsid w:val="004C319A"/>
    <w:rsid w:val="004C3780"/>
    <w:rsid w:val="004C3C42"/>
    <w:rsid w:val="004C40E6"/>
    <w:rsid w:val="004C49E5"/>
    <w:rsid w:val="004C5433"/>
    <w:rsid w:val="004C573B"/>
    <w:rsid w:val="004C59C0"/>
    <w:rsid w:val="004C5C67"/>
    <w:rsid w:val="004C5CFB"/>
    <w:rsid w:val="004C72F0"/>
    <w:rsid w:val="004C7E5B"/>
    <w:rsid w:val="004D0865"/>
    <w:rsid w:val="004D0C6F"/>
    <w:rsid w:val="004D278E"/>
    <w:rsid w:val="004D5210"/>
    <w:rsid w:val="004D527E"/>
    <w:rsid w:val="004D5670"/>
    <w:rsid w:val="004D5675"/>
    <w:rsid w:val="004D762C"/>
    <w:rsid w:val="004E04BF"/>
    <w:rsid w:val="004E0D41"/>
    <w:rsid w:val="004E195D"/>
    <w:rsid w:val="004E1DBE"/>
    <w:rsid w:val="004E273C"/>
    <w:rsid w:val="004E67E7"/>
    <w:rsid w:val="004F07A7"/>
    <w:rsid w:val="004F086D"/>
    <w:rsid w:val="004F18F0"/>
    <w:rsid w:val="004F1A85"/>
    <w:rsid w:val="004F1E91"/>
    <w:rsid w:val="004F3242"/>
    <w:rsid w:val="004F472D"/>
    <w:rsid w:val="004F4900"/>
    <w:rsid w:val="004F4A39"/>
    <w:rsid w:val="004F6600"/>
    <w:rsid w:val="004F74A5"/>
    <w:rsid w:val="005012CF"/>
    <w:rsid w:val="005021FD"/>
    <w:rsid w:val="0050582B"/>
    <w:rsid w:val="00506656"/>
    <w:rsid w:val="0050690F"/>
    <w:rsid w:val="005117D6"/>
    <w:rsid w:val="00512FD7"/>
    <w:rsid w:val="0051306E"/>
    <w:rsid w:val="00514D3A"/>
    <w:rsid w:val="00517795"/>
    <w:rsid w:val="00520413"/>
    <w:rsid w:val="005204E4"/>
    <w:rsid w:val="00521AA7"/>
    <w:rsid w:val="00523639"/>
    <w:rsid w:val="00523EE5"/>
    <w:rsid w:val="0052403B"/>
    <w:rsid w:val="00524315"/>
    <w:rsid w:val="00525257"/>
    <w:rsid w:val="005264DA"/>
    <w:rsid w:val="00530C92"/>
    <w:rsid w:val="00531FE5"/>
    <w:rsid w:val="00532FA7"/>
    <w:rsid w:val="00533FC0"/>
    <w:rsid w:val="005340C6"/>
    <w:rsid w:val="00536BFB"/>
    <w:rsid w:val="00536EFB"/>
    <w:rsid w:val="005402FA"/>
    <w:rsid w:val="00541E1A"/>
    <w:rsid w:val="005429D6"/>
    <w:rsid w:val="00542AA5"/>
    <w:rsid w:val="00542C8B"/>
    <w:rsid w:val="00543B4D"/>
    <w:rsid w:val="00544ED5"/>
    <w:rsid w:val="0054502D"/>
    <w:rsid w:val="00546601"/>
    <w:rsid w:val="00547320"/>
    <w:rsid w:val="005519D6"/>
    <w:rsid w:val="00551B2C"/>
    <w:rsid w:val="00551D11"/>
    <w:rsid w:val="00552291"/>
    <w:rsid w:val="00552B94"/>
    <w:rsid w:val="00552FE6"/>
    <w:rsid w:val="00553035"/>
    <w:rsid w:val="00553C71"/>
    <w:rsid w:val="00554001"/>
    <w:rsid w:val="005548BA"/>
    <w:rsid w:val="005551CC"/>
    <w:rsid w:val="00555256"/>
    <w:rsid w:val="005553E8"/>
    <w:rsid w:val="00555B6E"/>
    <w:rsid w:val="00555BE8"/>
    <w:rsid w:val="00555F09"/>
    <w:rsid w:val="00556EF0"/>
    <w:rsid w:val="00556F2C"/>
    <w:rsid w:val="00556F51"/>
    <w:rsid w:val="00557960"/>
    <w:rsid w:val="00557F30"/>
    <w:rsid w:val="00560512"/>
    <w:rsid w:val="00561E97"/>
    <w:rsid w:val="00563B23"/>
    <w:rsid w:val="00564DE8"/>
    <w:rsid w:val="00566B5B"/>
    <w:rsid w:val="00566C5D"/>
    <w:rsid w:val="00567511"/>
    <w:rsid w:val="00567DE3"/>
    <w:rsid w:val="00567EF0"/>
    <w:rsid w:val="005729BD"/>
    <w:rsid w:val="00572ACB"/>
    <w:rsid w:val="00572E21"/>
    <w:rsid w:val="005730EE"/>
    <w:rsid w:val="00573437"/>
    <w:rsid w:val="00573BE3"/>
    <w:rsid w:val="00573EC0"/>
    <w:rsid w:val="005740F5"/>
    <w:rsid w:val="005743E5"/>
    <w:rsid w:val="00576BE6"/>
    <w:rsid w:val="00577671"/>
    <w:rsid w:val="005777CE"/>
    <w:rsid w:val="00577C71"/>
    <w:rsid w:val="00580122"/>
    <w:rsid w:val="00580154"/>
    <w:rsid w:val="005808F2"/>
    <w:rsid w:val="0058195B"/>
    <w:rsid w:val="00581A87"/>
    <w:rsid w:val="00582070"/>
    <w:rsid w:val="00582D5B"/>
    <w:rsid w:val="00582D89"/>
    <w:rsid w:val="0058308F"/>
    <w:rsid w:val="00583146"/>
    <w:rsid w:val="0058334B"/>
    <w:rsid w:val="0058395A"/>
    <w:rsid w:val="00583C39"/>
    <w:rsid w:val="00583C66"/>
    <w:rsid w:val="005842AD"/>
    <w:rsid w:val="00584C2D"/>
    <w:rsid w:val="00586199"/>
    <w:rsid w:val="00586A90"/>
    <w:rsid w:val="00586C16"/>
    <w:rsid w:val="00586FB5"/>
    <w:rsid w:val="00587105"/>
    <w:rsid w:val="00587476"/>
    <w:rsid w:val="005877BB"/>
    <w:rsid w:val="00587F28"/>
    <w:rsid w:val="0059099D"/>
    <w:rsid w:val="005909CF"/>
    <w:rsid w:val="00590DA4"/>
    <w:rsid w:val="0059110C"/>
    <w:rsid w:val="005911B5"/>
    <w:rsid w:val="00591E71"/>
    <w:rsid w:val="00592ACF"/>
    <w:rsid w:val="005932C0"/>
    <w:rsid w:val="00593317"/>
    <w:rsid w:val="00593A87"/>
    <w:rsid w:val="00593BF3"/>
    <w:rsid w:val="00594B6D"/>
    <w:rsid w:val="00594DA3"/>
    <w:rsid w:val="005950B9"/>
    <w:rsid w:val="00596B2E"/>
    <w:rsid w:val="005978DD"/>
    <w:rsid w:val="00597A14"/>
    <w:rsid w:val="005A0800"/>
    <w:rsid w:val="005A0D41"/>
    <w:rsid w:val="005A18E0"/>
    <w:rsid w:val="005A18ED"/>
    <w:rsid w:val="005A1F5B"/>
    <w:rsid w:val="005A3549"/>
    <w:rsid w:val="005A4C7C"/>
    <w:rsid w:val="005A526A"/>
    <w:rsid w:val="005A6C25"/>
    <w:rsid w:val="005A72E2"/>
    <w:rsid w:val="005B1AFC"/>
    <w:rsid w:val="005B3958"/>
    <w:rsid w:val="005B5176"/>
    <w:rsid w:val="005B5C9C"/>
    <w:rsid w:val="005C17B4"/>
    <w:rsid w:val="005C2516"/>
    <w:rsid w:val="005C2A92"/>
    <w:rsid w:val="005C2EFB"/>
    <w:rsid w:val="005C3446"/>
    <w:rsid w:val="005C36FA"/>
    <w:rsid w:val="005C3C16"/>
    <w:rsid w:val="005C4066"/>
    <w:rsid w:val="005C40BA"/>
    <w:rsid w:val="005C6361"/>
    <w:rsid w:val="005C6A8A"/>
    <w:rsid w:val="005C7B8D"/>
    <w:rsid w:val="005D01B2"/>
    <w:rsid w:val="005D048D"/>
    <w:rsid w:val="005D05FF"/>
    <w:rsid w:val="005D0A3B"/>
    <w:rsid w:val="005D2ADC"/>
    <w:rsid w:val="005D329F"/>
    <w:rsid w:val="005D5F2F"/>
    <w:rsid w:val="005D5F69"/>
    <w:rsid w:val="005D6051"/>
    <w:rsid w:val="005D6C72"/>
    <w:rsid w:val="005D74F3"/>
    <w:rsid w:val="005D7948"/>
    <w:rsid w:val="005E0B9F"/>
    <w:rsid w:val="005E1081"/>
    <w:rsid w:val="005E247F"/>
    <w:rsid w:val="005E44C4"/>
    <w:rsid w:val="005E522F"/>
    <w:rsid w:val="005E5603"/>
    <w:rsid w:val="005E5702"/>
    <w:rsid w:val="005E58E5"/>
    <w:rsid w:val="005E65E8"/>
    <w:rsid w:val="005E6B7E"/>
    <w:rsid w:val="005E6FFA"/>
    <w:rsid w:val="005F04E2"/>
    <w:rsid w:val="005F1A9D"/>
    <w:rsid w:val="005F2080"/>
    <w:rsid w:val="005F2FBD"/>
    <w:rsid w:val="005F3469"/>
    <w:rsid w:val="005F37DB"/>
    <w:rsid w:val="005F48ED"/>
    <w:rsid w:val="005F5060"/>
    <w:rsid w:val="005F5ACA"/>
    <w:rsid w:val="005F5DBA"/>
    <w:rsid w:val="0060050B"/>
    <w:rsid w:val="00601B38"/>
    <w:rsid w:val="00603AD9"/>
    <w:rsid w:val="00603CB1"/>
    <w:rsid w:val="006057DA"/>
    <w:rsid w:val="00605A28"/>
    <w:rsid w:val="00606AFD"/>
    <w:rsid w:val="00606E78"/>
    <w:rsid w:val="00606F28"/>
    <w:rsid w:val="00607BF1"/>
    <w:rsid w:val="00610E1E"/>
    <w:rsid w:val="00612255"/>
    <w:rsid w:val="0061273E"/>
    <w:rsid w:val="0061380D"/>
    <w:rsid w:val="00616032"/>
    <w:rsid w:val="0061702C"/>
    <w:rsid w:val="006179EC"/>
    <w:rsid w:val="006202E4"/>
    <w:rsid w:val="0062058C"/>
    <w:rsid w:val="00620764"/>
    <w:rsid w:val="00621693"/>
    <w:rsid w:val="006242C8"/>
    <w:rsid w:val="006242F7"/>
    <w:rsid w:val="0062436D"/>
    <w:rsid w:val="00624ECC"/>
    <w:rsid w:val="00625941"/>
    <w:rsid w:val="0063011D"/>
    <w:rsid w:val="0063078E"/>
    <w:rsid w:val="00630D4D"/>
    <w:rsid w:val="00631199"/>
    <w:rsid w:val="00632A74"/>
    <w:rsid w:val="00632B12"/>
    <w:rsid w:val="006333D4"/>
    <w:rsid w:val="00633DDD"/>
    <w:rsid w:val="00634562"/>
    <w:rsid w:val="0063583F"/>
    <w:rsid w:val="00635CDD"/>
    <w:rsid w:val="00640418"/>
    <w:rsid w:val="0064076C"/>
    <w:rsid w:val="006415FA"/>
    <w:rsid w:val="00641C6E"/>
    <w:rsid w:val="00642CC5"/>
    <w:rsid w:val="00642CEF"/>
    <w:rsid w:val="006441BA"/>
    <w:rsid w:val="00645D24"/>
    <w:rsid w:val="00645EE5"/>
    <w:rsid w:val="00646955"/>
    <w:rsid w:val="00647F8C"/>
    <w:rsid w:val="0065097A"/>
    <w:rsid w:val="00650A4F"/>
    <w:rsid w:val="00651EA1"/>
    <w:rsid w:val="00652CC4"/>
    <w:rsid w:val="00653B52"/>
    <w:rsid w:val="00654413"/>
    <w:rsid w:val="00654D42"/>
    <w:rsid w:val="00655E53"/>
    <w:rsid w:val="00655ECE"/>
    <w:rsid w:val="006602CB"/>
    <w:rsid w:val="0066046F"/>
    <w:rsid w:val="006620C4"/>
    <w:rsid w:val="00662B0A"/>
    <w:rsid w:val="00663785"/>
    <w:rsid w:val="00663804"/>
    <w:rsid w:val="00663F07"/>
    <w:rsid w:val="006644EE"/>
    <w:rsid w:val="00664F43"/>
    <w:rsid w:val="00665030"/>
    <w:rsid w:val="0066639F"/>
    <w:rsid w:val="00666E02"/>
    <w:rsid w:val="00670368"/>
    <w:rsid w:val="00670AD4"/>
    <w:rsid w:val="006730B9"/>
    <w:rsid w:val="0067330A"/>
    <w:rsid w:val="00676FC8"/>
    <w:rsid w:val="00677676"/>
    <w:rsid w:val="00677C2D"/>
    <w:rsid w:val="00677FA5"/>
    <w:rsid w:val="0068420A"/>
    <w:rsid w:val="00684407"/>
    <w:rsid w:val="0068516F"/>
    <w:rsid w:val="00685407"/>
    <w:rsid w:val="00686256"/>
    <w:rsid w:val="00686939"/>
    <w:rsid w:val="00686FD5"/>
    <w:rsid w:val="006878CB"/>
    <w:rsid w:val="00690CD1"/>
    <w:rsid w:val="0069203F"/>
    <w:rsid w:val="00692468"/>
    <w:rsid w:val="00692A17"/>
    <w:rsid w:val="0069491F"/>
    <w:rsid w:val="00694A44"/>
    <w:rsid w:val="00695162"/>
    <w:rsid w:val="0069557F"/>
    <w:rsid w:val="0069594B"/>
    <w:rsid w:val="00695A1D"/>
    <w:rsid w:val="00696D90"/>
    <w:rsid w:val="00696EC3"/>
    <w:rsid w:val="0069722B"/>
    <w:rsid w:val="006976E8"/>
    <w:rsid w:val="006A125E"/>
    <w:rsid w:val="006A24B0"/>
    <w:rsid w:val="006A267D"/>
    <w:rsid w:val="006A2745"/>
    <w:rsid w:val="006A40FC"/>
    <w:rsid w:val="006A4655"/>
    <w:rsid w:val="006A4B92"/>
    <w:rsid w:val="006A7272"/>
    <w:rsid w:val="006A7CC6"/>
    <w:rsid w:val="006B0DE2"/>
    <w:rsid w:val="006B1131"/>
    <w:rsid w:val="006B1E73"/>
    <w:rsid w:val="006B2B3C"/>
    <w:rsid w:val="006B4277"/>
    <w:rsid w:val="006B4D98"/>
    <w:rsid w:val="006B665E"/>
    <w:rsid w:val="006B6CFB"/>
    <w:rsid w:val="006B7146"/>
    <w:rsid w:val="006B75F9"/>
    <w:rsid w:val="006B7790"/>
    <w:rsid w:val="006C0150"/>
    <w:rsid w:val="006C113F"/>
    <w:rsid w:val="006C1D81"/>
    <w:rsid w:val="006C2C67"/>
    <w:rsid w:val="006C316D"/>
    <w:rsid w:val="006C31BD"/>
    <w:rsid w:val="006C4E69"/>
    <w:rsid w:val="006C51B3"/>
    <w:rsid w:val="006C5CEA"/>
    <w:rsid w:val="006C7038"/>
    <w:rsid w:val="006C7558"/>
    <w:rsid w:val="006D0C26"/>
    <w:rsid w:val="006D2953"/>
    <w:rsid w:val="006D2DE9"/>
    <w:rsid w:val="006D3168"/>
    <w:rsid w:val="006D4A2A"/>
    <w:rsid w:val="006D73F3"/>
    <w:rsid w:val="006D7921"/>
    <w:rsid w:val="006D7E7D"/>
    <w:rsid w:val="006E0B06"/>
    <w:rsid w:val="006E0BA8"/>
    <w:rsid w:val="006E18D8"/>
    <w:rsid w:val="006E2206"/>
    <w:rsid w:val="006E2A00"/>
    <w:rsid w:val="006E3514"/>
    <w:rsid w:val="006E4582"/>
    <w:rsid w:val="006E4DE7"/>
    <w:rsid w:val="006E5445"/>
    <w:rsid w:val="006E6C90"/>
    <w:rsid w:val="006E73EF"/>
    <w:rsid w:val="006E7C24"/>
    <w:rsid w:val="006F00AA"/>
    <w:rsid w:val="006F0404"/>
    <w:rsid w:val="006F0F29"/>
    <w:rsid w:val="006F1982"/>
    <w:rsid w:val="006F2D5D"/>
    <w:rsid w:val="006F3E11"/>
    <w:rsid w:val="006F3F46"/>
    <w:rsid w:val="006F7A09"/>
    <w:rsid w:val="00701145"/>
    <w:rsid w:val="0070168D"/>
    <w:rsid w:val="00702878"/>
    <w:rsid w:val="00702931"/>
    <w:rsid w:val="00703565"/>
    <w:rsid w:val="007041D8"/>
    <w:rsid w:val="00704A50"/>
    <w:rsid w:val="00707387"/>
    <w:rsid w:val="00707751"/>
    <w:rsid w:val="007079C9"/>
    <w:rsid w:val="007114CC"/>
    <w:rsid w:val="00711DD3"/>
    <w:rsid w:val="00712406"/>
    <w:rsid w:val="00713ADF"/>
    <w:rsid w:val="00714571"/>
    <w:rsid w:val="00714D4D"/>
    <w:rsid w:val="00714F1A"/>
    <w:rsid w:val="00714F95"/>
    <w:rsid w:val="00715B6F"/>
    <w:rsid w:val="0071624D"/>
    <w:rsid w:val="00717880"/>
    <w:rsid w:val="00720C22"/>
    <w:rsid w:val="00721A42"/>
    <w:rsid w:val="00721ACF"/>
    <w:rsid w:val="00722414"/>
    <w:rsid w:val="00723526"/>
    <w:rsid w:val="00723A63"/>
    <w:rsid w:val="00724832"/>
    <w:rsid w:val="00725254"/>
    <w:rsid w:val="007254F1"/>
    <w:rsid w:val="00726315"/>
    <w:rsid w:val="007264AD"/>
    <w:rsid w:val="007266D3"/>
    <w:rsid w:val="00732029"/>
    <w:rsid w:val="007323A3"/>
    <w:rsid w:val="00733C11"/>
    <w:rsid w:val="00733D39"/>
    <w:rsid w:val="00734DCF"/>
    <w:rsid w:val="00736067"/>
    <w:rsid w:val="00740D4A"/>
    <w:rsid w:val="007410BA"/>
    <w:rsid w:val="007429FE"/>
    <w:rsid w:val="00742C50"/>
    <w:rsid w:val="0074319B"/>
    <w:rsid w:val="007432B3"/>
    <w:rsid w:val="007439F4"/>
    <w:rsid w:val="0074461C"/>
    <w:rsid w:val="00746582"/>
    <w:rsid w:val="00746B4C"/>
    <w:rsid w:val="00747E7A"/>
    <w:rsid w:val="00750AED"/>
    <w:rsid w:val="00750E3A"/>
    <w:rsid w:val="007531C0"/>
    <w:rsid w:val="00753223"/>
    <w:rsid w:val="00753497"/>
    <w:rsid w:val="00754FEB"/>
    <w:rsid w:val="0075504E"/>
    <w:rsid w:val="0075511D"/>
    <w:rsid w:val="007553A7"/>
    <w:rsid w:val="007558F3"/>
    <w:rsid w:val="00760161"/>
    <w:rsid w:val="007604BB"/>
    <w:rsid w:val="00760E7D"/>
    <w:rsid w:val="007610C9"/>
    <w:rsid w:val="00762756"/>
    <w:rsid w:val="00762EBA"/>
    <w:rsid w:val="00763529"/>
    <w:rsid w:val="00763843"/>
    <w:rsid w:val="0076699E"/>
    <w:rsid w:val="00766DE2"/>
    <w:rsid w:val="00767191"/>
    <w:rsid w:val="007702F6"/>
    <w:rsid w:val="00770F41"/>
    <w:rsid w:val="00771034"/>
    <w:rsid w:val="00772909"/>
    <w:rsid w:val="0077298B"/>
    <w:rsid w:val="00772D6E"/>
    <w:rsid w:val="00772E3C"/>
    <w:rsid w:val="00772FAC"/>
    <w:rsid w:val="00774ACA"/>
    <w:rsid w:val="00774C7C"/>
    <w:rsid w:val="00776DD3"/>
    <w:rsid w:val="00777478"/>
    <w:rsid w:val="007801F8"/>
    <w:rsid w:val="00783368"/>
    <w:rsid w:val="00783B03"/>
    <w:rsid w:val="0078407E"/>
    <w:rsid w:val="00785232"/>
    <w:rsid w:val="0078567A"/>
    <w:rsid w:val="00785F76"/>
    <w:rsid w:val="00786331"/>
    <w:rsid w:val="00792567"/>
    <w:rsid w:val="007950D6"/>
    <w:rsid w:val="0079570D"/>
    <w:rsid w:val="00795779"/>
    <w:rsid w:val="0079580E"/>
    <w:rsid w:val="00796A34"/>
    <w:rsid w:val="0079701E"/>
    <w:rsid w:val="0079787A"/>
    <w:rsid w:val="007A076E"/>
    <w:rsid w:val="007A0FE0"/>
    <w:rsid w:val="007A17A8"/>
    <w:rsid w:val="007A21EB"/>
    <w:rsid w:val="007A2905"/>
    <w:rsid w:val="007B1A93"/>
    <w:rsid w:val="007B2AE1"/>
    <w:rsid w:val="007B329B"/>
    <w:rsid w:val="007B34AC"/>
    <w:rsid w:val="007B4D4A"/>
    <w:rsid w:val="007B5307"/>
    <w:rsid w:val="007B5656"/>
    <w:rsid w:val="007B65B2"/>
    <w:rsid w:val="007B794B"/>
    <w:rsid w:val="007C0840"/>
    <w:rsid w:val="007C0A6F"/>
    <w:rsid w:val="007C0CC3"/>
    <w:rsid w:val="007C1166"/>
    <w:rsid w:val="007C27AC"/>
    <w:rsid w:val="007C28FA"/>
    <w:rsid w:val="007C2A7E"/>
    <w:rsid w:val="007C33D7"/>
    <w:rsid w:val="007C36C9"/>
    <w:rsid w:val="007C5946"/>
    <w:rsid w:val="007C6996"/>
    <w:rsid w:val="007D1200"/>
    <w:rsid w:val="007D1371"/>
    <w:rsid w:val="007D1A32"/>
    <w:rsid w:val="007D1CAD"/>
    <w:rsid w:val="007D31BB"/>
    <w:rsid w:val="007D3D91"/>
    <w:rsid w:val="007D58C2"/>
    <w:rsid w:val="007D6101"/>
    <w:rsid w:val="007D6401"/>
    <w:rsid w:val="007E01E4"/>
    <w:rsid w:val="007E0C0B"/>
    <w:rsid w:val="007E0F35"/>
    <w:rsid w:val="007E1223"/>
    <w:rsid w:val="007E186D"/>
    <w:rsid w:val="007E32FA"/>
    <w:rsid w:val="007E4760"/>
    <w:rsid w:val="007E586B"/>
    <w:rsid w:val="007E5B77"/>
    <w:rsid w:val="007E65B4"/>
    <w:rsid w:val="007E66C3"/>
    <w:rsid w:val="007E7A12"/>
    <w:rsid w:val="007E7E37"/>
    <w:rsid w:val="007E7E5B"/>
    <w:rsid w:val="007F10C7"/>
    <w:rsid w:val="007F1B16"/>
    <w:rsid w:val="007F1EC5"/>
    <w:rsid w:val="007F2436"/>
    <w:rsid w:val="007F3BC5"/>
    <w:rsid w:val="007F5E91"/>
    <w:rsid w:val="007F6B22"/>
    <w:rsid w:val="007F6EFD"/>
    <w:rsid w:val="007F7107"/>
    <w:rsid w:val="00800D4C"/>
    <w:rsid w:val="00800E0A"/>
    <w:rsid w:val="008044A6"/>
    <w:rsid w:val="008053E4"/>
    <w:rsid w:val="008056A5"/>
    <w:rsid w:val="008065F7"/>
    <w:rsid w:val="00806B08"/>
    <w:rsid w:val="00806E3B"/>
    <w:rsid w:val="0080783D"/>
    <w:rsid w:val="0081030F"/>
    <w:rsid w:val="008111B3"/>
    <w:rsid w:val="008113C3"/>
    <w:rsid w:val="00811C52"/>
    <w:rsid w:val="00812F4A"/>
    <w:rsid w:val="0081358A"/>
    <w:rsid w:val="00813DB9"/>
    <w:rsid w:val="008142F7"/>
    <w:rsid w:val="00816BF3"/>
    <w:rsid w:val="0082087D"/>
    <w:rsid w:val="00824F54"/>
    <w:rsid w:val="00826F45"/>
    <w:rsid w:val="008271A7"/>
    <w:rsid w:val="00831F86"/>
    <w:rsid w:val="00832AC4"/>
    <w:rsid w:val="00832FE7"/>
    <w:rsid w:val="0083331C"/>
    <w:rsid w:val="008353A1"/>
    <w:rsid w:val="00835626"/>
    <w:rsid w:val="00835771"/>
    <w:rsid w:val="00836DC9"/>
    <w:rsid w:val="00837E9F"/>
    <w:rsid w:val="00840268"/>
    <w:rsid w:val="008412F4"/>
    <w:rsid w:val="0084234F"/>
    <w:rsid w:val="00842933"/>
    <w:rsid w:val="00842F05"/>
    <w:rsid w:val="008433E5"/>
    <w:rsid w:val="00844A13"/>
    <w:rsid w:val="0084555A"/>
    <w:rsid w:val="00845B73"/>
    <w:rsid w:val="00846844"/>
    <w:rsid w:val="00846CF1"/>
    <w:rsid w:val="00847595"/>
    <w:rsid w:val="0085032E"/>
    <w:rsid w:val="008508FE"/>
    <w:rsid w:val="008536F5"/>
    <w:rsid w:val="00854070"/>
    <w:rsid w:val="00854660"/>
    <w:rsid w:val="00856435"/>
    <w:rsid w:val="008568C2"/>
    <w:rsid w:val="0085737C"/>
    <w:rsid w:val="0085779B"/>
    <w:rsid w:val="008604B2"/>
    <w:rsid w:val="0086082C"/>
    <w:rsid w:val="008617FB"/>
    <w:rsid w:val="00861E54"/>
    <w:rsid w:val="00862168"/>
    <w:rsid w:val="00862240"/>
    <w:rsid w:val="0086322F"/>
    <w:rsid w:val="008633C4"/>
    <w:rsid w:val="00863761"/>
    <w:rsid w:val="00864ADC"/>
    <w:rsid w:val="00866DA0"/>
    <w:rsid w:val="008676DA"/>
    <w:rsid w:val="008709AB"/>
    <w:rsid w:val="00870BB9"/>
    <w:rsid w:val="00870D6C"/>
    <w:rsid w:val="008711B2"/>
    <w:rsid w:val="008721F3"/>
    <w:rsid w:val="008723C7"/>
    <w:rsid w:val="00872986"/>
    <w:rsid w:val="008739E1"/>
    <w:rsid w:val="00875B4A"/>
    <w:rsid w:val="00875EDF"/>
    <w:rsid w:val="00877365"/>
    <w:rsid w:val="00877564"/>
    <w:rsid w:val="00880153"/>
    <w:rsid w:val="00880E48"/>
    <w:rsid w:val="00880F97"/>
    <w:rsid w:val="0088133A"/>
    <w:rsid w:val="00884F19"/>
    <w:rsid w:val="00884F4F"/>
    <w:rsid w:val="00885539"/>
    <w:rsid w:val="00885A25"/>
    <w:rsid w:val="00885F23"/>
    <w:rsid w:val="00885FED"/>
    <w:rsid w:val="008861B7"/>
    <w:rsid w:val="00886CBE"/>
    <w:rsid w:val="008877F8"/>
    <w:rsid w:val="00887927"/>
    <w:rsid w:val="00891479"/>
    <w:rsid w:val="0089198B"/>
    <w:rsid w:val="00891B6B"/>
    <w:rsid w:val="00891E15"/>
    <w:rsid w:val="0089285E"/>
    <w:rsid w:val="0089436C"/>
    <w:rsid w:val="00894AE3"/>
    <w:rsid w:val="00894E85"/>
    <w:rsid w:val="00894F63"/>
    <w:rsid w:val="00895265"/>
    <w:rsid w:val="00895572"/>
    <w:rsid w:val="00896689"/>
    <w:rsid w:val="00896C4C"/>
    <w:rsid w:val="008A1E10"/>
    <w:rsid w:val="008A20C0"/>
    <w:rsid w:val="008A26A6"/>
    <w:rsid w:val="008A2BC4"/>
    <w:rsid w:val="008A2EC8"/>
    <w:rsid w:val="008A3A5A"/>
    <w:rsid w:val="008A3C15"/>
    <w:rsid w:val="008A57F3"/>
    <w:rsid w:val="008A7688"/>
    <w:rsid w:val="008B18FC"/>
    <w:rsid w:val="008B1969"/>
    <w:rsid w:val="008B1F9A"/>
    <w:rsid w:val="008B1FE8"/>
    <w:rsid w:val="008B31F4"/>
    <w:rsid w:val="008B34ED"/>
    <w:rsid w:val="008B3539"/>
    <w:rsid w:val="008B37CB"/>
    <w:rsid w:val="008B44FE"/>
    <w:rsid w:val="008B4A36"/>
    <w:rsid w:val="008B62F6"/>
    <w:rsid w:val="008C0DCD"/>
    <w:rsid w:val="008C3DAE"/>
    <w:rsid w:val="008C51F5"/>
    <w:rsid w:val="008C6188"/>
    <w:rsid w:val="008C6735"/>
    <w:rsid w:val="008D2006"/>
    <w:rsid w:val="008D22D3"/>
    <w:rsid w:val="008D30EC"/>
    <w:rsid w:val="008D365C"/>
    <w:rsid w:val="008D3EC3"/>
    <w:rsid w:val="008D49AF"/>
    <w:rsid w:val="008D4BC2"/>
    <w:rsid w:val="008D570A"/>
    <w:rsid w:val="008D5822"/>
    <w:rsid w:val="008D7622"/>
    <w:rsid w:val="008E08BF"/>
    <w:rsid w:val="008E0AB9"/>
    <w:rsid w:val="008E0FA9"/>
    <w:rsid w:val="008E1400"/>
    <w:rsid w:val="008E1A41"/>
    <w:rsid w:val="008E4D70"/>
    <w:rsid w:val="008E69EC"/>
    <w:rsid w:val="008E6F7E"/>
    <w:rsid w:val="008E6FA5"/>
    <w:rsid w:val="008E742F"/>
    <w:rsid w:val="008F0381"/>
    <w:rsid w:val="008F042E"/>
    <w:rsid w:val="008F0B3B"/>
    <w:rsid w:val="008F1EE2"/>
    <w:rsid w:val="008F25AE"/>
    <w:rsid w:val="008F29F4"/>
    <w:rsid w:val="008F3703"/>
    <w:rsid w:val="008F38C6"/>
    <w:rsid w:val="008F43E2"/>
    <w:rsid w:val="008F4D7A"/>
    <w:rsid w:val="008F5201"/>
    <w:rsid w:val="008F541F"/>
    <w:rsid w:val="008F6CF6"/>
    <w:rsid w:val="008F7F24"/>
    <w:rsid w:val="0090048F"/>
    <w:rsid w:val="00900B1F"/>
    <w:rsid w:val="00901778"/>
    <w:rsid w:val="009021A6"/>
    <w:rsid w:val="009030BF"/>
    <w:rsid w:val="009031C6"/>
    <w:rsid w:val="00903669"/>
    <w:rsid w:val="00903B52"/>
    <w:rsid w:val="0090412B"/>
    <w:rsid w:val="009049FA"/>
    <w:rsid w:val="00904A12"/>
    <w:rsid w:val="00906D47"/>
    <w:rsid w:val="0090738D"/>
    <w:rsid w:val="0091032F"/>
    <w:rsid w:val="009108D2"/>
    <w:rsid w:val="00910955"/>
    <w:rsid w:val="00911BA4"/>
    <w:rsid w:val="009128D0"/>
    <w:rsid w:val="00912B8D"/>
    <w:rsid w:val="009132F5"/>
    <w:rsid w:val="009135E7"/>
    <w:rsid w:val="00914368"/>
    <w:rsid w:val="00914DDA"/>
    <w:rsid w:val="00915A73"/>
    <w:rsid w:val="0092112B"/>
    <w:rsid w:val="009214B1"/>
    <w:rsid w:val="00921E0E"/>
    <w:rsid w:val="009226FE"/>
    <w:rsid w:val="009278F3"/>
    <w:rsid w:val="00930165"/>
    <w:rsid w:val="00931076"/>
    <w:rsid w:val="009321EE"/>
    <w:rsid w:val="00933279"/>
    <w:rsid w:val="0093374A"/>
    <w:rsid w:val="00934296"/>
    <w:rsid w:val="009345D9"/>
    <w:rsid w:val="00934949"/>
    <w:rsid w:val="00934B15"/>
    <w:rsid w:val="00934CCB"/>
    <w:rsid w:val="00935806"/>
    <w:rsid w:val="009360E7"/>
    <w:rsid w:val="00937573"/>
    <w:rsid w:val="00937F4D"/>
    <w:rsid w:val="009402C2"/>
    <w:rsid w:val="00940C5A"/>
    <w:rsid w:val="00940C87"/>
    <w:rsid w:val="00942A10"/>
    <w:rsid w:val="00942B62"/>
    <w:rsid w:val="009432DA"/>
    <w:rsid w:val="00943C8F"/>
    <w:rsid w:val="009446A2"/>
    <w:rsid w:val="00945484"/>
    <w:rsid w:val="00945527"/>
    <w:rsid w:val="00945BF2"/>
    <w:rsid w:val="009514F8"/>
    <w:rsid w:val="009517D1"/>
    <w:rsid w:val="00952972"/>
    <w:rsid w:val="00952AA5"/>
    <w:rsid w:val="0095323B"/>
    <w:rsid w:val="009545F3"/>
    <w:rsid w:val="00954D18"/>
    <w:rsid w:val="00955045"/>
    <w:rsid w:val="00956295"/>
    <w:rsid w:val="0095635B"/>
    <w:rsid w:val="00956A0C"/>
    <w:rsid w:val="00956BD9"/>
    <w:rsid w:val="00957556"/>
    <w:rsid w:val="00960939"/>
    <w:rsid w:val="00960D3E"/>
    <w:rsid w:val="009617E8"/>
    <w:rsid w:val="00961E6B"/>
    <w:rsid w:val="009623ED"/>
    <w:rsid w:val="00962489"/>
    <w:rsid w:val="0096485D"/>
    <w:rsid w:val="00967CD3"/>
    <w:rsid w:val="00967E32"/>
    <w:rsid w:val="00970390"/>
    <w:rsid w:val="00970769"/>
    <w:rsid w:val="0097135C"/>
    <w:rsid w:val="00972201"/>
    <w:rsid w:val="009728B7"/>
    <w:rsid w:val="00972A74"/>
    <w:rsid w:val="00972A78"/>
    <w:rsid w:val="009739A6"/>
    <w:rsid w:val="00973C2D"/>
    <w:rsid w:val="0097544B"/>
    <w:rsid w:val="009754FE"/>
    <w:rsid w:val="00976415"/>
    <w:rsid w:val="0097649D"/>
    <w:rsid w:val="00981383"/>
    <w:rsid w:val="00982065"/>
    <w:rsid w:val="009821D8"/>
    <w:rsid w:val="00984819"/>
    <w:rsid w:val="00984B97"/>
    <w:rsid w:val="0098582A"/>
    <w:rsid w:val="00985D45"/>
    <w:rsid w:val="0098625D"/>
    <w:rsid w:val="00987345"/>
    <w:rsid w:val="0099013B"/>
    <w:rsid w:val="00990C2C"/>
    <w:rsid w:val="0099234C"/>
    <w:rsid w:val="00994913"/>
    <w:rsid w:val="00995D3B"/>
    <w:rsid w:val="0099705A"/>
    <w:rsid w:val="00997BC2"/>
    <w:rsid w:val="009A0860"/>
    <w:rsid w:val="009A09C1"/>
    <w:rsid w:val="009A11C7"/>
    <w:rsid w:val="009A33D5"/>
    <w:rsid w:val="009A3D6A"/>
    <w:rsid w:val="009A50A1"/>
    <w:rsid w:val="009A5171"/>
    <w:rsid w:val="009A52D6"/>
    <w:rsid w:val="009A5BF6"/>
    <w:rsid w:val="009A78F9"/>
    <w:rsid w:val="009B00AD"/>
    <w:rsid w:val="009B0B20"/>
    <w:rsid w:val="009B1316"/>
    <w:rsid w:val="009B2938"/>
    <w:rsid w:val="009B2C57"/>
    <w:rsid w:val="009B5622"/>
    <w:rsid w:val="009B7C64"/>
    <w:rsid w:val="009C0409"/>
    <w:rsid w:val="009C11B8"/>
    <w:rsid w:val="009C2A14"/>
    <w:rsid w:val="009C3AED"/>
    <w:rsid w:val="009C495F"/>
    <w:rsid w:val="009C4E36"/>
    <w:rsid w:val="009C51C5"/>
    <w:rsid w:val="009C5B61"/>
    <w:rsid w:val="009C668D"/>
    <w:rsid w:val="009C671A"/>
    <w:rsid w:val="009C7A93"/>
    <w:rsid w:val="009D0F04"/>
    <w:rsid w:val="009D18F4"/>
    <w:rsid w:val="009D1B32"/>
    <w:rsid w:val="009D2ED6"/>
    <w:rsid w:val="009D5425"/>
    <w:rsid w:val="009D7DC0"/>
    <w:rsid w:val="009E04FB"/>
    <w:rsid w:val="009E0FC3"/>
    <w:rsid w:val="009E10B7"/>
    <w:rsid w:val="009E1844"/>
    <w:rsid w:val="009E1BBA"/>
    <w:rsid w:val="009E2936"/>
    <w:rsid w:val="009E29FA"/>
    <w:rsid w:val="009E2F02"/>
    <w:rsid w:val="009E2F30"/>
    <w:rsid w:val="009E3919"/>
    <w:rsid w:val="009E4121"/>
    <w:rsid w:val="009E4F20"/>
    <w:rsid w:val="009E591C"/>
    <w:rsid w:val="009E648D"/>
    <w:rsid w:val="009E7B03"/>
    <w:rsid w:val="009E7EB2"/>
    <w:rsid w:val="009F071C"/>
    <w:rsid w:val="009F0D1B"/>
    <w:rsid w:val="009F29C1"/>
    <w:rsid w:val="009F2A93"/>
    <w:rsid w:val="009F38EB"/>
    <w:rsid w:val="009F3A22"/>
    <w:rsid w:val="009F53DD"/>
    <w:rsid w:val="009F5B9F"/>
    <w:rsid w:val="009F5BBD"/>
    <w:rsid w:val="009F696D"/>
    <w:rsid w:val="009F6A6A"/>
    <w:rsid w:val="009F6BC6"/>
    <w:rsid w:val="009F74EF"/>
    <w:rsid w:val="00A00E1D"/>
    <w:rsid w:val="00A01C22"/>
    <w:rsid w:val="00A02826"/>
    <w:rsid w:val="00A02BCA"/>
    <w:rsid w:val="00A02F2C"/>
    <w:rsid w:val="00A03375"/>
    <w:rsid w:val="00A046B8"/>
    <w:rsid w:val="00A04C39"/>
    <w:rsid w:val="00A04D85"/>
    <w:rsid w:val="00A05D69"/>
    <w:rsid w:val="00A06568"/>
    <w:rsid w:val="00A06F53"/>
    <w:rsid w:val="00A105A8"/>
    <w:rsid w:val="00A1143D"/>
    <w:rsid w:val="00A127EE"/>
    <w:rsid w:val="00A1316D"/>
    <w:rsid w:val="00A1460D"/>
    <w:rsid w:val="00A15BE8"/>
    <w:rsid w:val="00A15D5A"/>
    <w:rsid w:val="00A16323"/>
    <w:rsid w:val="00A1638A"/>
    <w:rsid w:val="00A16F8D"/>
    <w:rsid w:val="00A17328"/>
    <w:rsid w:val="00A173B1"/>
    <w:rsid w:val="00A17686"/>
    <w:rsid w:val="00A2073F"/>
    <w:rsid w:val="00A23A20"/>
    <w:rsid w:val="00A23D60"/>
    <w:rsid w:val="00A24443"/>
    <w:rsid w:val="00A24967"/>
    <w:rsid w:val="00A24B1E"/>
    <w:rsid w:val="00A25551"/>
    <w:rsid w:val="00A268B9"/>
    <w:rsid w:val="00A26BFF"/>
    <w:rsid w:val="00A26C21"/>
    <w:rsid w:val="00A26C82"/>
    <w:rsid w:val="00A2703A"/>
    <w:rsid w:val="00A306A2"/>
    <w:rsid w:val="00A30CE0"/>
    <w:rsid w:val="00A3248B"/>
    <w:rsid w:val="00A329BC"/>
    <w:rsid w:val="00A32D77"/>
    <w:rsid w:val="00A33763"/>
    <w:rsid w:val="00A33DFF"/>
    <w:rsid w:val="00A35115"/>
    <w:rsid w:val="00A36D9A"/>
    <w:rsid w:val="00A36E39"/>
    <w:rsid w:val="00A37196"/>
    <w:rsid w:val="00A40E9A"/>
    <w:rsid w:val="00A41D86"/>
    <w:rsid w:val="00A42FD7"/>
    <w:rsid w:val="00A436B4"/>
    <w:rsid w:val="00A451DC"/>
    <w:rsid w:val="00A45ED2"/>
    <w:rsid w:val="00A45EFA"/>
    <w:rsid w:val="00A469F6"/>
    <w:rsid w:val="00A46E78"/>
    <w:rsid w:val="00A47B07"/>
    <w:rsid w:val="00A5015D"/>
    <w:rsid w:val="00A502A0"/>
    <w:rsid w:val="00A5068B"/>
    <w:rsid w:val="00A50CF0"/>
    <w:rsid w:val="00A5128A"/>
    <w:rsid w:val="00A51809"/>
    <w:rsid w:val="00A51A77"/>
    <w:rsid w:val="00A526FA"/>
    <w:rsid w:val="00A52B59"/>
    <w:rsid w:val="00A53857"/>
    <w:rsid w:val="00A55154"/>
    <w:rsid w:val="00A554AB"/>
    <w:rsid w:val="00A554CD"/>
    <w:rsid w:val="00A566CE"/>
    <w:rsid w:val="00A56D24"/>
    <w:rsid w:val="00A57062"/>
    <w:rsid w:val="00A61876"/>
    <w:rsid w:val="00A62440"/>
    <w:rsid w:val="00A64042"/>
    <w:rsid w:val="00A6560E"/>
    <w:rsid w:val="00A67781"/>
    <w:rsid w:val="00A70B71"/>
    <w:rsid w:val="00A70E8C"/>
    <w:rsid w:val="00A71BB3"/>
    <w:rsid w:val="00A73855"/>
    <w:rsid w:val="00A73B1B"/>
    <w:rsid w:val="00A73C69"/>
    <w:rsid w:val="00A75D24"/>
    <w:rsid w:val="00A761F9"/>
    <w:rsid w:val="00A767EB"/>
    <w:rsid w:val="00A826BC"/>
    <w:rsid w:val="00A83DB3"/>
    <w:rsid w:val="00A848A1"/>
    <w:rsid w:val="00A84B50"/>
    <w:rsid w:val="00A8500E"/>
    <w:rsid w:val="00A854A9"/>
    <w:rsid w:val="00A86305"/>
    <w:rsid w:val="00A86E69"/>
    <w:rsid w:val="00A87662"/>
    <w:rsid w:val="00A87BEE"/>
    <w:rsid w:val="00A9012F"/>
    <w:rsid w:val="00A927F6"/>
    <w:rsid w:val="00A92B53"/>
    <w:rsid w:val="00A93BE5"/>
    <w:rsid w:val="00A94FA6"/>
    <w:rsid w:val="00A9545D"/>
    <w:rsid w:val="00A956C5"/>
    <w:rsid w:val="00A96D05"/>
    <w:rsid w:val="00A972D7"/>
    <w:rsid w:val="00A9753F"/>
    <w:rsid w:val="00A97708"/>
    <w:rsid w:val="00A97970"/>
    <w:rsid w:val="00AA14EB"/>
    <w:rsid w:val="00AA1840"/>
    <w:rsid w:val="00AA1895"/>
    <w:rsid w:val="00AA1912"/>
    <w:rsid w:val="00AA1A86"/>
    <w:rsid w:val="00AA3183"/>
    <w:rsid w:val="00AA3284"/>
    <w:rsid w:val="00AA49A0"/>
    <w:rsid w:val="00AA4F62"/>
    <w:rsid w:val="00AA6251"/>
    <w:rsid w:val="00AA6710"/>
    <w:rsid w:val="00AA6C2E"/>
    <w:rsid w:val="00AA709D"/>
    <w:rsid w:val="00AB0681"/>
    <w:rsid w:val="00AB2A37"/>
    <w:rsid w:val="00AB3441"/>
    <w:rsid w:val="00AB441D"/>
    <w:rsid w:val="00AB54BE"/>
    <w:rsid w:val="00AB694D"/>
    <w:rsid w:val="00AB6B79"/>
    <w:rsid w:val="00AB6CD6"/>
    <w:rsid w:val="00AB728E"/>
    <w:rsid w:val="00AB77BD"/>
    <w:rsid w:val="00AB785A"/>
    <w:rsid w:val="00AB7AC3"/>
    <w:rsid w:val="00AC0249"/>
    <w:rsid w:val="00AC0891"/>
    <w:rsid w:val="00AC1D8A"/>
    <w:rsid w:val="00AC223C"/>
    <w:rsid w:val="00AC3A15"/>
    <w:rsid w:val="00AC4661"/>
    <w:rsid w:val="00AC48A0"/>
    <w:rsid w:val="00AC4B3D"/>
    <w:rsid w:val="00AC525F"/>
    <w:rsid w:val="00AC5E90"/>
    <w:rsid w:val="00AC68B5"/>
    <w:rsid w:val="00AD0DAE"/>
    <w:rsid w:val="00AD133E"/>
    <w:rsid w:val="00AD1856"/>
    <w:rsid w:val="00AD20E1"/>
    <w:rsid w:val="00AD257B"/>
    <w:rsid w:val="00AD509F"/>
    <w:rsid w:val="00AD520B"/>
    <w:rsid w:val="00AD558F"/>
    <w:rsid w:val="00AD562E"/>
    <w:rsid w:val="00AD5C38"/>
    <w:rsid w:val="00AD5FAE"/>
    <w:rsid w:val="00AD6643"/>
    <w:rsid w:val="00AD728F"/>
    <w:rsid w:val="00AD743F"/>
    <w:rsid w:val="00AD7EE0"/>
    <w:rsid w:val="00AE03BE"/>
    <w:rsid w:val="00AE15B6"/>
    <w:rsid w:val="00AE34F9"/>
    <w:rsid w:val="00AE3BCC"/>
    <w:rsid w:val="00AE3D2E"/>
    <w:rsid w:val="00AE5AD9"/>
    <w:rsid w:val="00AE67D2"/>
    <w:rsid w:val="00AE755B"/>
    <w:rsid w:val="00AF02E6"/>
    <w:rsid w:val="00AF17F0"/>
    <w:rsid w:val="00AF26E2"/>
    <w:rsid w:val="00AF3A38"/>
    <w:rsid w:val="00AF3A5F"/>
    <w:rsid w:val="00AF3F38"/>
    <w:rsid w:val="00AF4E82"/>
    <w:rsid w:val="00AF63BB"/>
    <w:rsid w:val="00AF6AE3"/>
    <w:rsid w:val="00AF7139"/>
    <w:rsid w:val="00AF755B"/>
    <w:rsid w:val="00AF7774"/>
    <w:rsid w:val="00B00D25"/>
    <w:rsid w:val="00B01B60"/>
    <w:rsid w:val="00B0240F"/>
    <w:rsid w:val="00B02ABB"/>
    <w:rsid w:val="00B0314A"/>
    <w:rsid w:val="00B03C2A"/>
    <w:rsid w:val="00B0490B"/>
    <w:rsid w:val="00B04ECF"/>
    <w:rsid w:val="00B06B1A"/>
    <w:rsid w:val="00B10A7F"/>
    <w:rsid w:val="00B10DB0"/>
    <w:rsid w:val="00B11593"/>
    <w:rsid w:val="00B12602"/>
    <w:rsid w:val="00B12D42"/>
    <w:rsid w:val="00B13187"/>
    <w:rsid w:val="00B1363F"/>
    <w:rsid w:val="00B157D5"/>
    <w:rsid w:val="00B16D7D"/>
    <w:rsid w:val="00B17E9A"/>
    <w:rsid w:val="00B20224"/>
    <w:rsid w:val="00B21E23"/>
    <w:rsid w:val="00B223E3"/>
    <w:rsid w:val="00B22D55"/>
    <w:rsid w:val="00B24220"/>
    <w:rsid w:val="00B3232B"/>
    <w:rsid w:val="00B34310"/>
    <w:rsid w:val="00B34BA2"/>
    <w:rsid w:val="00B34E8D"/>
    <w:rsid w:val="00B377D3"/>
    <w:rsid w:val="00B37E7F"/>
    <w:rsid w:val="00B4011A"/>
    <w:rsid w:val="00B413D1"/>
    <w:rsid w:val="00B41E0B"/>
    <w:rsid w:val="00B42545"/>
    <w:rsid w:val="00B425C3"/>
    <w:rsid w:val="00B42755"/>
    <w:rsid w:val="00B434C8"/>
    <w:rsid w:val="00B4373D"/>
    <w:rsid w:val="00B440AD"/>
    <w:rsid w:val="00B44EAF"/>
    <w:rsid w:val="00B45772"/>
    <w:rsid w:val="00B479BB"/>
    <w:rsid w:val="00B517CC"/>
    <w:rsid w:val="00B5268B"/>
    <w:rsid w:val="00B53E7E"/>
    <w:rsid w:val="00B53EAE"/>
    <w:rsid w:val="00B54363"/>
    <w:rsid w:val="00B54704"/>
    <w:rsid w:val="00B54827"/>
    <w:rsid w:val="00B54858"/>
    <w:rsid w:val="00B57867"/>
    <w:rsid w:val="00B579CC"/>
    <w:rsid w:val="00B61BE2"/>
    <w:rsid w:val="00B61E79"/>
    <w:rsid w:val="00B62C57"/>
    <w:rsid w:val="00B62EFA"/>
    <w:rsid w:val="00B6342E"/>
    <w:rsid w:val="00B63745"/>
    <w:rsid w:val="00B64074"/>
    <w:rsid w:val="00B64189"/>
    <w:rsid w:val="00B65113"/>
    <w:rsid w:val="00B7094A"/>
    <w:rsid w:val="00B70A46"/>
    <w:rsid w:val="00B7113F"/>
    <w:rsid w:val="00B724C5"/>
    <w:rsid w:val="00B733E6"/>
    <w:rsid w:val="00B73A62"/>
    <w:rsid w:val="00B744A4"/>
    <w:rsid w:val="00B74D09"/>
    <w:rsid w:val="00B75234"/>
    <w:rsid w:val="00B766D6"/>
    <w:rsid w:val="00B76CA5"/>
    <w:rsid w:val="00B7705A"/>
    <w:rsid w:val="00B772E9"/>
    <w:rsid w:val="00B8018B"/>
    <w:rsid w:val="00B80534"/>
    <w:rsid w:val="00B80555"/>
    <w:rsid w:val="00B80795"/>
    <w:rsid w:val="00B80815"/>
    <w:rsid w:val="00B81833"/>
    <w:rsid w:val="00B831CA"/>
    <w:rsid w:val="00B837B0"/>
    <w:rsid w:val="00B846FE"/>
    <w:rsid w:val="00B84730"/>
    <w:rsid w:val="00B847DD"/>
    <w:rsid w:val="00B8493C"/>
    <w:rsid w:val="00B849AB"/>
    <w:rsid w:val="00B84B87"/>
    <w:rsid w:val="00B853FC"/>
    <w:rsid w:val="00B86948"/>
    <w:rsid w:val="00B90305"/>
    <w:rsid w:val="00B93143"/>
    <w:rsid w:val="00B93747"/>
    <w:rsid w:val="00B9398A"/>
    <w:rsid w:val="00B950A6"/>
    <w:rsid w:val="00B951D3"/>
    <w:rsid w:val="00B953D7"/>
    <w:rsid w:val="00B95C56"/>
    <w:rsid w:val="00B96FAF"/>
    <w:rsid w:val="00B97868"/>
    <w:rsid w:val="00BA1D38"/>
    <w:rsid w:val="00BA2467"/>
    <w:rsid w:val="00BA2BCF"/>
    <w:rsid w:val="00BA2C76"/>
    <w:rsid w:val="00BA2E4D"/>
    <w:rsid w:val="00BA3897"/>
    <w:rsid w:val="00BA5B14"/>
    <w:rsid w:val="00BA623E"/>
    <w:rsid w:val="00BA6975"/>
    <w:rsid w:val="00BA73B6"/>
    <w:rsid w:val="00BA78FC"/>
    <w:rsid w:val="00BA79F9"/>
    <w:rsid w:val="00BA7E27"/>
    <w:rsid w:val="00BB06D4"/>
    <w:rsid w:val="00BB0792"/>
    <w:rsid w:val="00BB1835"/>
    <w:rsid w:val="00BB1B1B"/>
    <w:rsid w:val="00BB1D68"/>
    <w:rsid w:val="00BB2603"/>
    <w:rsid w:val="00BB2721"/>
    <w:rsid w:val="00BB2D3C"/>
    <w:rsid w:val="00BB3B2F"/>
    <w:rsid w:val="00BB4D90"/>
    <w:rsid w:val="00BB4FCD"/>
    <w:rsid w:val="00BB57B1"/>
    <w:rsid w:val="00BB57BC"/>
    <w:rsid w:val="00BB59B8"/>
    <w:rsid w:val="00BB61DC"/>
    <w:rsid w:val="00BB6285"/>
    <w:rsid w:val="00BB76B3"/>
    <w:rsid w:val="00BB7CB3"/>
    <w:rsid w:val="00BB7E86"/>
    <w:rsid w:val="00BB7EBC"/>
    <w:rsid w:val="00BC04E9"/>
    <w:rsid w:val="00BC1293"/>
    <w:rsid w:val="00BC190C"/>
    <w:rsid w:val="00BC191F"/>
    <w:rsid w:val="00BC2832"/>
    <w:rsid w:val="00BC2C44"/>
    <w:rsid w:val="00BC358D"/>
    <w:rsid w:val="00BC4D1A"/>
    <w:rsid w:val="00BC5B6E"/>
    <w:rsid w:val="00BC69AB"/>
    <w:rsid w:val="00BC69C4"/>
    <w:rsid w:val="00BD13EA"/>
    <w:rsid w:val="00BD1B4D"/>
    <w:rsid w:val="00BD5B3A"/>
    <w:rsid w:val="00BD61FD"/>
    <w:rsid w:val="00BD6516"/>
    <w:rsid w:val="00BD690C"/>
    <w:rsid w:val="00BE0A95"/>
    <w:rsid w:val="00BE1038"/>
    <w:rsid w:val="00BE1562"/>
    <w:rsid w:val="00BE2101"/>
    <w:rsid w:val="00BE3808"/>
    <w:rsid w:val="00BE3D92"/>
    <w:rsid w:val="00BE41EA"/>
    <w:rsid w:val="00BE52AC"/>
    <w:rsid w:val="00BE629D"/>
    <w:rsid w:val="00BE7F6D"/>
    <w:rsid w:val="00BF0C9D"/>
    <w:rsid w:val="00BF2517"/>
    <w:rsid w:val="00BF49BB"/>
    <w:rsid w:val="00BF5225"/>
    <w:rsid w:val="00BF5934"/>
    <w:rsid w:val="00BF5DE4"/>
    <w:rsid w:val="00BF6FE4"/>
    <w:rsid w:val="00BF7184"/>
    <w:rsid w:val="00BF72DD"/>
    <w:rsid w:val="00C001C1"/>
    <w:rsid w:val="00C00C85"/>
    <w:rsid w:val="00C00F69"/>
    <w:rsid w:val="00C0121F"/>
    <w:rsid w:val="00C02A0C"/>
    <w:rsid w:val="00C03113"/>
    <w:rsid w:val="00C034C8"/>
    <w:rsid w:val="00C03B88"/>
    <w:rsid w:val="00C044D6"/>
    <w:rsid w:val="00C04787"/>
    <w:rsid w:val="00C04C4B"/>
    <w:rsid w:val="00C05347"/>
    <w:rsid w:val="00C062E9"/>
    <w:rsid w:val="00C0647C"/>
    <w:rsid w:val="00C0647F"/>
    <w:rsid w:val="00C069AA"/>
    <w:rsid w:val="00C07551"/>
    <w:rsid w:val="00C07557"/>
    <w:rsid w:val="00C0773D"/>
    <w:rsid w:val="00C07B64"/>
    <w:rsid w:val="00C118F2"/>
    <w:rsid w:val="00C12AFE"/>
    <w:rsid w:val="00C13166"/>
    <w:rsid w:val="00C1346E"/>
    <w:rsid w:val="00C13721"/>
    <w:rsid w:val="00C146FB"/>
    <w:rsid w:val="00C14767"/>
    <w:rsid w:val="00C14EAD"/>
    <w:rsid w:val="00C14FE4"/>
    <w:rsid w:val="00C16336"/>
    <w:rsid w:val="00C16CD5"/>
    <w:rsid w:val="00C22A43"/>
    <w:rsid w:val="00C247D1"/>
    <w:rsid w:val="00C252B1"/>
    <w:rsid w:val="00C25A18"/>
    <w:rsid w:val="00C26670"/>
    <w:rsid w:val="00C3066D"/>
    <w:rsid w:val="00C30F52"/>
    <w:rsid w:val="00C3119C"/>
    <w:rsid w:val="00C3159B"/>
    <w:rsid w:val="00C31BC1"/>
    <w:rsid w:val="00C31F35"/>
    <w:rsid w:val="00C331BC"/>
    <w:rsid w:val="00C33539"/>
    <w:rsid w:val="00C357CA"/>
    <w:rsid w:val="00C35EBA"/>
    <w:rsid w:val="00C362FD"/>
    <w:rsid w:val="00C36836"/>
    <w:rsid w:val="00C36F87"/>
    <w:rsid w:val="00C371CC"/>
    <w:rsid w:val="00C3746A"/>
    <w:rsid w:val="00C40315"/>
    <w:rsid w:val="00C41776"/>
    <w:rsid w:val="00C4501F"/>
    <w:rsid w:val="00C45512"/>
    <w:rsid w:val="00C45ABE"/>
    <w:rsid w:val="00C46462"/>
    <w:rsid w:val="00C466DD"/>
    <w:rsid w:val="00C4704F"/>
    <w:rsid w:val="00C472AD"/>
    <w:rsid w:val="00C51682"/>
    <w:rsid w:val="00C51954"/>
    <w:rsid w:val="00C51C77"/>
    <w:rsid w:val="00C52416"/>
    <w:rsid w:val="00C53B54"/>
    <w:rsid w:val="00C54183"/>
    <w:rsid w:val="00C543F4"/>
    <w:rsid w:val="00C54D24"/>
    <w:rsid w:val="00C55ABE"/>
    <w:rsid w:val="00C56865"/>
    <w:rsid w:val="00C56AA4"/>
    <w:rsid w:val="00C571F4"/>
    <w:rsid w:val="00C57E4C"/>
    <w:rsid w:val="00C6021D"/>
    <w:rsid w:val="00C6044C"/>
    <w:rsid w:val="00C60B94"/>
    <w:rsid w:val="00C620FC"/>
    <w:rsid w:val="00C6291C"/>
    <w:rsid w:val="00C63209"/>
    <w:rsid w:val="00C633CB"/>
    <w:rsid w:val="00C63775"/>
    <w:rsid w:val="00C63928"/>
    <w:rsid w:val="00C64E86"/>
    <w:rsid w:val="00C65CC3"/>
    <w:rsid w:val="00C664CD"/>
    <w:rsid w:val="00C66C2D"/>
    <w:rsid w:val="00C677CB"/>
    <w:rsid w:val="00C67D5C"/>
    <w:rsid w:val="00C709DD"/>
    <w:rsid w:val="00C7129C"/>
    <w:rsid w:val="00C71AC5"/>
    <w:rsid w:val="00C7234F"/>
    <w:rsid w:val="00C73235"/>
    <w:rsid w:val="00C73494"/>
    <w:rsid w:val="00C736B7"/>
    <w:rsid w:val="00C73E28"/>
    <w:rsid w:val="00C74AE8"/>
    <w:rsid w:val="00C75233"/>
    <w:rsid w:val="00C77D78"/>
    <w:rsid w:val="00C77EDF"/>
    <w:rsid w:val="00C80917"/>
    <w:rsid w:val="00C81041"/>
    <w:rsid w:val="00C81074"/>
    <w:rsid w:val="00C81D4A"/>
    <w:rsid w:val="00C8407E"/>
    <w:rsid w:val="00C8439C"/>
    <w:rsid w:val="00C847C4"/>
    <w:rsid w:val="00C85025"/>
    <w:rsid w:val="00C85057"/>
    <w:rsid w:val="00C853A9"/>
    <w:rsid w:val="00C86CB2"/>
    <w:rsid w:val="00C8762C"/>
    <w:rsid w:val="00C90088"/>
    <w:rsid w:val="00C90C12"/>
    <w:rsid w:val="00C91645"/>
    <w:rsid w:val="00C91CAE"/>
    <w:rsid w:val="00C920D0"/>
    <w:rsid w:val="00C92F0A"/>
    <w:rsid w:val="00C9302C"/>
    <w:rsid w:val="00C93F64"/>
    <w:rsid w:val="00C95038"/>
    <w:rsid w:val="00C950B3"/>
    <w:rsid w:val="00C9528F"/>
    <w:rsid w:val="00C95651"/>
    <w:rsid w:val="00C97266"/>
    <w:rsid w:val="00CA00F9"/>
    <w:rsid w:val="00CA01F8"/>
    <w:rsid w:val="00CA05E1"/>
    <w:rsid w:val="00CA2552"/>
    <w:rsid w:val="00CA25B2"/>
    <w:rsid w:val="00CA2961"/>
    <w:rsid w:val="00CA31D5"/>
    <w:rsid w:val="00CA3B20"/>
    <w:rsid w:val="00CA4914"/>
    <w:rsid w:val="00CA5256"/>
    <w:rsid w:val="00CA5AC0"/>
    <w:rsid w:val="00CA70D6"/>
    <w:rsid w:val="00CA7F60"/>
    <w:rsid w:val="00CB06DA"/>
    <w:rsid w:val="00CB0DB9"/>
    <w:rsid w:val="00CB0DE9"/>
    <w:rsid w:val="00CB2041"/>
    <w:rsid w:val="00CB32BE"/>
    <w:rsid w:val="00CB3866"/>
    <w:rsid w:val="00CB3A5F"/>
    <w:rsid w:val="00CB41B7"/>
    <w:rsid w:val="00CB460C"/>
    <w:rsid w:val="00CB47EF"/>
    <w:rsid w:val="00CB4BD9"/>
    <w:rsid w:val="00CB50D7"/>
    <w:rsid w:val="00CB7177"/>
    <w:rsid w:val="00CB7515"/>
    <w:rsid w:val="00CB7C2A"/>
    <w:rsid w:val="00CB7CED"/>
    <w:rsid w:val="00CC0078"/>
    <w:rsid w:val="00CC070F"/>
    <w:rsid w:val="00CC1582"/>
    <w:rsid w:val="00CC1998"/>
    <w:rsid w:val="00CC2908"/>
    <w:rsid w:val="00CC4946"/>
    <w:rsid w:val="00CC5D3F"/>
    <w:rsid w:val="00CC64A1"/>
    <w:rsid w:val="00CC6D9D"/>
    <w:rsid w:val="00CC72F8"/>
    <w:rsid w:val="00CD036D"/>
    <w:rsid w:val="00CD0C2E"/>
    <w:rsid w:val="00CD10AE"/>
    <w:rsid w:val="00CD2102"/>
    <w:rsid w:val="00CD2C78"/>
    <w:rsid w:val="00CD38F2"/>
    <w:rsid w:val="00CD3A59"/>
    <w:rsid w:val="00CD3D0D"/>
    <w:rsid w:val="00CD7C21"/>
    <w:rsid w:val="00CD7D8F"/>
    <w:rsid w:val="00CE1AA5"/>
    <w:rsid w:val="00CE3882"/>
    <w:rsid w:val="00CE38B8"/>
    <w:rsid w:val="00CE3A4A"/>
    <w:rsid w:val="00CE4EB5"/>
    <w:rsid w:val="00CE5E39"/>
    <w:rsid w:val="00CE6327"/>
    <w:rsid w:val="00CE6912"/>
    <w:rsid w:val="00CE6D9B"/>
    <w:rsid w:val="00CF1343"/>
    <w:rsid w:val="00CF1A0D"/>
    <w:rsid w:val="00CF2013"/>
    <w:rsid w:val="00CF3B11"/>
    <w:rsid w:val="00CF40E9"/>
    <w:rsid w:val="00CF460A"/>
    <w:rsid w:val="00CF4682"/>
    <w:rsid w:val="00CF47F6"/>
    <w:rsid w:val="00CF4E43"/>
    <w:rsid w:val="00D00059"/>
    <w:rsid w:val="00D006B3"/>
    <w:rsid w:val="00D00944"/>
    <w:rsid w:val="00D00AF7"/>
    <w:rsid w:val="00D0139D"/>
    <w:rsid w:val="00D0205B"/>
    <w:rsid w:val="00D0364F"/>
    <w:rsid w:val="00D03987"/>
    <w:rsid w:val="00D05852"/>
    <w:rsid w:val="00D065ED"/>
    <w:rsid w:val="00D07A25"/>
    <w:rsid w:val="00D10774"/>
    <w:rsid w:val="00D10B2E"/>
    <w:rsid w:val="00D11470"/>
    <w:rsid w:val="00D15846"/>
    <w:rsid w:val="00D16479"/>
    <w:rsid w:val="00D16FF5"/>
    <w:rsid w:val="00D17951"/>
    <w:rsid w:val="00D20552"/>
    <w:rsid w:val="00D20594"/>
    <w:rsid w:val="00D220F9"/>
    <w:rsid w:val="00D22310"/>
    <w:rsid w:val="00D23705"/>
    <w:rsid w:val="00D23B23"/>
    <w:rsid w:val="00D23B3E"/>
    <w:rsid w:val="00D2526D"/>
    <w:rsid w:val="00D26133"/>
    <w:rsid w:val="00D26775"/>
    <w:rsid w:val="00D270A4"/>
    <w:rsid w:val="00D27516"/>
    <w:rsid w:val="00D275D1"/>
    <w:rsid w:val="00D31C62"/>
    <w:rsid w:val="00D31FE9"/>
    <w:rsid w:val="00D32256"/>
    <w:rsid w:val="00D3311E"/>
    <w:rsid w:val="00D34AA6"/>
    <w:rsid w:val="00D34E1B"/>
    <w:rsid w:val="00D355D5"/>
    <w:rsid w:val="00D35CD3"/>
    <w:rsid w:val="00D3613D"/>
    <w:rsid w:val="00D365C5"/>
    <w:rsid w:val="00D3727E"/>
    <w:rsid w:val="00D376BA"/>
    <w:rsid w:val="00D4022F"/>
    <w:rsid w:val="00D41E06"/>
    <w:rsid w:val="00D42240"/>
    <w:rsid w:val="00D4284F"/>
    <w:rsid w:val="00D42AD0"/>
    <w:rsid w:val="00D434A0"/>
    <w:rsid w:val="00D441F4"/>
    <w:rsid w:val="00D4444E"/>
    <w:rsid w:val="00D45431"/>
    <w:rsid w:val="00D45634"/>
    <w:rsid w:val="00D45B0E"/>
    <w:rsid w:val="00D45C64"/>
    <w:rsid w:val="00D46C44"/>
    <w:rsid w:val="00D47788"/>
    <w:rsid w:val="00D50276"/>
    <w:rsid w:val="00D509D4"/>
    <w:rsid w:val="00D514F7"/>
    <w:rsid w:val="00D53A13"/>
    <w:rsid w:val="00D5568A"/>
    <w:rsid w:val="00D56075"/>
    <w:rsid w:val="00D56BD2"/>
    <w:rsid w:val="00D60553"/>
    <w:rsid w:val="00D61755"/>
    <w:rsid w:val="00D617A6"/>
    <w:rsid w:val="00D625C8"/>
    <w:rsid w:val="00D63D73"/>
    <w:rsid w:val="00D6410C"/>
    <w:rsid w:val="00D64452"/>
    <w:rsid w:val="00D64546"/>
    <w:rsid w:val="00D652AA"/>
    <w:rsid w:val="00D65308"/>
    <w:rsid w:val="00D659BF"/>
    <w:rsid w:val="00D65A47"/>
    <w:rsid w:val="00D66CC9"/>
    <w:rsid w:val="00D66E1E"/>
    <w:rsid w:val="00D6714D"/>
    <w:rsid w:val="00D67B2C"/>
    <w:rsid w:val="00D7011D"/>
    <w:rsid w:val="00D70696"/>
    <w:rsid w:val="00D709F7"/>
    <w:rsid w:val="00D7165B"/>
    <w:rsid w:val="00D718D2"/>
    <w:rsid w:val="00D72376"/>
    <w:rsid w:val="00D75005"/>
    <w:rsid w:val="00D75722"/>
    <w:rsid w:val="00D76849"/>
    <w:rsid w:val="00D80156"/>
    <w:rsid w:val="00D802EB"/>
    <w:rsid w:val="00D803E4"/>
    <w:rsid w:val="00D804DE"/>
    <w:rsid w:val="00D80CF5"/>
    <w:rsid w:val="00D814F6"/>
    <w:rsid w:val="00D832F6"/>
    <w:rsid w:val="00D8402E"/>
    <w:rsid w:val="00D84683"/>
    <w:rsid w:val="00D84719"/>
    <w:rsid w:val="00D84EC7"/>
    <w:rsid w:val="00D85FAF"/>
    <w:rsid w:val="00D87A4C"/>
    <w:rsid w:val="00D90BC5"/>
    <w:rsid w:val="00D90C59"/>
    <w:rsid w:val="00D9212A"/>
    <w:rsid w:val="00D9378B"/>
    <w:rsid w:val="00D951AE"/>
    <w:rsid w:val="00D95BA0"/>
    <w:rsid w:val="00D963D4"/>
    <w:rsid w:val="00DA182E"/>
    <w:rsid w:val="00DA191C"/>
    <w:rsid w:val="00DA2E24"/>
    <w:rsid w:val="00DA2EAD"/>
    <w:rsid w:val="00DA3114"/>
    <w:rsid w:val="00DA46B4"/>
    <w:rsid w:val="00DA5BBA"/>
    <w:rsid w:val="00DA60D1"/>
    <w:rsid w:val="00DA6EAE"/>
    <w:rsid w:val="00DA746C"/>
    <w:rsid w:val="00DB0404"/>
    <w:rsid w:val="00DB2369"/>
    <w:rsid w:val="00DB26D2"/>
    <w:rsid w:val="00DB2ACC"/>
    <w:rsid w:val="00DB38C5"/>
    <w:rsid w:val="00DB4051"/>
    <w:rsid w:val="00DB4AB5"/>
    <w:rsid w:val="00DB4B93"/>
    <w:rsid w:val="00DB5A13"/>
    <w:rsid w:val="00DB67C9"/>
    <w:rsid w:val="00DB75C8"/>
    <w:rsid w:val="00DC0C95"/>
    <w:rsid w:val="00DC4449"/>
    <w:rsid w:val="00DC45B4"/>
    <w:rsid w:val="00DC4F0B"/>
    <w:rsid w:val="00DC4FF6"/>
    <w:rsid w:val="00DC5DB1"/>
    <w:rsid w:val="00DC6032"/>
    <w:rsid w:val="00DC6638"/>
    <w:rsid w:val="00DC6681"/>
    <w:rsid w:val="00DC6D6C"/>
    <w:rsid w:val="00DC6F16"/>
    <w:rsid w:val="00DC7C87"/>
    <w:rsid w:val="00DD1142"/>
    <w:rsid w:val="00DD1993"/>
    <w:rsid w:val="00DD271C"/>
    <w:rsid w:val="00DD281B"/>
    <w:rsid w:val="00DD39A8"/>
    <w:rsid w:val="00DD3BAC"/>
    <w:rsid w:val="00DD4F82"/>
    <w:rsid w:val="00DD5C95"/>
    <w:rsid w:val="00DD6580"/>
    <w:rsid w:val="00DD6DD6"/>
    <w:rsid w:val="00DD7745"/>
    <w:rsid w:val="00DD79E5"/>
    <w:rsid w:val="00DE05B1"/>
    <w:rsid w:val="00DE1258"/>
    <w:rsid w:val="00DE329B"/>
    <w:rsid w:val="00DE4F82"/>
    <w:rsid w:val="00DE6E52"/>
    <w:rsid w:val="00DF0D67"/>
    <w:rsid w:val="00DF121D"/>
    <w:rsid w:val="00DF141A"/>
    <w:rsid w:val="00DF242A"/>
    <w:rsid w:val="00DF31DB"/>
    <w:rsid w:val="00DF3317"/>
    <w:rsid w:val="00DF3340"/>
    <w:rsid w:val="00DF39EC"/>
    <w:rsid w:val="00DF3B2C"/>
    <w:rsid w:val="00DF4A1B"/>
    <w:rsid w:val="00DF75D7"/>
    <w:rsid w:val="00E00193"/>
    <w:rsid w:val="00E005C6"/>
    <w:rsid w:val="00E01D7F"/>
    <w:rsid w:val="00E03588"/>
    <w:rsid w:val="00E03C83"/>
    <w:rsid w:val="00E03D6C"/>
    <w:rsid w:val="00E04E23"/>
    <w:rsid w:val="00E0505C"/>
    <w:rsid w:val="00E05295"/>
    <w:rsid w:val="00E05413"/>
    <w:rsid w:val="00E0567F"/>
    <w:rsid w:val="00E05C03"/>
    <w:rsid w:val="00E05DD1"/>
    <w:rsid w:val="00E06F28"/>
    <w:rsid w:val="00E072DF"/>
    <w:rsid w:val="00E072F7"/>
    <w:rsid w:val="00E07968"/>
    <w:rsid w:val="00E07F8A"/>
    <w:rsid w:val="00E11302"/>
    <w:rsid w:val="00E1157C"/>
    <w:rsid w:val="00E119E3"/>
    <w:rsid w:val="00E11DC3"/>
    <w:rsid w:val="00E147AF"/>
    <w:rsid w:val="00E14892"/>
    <w:rsid w:val="00E14C6E"/>
    <w:rsid w:val="00E14C8A"/>
    <w:rsid w:val="00E1506B"/>
    <w:rsid w:val="00E15698"/>
    <w:rsid w:val="00E15EF6"/>
    <w:rsid w:val="00E165EA"/>
    <w:rsid w:val="00E1673B"/>
    <w:rsid w:val="00E17212"/>
    <w:rsid w:val="00E177A0"/>
    <w:rsid w:val="00E17C72"/>
    <w:rsid w:val="00E17E6E"/>
    <w:rsid w:val="00E203D3"/>
    <w:rsid w:val="00E20422"/>
    <w:rsid w:val="00E21A31"/>
    <w:rsid w:val="00E21FC6"/>
    <w:rsid w:val="00E23932"/>
    <w:rsid w:val="00E25647"/>
    <w:rsid w:val="00E30DBA"/>
    <w:rsid w:val="00E31549"/>
    <w:rsid w:val="00E3184F"/>
    <w:rsid w:val="00E31B83"/>
    <w:rsid w:val="00E31D28"/>
    <w:rsid w:val="00E31F96"/>
    <w:rsid w:val="00E32057"/>
    <w:rsid w:val="00E32738"/>
    <w:rsid w:val="00E33AAD"/>
    <w:rsid w:val="00E34207"/>
    <w:rsid w:val="00E34483"/>
    <w:rsid w:val="00E35595"/>
    <w:rsid w:val="00E35643"/>
    <w:rsid w:val="00E35BE1"/>
    <w:rsid w:val="00E35C07"/>
    <w:rsid w:val="00E36CF6"/>
    <w:rsid w:val="00E36D66"/>
    <w:rsid w:val="00E36F14"/>
    <w:rsid w:val="00E3732B"/>
    <w:rsid w:val="00E422B4"/>
    <w:rsid w:val="00E426B3"/>
    <w:rsid w:val="00E431A9"/>
    <w:rsid w:val="00E435AD"/>
    <w:rsid w:val="00E43721"/>
    <w:rsid w:val="00E44DD5"/>
    <w:rsid w:val="00E45567"/>
    <w:rsid w:val="00E46339"/>
    <w:rsid w:val="00E46742"/>
    <w:rsid w:val="00E47E1E"/>
    <w:rsid w:val="00E50F1A"/>
    <w:rsid w:val="00E532F3"/>
    <w:rsid w:val="00E54118"/>
    <w:rsid w:val="00E55DA9"/>
    <w:rsid w:val="00E55DDF"/>
    <w:rsid w:val="00E5619E"/>
    <w:rsid w:val="00E56439"/>
    <w:rsid w:val="00E604D5"/>
    <w:rsid w:val="00E6198C"/>
    <w:rsid w:val="00E62918"/>
    <w:rsid w:val="00E62EE8"/>
    <w:rsid w:val="00E659BF"/>
    <w:rsid w:val="00E65A9E"/>
    <w:rsid w:val="00E65ABD"/>
    <w:rsid w:val="00E66577"/>
    <w:rsid w:val="00E6670D"/>
    <w:rsid w:val="00E669E2"/>
    <w:rsid w:val="00E674EC"/>
    <w:rsid w:val="00E67D83"/>
    <w:rsid w:val="00E700A7"/>
    <w:rsid w:val="00E701FD"/>
    <w:rsid w:val="00E7088A"/>
    <w:rsid w:val="00E71072"/>
    <w:rsid w:val="00E72C59"/>
    <w:rsid w:val="00E74D4F"/>
    <w:rsid w:val="00E74E62"/>
    <w:rsid w:val="00E75830"/>
    <w:rsid w:val="00E75F25"/>
    <w:rsid w:val="00E760A7"/>
    <w:rsid w:val="00E76135"/>
    <w:rsid w:val="00E76455"/>
    <w:rsid w:val="00E77B85"/>
    <w:rsid w:val="00E77E75"/>
    <w:rsid w:val="00E77F78"/>
    <w:rsid w:val="00E817B0"/>
    <w:rsid w:val="00E81FDD"/>
    <w:rsid w:val="00E82699"/>
    <w:rsid w:val="00E82F4F"/>
    <w:rsid w:val="00E847DA"/>
    <w:rsid w:val="00E864DF"/>
    <w:rsid w:val="00E86932"/>
    <w:rsid w:val="00E86A17"/>
    <w:rsid w:val="00E90530"/>
    <w:rsid w:val="00E93B4C"/>
    <w:rsid w:val="00E94331"/>
    <w:rsid w:val="00E949F0"/>
    <w:rsid w:val="00E9603A"/>
    <w:rsid w:val="00E96B66"/>
    <w:rsid w:val="00EA0772"/>
    <w:rsid w:val="00EA12F7"/>
    <w:rsid w:val="00EA17D0"/>
    <w:rsid w:val="00EA18B8"/>
    <w:rsid w:val="00EA2099"/>
    <w:rsid w:val="00EA3586"/>
    <w:rsid w:val="00EA3C00"/>
    <w:rsid w:val="00EA43E0"/>
    <w:rsid w:val="00EA5D1A"/>
    <w:rsid w:val="00EB0476"/>
    <w:rsid w:val="00EB04A6"/>
    <w:rsid w:val="00EB2CC3"/>
    <w:rsid w:val="00EB3446"/>
    <w:rsid w:val="00EB3479"/>
    <w:rsid w:val="00EB5022"/>
    <w:rsid w:val="00EB5B41"/>
    <w:rsid w:val="00EB6990"/>
    <w:rsid w:val="00EC0A60"/>
    <w:rsid w:val="00EC0FE9"/>
    <w:rsid w:val="00EC1708"/>
    <w:rsid w:val="00EC256F"/>
    <w:rsid w:val="00EC2844"/>
    <w:rsid w:val="00EC3DFC"/>
    <w:rsid w:val="00EC4E4E"/>
    <w:rsid w:val="00EC5500"/>
    <w:rsid w:val="00EC6C3B"/>
    <w:rsid w:val="00ED0CC0"/>
    <w:rsid w:val="00ED18F8"/>
    <w:rsid w:val="00ED2BB2"/>
    <w:rsid w:val="00ED3723"/>
    <w:rsid w:val="00ED478B"/>
    <w:rsid w:val="00ED48C5"/>
    <w:rsid w:val="00ED4A2A"/>
    <w:rsid w:val="00ED4EFE"/>
    <w:rsid w:val="00ED5093"/>
    <w:rsid w:val="00ED5356"/>
    <w:rsid w:val="00ED5AC0"/>
    <w:rsid w:val="00ED5FBF"/>
    <w:rsid w:val="00ED70AC"/>
    <w:rsid w:val="00ED7C70"/>
    <w:rsid w:val="00EE20E3"/>
    <w:rsid w:val="00EE217A"/>
    <w:rsid w:val="00EE285C"/>
    <w:rsid w:val="00EE367A"/>
    <w:rsid w:val="00EE3C8C"/>
    <w:rsid w:val="00EE3F65"/>
    <w:rsid w:val="00EE3FB6"/>
    <w:rsid w:val="00EE4216"/>
    <w:rsid w:val="00EE5022"/>
    <w:rsid w:val="00EE5041"/>
    <w:rsid w:val="00EE5595"/>
    <w:rsid w:val="00EE6519"/>
    <w:rsid w:val="00EE6EDA"/>
    <w:rsid w:val="00EE778E"/>
    <w:rsid w:val="00EF0848"/>
    <w:rsid w:val="00EF1256"/>
    <w:rsid w:val="00EF35CC"/>
    <w:rsid w:val="00EF3F55"/>
    <w:rsid w:val="00EF42E4"/>
    <w:rsid w:val="00EF4551"/>
    <w:rsid w:val="00EF5684"/>
    <w:rsid w:val="00EF5F55"/>
    <w:rsid w:val="00EF6545"/>
    <w:rsid w:val="00EF6719"/>
    <w:rsid w:val="00EF677A"/>
    <w:rsid w:val="00EF6C6C"/>
    <w:rsid w:val="00EF6F66"/>
    <w:rsid w:val="00EF79A9"/>
    <w:rsid w:val="00F00954"/>
    <w:rsid w:val="00F011E7"/>
    <w:rsid w:val="00F01B84"/>
    <w:rsid w:val="00F03532"/>
    <w:rsid w:val="00F056FC"/>
    <w:rsid w:val="00F05873"/>
    <w:rsid w:val="00F0632F"/>
    <w:rsid w:val="00F06860"/>
    <w:rsid w:val="00F069AE"/>
    <w:rsid w:val="00F070E1"/>
    <w:rsid w:val="00F077A8"/>
    <w:rsid w:val="00F10476"/>
    <w:rsid w:val="00F10958"/>
    <w:rsid w:val="00F1215F"/>
    <w:rsid w:val="00F12BC4"/>
    <w:rsid w:val="00F135D8"/>
    <w:rsid w:val="00F1391E"/>
    <w:rsid w:val="00F13A5D"/>
    <w:rsid w:val="00F1459F"/>
    <w:rsid w:val="00F15918"/>
    <w:rsid w:val="00F201E4"/>
    <w:rsid w:val="00F20664"/>
    <w:rsid w:val="00F21E50"/>
    <w:rsid w:val="00F21EE0"/>
    <w:rsid w:val="00F23D9E"/>
    <w:rsid w:val="00F25563"/>
    <w:rsid w:val="00F27C44"/>
    <w:rsid w:val="00F27D43"/>
    <w:rsid w:val="00F31299"/>
    <w:rsid w:val="00F31925"/>
    <w:rsid w:val="00F3208B"/>
    <w:rsid w:val="00F343B8"/>
    <w:rsid w:val="00F34577"/>
    <w:rsid w:val="00F34740"/>
    <w:rsid w:val="00F3534A"/>
    <w:rsid w:val="00F35B96"/>
    <w:rsid w:val="00F35BFB"/>
    <w:rsid w:val="00F36ACC"/>
    <w:rsid w:val="00F37226"/>
    <w:rsid w:val="00F374FB"/>
    <w:rsid w:val="00F415A8"/>
    <w:rsid w:val="00F416E8"/>
    <w:rsid w:val="00F4199F"/>
    <w:rsid w:val="00F41D4D"/>
    <w:rsid w:val="00F423DD"/>
    <w:rsid w:val="00F42E7F"/>
    <w:rsid w:val="00F45D6A"/>
    <w:rsid w:val="00F463AE"/>
    <w:rsid w:val="00F4700D"/>
    <w:rsid w:val="00F47F36"/>
    <w:rsid w:val="00F51609"/>
    <w:rsid w:val="00F52499"/>
    <w:rsid w:val="00F52543"/>
    <w:rsid w:val="00F530A6"/>
    <w:rsid w:val="00F5364E"/>
    <w:rsid w:val="00F53709"/>
    <w:rsid w:val="00F541D3"/>
    <w:rsid w:val="00F548BB"/>
    <w:rsid w:val="00F54D6C"/>
    <w:rsid w:val="00F55AFF"/>
    <w:rsid w:val="00F55C25"/>
    <w:rsid w:val="00F562EE"/>
    <w:rsid w:val="00F565B6"/>
    <w:rsid w:val="00F56C9B"/>
    <w:rsid w:val="00F57225"/>
    <w:rsid w:val="00F57DF5"/>
    <w:rsid w:val="00F658C6"/>
    <w:rsid w:val="00F66338"/>
    <w:rsid w:val="00F66658"/>
    <w:rsid w:val="00F70DC4"/>
    <w:rsid w:val="00F71A90"/>
    <w:rsid w:val="00F723DC"/>
    <w:rsid w:val="00F72FBD"/>
    <w:rsid w:val="00F730FD"/>
    <w:rsid w:val="00F73727"/>
    <w:rsid w:val="00F73FDA"/>
    <w:rsid w:val="00F766A7"/>
    <w:rsid w:val="00F7689B"/>
    <w:rsid w:val="00F76E77"/>
    <w:rsid w:val="00F771B4"/>
    <w:rsid w:val="00F80344"/>
    <w:rsid w:val="00F804B3"/>
    <w:rsid w:val="00F80A78"/>
    <w:rsid w:val="00F81006"/>
    <w:rsid w:val="00F8192E"/>
    <w:rsid w:val="00F81CD9"/>
    <w:rsid w:val="00F83816"/>
    <w:rsid w:val="00F842FC"/>
    <w:rsid w:val="00F84A12"/>
    <w:rsid w:val="00F84A74"/>
    <w:rsid w:val="00F851B1"/>
    <w:rsid w:val="00F851F5"/>
    <w:rsid w:val="00F85325"/>
    <w:rsid w:val="00F8615B"/>
    <w:rsid w:val="00F87649"/>
    <w:rsid w:val="00F90EFB"/>
    <w:rsid w:val="00F92F49"/>
    <w:rsid w:val="00F9300C"/>
    <w:rsid w:val="00F9479F"/>
    <w:rsid w:val="00F95AE5"/>
    <w:rsid w:val="00F96535"/>
    <w:rsid w:val="00F96FA2"/>
    <w:rsid w:val="00F97C7A"/>
    <w:rsid w:val="00F97E62"/>
    <w:rsid w:val="00FA284C"/>
    <w:rsid w:val="00FA3D42"/>
    <w:rsid w:val="00FA44D4"/>
    <w:rsid w:val="00FA4A49"/>
    <w:rsid w:val="00FA63EB"/>
    <w:rsid w:val="00FA6889"/>
    <w:rsid w:val="00FA6B75"/>
    <w:rsid w:val="00FA7268"/>
    <w:rsid w:val="00FA7C5A"/>
    <w:rsid w:val="00FB2A2D"/>
    <w:rsid w:val="00FB36DF"/>
    <w:rsid w:val="00FB3816"/>
    <w:rsid w:val="00FB3A66"/>
    <w:rsid w:val="00FB4450"/>
    <w:rsid w:val="00FB5284"/>
    <w:rsid w:val="00FB6352"/>
    <w:rsid w:val="00FB6CB8"/>
    <w:rsid w:val="00FB6E1C"/>
    <w:rsid w:val="00FB7A8A"/>
    <w:rsid w:val="00FC0FBA"/>
    <w:rsid w:val="00FC14FC"/>
    <w:rsid w:val="00FC1706"/>
    <w:rsid w:val="00FC201D"/>
    <w:rsid w:val="00FC2470"/>
    <w:rsid w:val="00FC3431"/>
    <w:rsid w:val="00FC37A9"/>
    <w:rsid w:val="00FC4405"/>
    <w:rsid w:val="00FC4F96"/>
    <w:rsid w:val="00FC65BF"/>
    <w:rsid w:val="00FD18C8"/>
    <w:rsid w:val="00FD1DD1"/>
    <w:rsid w:val="00FD1FE0"/>
    <w:rsid w:val="00FD22B1"/>
    <w:rsid w:val="00FD33F1"/>
    <w:rsid w:val="00FD3566"/>
    <w:rsid w:val="00FD41F5"/>
    <w:rsid w:val="00FD59A9"/>
    <w:rsid w:val="00FD637C"/>
    <w:rsid w:val="00FD6F57"/>
    <w:rsid w:val="00FD7209"/>
    <w:rsid w:val="00FD789F"/>
    <w:rsid w:val="00FE02AA"/>
    <w:rsid w:val="00FE3902"/>
    <w:rsid w:val="00FE3A33"/>
    <w:rsid w:val="00FE3C71"/>
    <w:rsid w:val="00FE4116"/>
    <w:rsid w:val="00FE499A"/>
    <w:rsid w:val="00FE5397"/>
    <w:rsid w:val="00FE5CA7"/>
    <w:rsid w:val="00FE6225"/>
    <w:rsid w:val="00FE6391"/>
    <w:rsid w:val="00FE76BD"/>
    <w:rsid w:val="00FF0F1F"/>
    <w:rsid w:val="00FF0F79"/>
    <w:rsid w:val="00FF7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E89CFD0"/>
  <w15:docId w15:val="{E90E72B3-5A75-4D41-938C-3E672D80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5256"/>
    <w:rPr>
      <w:sz w:val="24"/>
      <w:szCs w:val="24"/>
    </w:rPr>
  </w:style>
  <w:style w:type="paragraph" w:styleId="Heading1">
    <w:name w:val="heading 1"/>
    <w:basedOn w:val="Normal"/>
    <w:next w:val="BodyText"/>
    <w:link w:val="Heading1Char"/>
    <w:rsid w:val="00FD22B1"/>
    <w:pPr>
      <w:keepNext/>
      <w:spacing w:before="160" w:after="1360" w:line="600" w:lineRule="exact"/>
      <w:ind w:left="907" w:hanging="907"/>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nhideWhenUsed/>
    <w:rsid w:val="00555256"/>
    <w:rPr>
      <w:color w:val="000000" w:themeColor="hyperlink"/>
      <w:u w:val="single"/>
    </w:rPr>
  </w:style>
  <w:style w:type="character" w:customStyle="1" w:styleId="CommentTextChar">
    <w:name w:val="Comment Text Char"/>
    <w:basedOn w:val="DefaultParagraphFont"/>
    <w:link w:val="CommentText"/>
    <w:semiHidden/>
    <w:rsid w:val="00555256"/>
    <w:rPr>
      <w:szCs w:val="24"/>
    </w:rPr>
  </w:style>
  <w:style w:type="paragraph" w:styleId="CommentSubject">
    <w:name w:val="annotation subject"/>
    <w:basedOn w:val="CommentText"/>
    <w:next w:val="CommentText"/>
    <w:link w:val="CommentSubjectChar"/>
    <w:semiHidden/>
    <w:unhideWhenUsed/>
    <w:rsid w:val="00F1459F"/>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F1459F"/>
    <w:rPr>
      <w:b/>
      <w:bCs/>
      <w:szCs w:val="24"/>
    </w:rPr>
  </w:style>
  <w:style w:type="paragraph" w:styleId="Revision">
    <w:name w:val="Revision"/>
    <w:hidden/>
    <w:uiPriority w:val="99"/>
    <w:semiHidden/>
    <w:rsid w:val="00577671"/>
    <w:rPr>
      <w:sz w:val="24"/>
      <w:szCs w:val="24"/>
    </w:rPr>
  </w:style>
  <w:style w:type="paragraph" w:customStyle="1" w:styleId="Default">
    <w:name w:val="Default"/>
    <w:rsid w:val="009E2F30"/>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86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76DA"/>
    <w:rPr>
      <w:rFonts w:ascii="Courier New" w:hAnsi="Courier New" w:cs="Courier New"/>
    </w:rPr>
  </w:style>
  <w:style w:type="character" w:styleId="PlaceholderText">
    <w:name w:val="Placeholder Text"/>
    <w:basedOn w:val="DefaultParagraphFont"/>
    <w:uiPriority w:val="99"/>
    <w:semiHidden/>
    <w:rsid w:val="00E701FD"/>
    <w:rPr>
      <w:color w:val="808080"/>
    </w:rPr>
  </w:style>
  <w:style w:type="character" w:styleId="FollowedHyperlink">
    <w:name w:val="FollowedHyperlink"/>
    <w:basedOn w:val="DefaultParagraphFont"/>
    <w:semiHidden/>
    <w:unhideWhenUsed/>
    <w:rsid w:val="00ED48C5"/>
    <w:rPr>
      <w:color w:val="BFBFBF" w:themeColor="followedHyperlink"/>
      <w:u w:val="single"/>
    </w:rPr>
  </w:style>
  <w:style w:type="character" w:customStyle="1" w:styleId="gnkrckgcgsb">
    <w:name w:val="gnkrckgcgsb"/>
    <w:basedOn w:val="DefaultParagraphFont"/>
    <w:rsid w:val="004804A8"/>
  </w:style>
  <w:style w:type="paragraph" w:styleId="NormalWeb">
    <w:name w:val="Normal (Web)"/>
    <w:basedOn w:val="Normal"/>
    <w:uiPriority w:val="99"/>
    <w:unhideWhenUsed/>
    <w:rsid w:val="00734DCF"/>
    <w:pPr>
      <w:spacing w:before="100" w:beforeAutospacing="1" w:after="100" w:afterAutospacing="1"/>
    </w:pPr>
    <w:rPr>
      <w:rFonts w:eastAsiaTheme="minorEastAsia"/>
    </w:rPr>
  </w:style>
  <w:style w:type="paragraph" w:styleId="ListParagraph">
    <w:name w:val="List Paragraph"/>
    <w:basedOn w:val="Normal"/>
    <w:uiPriority w:val="34"/>
    <w:qFormat/>
    <w:rsid w:val="00175D1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BF5934"/>
    <w:pPr>
      <w:spacing w:after="240"/>
    </w:pPr>
  </w:style>
  <w:style w:type="character" w:customStyle="1" w:styleId="BoxChar">
    <w:name w:val="Box Char"/>
    <w:basedOn w:val="DefaultParagraphFont"/>
    <w:link w:val="Box"/>
    <w:locked/>
    <w:rsid w:val="00B22D55"/>
    <w:rPr>
      <w:rFonts w:ascii="Arial" w:hAnsi="Arial"/>
    </w:rPr>
  </w:style>
  <w:style w:type="paragraph" w:customStyle="1" w:styleId="Copyrightheading">
    <w:name w:val="Copyright heading"/>
    <w:basedOn w:val="TOC1"/>
    <w:link w:val="CopyrightheadingChar"/>
    <w:qFormat/>
    <w:rsid w:val="00B22D55"/>
    <w:pPr>
      <w:spacing w:line="300" w:lineRule="exact"/>
    </w:pPr>
    <w:rPr>
      <w:sz w:val="22"/>
    </w:rPr>
  </w:style>
  <w:style w:type="character" w:customStyle="1" w:styleId="CopyrightheadingChar">
    <w:name w:val="Copyright heading Char"/>
    <w:basedOn w:val="TOC1Char"/>
    <w:link w:val="Copyrightheading"/>
    <w:rsid w:val="00B22D55"/>
    <w:rPr>
      <w:rFonts w:ascii="Arial" w:hAnsi="Arial"/>
      <w:b/>
      <w:sz w:val="22"/>
      <w:szCs w:val="26"/>
      <w:lang w:eastAsia="en-US"/>
    </w:rPr>
  </w:style>
  <w:style w:type="paragraph" w:customStyle="1" w:styleId="Copyrightsubtitle">
    <w:name w:val="Copyright subtitle"/>
    <w:basedOn w:val="BodyText"/>
    <w:rsid w:val="00B22D55"/>
    <w:rPr>
      <w:rFonts w:ascii="Arial" w:hAnsi="Arial"/>
      <w:b/>
      <w:sz w:val="22"/>
      <w:szCs w:val="25"/>
    </w:rPr>
  </w:style>
  <w:style w:type="paragraph" w:customStyle="1" w:styleId="Copyrightbodytext">
    <w:name w:val="Copyright bodytext"/>
    <w:basedOn w:val="BodyText"/>
    <w:link w:val="CopyrightbodytextChar"/>
    <w:qFormat/>
    <w:rsid w:val="00B22D55"/>
    <w:pPr>
      <w:spacing w:before="60"/>
    </w:pPr>
  </w:style>
  <w:style w:type="character" w:customStyle="1" w:styleId="CopyrightbodytextChar">
    <w:name w:val="Copyright bodytext Char"/>
    <w:basedOn w:val="BodyTextChar"/>
    <w:link w:val="Copyrightbodytext"/>
    <w:rsid w:val="00B22D55"/>
    <w:rPr>
      <w:sz w:val="24"/>
    </w:rPr>
  </w:style>
  <w:style w:type="character" w:customStyle="1" w:styleId="Heading1Char">
    <w:name w:val="Heading 1 Char"/>
    <w:basedOn w:val="DefaultParagraphFont"/>
    <w:link w:val="Heading1"/>
    <w:rsid w:val="00FC14FC"/>
    <w:rPr>
      <w:sz w:val="52"/>
      <w:szCs w:val="24"/>
    </w:rPr>
  </w:style>
  <w:style w:type="character" w:customStyle="1" w:styleId="Heading2Char">
    <w:name w:val="Heading 2 Char"/>
    <w:basedOn w:val="DefaultParagraphFont"/>
    <w:link w:val="Heading2"/>
    <w:rsid w:val="00FC14FC"/>
    <w:rPr>
      <w:rFonts w:ascii="Arial" w:hAnsi="Arial"/>
      <w:b/>
      <w:sz w:val="32"/>
      <w:szCs w:val="24"/>
    </w:rPr>
  </w:style>
  <w:style w:type="character" w:customStyle="1" w:styleId="Heading3Char">
    <w:name w:val="Heading 3 Char"/>
    <w:basedOn w:val="DefaultParagraphFont"/>
    <w:link w:val="Heading3"/>
    <w:rsid w:val="00FC14FC"/>
    <w:rPr>
      <w:rFonts w:ascii="Arial" w:hAnsi="Arial"/>
      <w:b/>
      <w:sz w:val="26"/>
      <w:szCs w:val="24"/>
    </w:rPr>
  </w:style>
  <w:style w:type="character" w:customStyle="1" w:styleId="Heading4Char">
    <w:name w:val="Heading 4 Char"/>
    <w:basedOn w:val="DefaultParagraphFont"/>
    <w:link w:val="Heading4"/>
    <w:rsid w:val="00FC14FC"/>
    <w:rPr>
      <w:rFonts w:ascii="Arial" w:hAnsi="Arial"/>
      <w:sz w:val="24"/>
      <w:szCs w:val="24"/>
    </w:rPr>
  </w:style>
  <w:style w:type="character" w:customStyle="1" w:styleId="HeaderChar">
    <w:name w:val="Header Char"/>
    <w:basedOn w:val="DefaultParagraphFont"/>
    <w:link w:val="Header"/>
    <w:rsid w:val="00FC14FC"/>
    <w:rPr>
      <w:rFonts w:ascii="Arial" w:hAnsi="Arial"/>
      <w:caps/>
      <w:sz w:val="24"/>
    </w:rPr>
  </w:style>
  <w:style w:type="character" w:customStyle="1" w:styleId="BoxListBulletChar">
    <w:name w:val="Box List Bullet Char"/>
    <w:basedOn w:val="DefaultParagraphFont"/>
    <w:link w:val="BoxListBullet"/>
    <w:locked/>
    <w:rsid w:val="00FC14FC"/>
    <w:rPr>
      <w:rFonts w:ascii="Arial" w:hAnsi="Arial"/>
    </w:rPr>
  </w:style>
  <w:style w:type="character" w:customStyle="1" w:styleId="SourceChar">
    <w:name w:val="Source Char"/>
    <w:link w:val="Source"/>
    <w:rsid w:val="00FC14FC"/>
    <w:rPr>
      <w:rFonts w:ascii="Arial" w:hAnsi="Arial"/>
      <w:sz w:val="18"/>
    </w:rPr>
  </w:style>
  <w:style w:type="character" w:customStyle="1" w:styleId="CommentTextChar1">
    <w:name w:val="Comment Text Char1"/>
    <w:basedOn w:val="DefaultParagraphFont"/>
    <w:semiHidden/>
    <w:rsid w:val="00FC14FC"/>
    <w:rPr>
      <w:szCs w:val="24"/>
    </w:rPr>
  </w:style>
  <w:style w:type="character" w:customStyle="1" w:styleId="FootnoteTextChar">
    <w:name w:val="Footnote Text Char"/>
    <w:basedOn w:val="DefaultParagraphFont"/>
    <w:link w:val="FootnoteText"/>
    <w:rsid w:val="00FC14FC"/>
  </w:style>
  <w:style w:type="character" w:customStyle="1" w:styleId="QuoteChar">
    <w:name w:val="Quote Char"/>
    <w:basedOn w:val="DefaultParagraphFont"/>
    <w:link w:val="Quote"/>
    <w:rsid w:val="00FC14FC"/>
    <w:rPr>
      <w:sz w:val="22"/>
    </w:rPr>
  </w:style>
  <w:style w:type="character" w:customStyle="1" w:styleId="TableBodyTextChar">
    <w:name w:val="Table Body Text Char"/>
    <w:link w:val="TableBodyText"/>
    <w:rsid w:val="00FC14FC"/>
    <w:rPr>
      <w:rFonts w:ascii="Arial" w:hAnsi="Arial"/>
      <w:sz w:val="18"/>
    </w:rPr>
  </w:style>
  <w:style w:type="character" w:customStyle="1" w:styleId="TableTitleChar">
    <w:name w:val="Table Title Char"/>
    <w:basedOn w:val="DefaultParagraphFont"/>
    <w:link w:val="TableTitle"/>
    <w:rsid w:val="00FC14FC"/>
    <w:rPr>
      <w:rFonts w:ascii="Arial" w:hAnsi="Arial"/>
      <w:b/>
      <w:sz w:val="24"/>
      <w:szCs w:val="24"/>
    </w:rPr>
  </w:style>
  <w:style w:type="character" w:styleId="EndnoteReference">
    <w:name w:val="endnote reference"/>
    <w:basedOn w:val="DefaultParagraphFont"/>
    <w:semiHidden/>
    <w:unhideWhenUsed/>
    <w:rsid w:val="00FC14FC"/>
    <w:rPr>
      <w:vertAlign w:val="superscript"/>
    </w:rPr>
  </w:style>
  <w:style w:type="paragraph" w:customStyle="1" w:styleId="Compact">
    <w:name w:val="Compact"/>
    <w:qFormat/>
    <w:rsid w:val="00FC14FC"/>
    <w:pPr>
      <w:keepNext/>
      <w:keepLines/>
      <w:spacing w:before="36" w:after="36"/>
    </w:pPr>
    <w:rPr>
      <w:rFonts w:ascii="Arial" w:eastAsiaTheme="minorHAnsi" w:hAnsi="Arial" w:cs="Arial"/>
      <w:sz w:val="18"/>
      <w:szCs w:val="24"/>
      <w:lang w:val="en-US" w:eastAsia="en-US"/>
    </w:rPr>
  </w:style>
  <w:style w:type="paragraph" w:customStyle="1" w:styleId="TableCaption">
    <w:name w:val="Table Caption"/>
    <w:basedOn w:val="Caption"/>
    <w:rsid w:val="00FC14FC"/>
    <w:pPr>
      <w:keepLines w:val="0"/>
      <w:spacing w:before="240" w:after="0" w:line="240" w:lineRule="auto"/>
      <w:ind w:left="0" w:firstLine="0"/>
    </w:pPr>
    <w:rPr>
      <w:rFonts w:eastAsiaTheme="minorHAnsi" w:cstheme="minorBidi"/>
      <w:b w:val="0"/>
      <w:i/>
      <w:color w:val="808080" w:themeColor="background1" w:themeShade="80"/>
      <w:sz w:val="20"/>
      <w:lang w:val="en-US" w:eastAsia="en-US"/>
    </w:rPr>
  </w:style>
  <w:style w:type="paragraph" w:customStyle="1" w:styleId="BoxSpaceAboveElement">
    <w:name w:val="Box Space Above Element"/>
    <w:basedOn w:val="BoxSpaceAbove"/>
    <w:link w:val="BoxSpaceAboveElementChar"/>
    <w:qFormat/>
    <w:rsid w:val="00FC14FC"/>
    <w:pPr>
      <w:spacing w:before="240"/>
    </w:pPr>
    <w:rPr>
      <w:b/>
      <w:vanish/>
      <w:color w:val="FF00FF"/>
      <w:sz w:val="14"/>
    </w:rPr>
  </w:style>
  <w:style w:type="character" w:customStyle="1" w:styleId="BoxSpaceAboveElementChar">
    <w:name w:val="Box Space Above Element Char"/>
    <w:basedOn w:val="DefaultParagraphFont"/>
    <w:link w:val="BoxSpaceAboveElement"/>
    <w:rsid w:val="00FC14FC"/>
    <w:rPr>
      <w:b/>
      <w:vanish/>
      <w:color w:val="FF00FF"/>
      <w:sz w:val="14"/>
    </w:rPr>
  </w:style>
  <w:style w:type="paragraph" w:customStyle="1" w:styleId="C126">
    <w:name w:val="C1.26"/>
    <w:basedOn w:val="Heading1"/>
    <w:rsid w:val="00FC14FC"/>
    <w:rPr>
      <w:szCs w:val="20"/>
    </w:rPr>
  </w:style>
  <w:style w:type="table" w:customStyle="1" w:styleId="Banded">
    <w:name w:val="Banded"/>
    <w:basedOn w:val="TableNormal"/>
    <w:uiPriority w:val="99"/>
    <w:rsid w:val="00FC14FC"/>
    <w:tblPr>
      <w:tblStyleRowBandSize w:val="1"/>
      <w:tblBorders>
        <w:top w:val="single" w:sz="4" w:space="0" w:color="BFBFBF" w:themeColor="background1" w:themeShade="BF"/>
        <w:bottom w:val="single" w:sz="4" w:space="0" w:color="BFBFBF" w:themeColor="background1" w:themeShade="BF"/>
      </w:tblBorders>
      <w:tblCellMar>
        <w:top w:w="28" w:type="dxa"/>
        <w:left w:w="0" w:type="dxa"/>
        <w:right w:w="0" w:type="dxa"/>
      </w:tblCellMar>
    </w:tblPr>
    <w:tblStylePr w:type="firstRow">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TableParagraph">
    <w:name w:val="Table Paragraph"/>
    <w:basedOn w:val="Normal"/>
    <w:uiPriority w:val="1"/>
    <w:qFormat/>
    <w:rsid w:val="00FC14FC"/>
    <w:pPr>
      <w:widowControl w:val="0"/>
      <w:autoSpaceDE w:val="0"/>
      <w:autoSpaceDN w:val="0"/>
    </w:pPr>
    <w:rPr>
      <w:rFonts w:ascii="Arial Unicode MS" w:eastAsia="Arial Unicode MS" w:hAnsi="Arial Unicode MS" w:cs="Arial Unicode MS"/>
      <w:sz w:val="22"/>
      <w:szCs w:val="22"/>
      <w:lang w:val="en-US" w:eastAsia="en-US"/>
    </w:rPr>
  </w:style>
  <w:style w:type="paragraph" w:customStyle="1" w:styleId="default0">
    <w:name w:val="default"/>
    <w:basedOn w:val="Normal"/>
    <w:uiPriority w:val="99"/>
    <w:rsid w:val="00FC14FC"/>
    <w:pPr>
      <w:autoSpaceDE w:val="0"/>
      <w:autoSpaceDN w:val="0"/>
    </w:pPr>
    <w:rPr>
      <w:rFonts w:ascii="Arial" w:eastAsiaTheme="minorHAnsi" w:hAnsi="Arial" w:cs="Arial"/>
      <w:color w:val="000000"/>
    </w:rPr>
  </w:style>
  <w:style w:type="character" w:customStyle="1" w:styleId="fntblue1">
    <w:name w:val="fnt_blue1"/>
    <w:basedOn w:val="DefaultParagraphFont"/>
    <w:rsid w:val="00FC14FC"/>
    <w:rPr>
      <w:color w:val="007A90"/>
    </w:rPr>
  </w:style>
  <w:style w:type="character" w:customStyle="1" w:styleId="at4-visually-hidden1">
    <w:name w:val="at4-visually-hidden1"/>
    <w:basedOn w:val="DefaultParagraphFont"/>
    <w:rsid w:val="00FC14FC"/>
    <w:rPr>
      <w:bdr w:val="none" w:sz="0" w:space="0" w:color="auto" w:frame="1"/>
    </w:rPr>
  </w:style>
  <w:style w:type="character" w:customStyle="1" w:styleId="A7">
    <w:name w:val="A7"/>
    <w:uiPriority w:val="99"/>
    <w:rsid w:val="00FC14FC"/>
    <w:rPr>
      <w:rFonts w:cs="HelveticaNeueLT Std Lt"/>
      <w:color w:val="000000"/>
      <w:sz w:val="11"/>
      <w:szCs w:val="11"/>
    </w:rPr>
  </w:style>
  <w:style w:type="paragraph" w:customStyle="1" w:styleId="Heading1NotTOC">
    <w:name w:val="Heading 1 Not TOC"/>
    <w:basedOn w:val="Heading1"/>
    <w:next w:val="BodyText"/>
    <w:rsid w:val="00FC14FC"/>
    <w:rPr>
      <w:kern w:val="28"/>
      <w:szCs w:val="26"/>
      <w:lang w:eastAsia="en-US"/>
    </w:rPr>
  </w:style>
  <w:style w:type="paragraph" w:styleId="TOCHeading">
    <w:name w:val="TOC Heading"/>
    <w:basedOn w:val="Heading1"/>
    <w:next w:val="Normal"/>
    <w:uiPriority w:val="39"/>
    <w:unhideWhenUsed/>
    <w:qFormat/>
    <w:rsid w:val="00FC14FC"/>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TableBullet-level2">
    <w:name w:val="Table Bullet - level 2"/>
    <w:basedOn w:val="TableBullet"/>
    <w:rsid w:val="00FC14FC"/>
    <w:pPr>
      <w:numPr>
        <w:numId w:val="43"/>
      </w:numPr>
      <w:ind w:left="567" w:hanging="340"/>
    </w:pPr>
  </w:style>
  <w:style w:type="character" w:styleId="Strong">
    <w:name w:val="Strong"/>
    <w:basedOn w:val="DefaultParagraphFont"/>
    <w:uiPriority w:val="22"/>
    <w:qFormat/>
    <w:rsid w:val="00FC14FC"/>
    <w:rPr>
      <w:b/>
      <w:bCs/>
    </w:rPr>
  </w:style>
  <w:style w:type="paragraph" w:customStyle="1" w:styleId="Headingr">
    <w:name w:val="Heading r"/>
    <w:basedOn w:val="BodyText"/>
    <w:rsid w:val="00FC14FC"/>
  </w:style>
  <w:style w:type="paragraph" w:customStyle="1" w:styleId="selectionshareable">
    <w:name w:val="selectionshareable"/>
    <w:basedOn w:val="Normal"/>
    <w:rsid w:val="00FC14FC"/>
    <w:pPr>
      <w:spacing w:before="240" w:after="240"/>
    </w:pPr>
  </w:style>
  <w:style w:type="character" w:customStyle="1" w:styleId="tgc">
    <w:name w:val="_tgc"/>
    <w:basedOn w:val="DefaultParagraphFont"/>
    <w:rsid w:val="00FC14FC"/>
  </w:style>
  <w:style w:type="paragraph" w:customStyle="1" w:styleId="Bullet">
    <w:name w:val="Bullet"/>
    <w:basedOn w:val="Normal"/>
    <w:rsid w:val="00FC14FC"/>
    <w:pPr>
      <w:numPr>
        <w:ilvl w:val="1"/>
        <w:numId w:val="44"/>
      </w:numPr>
      <w:tabs>
        <w:tab w:val="clear" w:pos="1040"/>
        <w:tab w:val="num" w:pos="520"/>
      </w:tabs>
      <w:spacing w:line="276" w:lineRule="auto"/>
      <w:ind w:left="520"/>
    </w:pPr>
    <w:rPr>
      <w:rFonts w:asciiTheme="minorHAnsi" w:eastAsiaTheme="minorHAnsi" w:hAnsiTheme="minorHAnsi" w:cstheme="minorBidi"/>
      <w:sz w:val="22"/>
      <w:szCs w:val="22"/>
      <w:lang w:eastAsia="en-US"/>
    </w:rPr>
  </w:style>
  <w:style w:type="paragraph" w:customStyle="1" w:styleId="Dash">
    <w:name w:val="Dash"/>
    <w:basedOn w:val="Normal"/>
    <w:link w:val="DashChar"/>
    <w:rsid w:val="00FC14FC"/>
    <w:pPr>
      <w:tabs>
        <w:tab w:val="num" w:pos="1040"/>
      </w:tabs>
      <w:spacing w:line="276" w:lineRule="auto"/>
      <w:ind w:left="1040" w:hanging="520"/>
    </w:pPr>
    <w:rPr>
      <w:rFonts w:asciiTheme="minorHAnsi" w:eastAsiaTheme="minorHAnsi" w:hAnsiTheme="minorHAnsi" w:cstheme="minorBidi"/>
      <w:sz w:val="22"/>
      <w:szCs w:val="22"/>
      <w:lang w:eastAsia="en-US"/>
    </w:rPr>
  </w:style>
  <w:style w:type="character" w:customStyle="1" w:styleId="DashChar">
    <w:name w:val="Dash Char"/>
    <w:basedOn w:val="DefaultParagraphFont"/>
    <w:link w:val="Dash"/>
    <w:rsid w:val="00FC14FC"/>
    <w:rPr>
      <w:rFonts w:asciiTheme="minorHAnsi" w:eastAsiaTheme="minorHAnsi" w:hAnsiTheme="minorHAnsi" w:cstheme="minorBidi"/>
      <w:sz w:val="22"/>
      <w:szCs w:val="22"/>
      <w:lang w:eastAsia="en-US"/>
    </w:rPr>
  </w:style>
  <w:style w:type="paragraph" w:customStyle="1" w:styleId="DoubleDot">
    <w:name w:val="Double Dot"/>
    <w:basedOn w:val="Normal"/>
    <w:rsid w:val="00FC14FC"/>
    <w:pPr>
      <w:numPr>
        <w:ilvl w:val="2"/>
        <w:numId w:val="44"/>
      </w:numPr>
      <w:spacing w:line="276" w:lineRule="auto"/>
    </w:pPr>
    <w:rPr>
      <w:rFonts w:asciiTheme="minorHAnsi" w:eastAsiaTheme="minorHAnsi" w:hAnsiTheme="minorHAnsi" w:cstheme="minorBidi"/>
      <w:sz w:val="22"/>
      <w:szCs w:val="22"/>
      <w:lang w:eastAsia="en-US"/>
    </w:rPr>
  </w:style>
  <w:style w:type="paragraph" w:customStyle="1" w:styleId="Footnote">
    <w:name w:val="Footnote"/>
    <w:basedOn w:val="BodyText"/>
    <w:rsid w:val="00FC14FC"/>
  </w:style>
  <w:style w:type="paragraph" w:customStyle="1" w:styleId="Pa0">
    <w:name w:val="Pa0"/>
    <w:basedOn w:val="Default"/>
    <w:next w:val="Default"/>
    <w:uiPriority w:val="99"/>
    <w:rsid w:val="00FC14FC"/>
    <w:pPr>
      <w:spacing w:line="191" w:lineRule="atLeast"/>
    </w:pPr>
    <w:rPr>
      <w:rFonts w:ascii="ITC Franklin Gothic Std Book" w:hAnsi="ITC Franklin Gothic Std Book" w:cs="Times New Roman"/>
      <w:color w:val="auto"/>
    </w:rPr>
  </w:style>
  <w:style w:type="paragraph" w:customStyle="1" w:styleId="Heaeding5">
    <w:name w:val="Heaeding 5"/>
    <w:basedOn w:val="ListNumber"/>
    <w:rsid w:val="00FC14FC"/>
  </w:style>
  <w:style w:type="paragraph" w:customStyle="1" w:styleId="Heading40">
    <w:name w:val="Heading4"/>
    <w:basedOn w:val="BodyText"/>
    <w:rsid w:val="00FC14FC"/>
  </w:style>
  <w:style w:type="paragraph" w:customStyle="1" w:styleId="Level3">
    <w:name w:val="Level 3"/>
    <w:basedOn w:val="Bibliography"/>
    <w:rsid w:val="00FC14FC"/>
    <w:pPr>
      <w:ind w:left="720" w:hanging="720"/>
    </w:pPr>
  </w:style>
  <w:style w:type="paragraph" w:customStyle="1" w:styleId="Heading10">
    <w:name w:val="Heading1"/>
    <w:basedOn w:val="Chapter"/>
    <w:rsid w:val="00FC14FC"/>
    <w:pPr>
      <w:spacing w:after="800"/>
      <w:ind w:left="907" w:hanging="907"/>
    </w:pPr>
    <w:rPr>
      <w:szCs w:val="20"/>
    </w:rPr>
  </w:style>
  <w:style w:type="paragraph" w:customStyle="1" w:styleId="PCAddress">
    <w:name w:val="PC Address"/>
    <w:basedOn w:val="Normal"/>
    <w:rsid w:val="00FC14FC"/>
    <w:pPr>
      <w:tabs>
        <w:tab w:val="left" w:pos="866"/>
      </w:tabs>
      <w:spacing w:after="60"/>
    </w:pPr>
    <w:rPr>
      <w:sz w:val="16"/>
      <w:szCs w:val="20"/>
    </w:rPr>
  </w:style>
  <w:style w:type="paragraph" w:styleId="Salutation">
    <w:name w:val="Salutation"/>
    <w:basedOn w:val="Normal"/>
    <w:next w:val="Normal"/>
    <w:link w:val="SalutationChar"/>
    <w:autoRedefine/>
    <w:rsid w:val="00FC14FC"/>
    <w:rPr>
      <w:noProof/>
      <w:szCs w:val="20"/>
    </w:rPr>
  </w:style>
  <w:style w:type="character" w:customStyle="1" w:styleId="SalutationChar">
    <w:name w:val="Salutation Char"/>
    <w:basedOn w:val="DefaultParagraphFont"/>
    <w:link w:val="Salutation"/>
    <w:rsid w:val="00FC14FC"/>
    <w:rPr>
      <w:noProof/>
      <w:sz w:val="24"/>
    </w:rPr>
  </w:style>
  <w:style w:type="paragraph" w:customStyle="1" w:styleId="Signoff">
    <w:name w:val="Signoff"/>
    <w:basedOn w:val="Normal"/>
    <w:autoRedefine/>
    <w:rsid w:val="00FC14FC"/>
    <w:pPr>
      <w:spacing w:before="480"/>
    </w:pPr>
    <w:rPr>
      <w:szCs w:val="20"/>
    </w:rPr>
  </w:style>
  <w:style w:type="paragraph" w:customStyle="1" w:styleId="LetterDate">
    <w:name w:val="Letter Date"/>
    <w:basedOn w:val="BodyText"/>
    <w:rsid w:val="00FC14FC"/>
    <w:pPr>
      <w:spacing w:before="0" w:after="240" w:line="240" w:lineRule="auto"/>
      <w:ind w:left="-108"/>
      <w:jc w:val="left"/>
    </w:pPr>
  </w:style>
  <w:style w:type="paragraph" w:customStyle="1" w:styleId="LetterAddress">
    <w:name w:val="Letter Address"/>
    <w:basedOn w:val="BodyText"/>
    <w:rsid w:val="00FC14FC"/>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29">
      <w:marLeft w:val="0"/>
      <w:marRight w:val="0"/>
      <w:marTop w:val="0"/>
      <w:marBottom w:val="0"/>
      <w:divBdr>
        <w:top w:val="none" w:sz="0" w:space="0" w:color="auto"/>
        <w:left w:val="none" w:sz="0" w:space="0" w:color="auto"/>
        <w:bottom w:val="none" w:sz="0" w:space="0" w:color="auto"/>
        <w:right w:val="none" w:sz="0" w:space="0" w:color="auto"/>
      </w:divBdr>
      <w:divsChild>
        <w:div w:id="927269511">
          <w:marLeft w:val="0"/>
          <w:marRight w:val="0"/>
          <w:marTop w:val="0"/>
          <w:marBottom w:val="0"/>
          <w:divBdr>
            <w:top w:val="none" w:sz="0" w:space="0" w:color="auto"/>
            <w:left w:val="none" w:sz="0" w:space="0" w:color="auto"/>
            <w:bottom w:val="none" w:sz="0" w:space="0" w:color="auto"/>
            <w:right w:val="none" w:sz="0" w:space="0" w:color="auto"/>
          </w:divBdr>
        </w:div>
      </w:divsChild>
    </w:div>
    <w:div w:id="1205704">
      <w:bodyDiv w:val="1"/>
      <w:marLeft w:val="0"/>
      <w:marRight w:val="0"/>
      <w:marTop w:val="0"/>
      <w:marBottom w:val="0"/>
      <w:divBdr>
        <w:top w:val="none" w:sz="0" w:space="0" w:color="auto"/>
        <w:left w:val="none" w:sz="0" w:space="0" w:color="auto"/>
        <w:bottom w:val="none" w:sz="0" w:space="0" w:color="auto"/>
        <w:right w:val="none" w:sz="0" w:space="0" w:color="auto"/>
      </w:divBdr>
    </w:div>
    <w:div w:id="2780722">
      <w:marLeft w:val="0"/>
      <w:marRight w:val="0"/>
      <w:marTop w:val="0"/>
      <w:marBottom w:val="0"/>
      <w:divBdr>
        <w:top w:val="none" w:sz="0" w:space="0" w:color="auto"/>
        <w:left w:val="none" w:sz="0" w:space="0" w:color="auto"/>
        <w:bottom w:val="none" w:sz="0" w:space="0" w:color="auto"/>
        <w:right w:val="none" w:sz="0" w:space="0" w:color="auto"/>
      </w:divBdr>
      <w:divsChild>
        <w:div w:id="42796289">
          <w:marLeft w:val="0"/>
          <w:marRight w:val="0"/>
          <w:marTop w:val="0"/>
          <w:marBottom w:val="0"/>
          <w:divBdr>
            <w:top w:val="none" w:sz="0" w:space="0" w:color="auto"/>
            <w:left w:val="none" w:sz="0" w:space="0" w:color="auto"/>
            <w:bottom w:val="none" w:sz="0" w:space="0" w:color="auto"/>
            <w:right w:val="none" w:sz="0" w:space="0" w:color="auto"/>
          </w:divBdr>
        </w:div>
      </w:divsChild>
    </w:div>
    <w:div w:id="4063310">
      <w:marLeft w:val="0"/>
      <w:marRight w:val="0"/>
      <w:marTop w:val="0"/>
      <w:marBottom w:val="0"/>
      <w:divBdr>
        <w:top w:val="none" w:sz="0" w:space="0" w:color="auto"/>
        <w:left w:val="none" w:sz="0" w:space="0" w:color="auto"/>
        <w:bottom w:val="none" w:sz="0" w:space="0" w:color="auto"/>
        <w:right w:val="none" w:sz="0" w:space="0" w:color="auto"/>
      </w:divBdr>
      <w:divsChild>
        <w:div w:id="1318462259">
          <w:marLeft w:val="0"/>
          <w:marRight w:val="0"/>
          <w:marTop w:val="0"/>
          <w:marBottom w:val="0"/>
          <w:divBdr>
            <w:top w:val="none" w:sz="0" w:space="0" w:color="auto"/>
            <w:left w:val="none" w:sz="0" w:space="0" w:color="auto"/>
            <w:bottom w:val="none" w:sz="0" w:space="0" w:color="auto"/>
            <w:right w:val="none" w:sz="0" w:space="0" w:color="auto"/>
          </w:divBdr>
        </w:div>
      </w:divsChild>
    </w:div>
    <w:div w:id="9380182">
      <w:bodyDiv w:val="1"/>
      <w:marLeft w:val="0"/>
      <w:marRight w:val="0"/>
      <w:marTop w:val="0"/>
      <w:marBottom w:val="0"/>
      <w:divBdr>
        <w:top w:val="none" w:sz="0" w:space="0" w:color="auto"/>
        <w:left w:val="none" w:sz="0" w:space="0" w:color="auto"/>
        <w:bottom w:val="none" w:sz="0" w:space="0" w:color="auto"/>
        <w:right w:val="none" w:sz="0" w:space="0" w:color="auto"/>
      </w:divBdr>
    </w:div>
    <w:div w:id="17124220">
      <w:bodyDiv w:val="1"/>
      <w:marLeft w:val="0"/>
      <w:marRight w:val="0"/>
      <w:marTop w:val="0"/>
      <w:marBottom w:val="0"/>
      <w:divBdr>
        <w:top w:val="none" w:sz="0" w:space="0" w:color="auto"/>
        <w:left w:val="none" w:sz="0" w:space="0" w:color="auto"/>
        <w:bottom w:val="none" w:sz="0" w:space="0" w:color="auto"/>
        <w:right w:val="none" w:sz="0" w:space="0" w:color="auto"/>
      </w:divBdr>
    </w:div>
    <w:div w:id="18893968">
      <w:bodyDiv w:val="1"/>
      <w:marLeft w:val="0"/>
      <w:marRight w:val="0"/>
      <w:marTop w:val="0"/>
      <w:marBottom w:val="0"/>
      <w:divBdr>
        <w:top w:val="none" w:sz="0" w:space="0" w:color="auto"/>
        <w:left w:val="none" w:sz="0" w:space="0" w:color="auto"/>
        <w:bottom w:val="none" w:sz="0" w:space="0" w:color="auto"/>
        <w:right w:val="none" w:sz="0" w:space="0" w:color="auto"/>
      </w:divBdr>
    </w:div>
    <w:div w:id="23484170">
      <w:marLeft w:val="0"/>
      <w:marRight w:val="0"/>
      <w:marTop w:val="0"/>
      <w:marBottom w:val="0"/>
      <w:divBdr>
        <w:top w:val="none" w:sz="0" w:space="0" w:color="auto"/>
        <w:left w:val="none" w:sz="0" w:space="0" w:color="auto"/>
        <w:bottom w:val="none" w:sz="0" w:space="0" w:color="auto"/>
        <w:right w:val="none" w:sz="0" w:space="0" w:color="auto"/>
      </w:divBdr>
      <w:divsChild>
        <w:div w:id="2063014490">
          <w:marLeft w:val="0"/>
          <w:marRight w:val="0"/>
          <w:marTop w:val="0"/>
          <w:marBottom w:val="0"/>
          <w:divBdr>
            <w:top w:val="none" w:sz="0" w:space="0" w:color="auto"/>
            <w:left w:val="none" w:sz="0" w:space="0" w:color="auto"/>
            <w:bottom w:val="none" w:sz="0" w:space="0" w:color="auto"/>
            <w:right w:val="none" w:sz="0" w:space="0" w:color="auto"/>
          </w:divBdr>
        </w:div>
      </w:divsChild>
    </w:div>
    <w:div w:id="24411633">
      <w:marLeft w:val="0"/>
      <w:marRight w:val="0"/>
      <w:marTop w:val="0"/>
      <w:marBottom w:val="0"/>
      <w:divBdr>
        <w:top w:val="none" w:sz="0" w:space="0" w:color="auto"/>
        <w:left w:val="none" w:sz="0" w:space="0" w:color="auto"/>
        <w:bottom w:val="none" w:sz="0" w:space="0" w:color="auto"/>
        <w:right w:val="none" w:sz="0" w:space="0" w:color="auto"/>
      </w:divBdr>
      <w:divsChild>
        <w:div w:id="831219369">
          <w:marLeft w:val="0"/>
          <w:marRight w:val="0"/>
          <w:marTop w:val="0"/>
          <w:marBottom w:val="0"/>
          <w:divBdr>
            <w:top w:val="none" w:sz="0" w:space="0" w:color="auto"/>
            <w:left w:val="none" w:sz="0" w:space="0" w:color="auto"/>
            <w:bottom w:val="none" w:sz="0" w:space="0" w:color="auto"/>
            <w:right w:val="none" w:sz="0" w:space="0" w:color="auto"/>
          </w:divBdr>
        </w:div>
      </w:divsChild>
    </w:div>
    <w:div w:id="24604724">
      <w:marLeft w:val="0"/>
      <w:marRight w:val="0"/>
      <w:marTop w:val="0"/>
      <w:marBottom w:val="0"/>
      <w:divBdr>
        <w:top w:val="none" w:sz="0" w:space="0" w:color="auto"/>
        <w:left w:val="none" w:sz="0" w:space="0" w:color="auto"/>
        <w:bottom w:val="none" w:sz="0" w:space="0" w:color="auto"/>
        <w:right w:val="none" w:sz="0" w:space="0" w:color="auto"/>
      </w:divBdr>
      <w:divsChild>
        <w:div w:id="733892967">
          <w:marLeft w:val="0"/>
          <w:marRight w:val="0"/>
          <w:marTop w:val="0"/>
          <w:marBottom w:val="0"/>
          <w:divBdr>
            <w:top w:val="none" w:sz="0" w:space="0" w:color="auto"/>
            <w:left w:val="none" w:sz="0" w:space="0" w:color="auto"/>
            <w:bottom w:val="none" w:sz="0" w:space="0" w:color="auto"/>
            <w:right w:val="none" w:sz="0" w:space="0" w:color="auto"/>
          </w:divBdr>
        </w:div>
      </w:divsChild>
    </w:div>
    <w:div w:id="26684221">
      <w:bodyDiv w:val="1"/>
      <w:marLeft w:val="0"/>
      <w:marRight w:val="0"/>
      <w:marTop w:val="0"/>
      <w:marBottom w:val="0"/>
      <w:divBdr>
        <w:top w:val="none" w:sz="0" w:space="0" w:color="auto"/>
        <w:left w:val="none" w:sz="0" w:space="0" w:color="auto"/>
        <w:bottom w:val="none" w:sz="0" w:space="0" w:color="auto"/>
        <w:right w:val="none" w:sz="0" w:space="0" w:color="auto"/>
      </w:divBdr>
    </w:div>
    <w:div w:id="32535834">
      <w:bodyDiv w:val="1"/>
      <w:marLeft w:val="0"/>
      <w:marRight w:val="0"/>
      <w:marTop w:val="0"/>
      <w:marBottom w:val="0"/>
      <w:divBdr>
        <w:top w:val="none" w:sz="0" w:space="0" w:color="auto"/>
        <w:left w:val="none" w:sz="0" w:space="0" w:color="auto"/>
        <w:bottom w:val="none" w:sz="0" w:space="0" w:color="auto"/>
        <w:right w:val="none" w:sz="0" w:space="0" w:color="auto"/>
      </w:divBdr>
    </w:div>
    <w:div w:id="35739958">
      <w:bodyDiv w:val="1"/>
      <w:marLeft w:val="0"/>
      <w:marRight w:val="0"/>
      <w:marTop w:val="0"/>
      <w:marBottom w:val="0"/>
      <w:divBdr>
        <w:top w:val="none" w:sz="0" w:space="0" w:color="auto"/>
        <w:left w:val="none" w:sz="0" w:space="0" w:color="auto"/>
        <w:bottom w:val="none" w:sz="0" w:space="0" w:color="auto"/>
        <w:right w:val="none" w:sz="0" w:space="0" w:color="auto"/>
      </w:divBdr>
    </w:div>
    <w:div w:id="37516355">
      <w:marLeft w:val="0"/>
      <w:marRight w:val="0"/>
      <w:marTop w:val="0"/>
      <w:marBottom w:val="0"/>
      <w:divBdr>
        <w:top w:val="none" w:sz="0" w:space="0" w:color="auto"/>
        <w:left w:val="none" w:sz="0" w:space="0" w:color="auto"/>
        <w:bottom w:val="none" w:sz="0" w:space="0" w:color="auto"/>
        <w:right w:val="none" w:sz="0" w:space="0" w:color="auto"/>
      </w:divBdr>
      <w:divsChild>
        <w:div w:id="848057814">
          <w:marLeft w:val="0"/>
          <w:marRight w:val="0"/>
          <w:marTop w:val="0"/>
          <w:marBottom w:val="0"/>
          <w:divBdr>
            <w:top w:val="none" w:sz="0" w:space="0" w:color="auto"/>
            <w:left w:val="none" w:sz="0" w:space="0" w:color="auto"/>
            <w:bottom w:val="none" w:sz="0" w:space="0" w:color="auto"/>
            <w:right w:val="none" w:sz="0" w:space="0" w:color="auto"/>
          </w:divBdr>
        </w:div>
      </w:divsChild>
    </w:div>
    <w:div w:id="51387456">
      <w:marLeft w:val="0"/>
      <w:marRight w:val="0"/>
      <w:marTop w:val="0"/>
      <w:marBottom w:val="0"/>
      <w:divBdr>
        <w:top w:val="none" w:sz="0" w:space="0" w:color="auto"/>
        <w:left w:val="none" w:sz="0" w:space="0" w:color="auto"/>
        <w:bottom w:val="none" w:sz="0" w:space="0" w:color="auto"/>
        <w:right w:val="none" w:sz="0" w:space="0" w:color="auto"/>
      </w:divBdr>
      <w:divsChild>
        <w:div w:id="741412675">
          <w:marLeft w:val="0"/>
          <w:marRight w:val="0"/>
          <w:marTop w:val="0"/>
          <w:marBottom w:val="0"/>
          <w:divBdr>
            <w:top w:val="none" w:sz="0" w:space="0" w:color="auto"/>
            <w:left w:val="none" w:sz="0" w:space="0" w:color="auto"/>
            <w:bottom w:val="none" w:sz="0" w:space="0" w:color="auto"/>
            <w:right w:val="none" w:sz="0" w:space="0" w:color="auto"/>
          </w:divBdr>
        </w:div>
      </w:divsChild>
    </w:div>
    <w:div w:id="56124307">
      <w:marLeft w:val="0"/>
      <w:marRight w:val="0"/>
      <w:marTop w:val="0"/>
      <w:marBottom w:val="0"/>
      <w:divBdr>
        <w:top w:val="none" w:sz="0" w:space="0" w:color="auto"/>
        <w:left w:val="none" w:sz="0" w:space="0" w:color="auto"/>
        <w:bottom w:val="none" w:sz="0" w:space="0" w:color="auto"/>
        <w:right w:val="none" w:sz="0" w:space="0" w:color="auto"/>
      </w:divBdr>
      <w:divsChild>
        <w:div w:id="1527792258">
          <w:marLeft w:val="0"/>
          <w:marRight w:val="0"/>
          <w:marTop w:val="0"/>
          <w:marBottom w:val="0"/>
          <w:divBdr>
            <w:top w:val="none" w:sz="0" w:space="0" w:color="auto"/>
            <w:left w:val="none" w:sz="0" w:space="0" w:color="auto"/>
            <w:bottom w:val="none" w:sz="0" w:space="0" w:color="auto"/>
            <w:right w:val="none" w:sz="0" w:space="0" w:color="auto"/>
          </w:divBdr>
        </w:div>
      </w:divsChild>
    </w:div>
    <w:div w:id="58482934">
      <w:marLeft w:val="0"/>
      <w:marRight w:val="0"/>
      <w:marTop w:val="0"/>
      <w:marBottom w:val="0"/>
      <w:divBdr>
        <w:top w:val="none" w:sz="0" w:space="0" w:color="auto"/>
        <w:left w:val="none" w:sz="0" w:space="0" w:color="auto"/>
        <w:bottom w:val="none" w:sz="0" w:space="0" w:color="auto"/>
        <w:right w:val="none" w:sz="0" w:space="0" w:color="auto"/>
      </w:divBdr>
      <w:divsChild>
        <w:div w:id="1908224237">
          <w:marLeft w:val="0"/>
          <w:marRight w:val="0"/>
          <w:marTop w:val="0"/>
          <w:marBottom w:val="0"/>
          <w:divBdr>
            <w:top w:val="none" w:sz="0" w:space="0" w:color="auto"/>
            <w:left w:val="none" w:sz="0" w:space="0" w:color="auto"/>
            <w:bottom w:val="none" w:sz="0" w:space="0" w:color="auto"/>
            <w:right w:val="none" w:sz="0" w:space="0" w:color="auto"/>
          </w:divBdr>
        </w:div>
      </w:divsChild>
    </w:div>
    <w:div w:id="59794352">
      <w:bodyDiv w:val="1"/>
      <w:marLeft w:val="0"/>
      <w:marRight w:val="0"/>
      <w:marTop w:val="0"/>
      <w:marBottom w:val="0"/>
      <w:divBdr>
        <w:top w:val="none" w:sz="0" w:space="0" w:color="auto"/>
        <w:left w:val="none" w:sz="0" w:space="0" w:color="auto"/>
        <w:bottom w:val="none" w:sz="0" w:space="0" w:color="auto"/>
        <w:right w:val="none" w:sz="0" w:space="0" w:color="auto"/>
      </w:divBdr>
    </w:div>
    <w:div w:id="60299551">
      <w:marLeft w:val="0"/>
      <w:marRight w:val="0"/>
      <w:marTop w:val="0"/>
      <w:marBottom w:val="0"/>
      <w:divBdr>
        <w:top w:val="none" w:sz="0" w:space="0" w:color="auto"/>
        <w:left w:val="none" w:sz="0" w:space="0" w:color="auto"/>
        <w:bottom w:val="none" w:sz="0" w:space="0" w:color="auto"/>
        <w:right w:val="none" w:sz="0" w:space="0" w:color="auto"/>
      </w:divBdr>
      <w:divsChild>
        <w:div w:id="1467041023">
          <w:marLeft w:val="0"/>
          <w:marRight w:val="0"/>
          <w:marTop w:val="0"/>
          <w:marBottom w:val="0"/>
          <w:divBdr>
            <w:top w:val="none" w:sz="0" w:space="0" w:color="auto"/>
            <w:left w:val="none" w:sz="0" w:space="0" w:color="auto"/>
            <w:bottom w:val="none" w:sz="0" w:space="0" w:color="auto"/>
            <w:right w:val="none" w:sz="0" w:space="0" w:color="auto"/>
          </w:divBdr>
        </w:div>
      </w:divsChild>
    </w:div>
    <w:div w:id="76564090">
      <w:marLeft w:val="0"/>
      <w:marRight w:val="0"/>
      <w:marTop w:val="0"/>
      <w:marBottom w:val="0"/>
      <w:divBdr>
        <w:top w:val="none" w:sz="0" w:space="0" w:color="auto"/>
        <w:left w:val="none" w:sz="0" w:space="0" w:color="auto"/>
        <w:bottom w:val="none" w:sz="0" w:space="0" w:color="auto"/>
        <w:right w:val="none" w:sz="0" w:space="0" w:color="auto"/>
      </w:divBdr>
      <w:divsChild>
        <w:div w:id="616528938">
          <w:marLeft w:val="0"/>
          <w:marRight w:val="0"/>
          <w:marTop w:val="0"/>
          <w:marBottom w:val="0"/>
          <w:divBdr>
            <w:top w:val="none" w:sz="0" w:space="0" w:color="auto"/>
            <w:left w:val="none" w:sz="0" w:space="0" w:color="auto"/>
            <w:bottom w:val="none" w:sz="0" w:space="0" w:color="auto"/>
            <w:right w:val="none" w:sz="0" w:space="0" w:color="auto"/>
          </w:divBdr>
        </w:div>
      </w:divsChild>
    </w:div>
    <w:div w:id="77210890">
      <w:bodyDiv w:val="1"/>
      <w:marLeft w:val="0"/>
      <w:marRight w:val="0"/>
      <w:marTop w:val="0"/>
      <w:marBottom w:val="0"/>
      <w:divBdr>
        <w:top w:val="none" w:sz="0" w:space="0" w:color="auto"/>
        <w:left w:val="none" w:sz="0" w:space="0" w:color="auto"/>
        <w:bottom w:val="none" w:sz="0" w:space="0" w:color="auto"/>
        <w:right w:val="none" w:sz="0" w:space="0" w:color="auto"/>
      </w:divBdr>
    </w:div>
    <w:div w:id="86539444">
      <w:marLeft w:val="0"/>
      <w:marRight w:val="0"/>
      <w:marTop w:val="0"/>
      <w:marBottom w:val="0"/>
      <w:divBdr>
        <w:top w:val="none" w:sz="0" w:space="0" w:color="auto"/>
        <w:left w:val="none" w:sz="0" w:space="0" w:color="auto"/>
        <w:bottom w:val="none" w:sz="0" w:space="0" w:color="auto"/>
        <w:right w:val="none" w:sz="0" w:space="0" w:color="auto"/>
      </w:divBdr>
      <w:divsChild>
        <w:div w:id="1509558416">
          <w:marLeft w:val="0"/>
          <w:marRight w:val="0"/>
          <w:marTop w:val="0"/>
          <w:marBottom w:val="0"/>
          <w:divBdr>
            <w:top w:val="none" w:sz="0" w:space="0" w:color="auto"/>
            <w:left w:val="none" w:sz="0" w:space="0" w:color="auto"/>
            <w:bottom w:val="none" w:sz="0" w:space="0" w:color="auto"/>
            <w:right w:val="none" w:sz="0" w:space="0" w:color="auto"/>
          </w:divBdr>
        </w:div>
      </w:divsChild>
    </w:div>
    <w:div w:id="88163399">
      <w:marLeft w:val="0"/>
      <w:marRight w:val="0"/>
      <w:marTop w:val="0"/>
      <w:marBottom w:val="0"/>
      <w:divBdr>
        <w:top w:val="none" w:sz="0" w:space="0" w:color="auto"/>
        <w:left w:val="none" w:sz="0" w:space="0" w:color="auto"/>
        <w:bottom w:val="none" w:sz="0" w:space="0" w:color="auto"/>
        <w:right w:val="none" w:sz="0" w:space="0" w:color="auto"/>
      </w:divBdr>
      <w:divsChild>
        <w:div w:id="1882208280">
          <w:marLeft w:val="0"/>
          <w:marRight w:val="0"/>
          <w:marTop w:val="0"/>
          <w:marBottom w:val="0"/>
          <w:divBdr>
            <w:top w:val="none" w:sz="0" w:space="0" w:color="auto"/>
            <w:left w:val="none" w:sz="0" w:space="0" w:color="auto"/>
            <w:bottom w:val="none" w:sz="0" w:space="0" w:color="auto"/>
            <w:right w:val="none" w:sz="0" w:space="0" w:color="auto"/>
          </w:divBdr>
        </w:div>
      </w:divsChild>
    </w:div>
    <w:div w:id="89398624">
      <w:marLeft w:val="0"/>
      <w:marRight w:val="0"/>
      <w:marTop w:val="0"/>
      <w:marBottom w:val="0"/>
      <w:divBdr>
        <w:top w:val="none" w:sz="0" w:space="0" w:color="auto"/>
        <w:left w:val="none" w:sz="0" w:space="0" w:color="auto"/>
        <w:bottom w:val="none" w:sz="0" w:space="0" w:color="auto"/>
        <w:right w:val="none" w:sz="0" w:space="0" w:color="auto"/>
      </w:divBdr>
      <w:divsChild>
        <w:div w:id="1849101053">
          <w:marLeft w:val="0"/>
          <w:marRight w:val="0"/>
          <w:marTop w:val="0"/>
          <w:marBottom w:val="0"/>
          <w:divBdr>
            <w:top w:val="none" w:sz="0" w:space="0" w:color="auto"/>
            <w:left w:val="none" w:sz="0" w:space="0" w:color="auto"/>
            <w:bottom w:val="none" w:sz="0" w:space="0" w:color="auto"/>
            <w:right w:val="none" w:sz="0" w:space="0" w:color="auto"/>
          </w:divBdr>
        </w:div>
      </w:divsChild>
    </w:div>
    <w:div w:id="92409418">
      <w:marLeft w:val="0"/>
      <w:marRight w:val="0"/>
      <w:marTop w:val="0"/>
      <w:marBottom w:val="0"/>
      <w:divBdr>
        <w:top w:val="none" w:sz="0" w:space="0" w:color="auto"/>
        <w:left w:val="none" w:sz="0" w:space="0" w:color="auto"/>
        <w:bottom w:val="none" w:sz="0" w:space="0" w:color="auto"/>
        <w:right w:val="none" w:sz="0" w:space="0" w:color="auto"/>
      </w:divBdr>
      <w:divsChild>
        <w:div w:id="1801681171">
          <w:marLeft w:val="0"/>
          <w:marRight w:val="0"/>
          <w:marTop w:val="0"/>
          <w:marBottom w:val="0"/>
          <w:divBdr>
            <w:top w:val="none" w:sz="0" w:space="0" w:color="auto"/>
            <w:left w:val="none" w:sz="0" w:space="0" w:color="auto"/>
            <w:bottom w:val="none" w:sz="0" w:space="0" w:color="auto"/>
            <w:right w:val="none" w:sz="0" w:space="0" w:color="auto"/>
          </w:divBdr>
        </w:div>
      </w:divsChild>
    </w:div>
    <w:div w:id="96946000">
      <w:marLeft w:val="0"/>
      <w:marRight w:val="0"/>
      <w:marTop w:val="0"/>
      <w:marBottom w:val="0"/>
      <w:divBdr>
        <w:top w:val="none" w:sz="0" w:space="0" w:color="auto"/>
        <w:left w:val="none" w:sz="0" w:space="0" w:color="auto"/>
        <w:bottom w:val="none" w:sz="0" w:space="0" w:color="auto"/>
        <w:right w:val="none" w:sz="0" w:space="0" w:color="auto"/>
      </w:divBdr>
      <w:divsChild>
        <w:div w:id="1646158712">
          <w:marLeft w:val="0"/>
          <w:marRight w:val="0"/>
          <w:marTop w:val="0"/>
          <w:marBottom w:val="0"/>
          <w:divBdr>
            <w:top w:val="none" w:sz="0" w:space="0" w:color="auto"/>
            <w:left w:val="none" w:sz="0" w:space="0" w:color="auto"/>
            <w:bottom w:val="none" w:sz="0" w:space="0" w:color="auto"/>
            <w:right w:val="none" w:sz="0" w:space="0" w:color="auto"/>
          </w:divBdr>
        </w:div>
      </w:divsChild>
    </w:div>
    <w:div w:id="104616409">
      <w:marLeft w:val="0"/>
      <w:marRight w:val="0"/>
      <w:marTop w:val="0"/>
      <w:marBottom w:val="0"/>
      <w:divBdr>
        <w:top w:val="none" w:sz="0" w:space="0" w:color="auto"/>
        <w:left w:val="none" w:sz="0" w:space="0" w:color="auto"/>
        <w:bottom w:val="none" w:sz="0" w:space="0" w:color="auto"/>
        <w:right w:val="none" w:sz="0" w:space="0" w:color="auto"/>
      </w:divBdr>
      <w:divsChild>
        <w:div w:id="387846839">
          <w:marLeft w:val="0"/>
          <w:marRight w:val="0"/>
          <w:marTop w:val="0"/>
          <w:marBottom w:val="0"/>
          <w:divBdr>
            <w:top w:val="none" w:sz="0" w:space="0" w:color="auto"/>
            <w:left w:val="none" w:sz="0" w:space="0" w:color="auto"/>
            <w:bottom w:val="none" w:sz="0" w:space="0" w:color="auto"/>
            <w:right w:val="none" w:sz="0" w:space="0" w:color="auto"/>
          </w:divBdr>
        </w:div>
      </w:divsChild>
    </w:div>
    <w:div w:id="109596487">
      <w:marLeft w:val="0"/>
      <w:marRight w:val="0"/>
      <w:marTop w:val="0"/>
      <w:marBottom w:val="0"/>
      <w:divBdr>
        <w:top w:val="none" w:sz="0" w:space="0" w:color="auto"/>
        <w:left w:val="none" w:sz="0" w:space="0" w:color="auto"/>
        <w:bottom w:val="none" w:sz="0" w:space="0" w:color="auto"/>
        <w:right w:val="none" w:sz="0" w:space="0" w:color="auto"/>
      </w:divBdr>
      <w:divsChild>
        <w:div w:id="1878541420">
          <w:marLeft w:val="0"/>
          <w:marRight w:val="0"/>
          <w:marTop w:val="0"/>
          <w:marBottom w:val="0"/>
          <w:divBdr>
            <w:top w:val="none" w:sz="0" w:space="0" w:color="auto"/>
            <w:left w:val="none" w:sz="0" w:space="0" w:color="auto"/>
            <w:bottom w:val="none" w:sz="0" w:space="0" w:color="auto"/>
            <w:right w:val="none" w:sz="0" w:space="0" w:color="auto"/>
          </w:divBdr>
        </w:div>
      </w:divsChild>
    </w:div>
    <w:div w:id="115223523">
      <w:marLeft w:val="0"/>
      <w:marRight w:val="0"/>
      <w:marTop w:val="0"/>
      <w:marBottom w:val="0"/>
      <w:divBdr>
        <w:top w:val="none" w:sz="0" w:space="0" w:color="auto"/>
        <w:left w:val="none" w:sz="0" w:space="0" w:color="auto"/>
        <w:bottom w:val="none" w:sz="0" w:space="0" w:color="auto"/>
        <w:right w:val="none" w:sz="0" w:space="0" w:color="auto"/>
      </w:divBdr>
      <w:divsChild>
        <w:div w:id="497186881">
          <w:marLeft w:val="0"/>
          <w:marRight w:val="0"/>
          <w:marTop w:val="0"/>
          <w:marBottom w:val="0"/>
          <w:divBdr>
            <w:top w:val="none" w:sz="0" w:space="0" w:color="auto"/>
            <w:left w:val="none" w:sz="0" w:space="0" w:color="auto"/>
            <w:bottom w:val="none" w:sz="0" w:space="0" w:color="auto"/>
            <w:right w:val="none" w:sz="0" w:space="0" w:color="auto"/>
          </w:divBdr>
        </w:div>
      </w:divsChild>
    </w:div>
    <w:div w:id="119812295">
      <w:marLeft w:val="0"/>
      <w:marRight w:val="0"/>
      <w:marTop w:val="0"/>
      <w:marBottom w:val="0"/>
      <w:divBdr>
        <w:top w:val="none" w:sz="0" w:space="0" w:color="auto"/>
        <w:left w:val="none" w:sz="0" w:space="0" w:color="auto"/>
        <w:bottom w:val="none" w:sz="0" w:space="0" w:color="auto"/>
        <w:right w:val="none" w:sz="0" w:space="0" w:color="auto"/>
      </w:divBdr>
      <w:divsChild>
        <w:div w:id="234510642">
          <w:marLeft w:val="0"/>
          <w:marRight w:val="0"/>
          <w:marTop w:val="0"/>
          <w:marBottom w:val="0"/>
          <w:divBdr>
            <w:top w:val="none" w:sz="0" w:space="0" w:color="auto"/>
            <w:left w:val="none" w:sz="0" w:space="0" w:color="auto"/>
            <w:bottom w:val="none" w:sz="0" w:space="0" w:color="auto"/>
            <w:right w:val="none" w:sz="0" w:space="0" w:color="auto"/>
          </w:divBdr>
        </w:div>
      </w:divsChild>
    </w:div>
    <w:div w:id="120926551">
      <w:marLeft w:val="0"/>
      <w:marRight w:val="0"/>
      <w:marTop w:val="0"/>
      <w:marBottom w:val="0"/>
      <w:divBdr>
        <w:top w:val="none" w:sz="0" w:space="0" w:color="auto"/>
        <w:left w:val="none" w:sz="0" w:space="0" w:color="auto"/>
        <w:bottom w:val="none" w:sz="0" w:space="0" w:color="auto"/>
        <w:right w:val="none" w:sz="0" w:space="0" w:color="auto"/>
      </w:divBdr>
      <w:divsChild>
        <w:div w:id="1831292483">
          <w:marLeft w:val="0"/>
          <w:marRight w:val="0"/>
          <w:marTop w:val="0"/>
          <w:marBottom w:val="0"/>
          <w:divBdr>
            <w:top w:val="none" w:sz="0" w:space="0" w:color="auto"/>
            <w:left w:val="none" w:sz="0" w:space="0" w:color="auto"/>
            <w:bottom w:val="none" w:sz="0" w:space="0" w:color="auto"/>
            <w:right w:val="none" w:sz="0" w:space="0" w:color="auto"/>
          </w:divBdr>
        </w:div>
      </w:divsChild>
    </w:div>
    <w:div w:id="127629701">
      <w:marLeft w:val="0"/>
      <w:marRight w:val="0"/>
      <w:marTop w:val="0"/>
      <w:marBottom w:val="0"/>
      <w:divBdr>
        <w:top w:val="none" w:sz="0" w:space="0" w:color="auto"/>
        <w:left w:val="none" w:sz="0" w:space="0" w:color="auto"/>
        <w:bottom w:val="none" w:sz="0" w:space="0" w:color="auto"/>
        <w:right w:val="none" w:sz="0" w:space="0" w:color="auto"/>
      </w:divBdr>
      <w:divsChild>
        <w:div w:id="1531600396">
          <w:marLeft w:val="0"/>
          <w:marRight w:val="0"/>
          <w:marTop w:val="0"/>
          <w:marBottom w:val="0"/>
          <w:divBdr>
            <w:top w:val="none" w:sz="0" w:space="0" w:color="auto"/>
            <w:left w:val="none" w:sz="0" w:space="0" w:color="auto"/>
            <w:bottom w:val="none" w:sz="0" w:space="0" w:color="auto"/>
            <w:right w:val="none" w:sz="0" w:space="0" w:color="auto"/>
          </w:divBdr>
        </w:div>
      </w:divsChild>
    </w:div>
    <w:div w:id="128938020">
      <w:bodyDiv w:val="1"/>
      <w:marLeft w:val="0"/>
      <w:marRight w:val="0"/>
      <w:marTop w:val="0"/>
      <w:marBottom w:val="0"/>
      <w:divBdr>
        <w:top w:val="none" w:sz="0" w:space="0" w:color="auto"/>
        <w:left w:val="none" w:sz="0" w:space="0" w:color="auto"/>
        <w:bottom w:val="none" w:sz="0" w:space="0" w:color="auto"/>
        <w:right w:val="none" w:sz="0" w:space="0" w:color="auto"/>
      </w:divBdr>
    </w:div>
    <w:div w:id="129517972">
      <w:marLeft w:val="0"/>
      <w:marRight w:val="0"/>
      <w:marTop w:val="0"/>
      <w:marBottom w:val="0"/>
      <w:divBdr>
        <w:top w:val="none" w:sz="0" w:space="0" w:color="auto"/>
        <w:left w:val="none" w:sz="0" w:space="0" w:color="auto"/>
        <w:bottom w:val="none" w:sz="0" w:space="0" w:color="auto"/>
        <w:right w:val="none" w:sz="0" w:space="0" w:color="auto"/>
      </w:divBdr>
      <w:divsChild>
        <w:div w:id="312295442">
          <w:marLeft w:val="0"/>
          <w:marRight w:val="0"/>
          <w:marTop w:val="0"/>
          <w:marBottom w:val="0"/>
          <w:divBdr>
            <w:top w:val="none" w:sz="0" w:space="0" w:color="auto"/>
            <w:left w:val="none" w:sz="0" w:space="0" w:color="auto"/>
            <w:bottom w:val="none" w:sz="0" w:space="0" w:color="auto"/>
            <w:right w:val="none" w:sz="0" w:space="0" w:color="auto"/>
          </w:divBdr>
        </w:div>
      </w:divsChild>
    </w:div>
    <w:div w:id="129565629">
      <w:marLeft w:val="0"/>
      <w:marRight w:val="0"/>
      <w:marTop w:val="0"/>
      <w:marBottom w:val="0"/>
      <w:divBdr>
        <w:top w:val="none" w:sz="0" w:space="0" w:color="auto"/>
        <w:left w:val="none" w:sz="0" w:space="0" w:color="auto"/>
        <w:bottom w:val="none" w:sz="0" w:space="0" w:color="auto"/>
        <w:right w:val="none" w:sz="0" w:space="0" w:color="auto"/>
      </w:divBdr>
      <w:divsChild>
        <w:div w:id="1670521191">
          <w:marLeft w:val="0"/>
          <w:marRight w:val="0"/>
          <w:marTop w:val="0"/>
          <w:marBottom w:val="0"/>
          <w:divBdr>
            <w:top w:val="none" w:sz="0" w:space="0" w:color="auto"/>
            <w:left w:val="none" w:sz="0" w:space="0" w:color="auto"/>
            <w:bottom w:val="none" w:sz="0" w:space="0" w:color="auto"/>
            <w:right w:val="none" w:sz="0" w:space="0" w:color="auto"/>
          </w:divBdr>
        </w:div>
      </w:divsChild>
    </w:div>
    <w:div w:id="129715666">
      <w:marLeft w:val="0"/>
      <w:marRight w:val="150"/>
      <w:marTop w:val="0"/>
      <w:marBottom w:val="0"/>
      <w:divBdr>
        <w:top w:val="none" w:sz="0" w:space="0" w:color="auto"/>
        <w:left w:val="none" w:sz="0" w:space="0" w:color="auto"/>
        <w:bottom w:val="none" w:sz="0" w:space="0" w:color="auto"/>
        <w:right w:val="none" w:sz="0" w:space="0" w:color="auto"/>
      </w:divBdr>
      <w:divsChild>
        <w:div w:id="1843201121">
          <w:marLeft w:val="0"/>
          <w:marRight w:val="150"/>
          <w:marTop w:val="0"/>
          <w:marBottom w:val="0"/>
          <w:divBdr>
            <w:top w:val="none" w:sz="0" w:space="0" w:color="auto"/>
            <w:left w:val="none" w:sz="0" w:space="0" w:color="auto"/>
            <w:bottom w:val="none" w:sz="0" w:space="0" w:color="auto"/>
            <w:right w:val="none" w:sz="0" w:space="0" w:color="auto"/>
          </w:divBdr>
        </w:div>
      </w:divsChild>
    </w:div>
    <w:div w:id="130513794">
      <w:marLeft w:val="0"/>
      <w:marRight w:val="0"/>
      <w:marTop w:val="0"/>
      <w:marBottom w:val="0"/>
      <w:divBdr>
        <w:top w:val="none" w:sz="0" w:space="0" w:color="auto"/>
        <w:left w:val="none" w:sz="0" w:space="0" w:color="auto"/>
        <w:bottom w:val="none" w:sz="0" w:space="0" w:color="auto"/>
        <w:right w:val="none" w:sz="0" w:space="0" w:color="auto"/>
      </w:divBdr>
      <w:divsChild>
        <w:div w:id="488520705">
          <w:marLeft w:val="0"/>
          <w:marRight w:val="0"/>
          <w:marTop w:val="0"/>
          <w:marBottom w:val="0"/>
          <w:divBdr>
            <w:top w:val="none" w:sz="0" w:space="0" w:color="auto"/>
            <w:left w:val="none" w:sz="0" w:space="0" w:color="auto"/>
            <w:bottom w:val="none" w:sz="0" w:space="0" w:color="auto"/>
            <w:right w:val="none" w:sz="0" w:space="0" w:color="auto"/>
          </w:divBdr>
        </w:div>
      </w:divsChild>
    </w:div>
    <w:div w:id="134489664">
      <w:marLeft w:val="0"/>
      <w:marRight w:val="0"/>
      <w:marTop w:val="0"/>
      <w:marBottom w:val="0"/>
      <w:divBdr>
        <w:top w:val="none" w:sz="0" w:space="0" w:color="auto"/>
        <w:left w:val="none" w:sz="0" w:space="0" w:color="auto"/>
        <w:bottom w:val="none" w:sz="0" w:space="0" w:color="auto"/>
        <w:right w:val="none" w:sz="0" w:space="0" w:color="auto"/>
      </w:divBdr>
      <w:divsChild>
        <w:div w:id="511263051">
          <w:marLeft w:val="0"/>
          <w:marRight w:val="0"/>
          <w:marTop w:val="0"/>
          <w:marBottom w:val="0"/>
          <w:divBdr>
            <w:top w:val="none" w:sz="0" w:space="0" w:color="auto"/>
            <w:left w:val="none" w:sz="0" w:space="0" w:color="auto"/>
            <w:bottom w:val="none" w:sz="0" w:space="0" w:color="auto"/>
            <w:right w:val="none" w:sz="0" w:space="0" w:color="auto"/>
          </w:divBdr>
        </w:div>
      </w:divsChild>
    </w:div>
    <w:div w:id="136075310">
      <w:bodyDiv w:val="1"/>
      <w:marLeft w:val="0"/>
      <w:marRight w:val="0"/>
      <w:marTop w:val="0"/>
      <w:marBottom w:val="0"/>
      <w:divBdr>
        <w:top w:val="none" w:sz="0" w:space="0" w:color="auto"/>
        <w:left w:val="none" w:sz="0" w:space="0" w:color="auto"/>
        <w:bottom w:val="none" w:sz="0" w:space="0" w:color="auto"/>
        <w:right w:val="none" w:sz="0" w:space="0" w:color="auto"/>
      </w:divBdr>
    </w:div>
    <w:div w:id="138570773">
      <w:bodyDiv w:val="1"/>
      <w:marLeft w:val="0"/>
      <w:marRight w:val="0"/>
      <w:marTop w:val="0"/>
      <w:marBottom w:val="0"/>
      <w:divBdr>
        <w:top w:val="none" w:sz="0" w:space="0" w:color="auto"/>
        <w:left w:val="none" w:sz="0" w:space="0" w:color="auto"/>
        <w:bottom w:val="none" w:sz="0" w:space="0" w:color="auto"/>
        <w:right w:val="none" w:sz="0" w:space="0" w:color="auto"/>
      </w:divBdr>
    </w:div>
    <w:div w:id="139810608">
      <w:marLeft w:val="0"/>
      <w:marRight w:val="0"/>
      <w:marTop w:val="0"/>
      <w:marBottom w:val="0"/>
      <w:divBdr>
        <w:top w:val="none" w:sz="0" w:space="0" w:color="auto"/>
        <w:left w:val="none" w:sz="0" w:space="0" w:color="auto"/>
        <w:bottom w:val="none" w:sz="0" w:space="0" w:color="auto"/>
        <w:right w:val="none" w:sz="0" w:space="0" w:color="auto"/>
      </w:divBdr>
      <w:divsChild>
        <w:div w:id="1670015264">
          <w:marLeft w:val="0"/>
          <w:marRight w:val="0"/>
          <w:marTop w:val="0"/>
          <w:marBottom w:val="0"/>
          <w:divBdr>
            <w:top w:val="none" w:sz="0" w:space="0" w:color="auto"/>
            <w:left w:val="none" w:sz="0" w:space="0" w:color="auto"/>
            <w:bottom w:val="none" w:sz="0" w:space="0" w:color="auto"/>
            <w:right w:val="none" w:sz="0" w:space="0" w:color="auto"/>
          </w:divBdr>
        </w:div>
      </w:divsChild>
    </w:div>
    <w:div w:id="142822030">
      <w:bodyDiv w:val="1"/>
      <w:marLeft w:val="0"/>
      <w:marRight w:val="0"/>
      <w:marTop w:val="0"/>
      <w:marBottom w:val="0"/>
      <w:divBdr>
        <w:top w:val="none" w:sz="0" w:space="0" w:color="auto"/>
        <w:left w:val="none" w:sz="0" w:space="0" w:color="auto"/>
        <w:bottom w:val="none" w:sz="0" w:space="0" w:color="auto"/>
        <w:right w:val="none" w:sz="0" w:space="0" w:color="auto"/>
      </w:divBdr>
    </w:div>
    <w:div w:id="143546050">
      <w:marLeft w:val="0"/>
      <w:marRight w:val="0"/>
      <w:marTop w:val="0"/>
      <w:marBottom w:val="0"/>
      <w:divBdr>
        <w:top w:val="none" w:sz="0" w:space="0" w:color="auto"/>
        <w:left w:val="none" w:sz="0" w:space="0" w:color="auto"/>
        <w:bottom w:val="none" w:sz="0" w:space="0" w:color="auto"/>
        <w:right w:val="none" w:sz="0" w:space="0" w:color="auto"/>
      </w:divBdr>
      <w:divsChild>
        <w:div w:id="1149712832">
          <w:marLeft w:val="0"/>
          <w:marRight w:val="0"/>
          <w:marTop w:val="0"/>
          <w:marBottom w:val="0"/>
          <w:divBdr>
            <w:top w:val="none" w:sz="0" w:space="0" w:color="auto"/>
            <w:left w:val="none" w:sz="0" w:space="0" w:color="auto"/>
            <w:bottom w:val="none" w:sz="0" w:space="0" w:color="auto"/>
            <w:right w:val="none" w:sz="0" w:space="0" w:color="auto"/>
          </w:divBdr>
        </w:div>
      </w:divsChild>
    </w:div>
    <w:div w:id="144127978">
      <w:bodyDiv w:val="1"/>
      <w:marLeft w:val="0"/>
      <w:marRight w:val="0"/>
      <w:marTop w:val="0"/>
      <w:marBottom w:val="0"/>
      <w:divBdr>
        <w:top w:val="none" w:sz="0" w:space="0" w:color="auto"/>
        <w:left w:val="none" w:sz="0" w:space="0" w:color="auto"/>
        <w:bottom w:val="none" w:sz="0" w:space="0" w:color="auto"/>
        <w:right w:val="none" w:sz="0" w:space="0" w:color="auto"/>
      </w:divBdr>
    </w:div>
    <w:div w:id="146287475">
      <w:marLeft w:val="0"/>
      <w:marRight w:val="0"/>
      <w:marTop w:val="0"/>
      <w:marBottom w:val="0"/>
      <w:divBdr>
        <w:top w:val="none" w:sz="0" w:space="0" w:color="auto"/>
        <w:left w:val="none" w:sz="0" w:space="0" w:color="auto"/>
        <w:bottom w:val="none" w:sz="0" w:space="0" w:color="auto"/>
        <w:right w:val="none" w:sz="0" w:space="0" w:color="auto"/>
      </w:divBdr>
      <w:divsChild>
        <w:div w:id="639962336">
          <w:marLeft w:val="0"/>
          <w:marRight w:val="0"/>
          <w:marTop w:val="0"/>
          <w:marBottom w:val="0"/>
          <w:divBdr>
            <w:top w:val="none" w:sz="0" w:space="0" w:color="auto"/>
            <w:left w:val="none" w:sz="0" w:space="0" w:color="auto"/>
            <w:bottom w:val="none" w:sz="0" w:space="0" w:color="auto"/>
            <w:right w:val="none" w:sz="0" w:space="0" w:color="auto"/>
          </w:divBdr>
        </w:div>
      </w:divsChild>
    </w:div>
    <w:div w:id="147481660">
      <w:marLeft w:val="0"/>
      <w:marRight w:val="0"/>
      <w:marTop w:val="0"/>
      <w:marBottom w:val="0"/>
      <w:divBdr>
        <w:top w:val="none" w:sz="0" w:space="0" w:color="auto"/>
        <w:left w:val="none" w:sz="0" w:space="0" w:color="auto"/>
        <w:bottom w:val="none" w:sz="0" w:space="0" w:color="auto"/>
        <w:right w:val="none" w:sz="0" w:space="0" w:color="auto"/>
      </w:divBdr>
      <w:divsChild>
        <w:div w:id="439685798">
          <w:marLeft w:val="0"/>
          <w:marRight w:val="0"/>
          <w:marTop w:val="0"/>
          <w:marBottom w:val="0"/>
          <w:divBdr>
            <w:top w:val="none" w:sz="0" w:space="0" w:color="auto"/>
            <w:left w:val="none" w:sz="0" w:space="0" w:color="auto"/>
            <w:bottom w:val="none" w:sz="0" w:space="0" w:color="auto"/>
            <w:right w:val="none" w:sz="0" w:space="0" w:color="auto"/>
          </w:divBdr>
        </w:div>
      </w:divsChild>
    </w:div>
    <w:div w:id="148177850">
      <w:bodyDiv w:val="1"/>
      <w:marLeft w:val="0"/>
      <w:marRight w:val="0"/>
      <w:marTop w:val="0"/>
      <w:marBottom w:val="0"/>
      <w:divBdr>
        <w:top w:val="none" w:sz="0" w:space="0" w:color="auto"/>
        <w:left w:val="none" w:sz="0" w:space="0" w:color="auto"/>
        <w:bottom w:val="none" w:sz="0" w:space="0" w:color="auto"/>
        <w:right w:val="none" w:sz="0" w:space="0" w:color="auto"/>
      </w:divBdr>
    </w:div>
    <w:div w:id="149642493">
      <w:marLeft w:val="0"/>
      <w:marRight w:val="0"/>
      <w:marTop w:val="0"/>
      <w:marBottom w:val="0"/>
      <w:divBdr>
        <w:top w:val="none" w:sz="0" w:space="0" w:color="auto"/>
        <w:left w:val="none" w:sz="0" w:space="0" w:color="auto"/>
        <w:bottom w:val="none" w:sz="0" w:space="0" w:color="auto"/>
        <w:right w:val="none" w:sz="0" w:space="0" w:color="auto"/>
      </w:divBdr>
      <w:divsChild>
        <w:div w:id="1834636231">
          <w:marLeft w:val="0"/>
          <w:marRight w:val="0"/>
          <w:marTop w:val="0"/>
          <w:marBottom w:val="0"/>
          <w:divBdr>
            <w:top w:val="none" w:sz="0" w:space="0" w:color="auto"/>
            <w:left w:val="none" w:sz="0" w:space="0" w:color="auto"/>
            <w:bottom w:val="none" w:sz="0" w:space="0" w:color="auto"/>
            <w:right w:val="none" w:sz="0" w:space="0" w:color="auto"/>
          </w:divBdr>
        </w:div>
      </w:divsChild>
    </w:div>
    <w:div w:id="152335886">
      <w:marLeft w:val="0"/>
      <w:marRight w:val="0"/>
      <w:marTop w:val="0"/>
      <w:marBottom w:val="0"/>
      <w:divBdr>
        <w:top w:val="none" w:sz="0" w:space="0" w:color="auto"/>
        <w:left w:val="none" w:sz="0" w:space="0" w:color="auto"/>
        <w:bottom w:val="none" w:sz="0" w:space="0" w:color="auto"/>
        <w:right w:val="none" w:sz="0" w:space="0" w:color="auto"/>
      </w:divBdr>
      <w:divsChild>
        <w:div w:id="1304625306">
          <w:marLeft w:val="0"/>
          <w:marRight w:val="0"/>
          <w:marTop w:val="0"/>
          <w:marBottom w:val="0"/>
          <w:divBdr>
            <w:top w:val="none" w:sz="0" w:space="0" w:color="auto"/>
            <w:left w:val="none" w:sz="0" w:space="0" w:color="auto"/>
            <w:bottom w:val="none" w:sz="0" w:space="0" w:color="auto"/>
            <w:right w:val="none" w:sz="0" w:space="0" w:color="auto"/>
          </w:divBdr>
        </w:div>
      </w:divsChild>
    </w:div>
    <w:div w:id="154999743">
      <w:marLeft w:val="0"/>
      <w:marRight w:val="0"/>
      <w:marTop w:val="0"/>
      <w:marBottom w:val="0"/>
      <w:divBdr>
        <w:top w:val="none" w:sz="0" w:space="0" w:color="auto"/>
        <w:left w:val="none" w:sz="0" w:space="0" w:color="auto"/>
        <w:bottom w:val="none" w:sz="0" w:space="0" w:color="auto"/>
        <w:right w:val="none" w:sz="0" w:space="0" w:color="auto"/>
      </w:divBdr>
      <w:divsChild>
        <w:div w:id="836305663">
          <w:marLeft w:val="0"/>
          <w:marRight w:val="0"/>
          <w:marTop w:val="0"/>
          <w:marBottom w:val="0"/>
          <w:divBdr>
            <w:top w:val="none" w:sz="0" w:space="0" w:color="auto"/>
            <w:left w:val="none" w:sz="0" w:space="0" w:color="auto"/>
            <w:bottom w:val="none" w:sz="0" w:space="0" w:color="auto"/>
            <w:right w:val="none" w:sz="0" w:space="0" w:color="auto"/>
          </w:divBdr>
        </w:div>
      </w:divsChild>
    </w:div>
    <w:div w:id="162552695">
      <w:marLeft w:val="0"/>
      <w:marRight w:val="0"/>
      <w:marTop w:val="0"/>
      <w:marBottom w:val="0"/>
      <w:divBdr>
        <w:top w:val="none" w:sz="0" w:space="0" w:color="auto"/>
        <w:left w:val="none" w:sz="0" w:space="0" w:color="auto"/>
        <w:bottom w:val="none" w:sz="0" w:space="0" w:color="auto"/>
        <w:right w:val="none" w:sz="0" w:space="0" w:color="auto"/>
      </w:divBdr>
      <w:divsChild>
        <w:div w:id="1363281494">
          <w:marLeft w:val="0"/>
          <w:marRight w:val="0"/>
          <w:marTop w:val="0"/>
          <w:marBottom w:val="0"/>
          <w:divBdr>
            <w:top w:val="none" w:sz="0" w:space="0" w:color="auto"/>
            <w:left w:val="none" w:sz="0" w:space="0" w:color="auto"/>
            <w:bottom w:val="none" w:sz="0" w:space="0" w:color="auto"/>
            <w:right w:val="none" w:sz="0" w:space="0" w:color="auto"/>
          </w:divBdr>
        </w:div>
      </w:divsChild>
    </w:div>
    <w:div w:id="175002112">
      <w:marLeft w:val="0"/>
      <w:marRight w:val="150"/>
      <w:marTop w:val="0"/>
      <w:marBottom w:val="0"/>
      <w:divBdr>
        <w:top w:val="none" w:sz="0" w:space="0" w:color="auto"/>
        <w:left w:val="none" w:sz="0" w:space="0" w:color="auto"/>
        <w:bottom w:val="none" w:sz="0" w:space="0" w:color="auto"/>
        <w:right w:val="none" w:sz="0" w:space="0" w:color="auto"/>
      </w:divBdr>
      <w:divsChild>
        <w:div w:id="363870416">
          <w:marLeft w:val="0"/>
          <w:marRight w:val="150"/>
          <w:marTop w:val="0"/>
          <w:marBottom w:val="0"/>
          <w:divBdr>
            <w:top w:val="none" w:sz="0" w:space="0" w:color="auto"/>
            <w:left w:val="none" w:sz="0" w:space="0" w:color="auto"/>
            <w:bottom w:val="none" w:sz="0" w:space="0" w:color="auto"/>
            <w:right w:val="none" w:sz="0" w:space="0" w:color="auto"/>
          </w:divBdr>
        </w:div>
      </w:divsChild>
    </w:div>
    <w:div w:id="175467200">
      <w:bodyDiv w:val="1"/>
      <w:marLeft w:val="0"/>
      <w:marRight w:val="0"/>
      <w:marTop w:val="0"/>
      <w:marBottom w:val="0"/>
      <w:divBdr>
        <w:top w:val="none" w:sz="0" w:space="0" w:color="auto"/>
        <w:left w:val="none" w:sz="0" w:space="0" w:color="auto"/>
        <w:bottom w:val="none" w:sz="0" w:space="0" w:color="auto"/>
        <w:right w:val="none" w:sz="0" w:space="0" w:color="auto"/>
      </w:divBdr>
    </w:div>
    <w:div w:id="177890591">
      <w:bodyDiv w:val="1"/>
      <w:marLeft w:val="0"/>
      <w:marRight w:val="0"/>
      <w:marTop w:val="0"/>
      <w:marBottom w:val="0"/>
      <w:divBdr>
        <w:top w:val="none" w:sz="0" w:space="0" w:color="auto"/>
        <w:left w:val="none" w:sz="0" w:space="0" w:color="auto"/>
        <w:bottom w:val="none" w:sz="0" w:space="0" w:color="auto"/>
        <w:right w:val="none" w:sz="0" w:space="0" w:color="auto"/>
      </w:divBdr>
    </w:div>
    <w:div w:id="177961877">
      <w:marLeft w:val="0"/>
      <w:marRight w:val="0"/>
      <w:marTop w:val="0"/>
      <w:marBottom w:val="0"/>
      <w:divBdr>
        <w:top w:val="none" w:sz="0" w:space="0" w:color="auto"/>
        <w:left w:val="none" w:sz="0" w:space="0" w:color="auto"/>
        <w:bottom w:val="none" w:sz="0" w:space="0" w:color="auto"/>
        <w:right w:val="none" w:sz="0" w:space="0" w:color="auto"/>
      </w:divBdr>
      <w:divsChild>
        <w:div w:id="2069452483">
          <w:marLeft w:val="0"/>
          <w:marRight w:val="0"/>
          <w:marTop w:val="0"/>
          <w:marBottom w:val="0"/>
          <w:divBdr>
            <w:top w:val="none" w:sz="0" w:space="0" w:color="auto"/>
            <w:left w:val="none" w:sz="0" w:space="0" w:color="auto"/>
            <w:bottom w:val="none" w:sz="0" w:space="0" w:color="auto"/>
            <w:right w:val="none" w:sz="0" w:space="0" w:color="auto"/>
          </w:divBdr>
        </w:div>
      </w:divsChild>
    </w:div>
    <w:div w:id="179659604">
      <w:marLeft w:val="0"/>
      <w:marRight w:val="0"/>
      <w:marTop w:val="0"/>
      <w:marBottom w:val="0"/>
      <w:divBdr>
        <w:top w:val="none" w:sz="0" w:space="0" w:color="auto"/>
        <w:left w:val="none" w:sz="0" w:space="0" w:color="auto"/>
        <w:bottom w:val="none" w:sz="0" w:space="0" w:color="auto"/>
        <w:right w:val="none" w:sz="0" w:space="0" w:color="auto"/>
      </w:divBdr>
      <w:divsChild>
        <w:div w:id="1768236542">
          <w:marLeft w:val="0"/>
          <w:marRight w:val="0"/>
          <w:marTop w:val="0"/>
          <w:marBottom w:val="0"/>
          <w:divBdr>
            <w:top w:val="none" w:sz="0" w:space="0" w:color="auto"/>
            <w:left w:val="none" w:sz="0" w:space="0" w:color="auto"/>
            <w:bottom w:val="none" w:sz="0" w:space="0" w:color="auto"/>
            <w:right w:val="none" w:sz="0" w:space="0" w:color="auto"/>
          </w:divBdr>
        </w:div>
      </w:divsChild>
    </w:div>
    <w:div w:id="180121798">
      <w:bodyDiv w:val="1"/>
      <w:marLeft w:val="0"/>
      <w:marRight w:val="0"/>
      <w:marTop w:val="0"/>
      <w:marBottom w:val="0"/>
      <w:divBdr>
        <w:top w:val="none" w:sz="0" w:space="0" w:color="auto"/>
        <w:left w:val="none" w:sz="0" w:space="0" w:color="auto"/>
        <w:bottom w:val="none" w:sz="0" w:space="0" w:color="auto"/>
        <w:right w:val="none" w:sz="0" w:space="0" w:color="auto"/>
      </w:divBdr>
    </w:div>
    <w:div w:id="183328161">
      <w:bodyDiv w:val="1"/>
      <w:marLeft w:val="0"/>
      <w:marRight w:val="0"/>
      <w:marTop w:val="0"/>
      <w:marBottom w:val="0"/>
      <w:divBdr>
        <w:top w:val="none" w:sz="0" w:space="0" w:color="auto"/>
        <w:left w:val="none" w:sz="0" w:space="0" w:color="auto"/>
        <w:bottom w:val="none" w:sz="0" w:space="0" w:color="auto"/>
        <w:right w:val="none" w:sz="0" w:space="0" w:color="auto"/>
      </w:divBdr>
    </w:div>
    <w:div w:id="185367689">
      <w:marLeft w:val="0"/>
      <w:marRight w:val="0"/>
      <w:marTop w:val="0"/>
      <w:marBottom w:val="0"/>
      <w:divBdr>
        <w:top w:val="none" w:sz="0" w:space="0" w:color="auto"/>
        <w:left w:val="none" w:sz="0" w:space="0" w:color="auto"/>
        <w:bottom w:val="none" w:sz="0" w:space="0" w:color="auto"/>
        <w:right w:val="none" w:sz="0" w:space="0" w:color="auto"/>
      </w:divBdr>
      <w:divsChild>
        <w:div w:id="1846550570">
          <w:marLeft w:val="0"/>
          <w:marRight w:val="0"/>
          <w:marTop w:val="0"/>
          <w:marBottom w:val="0"/>
          <w:divBdr>
            <w:top w:val="none" w:sz="0" w:space="0" w:color="auto"/>
            <w:left w:val="none" w:sz="0" w:space="0" w:color="auto"/>
            <w:bottom w:val="none" w:sz="0" w:space="0" w:color="auto"/>
            <w:right w:val="none" w:sz="0" w:space="0" w:color="auto"/>
          </w:divBdr>
        </w:div>
      </w:divsChild>
    </w:div>
    <w:div w:id="188571345">
      <w:bodyDiv w:val="1"/>
      <w:marLeft w:val="0"/>
      <w:marRight w:val="0"/>
      <w:marTop w:val="0"/>
      <w:marBottom w:val="0"/>
      <w:divBdr>
        <w:top w:val="none" w:sz="0" w:space="0" w:color="auto"/>
        <w:left w:val="none" w:sz="0" w:space="0" w:color="auto"/>
        <w:bottom w:val="none" w:sz="0" w:space="0" w:color="auto"/>
        <w:right w:val="none" w:sz="0" w:space="0" w:color="auto"/>
      </w:divBdr>
    </w:div>
    <w:div w:id="189874451">
      <w:marLeft w:val="0"/>
      <w:marRight w:val="0"/>
      <w:marTop w:val="0"/>
      <w:marBottom w:val="0"/>
      <w:divBdr>
        <w:top w:val="none" w:sz="0" w:space="0" w:color="auto"/>
        <w:left w:val="none" w:sz="0" w:space="0" w:color="auto"/>
        <w:bottom w:val="none" w:sz="0" w:space="0" w:color="auto"/>
        <w:right w:val="none" w:sz="0" w:space="0" w:color="auto"/>
      </w:divBdr>
      <w:divsChild>
        <w:div w:id="472676718">
          <w:marLeft w:val="0"/>
          <w:marRight w:val="0"/>
          <w:marTop w:val="0"/>
          <w:marBottom w:val="0"/>
          <w:divBdr>
            <w:top w:val="none" w:sz="0" w:space="0" w:color="auto"/>
            <w:left w:val="none" w:sz="0" w:space="0" w:color="auto"/>
            <w:bottom w:val="none" w:sz="0" w:space="0" w:color="auto"/>
            <w:right w:val="none" w:sz="0" w:space="0" w:color="auto"/>
          </w:divBdr>
        </w:div>
      </w:divsChild>
    </w:div>
    <w:div w:id="194850308">
      <w:bodyDiv w:val="1"/>
      <w:marLeft w:val="0"/>
      <w:marRight w:val="0"/>
      <w:marTop w:val="0"/>
      <w:marBottom w:val="0"/>
      <w:divBdr>
        <w:top w:val="none" w:sz="0" w:space="0" w:color="auto"/>
        <w:left w:val="none" w:sz="0" w:space="0" w:color="auto"/>
        <w:bottom w:val="none" w:sz="0" w:space="0" w:color="auto"/>
        <w:right w:val="none" w:sz="0" w:space="0" w:color="auto"/>
      </w:divBdr>
    </w:div>
    <w:div w:id="198471142">
      <w:marLeft w:val="0"/>
      <w:marRight w:val="0"/>
      <w:marTop w:val="0"/>
      <w:marBottom w:val="0"/>
      <w:divBdr>
        <w:top w:val="none" w:sz="0" w:space="0" w:color="auto"/>
        <w:left w:val="none" w:sz="0" w:space="0" w:color="auto"/>
        <w:bottom w:val="none" w:sz="0" w:space="0" w:color="auto"/>
        <w:right w:val="none" w:sz="0" w:space="0" w:color="auto"/>
      </w:divBdr>
      <w:divsChild>
        <w:div w:id="1127435436">
          <w:marLeft w:val="0"/>
          <w:marRight w:val="0"/>
          <w:marTop w:val="0"/>
          <w:marBottom w:val="0"/>
          <w:divBdr>
            <w:top w:val="none" w:sz="0" w:space="0" w:color="auto"/>
            <w:left w:val="none" w:sz="0" w:space="0" w:color="auto"/>
            <w:bottom w:val="none" w:sz="0" w:space="0" w:color="auto"/>
            <w:right w:val="none" w:sz="0" w:space="0" w:color="auto"/>
          </w:divBdr>
        </w:div>
      </w:divsChild>
    </w:div>
    <w:div w:id="198515840">
      <w:marLeft w:val="0"/>
      <w:marRight w:val="0"/>
      <w:marTop w:val="0"/>
      <w:marBottom w:val="0"/>
      <w:divBdr>
        <w:top w:val="none" w:sz="0" w:space="0" w:color="auto"/>
        <w:left w:val="none" w:sz="0" w:space="0" w:color="auto"/>
        <w:bottom w:val="none" w:sz="0" w:space="0" w:color="auto"/>
        <w:right w:val="none" w:sz="0" w:space="0" w:color="auto"/>
      </w:divBdr>
      <w:divsChild>
        <w:div w:id="1395855014">
          <w:marLeft w:val="0"/>
          <w:marRight w:val="0"/>
          <w:marTop w:val="0"/>
          <w:marBottom w:val="0"/>
          <w:divBdr>
            <w:top w:val="none" w:sz="0" w:space="0" w:color="auto"/>
            <w:left w:val="none" w:sz="0" w:space="0" w:color="auto"/>
            <w:bottom w:val="none" w:sz="0" w:space="0" w:color="auto"/>
            <w:right w:val="none" w:sz="0" w:space="0" w:color="auto"/>
          </w:divBdr>
        </w:div>
      </w:divsChild>
    </w:div>
    <w:div w:id="199168061">
      <w:bodyDiv w:val="1"/>
      <w:marLeft w:val="0"/>
      <w:marRight w:val="0"/>
      <w:marTop w:val="0"/>
      <w:marBottom w:val="0"/>
      <w:divBdr>
        <w:top w:val="none" w:sz="0" w:space="0" w:color="auto"/>
        <w:left w:val="none" w:sz="0" w:space="0" w:color="auto"/>
        <w:bottom w:val="none" w:sz="0" w:space="0" w:color="auto"/>
        <w:right w:val="none" w:sz="0" w:space="0" w:color="auto"/>
      </w:divBdr>
    </w:div>
    <w:div w:id="199321905">
      <w:bodyDiv w:val="1"/>
      <w:marLeft w:val="0"/>
      <w:marRight w:val="0"/>
      <w:marTop w:val="0"/>
      <w:marBottom w:val="0"/>
      <w:divBdr>
        <w:top w:val="none" w:sz="0" w:space="0" w:color="auto"/>
        <w:left w:val="none" w:sz="0" w:space="0" w:color="auto"/>
        <w:bottom w:val="none" w:sz="0" w:space="0" w:color="auto"/>
        <w:right w:val="none" w:sz="0" w:space="0" w:color="auto"/>
      </w:divBdr>
    </w:div>
    <w:div w:id="201483197">
      <w:marLeft w:val="0"/>
      <w:marRight w:val="0"/>
      <w:marTop w:val="0"/>
      <w:marBottom w:val="0"/>
      <w:divBdr>
        <w:top w:val="none" w:sz="0" w:space="0" w:color="auto"/>
        <w:left w:val="none" w:sz="0" w:space="0" w:color="auto"/>
        <w:bottom w:val="none" w:sz="0" w:space="0" w:color="auto"/>
        <w:right w:val="none" w:sz="0" w:space="0" w:color="auto"/>
      </w:divBdr>
      <w:divsChild>
        <w:div w:id="224609505">
          <w:marLeft w:val="0"/>
          <w:marRight w:val="0"/>
          <w:marTop w:val="0"/>
          <w:marBottom w:val="0"/>
          <w:divBdr>
            <w:top w:val="none" w:sz="0" w:space="0" w:color="auto"/>
            <w:left w:val="none" w:sz="0" w:space="0" w:color="auto"/>
            <w:bottom w:val="none" w:sz="0" w:space="0" w:color="auto"/>
            <w:right w:val="none" w:sz="0" w:space="0" w:color="auto"/>
          </w:divBdr>
        </w:div>
      </w:divsChild>
    </w:div>
    <w:div w:id="201676299">
      <w:bodyDiv w:val="1"/>
      <w:marLeft w:val="0"/>
      <w:marRight w:val="0"/>
      <w:marTop w:val="0"/>
      <w:marBottom w:val="0"/>
      <w:divBdr>
        <w:top w:val="none" w:sz="0" w:space="0" w:color="auto"/>
        <w:left w:val="none" w:sz="0" w:space="0" w:color="auto"/>
        <w:bottom w:val="none" w:sz="0" w:space="0" w:color="auto"/>
        <w:right w:val="none" w:sz="0" w:space="0" w:color="auto"/>
      </w:divBdr>
    </w:div>
    <w:div w:id="210263511">
      <w:marLeft w:val="0"/>
      <w:marRight w:val="0"/>
      <w:marTop w:val="0"/>
      <w:marBottom w:val="0"/>
      <w:divBdr>
        <w:top w:val="none" w:sz="0" w:space="0" w:color="auto"/>
        <w:left w:val="none" w:sz="0" w:space="0" w:color="auto"/>
        <w:bottom w:val="none" w:sz="0" w:space="0" w:color="auto"/>
        <w:right w:val="none" w:sz="0" w:space="0" w:color="auto"/>
      </w:divBdr>
      <w:divsChild>
        <w:div w:id="395056483">
          <w:marLeft w:val="0"/>
          <w:marRight w:val="0"/>
          <w:marTop w:val="0"/>
          <w:marBottom w:val="0"/>
          <w:divBdr>
            <w:top w:val="none" w:sz="0" w:space="0" w:color="auto"/>
            <w:left w:val="none" w:sz="0" w:space="0" w:color="auto"/>
            <w:bottom w:val="none" w:sz="0" w:space="0" w:color="auto"/>
            <w:right w:val="none" w:sz="0" w:space="0" w:color="auto"/>
          </w:divBdr>
        </w:div>
      </w:divsChild>
    </w:div>
    <w:div w:id="214591088">
      <w:marLeft w:val="0"/>
      <w:marRight w:val="0"/>
      <w:marTop w:val="0"/>
      <w:marBottom w:val="0"/>
      <w:divBdr>
        <w:top w:val="none" w:sz="0" w:space="0" w:color="auto"/>
        <w:left w:val="none" w:sz="0" w:space="0" w:color="auto"/>
        <w:bottom w:val="none" w:sz="0" w:space="0" w:color="auto"/>
        <w:right w:val="none" w:sz="0" w:space="0" w:color="auto"/>
      </w:divBdr>
      <w:divsChild>
        <w:div w:id="345063275">
          <w:marLeft w:val="0"/>
          <w:marRight w:val="0"/>
          <w:marTop w:val="0"/>
          <w:marBottom w:val="0"/>
          <w:divBdr>
            <w:top w:val="none" w:sz="0" w:space="0" w:color="auto"/>
            <w:left w:val="none" w:sz="0" w:space="0" w:color="auto"/>
            <w:bottom w:val="none" w:sz="0" w:space="0" w:color="auto"/>
            <w:right w:val="none" w:sz="0" w:space="0" w:color="auto"/>
          </w:divBdr>
        </w:div>
      </w:divsChild>
    </w:div>
    <w:div w:id="217058802">
      <w:bodyDiv w:val="1"/>
      <w:marLeft w:val="0"/>
      <w:marRight w:val="0"/>
      <w:marTop w:val="0"/>
      <w:marBottom w:val="0"/>
      <w:divBdr>
        <w:top w:val="none" w:sz="0" w:space="0" w:color="auto"/>
        <w:left w:val="none" w:sz="0" w:space="0" w:color="auto"/>
        <w:bottom w:val="none" w:sz="0" w:space="0" w:color="auto"/>
        <w:right w:val="none" w:sz="0" w:space="0" w:color="auto"/>
      </w:divBdr>
      <w:divsChild>
        <w:div w:id="118258694">
          <w:marLeft w:val="0"/>
          <w:marRight w:val="0"/>
          <w:marTop w:val="0"/>
          <w:marBottom w:val="0"/>
          <w:divBdr>
            <w:top w:val="none" w:sz="0" w:space="0" w:color="auto"/>
            <w:left w:val="none" w:sz="0" w:space="0" w:color="auto"/>
            <w:bottom w:val="none" w:sz="0" w:space="0" w:color="auto"/>
            <w:right w:val="none" w:sz="0" w:space="0" w:color="auto"/>
          </w:divBdr>
          <w:divsChild>
            <w:div w:id="1902866223">
              <w:marLeft w:val="0"/>
              <w:marRight w:val="0"/>
              <w:marTop w:val="0"/>
              <w:marBottom w:val="0"/>
              <w:divBdr>
                <w:top w:val="none" w:sz="0" w:space="0" w:color="auto"/>
                <w:left w:val="none" w:sz="0" w:space="0" w:color="auto"/>
                <w:bottom w:val="none" w:sz="0" w:space="0" w:color="auto"/>
                <w:right w:val="none" w:sz="0" w:space="0" w:color="auto"/>
              </w:divBdr>
            </w:div>
            <w:div w:id="2003003276">
              <w:marLeft w:val="0"/>
              <w:marRight w:val="0"/>
              <w:marTop w:val="0"/>
              <w:marBottom w:val="0"/>
              <w:divBdr>
                <w:top w:val="none" w:sz="0" w:space="0" w:color="auto"/>
                <w:left w:val="none" w:sz="0" w:space="0" w:color="auto"/>
                <w:bottom w:val="none" w:sz="0" w:space="0" w:color="auto"/>
                <w:right w:val="none" w:sz="0" w:space="0" w:color="auto"/>
              </w:divBdr>
            </w:div>
            <w:div w:id="16977714">
              <w:marLeft w:val="0"/>
              <w:marRight w:val="0"/>
              <w:marTop w:val="0"/>
              <w:marBottom w:val="0"/>
              <w:divBdr>
                <w:top w:val="none" w:sz="0" w:space="0" w:color="auto"/>
                <w:left w:val="none" w:sz="0" w:space="0" w:color="auto"/>
                <w:bottom w:val="none" w:sz="0" w:space="0" w:color="auto"/>
                <w:right w:val="none" w:sz="0" w:space="0" w:color="auto"/>
              </w:divBdr>
            </w:div>
            <w:div w:id="278807234">
              <w:marLeft w:val="0"/>
              <w:marRight w:val="0"/>
              <w:marTop w:val="0"/>
              <w:marBottom w:val="0"/>
              <w:divBdr>
                <w:top w:val="none" w:sz="0" w:space="0" w:color="auto"/>
                <w:left w:val="none" w:sz="0" w:space="0" w:color="auto"/>
                <w:bottom w:val="none" w:sz="0" w:space="0" w:color="auto"/>
                <w:right w:val="none" w:sz="0" w:space="0" w:color="auto"/>
              </w:divBdr>
            </w:div>
            <w:div w:id="861087215">
              <w:marLeft w:val="0"/>
              <w:marRight w:val="0"/>
              <w:marTop w:val="0"/>
              <w:marBottom w:val="0"/>
              <w:divBdr>
                <w:top w:val="none" w:sz="0" w:space="0" w:color="auto"/>
                <w:left w:val="none" w:sz="0" w:space="0" w:color="auto"/>
                <w:bottom w:val="none" w:sz="0" w:space="0" w:color="auto"/>
                <w:right w:val="none" w:sz="0" w:space="0" w:color="auto"/>
              </w:divBdr>
            </w:div>
            <w:div w:id="1417825925">
              <w:marLeft w:val="0"/>
              <w:marRight w:val="0"/>
              <w:marTop w:val="0"/>
              <w:marBottom w:val="0"/>
              <w:divBdr>
                <w:top w:val="none" w:sz="0" w:space="0" w:color="auto"/>
                <w:left w:val="none" w:sz="0" w:space="0" w:color="auto"/>
                <w:bottom w:val="none" w:sz="0" w:space="0" w:color="auto"/>
                <w:right w:val="none" w:sz="0" w:space="0" w:color="auto"/>
              </w:divBdr>
            </w:div>
            <w:div w:id="1499811331">
              <w:marLeft w:val="0"/>
              <w:marRight w:val="0"/>
              <w:marTop w:val="0"/>
              <w:marBottom w:val="0"/>
              <w:divBdr>
                <w:top w:val="none" w:sz="0" w:space="0" w:color="auto"/>
                <w:left w:val="none" w:sz="0" w:space="0" w:color="auto"/>
                <w:bottom w:val="none" w:sz="0" w:space="0" w:color="auto"/>
                <w:right w:val="none" w:sz="0" w:space="0" w:color="auto"/>
              </w:divBdr>
            </w:div>
            <w:div w:id="1836457485">
              <w:marLeft w:val="0"/>
              <w:marRight w:val="0"/>
              <w:marTop w:val="0"/>
              <w:marBottom w:val="0"/>
              <w:divBdr>
                <w:top w:val="none" w:sz="0" w:space="0" w:color="auto"/>
                <w:left w:val="none" w:sz="0" w:space="0" w:color="auto"/>
                <w:bottom w:val="none" w:sz="0" w:space="0" w:color="auto"/>
                <w:right w:val="none" w:sz="0" w:space="0" w:color="auto"/>
              </w:divBdr>
            </w:div>
            <w:div w:id="1766999780">
              <w:marLeft w:val="0"/>
              <w:marRight w:val="0"/>
              <w:marTop w:val="0"/>
              <w:marBottom w:val="0"/>
              <w:divBdr>
                <w:top w:val="none" w:sz="0" w:space="0" w:color="auto"/>
                <w:left w:val="none" w:sz="0" w:space="0" w:color="auto"/>
                <w:bottom w:val="none" w:sz="0" w:space="0" w:color="auto"/>
                <w:right w:val="none" w:sz="0" w:space="0" w:color="auto"/>
              </w:divBdr>
            </w:div>
            <w:div w:id="953752497">
              <w:marLeft w:val="0"/>
              <w:marRight w:val="0"/>
              <w:marTop w:val="0"/>
              <w:marBottom w:val="0"/>
              <w:divBdr>
                <w:top w:val="none" w:sz="0" w:space="0" w:color="auto"/>
                <w:left w:val="none" w:sz="0" w:space="0" w:color="auto"/>
                <w:bottom w:val="none" w:sz="0" w:space="0" w:color="auto"/>
                <w:right w:val="none" w:sz="0" w:space="0" w:color="auto"/>
              </w:divBdr>
            </w:div>
            <w:div w:id="1746998442">
              <w:marLeft w:val="0"/>
              <w:marRight w:val="0"/>
              <w:marTop w:val="0"/>
              <w:marBottom w:val="0"/>
              <w:divBdr>
                <w:top w:val="none" w:sz="0" w:space="0" w:color="auto"/>
                <w:left w:val="none" w:sz="0" w:space="0" w:color="auto"/>
                <w:bottom w:val="none" w:sz="0" w:space="0" w:color="auto"/>
                <w:right w:val="none" w:sz="0" w:space="0" w:color="auto"/>
              </w:divBdr>
            </w:div>
            <w:div w:id="1470901640">
              <w:marLeft w:val="0"/>
              <w:marRight w:val="0"/>
              <w:marTop w:val="0"/>
              <w:marBottom w:val="0"/>
              <w:divBdr>
                <w:top w:val="none" w:sz="0" w:space="0" w:color="auto"/>
                <w:left w:val="none" w:sz="0" w:space="0" w:color="auto"/>
                <w:bottom w:val="none" w:sz="0" w:space="0" w:color="auto"/>
                <w:right w:val="none" w:sz="0" w:space="0" w:color="auto"/>
              </w:divBdr>
            </w:div>
            <w:div w:id="1062482991">
              <w:marLeft w:val="0"/>
              <w:marRight w:val="0"/>
              <w:marTop w:val="0"/>
              <w:marBottom w:val="0"/>
              <w:divBdr>
                <w:top w:val="none" w:sz="0" w:space="0" w:color="auto"/>
                <w:left w:val="none" w:sz="0" w:space="0" w:color="auto"/>
                <w:bottom w:val="none" w:sz="0" w:space="0" w:color="auto"/>
                <w:right w:val="none" w:sz="0" w:space="0" w:color="auto"/>
              </w:divBdr>
            </w:div>
            <w:div w:id="1965845655">
              <w:marLeft w:val="0"/>
              <w:marRight w:val="0"/>
              <w:marTop w:val="0"/>
              <w:marBottom w:val="0"/>
              <w:divBdr>
                <w:top w:val="none" w:sz="0" w:space="0" w:color="auto"/>
                <w:left w:val="none" w:sz="0" w:space="0" w:color="auto"/>
                <w:bottom w:val="none" w:sz="0" w:space="0" w:color="auto"/>
                <w:right w:val="none" w:sz="0" w:space="0" w:color="auto"/>
              </w:divBdr>
            </w:div>
            <w:div w:id="222835691">
              <w:marLeft w:val="0"/>
              <w:marRight w:val="0"/>
              <w:marTop w:val="0"/>
              <w:marBottom w:val="0"/>
              <w:divBdr>
                <w:top w:val="none" w:sz="0" w:space="0" w:color="auto"/>
                <w:left w:val="none" w:sz="0" w:space="0" w:color="auto"/>
                <w:bottom w:val="none" w:sz="0" w:space="0" w:color="auto"/>
                <w:right w:val="none" w:sz="0" w:space="0" w:color="auto"/>
              </w:divBdr>
            </w:div>
            <w:div w:id="1493791111">
              <w:marLeft w:val="0"/>
              <w:marRight w:val="0"/>
              <w:marTop w:val="0"/>
              <w:marBottom w:val="0"/>
              <w:divBdr>
                <w:top w:val="none" w:sz="0" w:space="0" w:color="auto"/>
                <w:left w:val="none" w:sz="0" w:space="0" w:color="auto"/>
                <w:bottom w:val="none" w:sz="0" w:space="0" w:color="auto"/>
                <w:right w:val="none" w:sz="0" w:space="0" w:color="auto"/>
              </w:divBdr>
            </w:div>
            <w:div w:id="31392274">
              <w:marLeft w:val="0"/>
              <w:marRight w:val="0"/>
              <w:marTop w:val="0"/>
              <w:marBottom w:val="0"/>
              <w:divBdr>
                <w:top w:val="none" w:sz="0" w:space="0" w:color="auto"/>
                <w:left w:val="none" w:sz="0" w:space="0" w:color="auto"/>
                <w:bottom w:val="none" w:sz="0" w:space="0" w:color="auto"/>
                <w:right w:val="none" w:sz="0" w:space="0" w:color="auto"/>
              </w:divBdr>
            </w:div>
            <w:div w:id="111677719">
              <w:marLeft w:val="0"/>
              <w:marRight w:val="0"/>
              <w:marTop w:val="0"/>
              <w:marBottom w:val="0"/>
              <w:divBdr>
                <w:top w:val="none" w:sz="0" w:space="0" w:color="auto"/>
                <w:left w:val="none" w:sz="0" w:space="0" w:color="auto"/>
                <w:bottom w:val="none" w:sz="0" w:space="0" w:color="auto"/>
                <w:right w:val="none" w:sz="0" w:space="0" w:color="auto"/>
              </w:divBdr>
            </w:div>
            <w:div w:id="738867734">
              <w:marLeft w:val="0"/>
              <w:marRight w:val="0"/>
              <w:marTop w:val="0"/>
              <w:marBottom w:val="0"/>
              <w:divBdr>
                <w:top w:val="none" w:sz="0" w:space="0" w:color="auto"/>
                <w:left w:val="none" w:sz="0" w:space="0" w:color="auto"/>
                <w:bottom w:val="none" w:sz="0" w:space="0" w:color="auto"/>
                <w:right w:val="none" w:sz="0" w:space="0" w:color="auto"/>
              </w:divBdr>
            </w:div>
            <w:div w:id="2043549684">
              <w:marLeft w:val="0"/>
              <w:marRight w:val="0"/>
              <w:marTop w:val="0"/>
              <w:marBottom w:val="0"/>
              <w:divBdr>
                <w:top w:val="none" w:sz="0" w:space="0" w:color="auto"/>
                <w:left w:val="none" w:sz="0" w:space="0" w:color="auto"/>
                <w:bottom w:val="none" w:sz="0" w:space="0" w:color="auto"/>
                <w:right w:val="none" w:sz="0" w:space="0" w:color="auto"/>
              </w:divBdr>
            </w:div>
            <w:div w:id="1782724070">
              <w:marLeft w:val="0"/>
              <w:marRight w:val="0"/>
              <w:marTop w:val="0"/>
              <w:marBottom w:val="0"/>
              <w:divBdr>
                <w:top w:val="none" w:sz="0" w:space="0" w:color="auto"/>
                <w:left w:val="none" w:sz="0" w:space="0" w:color="auto"/>
                <w:bottom w:val="none" w:sz="0" w:space="0" w:color="auto"/>
                <w:right w:val="none" w:sz="0" w:space="0" w:color="auto"/>
              </w:divBdr>
            </w:div>
            <w:div w:id="1244340517">
              <w:marLeft w:val="0"/>
              <w:marRight w:val="0"/>
              <w:marTop w:val="0"/>
              <w:marBottom w:val="0"/>
              <w:divBdr>
                <w:top w:val="none" w:sz="0" w:space="0" w:color="auto"/>
                <w:left w:val="none" w:sz="0" w:space="0" w:color="auto"/>
                <w:bottom w:val="none" w:sz="0" w:space="0" w:color="auto"/>
                <w:right w:val="none" w:sz="0" w:space="0" w:color="auto"/>
              </w:divBdr>
            </w:div>
            <w:div w:id="657660409">
              <w:marLeft w:val="0"/>
              <w:marRight w:val="0"/>
              <w:marTop w:val="0"/>
              <w:marBottom w:val="0"/>
              <w:divBdr>
                <w:top w:val="none" w:sz="0" w:space="0" w:color="auto"/>
                <w:left w:val="none" w:sz="0" w:space="0" w:color="auto"/>
                <w:bottom w:val="none" w:sz="0" w:space="0" w:color="auto"/>
                <w:right w:val="none" w:sz="0" w:space="0" w:color="auto"/>
              </w:divBdr>
            </w:div>
            <w:div w:id="15617501">
              <w:marLeft w:val="0"/>
              <w:marRight w:val="0"/>
              <w:marTop w:val="0"/>
              <w:marBottom w:val="0"/>
              <w:divBdr>
                <w:top w:val="none" w:sz="0" w:space="0" w:color="auto"/>
                <w:left w:val="none" w:sz="0" w:space="0" w:color="auto"/>
                <w:bottom w:val="none" w:sz="0" w:space="0" w:color="auto"/>
                <w:right w:val="none" w:sz="0" w:space="0" w:color="auto"/>
              </w:divBdr>
            </w:div>
            <w:div w:id="895704830">
              <w:marLeft w:val="0"/>
              <w:marRight w:val="0"/>
              <w:marTop w:val="0"/>
              <w:marBottom w:val="0"/>
              <w:divBdr>
                <w:top w:val="none" w:sz="0" w:space="0" w:color="auto"/>
                <w:left w:val="none" w:sz="0" w:space="0" w:color="auto"/>
                <w:bottom w:val="none" w:sz="0" w:space="0" w:color="auto"/>
                <w:right w:val="none" w:sz="0" w:space="0" w:color="auto"/>
              </w:divBdr>
            </w:div>
            <w:div w:id="1770924709">
              <w:marLeft w:val="0"/>
              <w:marRight w:val="0"/>
              <w:marTop w:val="0"/>
              <w:marBottom w:val="0"/>
              <w:divBdr>
                <w:top w:val="none" w:sz="0" w:space="0" w:color="auto"/>
                <w:left w:val="none" w:sz="0" w:space="0" w:color="auto"/>
                <w:bottom w:val="none" w:sz="0" w:space="0" w:color="auto"/>
                <w:right w:val="none" w:sz="0" w:space="0" w:color="auto"/>
              </w:divBdr>
            </w:div>
            <w:div w:id="265967737">
              <w:marLeft w:val="0"/>
              <w:marRight w:val="0"/>
              <w:marTop w:val="0"/>
              <w:marBottom w:val="0"/>
              <w:divBdr>
                <w:top w:val="none" w:sz="0" w:space="0" w:color="auto"/>
                <w:left w:val="none" w:sz="0" w:space="0" w:color="auto"/>
                <w:bottom w:val="none" w:sz="0" w:space="0" w:color="auto"/>
                <w:right w:val="none" w:sz="0" w:space="0" w:color="auto"/>
              </w:divBdr>
            </w:div>
            <w:div w:id="1019545043">
              <w:marLeft w:val="0"/>
              <w:marRight w:val="0"/>
              <w:marTop w:val="0"/>
              <w:marBottom w:val="0"/>
              <w:divBdr>
                <w:top w:val="none" w:sz="0" w:space="0" w:color="auto"/>
                <w:left w:val="none" w:sz="0" w:space="0" w:color="auto"/>
                <w:bottom w:val="none" w:sz="0" w:space="0" w:color="auto"/>
                <w:right w:val="none" w:sz="0" w:space="0" w:color="auto"/>
              </w:divBdr>
            </w:div>
            <w:div w:id="2038116407">
              <w:marLeft w:val="0"/>
              <w:marRight w:val="0"/>
              <w:marTop w:val="0"/>
              <w:marBottom w:val="0"/>
              <w:divBdr>
                <w:top w:val="none" w:sz="0" w:space="0" w:color="auto"/>
                <w:left w:val="none" w:sz="0" w:space="0" w:color="auto"/>
                <w:bottom w:val="none" w:sz="0" w:space="0" w:color="auto"/>
                <w:right w:val="none" w:sz="0" w:space="0" w:color="auto"/>
              </w:divBdr>
            </w:div>
            <w:div w:id="1016149139">
              <w:marLeft w:val="0"/>
              <w:marRight w:val="0"/>
              <w:marTop w:val="0"/>
              <w:marBottom w:val="0"/>
              <w:divBdr>
                <w:top w:val="none" w:sz="0" w:space="0" w:color="auto"/>
                <w:left w:val="none" w:sz="0" w:space="0" w:color="auto"/>
                <w:bottom w:val="none" w:sz="0" w:space="0" w:color="auto"/>
                <w:right w:val="none" w:sz="0" w:space="0" w:color="auto"/>
              </w:divBdr>
            </w:div>
            <w:div w:id="18798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963">
      <w:bodyDiv w:val="1"/>
      <w:marLeft w:val="0"/>
      <w:marRight w:val="0"/>
      <w:marTop w:val="0"/>
      <w:marBottom w:val="0"/>
      <w:divBdr>
        <w:top w:val="none" w:sz="0" w:space="0" w:color="auto"/>
        <w:left w:val="none" w:sz="0" w:space="0" w:color="auto"/>
        <w:bottom w:val="none" w:sz="0" w:space="0" w:color="auto"/>
        <w:right w:val="none" w:sz="0" w:space="0" w:color="auto"/>
      </w:divBdr>
    </w:div>
    <w:div w:id="231352862">
      <w:marLeft w:val="0"/>
      <w:marRight w:val="0"/>
      <w:marTop w:val="0"/>
      <w:marBottom w:val="0"/>
      <w:divBdr>
        <w:top w:val="none" w:sz="0" w:space="0" w:color="auto"/>
        <w:left w:val="none" w:sz="0" w:space="0" w:color="auto"/>
        <w:bottom w:val="none" w:sz="0" w:space="0" w:color="auto"/>
        <w:right w:val="none" w:sz="0" w:space="0" w:color="auto"/>
      </w:divBdr>
      <w:divsChild>
        <w:div w:id="1294409130">
          <w:marLeft w:val="0"/>
          <w:marRight w:val="0"/>
          <w:marTop w:val="0"/>
          <w:marBottom w:val="0"/>
          <w:divBdr>
            <w:top w:val="none" w:sz="0" w:space="0" w:color="auto"/>
            <w:left w:val="none" w:sz="0" w:space="0" w:color="auto"/>
            <w:bottom w:val="none" w:sz="0" w:space="0" w:color="auto"/>
            <w:right w:val="none" w:sz="0" w:space="0" w:color="auto"/>
          </w:divBdr>
        </w:div>
      </w:divsChild>
    </w:div>
    <w:div w:id="234055278">
      <w:marLeft w:val="0"/>
      <w:marRight w:val="0"/>
      <w:marTop w:val="0"/>
      <w:marBottom w:val="0"/>
      <w:divBdr>
        <w:top w:val="none" w:sz="0" w:space="0" w:color="auto"/>
        <w:left w:val="none" w:sz="0" w:space="0" w:color="auto"/>
        <w:bottom w:val="none" w:sz="0" w:space="0" w:color="auto"/>
        <w:right w:val="none" w:sz="0" w:space="0" w:color="auto"/>
      </w:divBdr>
      <w:divsChild>
        <w:div w:id="1991329704">
          <w:marLeft w:val="0"/>
          <w:marRight w:val="0"/>
          <w:marTop w:val="0"/>
          <w:marBottom w:val="0"/>
          <w:divBdr>
            <w:top w:val="none" w:sz="0" w:space="0" w:color="auto"/>
            <w:left w:val="none" w:sz="0" w:space="0" w:color="auto"/>
            <w:bottom w:val="none" w:sz="0" w:space="0" w:color="auto"/>
            <w:right w:val="none" w:sz="0" w:space="0" w:color="auto"/>
          </w:divBdr>
        </w:div>
      </w:divsChild>
    </w:div>
    <w:div w:id="236936539">
      <w:marLeft w:val="0"/>
      <w:marRight w:val="0"/>
      <w:marTop w:val="0"/>
      <w:marBottom w:val="0"/>
      <w:divBdr>
        <w:top w:val="none" w:sz="0" w:space="0" w:color="auto"/>
        <w:left w:val="none" w:sz="0" w:space="0" w:color="auto"/>
        <w:bottom w:val="none" w:sz="0" w:space="0" w:color="auto"/>
        <w:right w:val="none" w:sz="0" w:space="0" w:color="auto"/>
      </w:divBdr>
      <w:divsChild>
        <w:div w:id="570651650">
          <w:marLeft w:val="0"/>
          <w:marRight w:val="0"/>
          <w:marTop w:val="0"/>
          <w:marBottom w:val="0"/>
          <w:divBdr>
            <w:top w:val="none" w:sz="0" w:space="0" w:color="auto"/>
            <w:left w:val="none" w:sz="0" w:space="0" w:color="auto"/>
            <w:bottom w:val="none" w:sz="0" w:space="0" w:color="auto"/>
            <w:right w:val="none" w:sz="0" w:space="0" w:color="auto"/>
          </w:divBdr>
        </w:div>
      </w:divsChild>
    </w:div>
    <w:div w:id="237059283">
      <w:marLeft w:val="0"/>
      <w:marRight w:val="0"/>
      <w:marTop w:val="0"/>
      <w:marBottom w:val="0"/>
      <w:divBdr>
        <w:top w:val="none" w:sz="0" w:space="0" w:color="auto"/>
        <w:left w:val="none" w:sz="0" w:space="0" w:color="auto"/>
        <w:bottom w:val="none" w:sz="0" w:space="0" w:color="auto"/>
        <w:right w:val="none" w:sz="0" w:space="0" w:color="auto"/>
      </w:divBdr>
      <w:divsChild>
        <w:div w:id="2087141844">
          <w:marLeft w:val="0"/>
          <w:marRight w:val="0"/>
          <w:marTop w:val="0"/>
          <w:marBottom w:val="0"/>
          <w:divBdr>
            <w:top w:val="none" w:sz="0" w:space="0" w:color="auto"/>
            <w:left w:val="none" w:sz="0" w:space="0" w:color="auto"/>
            <w:bottom w:val="none" w:sz="0" w:space="0" w:color="auto"/>
            <w:right w:val="none" w:sz="0" w:space="0" w:color="auto"/>
          </w:divBdr>
        </w:div>
      </w:divsChild>
    </w:div>
    <w:div w:id="237987493">
      <w:marLeft w:val="0"/>
      <w:marRight w:val="0"/>
      <w:marTop w:val="0"/>
      <w:marBottom w:val="0"/>
      <w:divBdr>
        <w:top w:val="none" w:sz="0" w:space="0" w:color="auto"/>
        <w:left w:val="none" w:sz="0" w:space="0" w:color="auto"/>
        <w:bottom w:val="none" w:sz="0" w:space="0" w:color="auto"/>
        <w:right w:val="none" w:sz="0" w:space="0" w:color="auto"/>
      </w:divBdr>
      <w:divsChild>
        <w:div w:id="1288195244">
          <w:marLeft w:val="0"/>
          <w:marRight w:val="0"/>
          <w:marTop w:val="0"/>
          <w:marBottom w:val="0"/>
          <w:divBdr>
            <w:top w:val="none" w:sz="0" w:space="0" w:color="auto"/>
            <w:left w:val="none" w:sz="0" w:space="0" w:color="auto"/>
            <w:bottom w:val="none" w:sz="0" w:space="0" w:color="auto"/>
            <w:right w:val="none" w:sz="0" w:space="0" w:color="auto"/>
          </w:divBdr>
        </w:div>
      </w:divsChild>
    </w:div>
    <w:div w:id="238030096">
      <w:bodyDiv w:val="1"/>
      <w:marLeft w:val="0"/>
      <w:marRight w:val="0"/>
      <w:marTop w:val="0"/>
      <w:marBottom w:val="0"/>
      <w:divBdr>
        <w:top w:val="none" w:sz="0" w:space="0" w:color="auto"/>
        <w:left w:val="none" w:sz="0" w:space="0" w:color="auto"/>
        <w:bottom w:val="none" w:sz="0" w:space="0" w:color="auto"/>
        <w:right w:val="none" w:sz="0" w:space="0" w:color="auto"/>
      </w:divBdr>
    </w:div>
    <w:div w:id="241647397">
      <w:marLeft w:val="0"/>
      <w:marRight w:val="0"/>
      <w:marTop w:val="0"/>
      <w:marBottom w:val="0"/>
      <w:divBdr>
        <w:top w:val="none" w:sz="0" w:space="0" w:color="auto"/>
        <w:left w:val="none" w:sz="0" w:space="0" w:color="auto"/>
        <w:bottom w:val="none" w:sz="0" w:space="0" w:color="auto"/>
        <w:right w:val="none" w:sz="0" w:space="0" w:color="auto"/>
      </w:divBdr>
      <w:divsChild>
        <w:div w:id="1249194645">
          <w:marLeft w:val="0"/>
          <w:marRight w:val="0"/>
          <w:marTop w:val="0"/>
          <w:marBottom w:val="0"/>
          <w:divBdr>
            <w:top w:val="none" w:sz="0" w:space="0" w:color="auto"/>
            <w:left w:val="none" w:sz="0" w:space="0" w:color="auto"/>
            <w:bottom w:val="none" w:sz="0" w:space="0" w:color="auto"/>
            <w:right w:val="none" w:sz="0" w:space="0" w:color="auto"/>
          </w:divBdr>
        </w:div>
      </w:divsChild>
    </w:div>
    <w:div w:id="245380639">
      <w:bodyDiv w:val="1"/>
      <w:marLeft w:val="0"/>
      <w:marRight w:val="0"/>
      <w:marTop w:val="0"/>
      <w:marBottom w:val="0"/>
      <w:divBdr>
        <w:top w:val="none" w:sz="0" w:space="0" w:color="auto"/>
        <w:left w:val="none" w:sz="0" w:space="0" w:color="auto"/>
        <w:bottom w:val="none" w:sz="0" w:space="0" w:color="auto"/>
        <w:right w:val="none" w:sz="0" w:space="0" w:color="auto"/>
      </w:divBdr>
    </w:div>
    <w:div w:id="246424968">
      <w:bodyDiv w:val="1"/>
      <w:marLeft w:val="0"/>
      <w:marRight w:val="0"/>
      <w:marTop w:val="0"/>
      <w:marBottom w:val="0"/>
      <w:divBdr>
        <w:top w:val="none" w:sz="0" w:space="0" w:color="auto"/>
        <w:left w:val="none" w:sz="0" w:space="0" w:color="auto"/>
        <w:bottom w:val="none" w:sz="0" w:space="0" w:color="auto"/>
        <w:right w:val="none" w:sz="0" w:space="0" w:color="auto"/>
      </w:divBdr>
      <w:divsChild>
        <w:div w:id="515536261">
          <w:marLeft w:val="0"/>
          <w:marRight w:val="0"/>
          <w:marTop w:val="0"/>
          <w:marBottom w:val="0"/>
          <w:divBdr>
            <w:top w:val="none" w:sz="0" w:space="0" w:color="auto"/>
            <w:left w:val="none" w:sz="0" w:space="0" w:color="auto"/>
            <w:bottom w:val="none" w:sz="0" w:space="0" w:color="auto"/>
            <w:right w:val="none" w:sz="0" w:space="0" w:color="auto"/>
          </w:divBdr>
        </w:div>
        <w:div w:id="344748071">
          <w:marLeft w:val="0"/>
          <w:marRight w:val="0"/>
          <w:marTop w:val="0"/>
          <w:marBottom w:val="0"/>
          <w:divBdr>
            <w:top w:val="none" w:sz="0" w:space="0" w:color="auto"/>
            <w:left w:val="none" w:sz="0" w:space="0" w:color="auto"/>
            <w:bottom w:val="none" w:sz="0" w:space="0" w:color="auto"/>
            <w:right w:val="none" w:sz="0" w:space="0" w:color="auto"/>
          </w:divBdr>
        </w:div>
        <w:div w:id="1101729499">
          <w:marLeft w:val="0"/>
          <w:marRight w:val="0"/>
          <w:marTop w:val="0"/>
          <w:marBottom w:val="0"/>
          <w:divBdr>
            <w:top w:val="none" w:sz="0" w:space="0" w:color="auto"/>
            <w:left w:val="none" w:sz="0" w:space="0" w:color="auto"/>
            <w:bottom w:val="none" w:sz="0" w:space="0" w:color="auto"/>
            <w:right w:val="none" w:sz="0" w:space="0" w:color="auto"/>
          </w:divBdr>
        </w:div>
        <w:div w:id="1962569750">
          <w:marLeft w:val="0"/>
          <w:marRight w:val="0"/>
          <w:marTop w:val="0"/>
          <w:marBottom w:val="0"/>
          <w:divBdr>
            <w:top w:val="none" w:sz="0" w:space="0" w:color="auto"/>
            <w:left w:val="none" w:sz="0" w:space="0" w:color="auto"/>
            <w:bottom w:val="none" w:sz="0" w:space="0" w:color="auto"/>
            <w:right w:val="none" w:sz="0" w:space="0" w:color="auto"/>
          </w:divBdr>
        </w:div>
        <w:div w:id="928658770">
          <w:marLeft w:val="0"/>
          <w:marRight w:val="0"/>
          <w:marTop w:val="0"/>
          <w:marBottom w:val="0"/>
          <w:divBdr>
            <w:top w:val="none" w:sz="0" w:space="0" w:color="auto"/>
            <w:left w:val="none" w:sz="0" w:space="0" w:color="auto"/>
            <w:bottom w:val="none" w:sz="0" w:space="0" w:color="auto"/>
            <w:right w:val="none" w:sz="0" w:space="0" w:color="auto"/>
          </w:divBdr>
        </w:div>
        <w:div w:id="699400886">
          <w:marLeft w:val="0"/>
          <w:marRight w:val="0"/>
          <w:marTop w:val="0"/>
          <w:marBottom w:val="0"/>
          <w:divBdr>
            <w:top w:val="none" w:sz="0" w:space="0" w:color="auto"/>
            <w:left w:val="none" w:sz="0" w:space="0" w:color="auto"/>
            <w:bottom w:val="none" w:sz="0" w:space="0" w:color="auto"/>
            <w:right w:val="none" w:sz="0" w:space="0" w:color="auto"/>
          </w:divBdr>
        </w:div>
        <w:div w:id="340160922">
          <w:marLeft w:val="0"/>
          <w:marRight w:val="0"/>
          <w:marTop w:val="0"/>
          <w:marBottom w:val="0"/>
          <w:divBdr>
            <w:top w:val="none" w:sz="0" w:space="0" w:color="auto"/>
            <w:left w:val="none" w:sz="0" w:space="0" w:color="auto"/>
            <w:bottom w:val="none" w:sz="0" w:space="0" w:color="auto"/>
            <w:right w:val="none" w:sz="0" w:space="0" w:color="auto"/>
          </w:divBdr>
        </w:div>
        <w:div w:id="1437285487">
          <w:marLeft w:val="0"/>
          <w:marRight w:val="0"/>
          <w:marTop w:val="0"/>
          <w:marBottom w:val="0"/>
          <w:divBdr>
            <w:top w:val="none" w:sz="0" w:space="0" w:color="auto"/>
            <w:left w:val="none" w:sz="0" w:space="0" w:color="auto"/>
            <w:bottom w:val="none" w:sz="0" w:space="0" w:color="auto"/>
            <w:right w:val="none" w:sz="0" w:space="0" w:color="auto"/>
          </w:divBdr>
        </w:div>
        <w:div w:id="106119930">
          <w:marLeft w:val="0"/>
          <w:marRight w:val="0"/>
          <w:marTop w:val="0"/>
          <w:marBottom w:val="0"/>
          <w:divBdr>
            <w:top w:val="none" w:sz="0" w:space="0" w:color="auto"/>
            <w:left w:val="none" w:sz="0" w:space="0" w:color="auto"/>
            <w:bottom w:val="none" w:sz="0" w:space="0" w:color="auto"/>
            <w:right w:val="none" w:sz="0" w:space="0" w:color="auto"/>
          </w:divBdr>
        </w:div>
        <w:div w:id="392510316">
          <w:marLeft w:val="0"/>
          <w:marRight w:val="0"/>
          <w:marTop w:val="0"/>
          <w:marBottom w:val="0"/>
          <w:divBdr>
            <w:top w:val="none" w:sz="0" w:space="0" w:color="auto"/>
            <w:left w:val="none" w:sz="0" w:space="0" w:color="auto"/>
            <w:bottom w:val="none" w:sz="0" w:space="0" w:color="auto"/>
            <w:right w:val="none" w:sz="0" w:space="0" w:color="auto"/>
          </w:divBdr>
        </w:div>
        <w:div w:id="1116407966">
          <w:marLeft w:val="0"/>
          <w:marRight w:val="0"/>
          <w:marTop w:val="0"/>
          <w:marBottom w:val="0"/>
          <w:divBdr>
            <w:top w:val="none" w:sz="0" w:space="0" w:color="auto"/>
            <w:left w:val="none" w:sz="0" w:space="0" w:color="auto"/>
            <w:bottom w:val="none" w:sz="0" w:space="0" w:color="auto"/>
            <w:right w:val="none" w:sz="0" w:space="0" w:color="auto"/>
          </w:divBdr>
        </w:div>
        <w:div w:id="318005446">
          <w:marLeft w:val="0"/>
          <w:marRight w:val="0"/>
          <w:marTop w:val="0"/>
          <w:marBottom w:val="0"/>
          <w:divBdr>
            <w:top w:val="none" w:sz="0" w:space="0" w:color="auto"/>
            <w:left w:val="none" w:sz="0" w:space="0" w:color="auto"/>
            <w:bottom w:val="none" w:sz="0" w:space="0" w:color="auto"/>
            <w:right w:val="none" w:sz="0" w:space="0" w:color="auto"/>
          </w:divBdr>
        </w:div>
        <w:div w:id="679819599">
          <w:marLeft w:val="0"/>
          <w:marRight w:val="0"/>
          <w:marTop w:val="0"/>
          <w:marBottom w:val="0"/>
          <w:divBdr>
            <w:top w:val="none" w:sz="0" w:space="0" w:color="auto"/>
            <w:left w:val="none" w:sz="0" w:space="0" w:color="auto"/>
            <w:bottom w:val="none" w:sz="0" w:space="0" w:color="auto"/>
            <w:right w:val="none" w:sz="0" w:space="0" w:color="auto"/>
          </w:divBdr>
        </w:div>
        <w:div w:id="584920974">
          <w:marLeft w:val="0"/>
          <w:marRight w:val="0"/>
          <w:marTop w:val="0"/>
          <w:marBottom w:val="0"/>
          <w:divBdr>
            <w:top w:val="none" w:sz="0" w:space="0" w:color="auto"/>
            <w:left w:val="none" w:sz="0" w:space="0" w:color="auto"/>
            <w:bottom w:val="none" w:sz="0" w:space="0" w:color="auto"/>
            <w:right w:val="none" w:sz="0" w:space="0" w:color="auto"/>
          </w:divBdr>
        </w:div>
        <w:div w:id="1705599550">
          <w:marLeft w:val="0"/>
          <w:marRight w:val="0"/>
          <w:marTop w:val="0"/>
          <w:marBottom w:val="0"/>
          <w:divBdr>
            <w:top w:val="none" w:sz="0" w:space="0" w:color="auto"/>
            <w:left w:val="none" w:sz="0" w:space="0" w:color="auto"/>
            <w:bottom w:val="none" w:sz="0" w:space="0" w:color="auto"/>
            <w:right w:val="none" w:sz="0" w:space="0" w:color="auto"/>
          </w:divBdr>
        </w:div>
        <w:div w:id="348993941">
          <w:marLeft w:val="0"/>
          <w:marRight w:val="0"/>
          <w:marTop w:val="0"/>
          <w:marBottom w:val="0"/>
          <w:divBdr>
            <w:top w:val="none" w:sz="0" w:space="0" w:color="auto"/>
            <w:left w:val="none" w:sz="0" w:space="0" w:color="auto"/>
            <w:bottom w:val="none" w:sz="0" w:space="0" w:color="auto"/>
            <w:right w:val="none" w:sz="0" w:space="0" w:color="auto"/>
          </w:divBdr>
        </w:div>
        <w:div w:id="862472714">
          <w:marLeft w:val="0"/>
          <w:marRight w:val="0"/>
          <w:marTop w:val="0"/>
          <w:marBottom w:val="0"/>
          <w:divBdr>
            <w:top w:val="none" w:sz="0" w:space="0" w:color="auto"/>
            <w:left w:val="none" w:sz="0" w:space="0" w:color="auto"/>
            <w:bottom w:val="none" w:sz="0" w:space="0" w:color="auto"/>
            <w:right w:val="none" w:sz="0" w:space="0" w:color="auto"/>
          </w:divBdr>
        </w:div>
        <w:div w:id="2084712978">
          <w:marLeft w:val="0"/>
          <w:marRight w:val="0"/>
          <w:marTop w:val="0"/>
          <w:marBottom w:val="0"/>
          <w:divBdr>
            <w:top w:val="none" w:sz="0" w:space="0" w:color="auto"/>
            <w:left w:val="none" w:sz="0" w:space="0" w:color="auto"/>
            <w:bottom w:val="none" w:sz="0" w:space="0" w:color="auto"/>
            <w:right w:val="none" w:sz="0" w:space="0" w:color="auto"/>
          </w:divBdr>
        </w:div>
        <w:div w:id="1919289484">
          <w:marLeft w:val="0"/>
          <w:marRight w:val="0"/>
          <w:marTop w:val="0"/>
          <w:marBottom w:val="0"/>
          <w:divBdr>
            <w:top w:val="none" w:sz="0" w:space="0" w:color="auto"/>
            <w:left w:val="none" w:sz="0" w:space="0" w:color="auto"/>
            <w:bottom w:val="none" w:sz="0" w:space="0" w:color="auto"/>
            <w:right w:val="none" w:sz="0" w:space="0" w:color="auto"/>
          </w:divBdr>
        </w:div>
        <w:div w:id="1682047999">
          <w:marLeft w:val="0"/>
          <w:marRight w:val="0"/>
          <w:marTop w:val="0"/>
          <w:marBottom w:val="0"/>
          <w:divBdr>
            <w:top w:val="none" w:sz="0" w:space="0" w:color="auto"/>
            <w:left w:val="none" w:sz="0" w:space="0" w:color="auto"/>
            <w:bottom w:val="none" w:sz="0" w:space="0" w:color="auto"/>
            <w:right w:val="none" w:sz="0" w:space="0" w:color="auto"/>
          </w:divBdr>
        </w:div>
        <w:div w:id="1769809561">
          <w:marLeft w:val="0"/>
          <w:marRight w:val="0"/>
          <w:marTop w:val="0"/>
          <w:marBottom w:val="0"/>
          <w:divBdr>
            <w:top w:val="none" w:sz="0" w:space="0" w:color="auto"/>
            <w:left w:val="none" w:sz="0" w:space="0" w:color="auto"/>
            <w:bottom w:val="none" w:sz="0" w:space="0" w:color="auto"/>
            <w:right w:val="none" w:sz="0" w:space="0" w:color="auto"/>
          </w:divBdr>
        </w:div>
        <w:div w:id="1191534675">
          <w:marLeft w:val="0"/>
          <w:marRight w:val="0"/>
          <w:marTop w:val="0"/>
          <w:marBottom w:val="0"/>
          <w:divBdr>
            <w:top w:val="none" w:sz="0" w:space="0" w:color="auto"/>
            <w:left w:val="none" w:sz="0" w:space="0" w:color="auto"/>
            <w:bottom w:val="none" w:sz="0" w:space="0" w:color="auto"/>
            <w:right w:val="none" w:sz="0" w:space="0" w:color="auto"/>
          </w:divBdr>
        </w:div>
        <w:div w:id="1982616366">
          <w:marLeft w:val="0"/>
          <w:marRight w:val="0"/>
          <w:marTop w:val="0"/>
          <w:marBottom w:val="0"/>
          <w:divBdr>
            <w:top w:val="none" w:sz="0" w:space="0" w:color="auto"/>
            <w:left w:val="none" w:sz="0" w:space="0" w:color="auto"/>
            <w:bottom w:val="none" w:sz="0" w:space="0" w:color="auto"/>
            <w:right w:val="none" w:sz="0" w:space="0" w:color="auto"/>
          </w:divBdr>
        </w:div>
        <w:div w:id="838272725">
          <w:marLeft w:val="0"/>
          <w:marRight w:val="0"/>
          <w:marTop w:val="0"/>
          <w:marBottom w:val="0"/>
          <w:divBdr>
            <w:top w:val="none" w:sz="0" w:space="0" w:color="auto"/>
            <w:left w:val="none" w:sz="0" w:space="0" w:color="auto"/>
            <w:bottom w:val="none" w:sz="0" w:space="0" w:color="auto"/>
            <w:right w:val="none" w:sz="0" w:space="0" w:color="auto"/>
          </w:divBdr>
        </w:div>
        <w:div w:id="391318964">
          <w:marLeft w:val="0"/>
          <w:marRight w:val="0"/>
          <w:marTop w:val="0"/>
          <w:marBottom w:val="0"/>
          <w:divBdr>
            <w:top w:val="none" w:sz="0" w:space="0" w:color="auto"/>
            <w:left w:val="none" w:sz="0" w:space="0" w:color="auto"/>
            <w:bottom w:val="none" w:sz="0" w:space="0" w:color="auto"/>
            <w:right w:val="none" w:sz="0" w:space="0" w:color="auto"/>
          </w:divBdr>
        </w:div>
        <w:div w:id="1284339085">
          <w:marLeft w:val="0"/>
          <w:marRight w:val="0"/>
          <w:marTop w:val="0"/>
          <w:marBottom w:val="0"/>
          <w:divBdr>
            <w:top w:val="none" w:sz="0" w:space="0" w:color="auto"/>
            <w:left w:val="none" w:sz="0" w:space="0" w:color="auto"/>
            <w:bottom w:val="none" w:sz="0" w:space="0" w:color="auto"/>
            <w:right w:val="none" w:sz="0" w:space="0" w:color="auto"/>
          </w:divBdr>
        </w:div>
        <w:div w:id="1235581557">
          <w:marLeft w:val="0"/>
          <w:marRight w:val="0"/>
          <w:marTop w:val="0"/>
          <w:marBottom w:val="0"/>
          <w:divBdr>
            <w:top w:val="none" w:sz="0" w:space="0" w:color="auto"/>
            <w:left w:val="none" w:sz="0" w:space="0" w:color="auto"/>
            <w:bottom w:val="none" w:sz="0" w:space="0" w:color="auto"/>
            <w:right w:val="none" w:sz="0" w:space="0" w:color="auto"/>
          </w:divBdr>
        </w:div>
        <w:div w:id="2085059896">
          <w:marLeft w:val="0"/>
          <w:marRight w:val="0"/>
          <w:marTop w:val="0"/>
          <w:marBottom w:val="0"/>
          <w:divBdr>
            <w:top w:val="none" w:sz="0" w:space="0" w:color="auto"/>
            <w:left w:val="none" w:sz="0" w:space="0" w:color="auto"/>
            <w:bottom w:val="none" w:sz="0" w:space="0" w:color="auto"/>
            <w:right w:val="none" w:sz="0" w:space="0" w:color="auto"/>
          </w:divBdr>
        </w:div>
        <w:div w:id="1933852759">
          <w:marLeft w:val="0"/>
          <w:marRight w:val="0"/>
          <w:marTop w:val="0"/>
          <w:marBottom w:val="0"/>
          <w:divBdr>
            <w:top w:val="none" w:sz="0" w:space="0" w:color="auto"/>
            <w:left w:val="none" w:sz="0" w:space="0" w:color="auto"/>
            <w:bottom w:val="none" w:sz="0" w:space="0" w:color="auto"/>
            <w:right w:val="none" w:sz="0" w:space="0" w:color="auto"/>
          </w:divBdr>
        </w:div>
        <w:div w:id="1764109605">
          <w:marLeft w:val="0"/>
          <w:marRight w:val="0"/>
          <w:marTop w:val="0"/>
          <w:marBottom w:val="0"/>
          <w:divBdr>
            <w:top w:val="none" w:sz="0" w:space="0" w:color="auto"/>
            <w:left w:val="none" w:sz="0" w:space="0" w:color="auto"/>
            <w:bottom w:val="none" w:sz="0" w:space="0" w:color="auto"/>
            <w:right w:val="none" w:sz="0" w:space="0" w:color="auto"/>
          </w:divBdr>
        </w:div>
        <w:div w:id="24143576">
          <w:marLeft w:val="0"/>
          <w:marRight w:val="0"/>
          <w:marTop w:val="0"/>
          <w:marBottom w:val="0"/>
          <w:divBdr>
            <w:top w:val="none" w:sz="0" w:space="0" w:color="auto"/>
            <w:left w:val="none" w:sz="0" w:space="0" w:color="auto"/>
            <w:bottom w:val="none" w:sz="0" w:space="0" w:color="auto"/>
            <w:right w:val="none" w:sz="0" w:space="0" w:color="auto"/>
          </w:divBdr>
        </w:div>
        <w:div w:id="192308422">
          <w:marLeft w:val="0"/>
          <w:marRight w:val="0"/>
          <w:marTop w:val="0"/>
          <w:marBottom w:val="0"/>
          <w:divBdr>
            <w:top w:val="none" w:sz="0" w:space="0" w:color="auto"/>
            <w:left w:val="none" w:sz="0" w:space="0" w:color="auto"/>
            <w:bottom w:val="none" w:sz="0" w:space="0" w:color="auto"/>
            <w:right w:val="none" w:sz="0" w:space="0" w:color="auto"/>
          </w:divBdr>
        </w:div>
        <w:div w:id="694040692">
          <w:marLeft w:val="0"/>
          <w:marRight w:val="0"/>
          <w:marTop w:val="0"/>
          <w:marBottom w:val="0"/>
          <w:divBdr>
            <w:top w:val="none" w:sz="0" w:space="0" w:color="auto"/>
            <w:left w:val="none" w:sz="0" w:space="0" w:color="auto"/>
            <w:bottom w:val="none" w:sz="0" w:space="0" w:color="auto"/>
            <w:right w:val="none" w:sz="0" w:space="0" w:color="auto"/>
          </w:divBdr>
        </w:div>
        <w:div w:id="1336572907">
          <w:marLeft w:val="0"/>
          <w:marRight w:val="0"/>
          <w:marTop w:val="0"/>
          <w:marBottom w:val="0"/>
          <w:divBdr>
            <w:top w:val="none" w:sz="0" w:space="0" w:color="auto"/>
            <w:left w:val="none" w:sz="0" w:space="0" w:color="auto"/>
            <w:bottom w:val="none" w:sz="0" w:space="0" w:color="auto"/>
            <w:right w:val="none" w:sz="0" w:space="0" w:color="auto"/>
          </w:divBdr>
        </w:div>
        <w:div w:id="620262752">
          <w:marLeft w:val="0"/>
          <w:marRight w:val="0"/>
          <w:marTop w:val="0"/>
          <w:marBottom w:val="0"/>
          <w:divBdr>
            <w:top w:val="none" w:sz="0" w:space="0" w:color="auto"/>
            <w:left w:val="none" w:sz="0" w:space="0" w:color="auto"/>
            <w:bottom w:val="none" w:sz="0" w:space="0" w:color="auto"/>
            <w:right w:val="none" w:sz="0" w:space="0" w:color="auto"/>
          </w:divBdr>
        </w:div>
        <w:div w:id="568223528">
          <w:marLeft w:val="0"/>
          <w:marRight w:val="0"/>
          <w:marTop w:val="0"/>
          <w:marBottom w:val="0"/>
          <w:divBdr>
            <w:top w:val="none" w:sz="0" w:space="0" w:color="auto"/>
            <w:left w:val="none" w:sz="0" w:space="0" w:color="auto"/>
            <w:bottom w:val="none" w:sz="0" w:space="0" w:color="auto"/>
            <w:right w:val="none" w:sz="0" w:space="0" w:color="auto"/>
          </w:divBdr>
        </w:div>
        <w:div w:id="553002423">
          <w:marLeft w:val="0"/>
          <w:marRight w:val="0"/>
          <w:marTop w:val="0"/>
          <w:marBottom w:val="0"/>
          <w:divBdr>
            <w:top w:val="none" w:sz="0" w:space="0" w:color="auto"/>
            <w:left w:val="none" w:sz="0" w:space="0" w:color="auto"/>
            <w:bottom w:val="none" w:sz="0" w:space="0" w:color="auto"/>
            <w:right w:val="none" w:sz="0" w:space="0" w:color="auto"/>
          </w:divBdr>
        </w:div>
        <w:div w:id="1882932956">
          <w:marLeft w:val="0"/>
          <w:marRight w:val="0"/>
          <w:marTop w:val="0"/>
          <w:marBottom w:val="0"/>
          <w:divBdr>
            <w:top w:val="none" w:sz="0" w:space="0" w:color="auto"/>
            <w:left w:val="none" w:sz="0" w:space="0" w:color="auto"/>
            <w:bottom w:val="none" w:sz="0" w:space="0" w:color="auto"/>
            <w:right w:val="none" w:sz="0" w:space="0" w:color="auto"/>
          </w:divBdr>
        </w:div>
        <w:div w:id="1900751940">
          <w:marLeft w:val="0"/>
          <w:marRight w:val="0"/>
          <w:marTop w:val="0"/>
          <w:marBottom w:val="0"/>
          <w:divBdr>
            <w:top w:val="none" w:sz="0" w:space="0" w:color="auto"/>
            <w:left w:val="none" w:sz="0" w:space="0" w:color="auto"/>
            <w:bottom w:val="none" w:sz="0" w:space="0" w:color="auto"/>
            <w:right w:val="none" w:sz="0" w:space="0" w:color="auto"/>
          </w:divBdr>
        </w:div>
        <w:div w:id="1245720784">
          <w:marLeft w:val="0"/>
          <w:marRight w:val="0"/>
          <w:marTop w:val="0"/>
          <w:marBottom w:val="0"/>
          <w:divBdr>
            <w:top w:val="none" w:sz="0" w:space="0" w:color="auto"/>
            <w:left w:val="none" w:sz="0" w:space="0" w:color="auto"/>
            <w:bottom w:val="none" w:sz="0" w:space="0" w:color="auto"/>
            <w:right w:val="none" w:sz="0" w:space="0" w:color="auto"/>
          </w:divBdr>
        </w:div>
        <w:div w:id="542408607">
          <w:marLeft w:val="0"/>
          <w:marRight w:val="0"/>
          <w:marTop w:val="0"/>
          <w:marBottom w:val="0"/>
          <w:divBdr>
            <w:top w:val="none" w:sz="0" w:space="0" w:color="auto"/>
            <w:left w:val="none" w:sz="0" w:space="0" w:color="auto"/>
            <w:bottom w:val="none" w:sz="0" w:space="0" w:color="auto"/>
            <w:right w:val="none" w:sz="0" w:space="0" w:color="auto"/>
          </w:divBdr>
        </w:div>
        <w:div w:id="359430234">
          <w:marLeft w:val="0"/>
          <w:marRight w:val="0"/>
          <w:marTop w:val="0"/>
          <w:marBottom w:val="0"/>
          <w:divBdr>
            <w:top w:val="none" w:sz="0" w:space="0" w:color="auto"/>
            <w:left w:val="none" w:sz="0" w:space="0" w:color="auto"/>
            <w:bottom w:val="none" w:sz="0" w:space="0" w:color="auto"/>
            <w:right w:val="none" w:sz="0" w:space="0" w:color="auto"/>
          </w:divBdr>
        </w:div>
        <w:div w:id="1255089752">
          <w:marLeft w:val="0"/>
          <w:marRight w:val="0"/>
          <w:marTop w:val="0"/>
          <w:marBottom w:val="0"/>
          <w:divBdr>
            <w:top w:val="none" w:sz="0" w:space="0" w:color="auto"/>
            <w:left w:val="none" w:sz="0" w:space="0" w:color="auto"/>
            <w:bottom w:val="none" w:sz="0" w:space="0" w:color="auto"/>
            <w:right w:val="none" w:sz="0" w:space="0" w:color="auto"/>
          </w:divBdr>
        </w:div>
        <w:div w:id="367611700">
          <w:marLeft w:val="0"/>
          <w:marRight w:val="0"/>
          <w:marTop w:val="0"/>
          <w:marBottom w:val="0"/>
          <w:divBdr>
            <w:top w:val="none" w:sz="0" w:space="0" w:color="auto"/>
            <w:left w:val="none" w:sz="0" w:space="0" w:color="auto"/>
            <w:bottom w:val="none" w:sz="0" w:space="0" w:color="auto"/>
            <w:right w:val="none" w:sz="0" w:space="0" w:color="auto"/>
          </w:divBdr>
        </w:div>
        <w:div w:id="294679622">
          <w:marLeft w:val="0"/>
          <w:marRight w:val="0"/>
          <w:marTop w:val="0"/>
          <w:marBottom w:val="0"/>
          <w:divBdr>
            <w:top w:val="none" w:sz="0" w:space="0" w:color="auto"/>
            <w:left w:val="none" w:sz="0" w:space="0" w:color="auto"/>
            <w:bottom w:val="none" w:sz="0" w:space="0" w:color="auto"/>
            <w:right w:val="none" w:sz="0" w:space="0" w:color="auto"/>
          </w:divBdr>
        </w:div>
        <w:div w:id="1540586967">
          <w:marLeft w:val="0"/>
          <w:marRight w:val="0"/>
          <w:marTop w:val="0"/>
          <w:marBottom w:val="0"/>
          <w:divBdr>
            <w:top w:val="none" w:sz="0" w:space="0" w:color="auto"/>
            <w:left w:val="none" w:sz="0" w:space="0" w:color="auto"/>
            <w:bottom w:val="none" w:sz="0" w:space="0" w:color="auto"/>
            <w:right w:val="none" w:sz="0" w:space="0" w:color="auto"/>
          </w:divBdr>
        </w:div>
        <w:div w:id="1306089051">
          <w:marLeft w:val="0"/>
          <w:marRight w:val="0"/>
          <w:marTop w:val="0"/>
          <w:marBottom w:val="0"/>
          <w:divBdr>
            <w:top w:val="none" w:sz="0" w:space="0" w:color="auto"/>
            <w:left w:val="none" w:sz="0" w:space="0" w:color="auto"/>
            <w:bottom w:val="none" w:sz="0" w:space="0" w:color="auto"/>
            <w:right w:val="none" w:sz="0" w:space="0" w:color="auto"/>
          </w:divBdr>
        </w:div>
        <w:div w:id="2043480787">
          <w:marLeft w:val="0"/>
          <w:marRight w:val="0"/>
          <w:marTop w:val="0"/>
          <w:marBottom w:val="0"/>
          <w:divBdr>
            <w:top w:val="none" w:sz="0" w:space="0" w:color="auto"/>
            <w:left w:val="none" w:sz="0" w:space="0" w:color="auto"/>
            <w:bottom w:val="none" w:sz="0" w:space="0" w:color="auto"/>
            <w:right w:val="none" w:sz="0" w:space="0" w:color="auto"/>
          </w:divBdr>
        </w:div>
        <w:div w:id="1099719107">
          <w:marLeft w:val="0"/>
          <w:marRight w:val="0"/>
          <w:marTop w:val="0"/>
          <w:marBottom w:val="0"/>
          <w:divBdr>
            <w:top w:val="none" w:sz="0" w:space="0" w:color="auto"/>
            <w:left w:val="none" w:sz="0" w:space="0" w:color="auto"/>
            <w:bottom w:val="none" w:sz="0" w:space="0" w:color="auto"/>
            <w:right w:val="none" w:sz="0" w:space="0" w:color="auto"/>
          </w:divBdr>
        </w:div>
        <w:div w:id="295992539">
          <w:marLeft w:val="0"/>
          <w:marRight w:val="0"/>
          <w:marTop w:val="0"/>
          <w:marBottom w:val="0"/>
          <w:divBdr>
            <w:top w:val="none" w:sz="0" w:space="0" w:color="auto"/>
            <w:left w:val="none" w:sz="0" w:space="0" w:color="auto"/>
            <w:bottom w:val="none" w:sz="0" w:space="0" w:color="auto"/>
            <w:right w:val="none" w:sz="0" w:space="0" w:color="auto"/>
          </w:divBdr>
        </w:div>
        <w:div w:id="343749648">
          <w:marLeft w:val="0"/>
          <w:marRight w:val="0"/>
          <w:marTop w:val="0"/>
          <w:marBottom w:val="0"/>
          <w:divBdr>
            <w:top w:val="none" w:sz="0" w:space="0" w:color="auto"/>
            <w:left w:val="none" w:sz="0" w:space="0" w:color="auto"/>
            <w:bottom w:val="none" w:sz="0" w:space="0" w:color="auto"/>
            <w:right w:val="none" w:sz="0" w:space="0" w:color="auto"/>
          </w:divBdr>
        </w:div>
        <w:div w:id="1552378606">
          <w:marLeft w:val="0"/>
          <w:marRight w:val="0"/>
          <w:marTop w:val="0"/>
          <w:marBottom w:val="0"/>
          <w:divBdr>
            <w:top w:val="none" w:sz="0" w:space="0" w:color="auto"/>
            <w:left w:val="none" w:sz="0" w:space="0" w:color="auto"/>
            <w:bottom w:val="none" w:sz="0" w:space="0" w:color="auto"/>
            <w:right w:val="none" w:sz="0" w:space="0" w:color="auto"/>
          </w:divBdr>
        </w:div>
        <w:div w:id="1151216133">
          <w:marLeft w:val="0"/>
          <w:marRight w:val="0"/>
          <w:marTop w:val="0"/>
          <w:marBottom w:val="0"/>
          <w:divBdr>
            <w:top w:val="none" w:sz="0" w:space="0" w:color="auto"/>
            <w:left w:val="none" w:sz="0" w:space="0" w:color="auto"/>
            <w:bottom w:val="none" w:sz="0" w:space="0" w:color="auto"/>
            <w:right w:val="none" w:sz="0" w:space="0" w:color="auto"/>
          </w:divBdr>
        </w:div>
        <w:div w:id="581330014">
          <w:marLeft w:val="0"/>
          <w:marRight w:val="0"/>
          <w:marTop w:val="0"/>
          <w:marBottom w:val="0"/>
          <w:divBdr>
            <w:top w:val="none" w:sz="0" w:space="0" w:color="auto"/>
            <w:left w:val="none" w:sz="0" w:space="0" w:color="auto"/>
            <w:bottom w:val="none" w:sz="0" w:space="0" w:color="auto"/>
            <w:right w:val="none" w:sz="0" w:space="0" w:color="auto"/>
          </w:divBdr>
        </w:div>
        <w:div w:id="466512212">
          <w:marLeft w:val="0"/>
          <w:marRight w:val="0"/>
          <w:marTop w:val="0"/>
          <w:marBottom w:val="0"/>
          <w:divBdr>
            <w:top w:val="none" w:sz="0" w:space="0" w:color="auto"/>
            <w:left w:val="none" w:sz="0" w:space="0" w:color="auto"/>
            <w:bottom w:val="none" w:sz="0" w:space="0" w:color="auto"/>
            <w:right w:val="none" w:sz="0" w:space="0" w:color="auto"/>
          </w:divBdr>
        </w:div>
        <w:div w:id="1898542149">
          <w:marLeft w:val="0"/>
          <w:marRight w:val="0"/>
          <w:marTop w:val="0"/>
          <w:marBottom w:val="0"/>
          <w:divBdr>
            <w:top w:val="none" w:sz="0" w:space="0" w:color="auto"/>
            <w:left w:val="none" w:sz="0" w:space="0" w:color="auto"/>
            <w:bottom w:val="none" w:sz="0" w:space="0" w:color="auto"/>
            <w:right w:val="none" w:sz="0" w:space="0" w:color="auto"/>
          </w:divBdr>
        </w:div>
        <w:div w:id="945387646">
          <w:marLeft w:val="0"/>
          <w:marRight w:val="0"/>
          <w:marTop w:val="0"/>
          <w:marBottom w:val="0"/>
          <w:divBdr>
            <w:top w:val="none" w:sz="0" w:space="0" w:color="auto"/>
            <w:left w:val="none" w:sz="0" w:space="0" w:color="auto"/>
            <w:bottom w:val="none" w:sz="0" w:space="0" w:color="auto"/>
            <w:right w:val="none" w:sz="0" w:space="0" w:color="auto"/>
          </w:divBdr>
        </w:div>
        <w:div w:id="894203212">
          <w:marLeft w:val="0"/>
          <w:marRight w:val="0"/>
          <w:marTop w:val="0"/>
          <w:marBottom w:val="0"/>
          <w:divBdr>
            <w:top w:val="none" w:sz="0" w:space="0" w:color="auto"/>
            <w:left w:val="none" w:sz="0" w:space="0" w:color="auto"/>
            <w:bottom w:val="none" w:sz="0" w:space="0" w:color="auto"/>
            <w:right w:val="none" w:sz="0" w:space="0" w:color="auto"/>
          </w:divBdr>
        </w:div>
        <w:div w:id="236018892">
          <w:marLeft w:val="0"/>
          <w:marRight w:val="0"/>
          <w:marTop w:val="0"/>
          <w:marBottom w:val="0"/>
          <w:divBdr>
            <w:top w:val="none" w:sz="0" w:space="0" w:color="auto"/>
            <w:left w:val="none" w:sz="0" w:space="0" w:color="auto"/>
            <w:bottom w:val="none" w:sz="0" w:space="0" w:color="auto"/>
            <w:right w:val="none" w:sz="0" w:space="0" w:color="auto"/>
          </w:divBdr>
        </w:div>
        <w:div w:id="323895564">
          <w:marLeft w:val="0"/>
          <w:marRight w:val="0"/>
          <w:marTop w:val="0"/>
          <w:marBottom w:val="0"/>
          <w:divBdr>
            <w:top w:val="none" w:sz="0" w:space="0" w:color="auto"/>
            <w:left w:val="none" w:sz="0" w:space="0" w:color="auto"/>
            <w:bottom w:val="none" w:sz="0" w:space="0" w:color="auto"/>
            <w:right w:val="none" w:sz="0" w:space="0" w:color="auto"/>
          </w:divBdr>
        </w:div>
      </w:divsChild>
    </w:div>
    <w:div w:id="247081239">
      <w:marLeft w:val="0"/>
      <w:marRight w:val="0"/>
      <w:marTop w:val="0"/>
      <w:marBottom w:val="0"/>
      <w:divBdr>
        <w:top w:val="none" w:sz="0" w:space="0" w:color="auto"/>
        <w:left w:val="none" w:sz="0" w:space="0" w:color="auto"/>
        <w:bottom w:val="none" w:sz="0" w:space="0" w:color="auto"/>
        <w:right w:val="none" w:sz="0" w:space="0" w:color="auto"/>
      </w:divBdr>
      <w:divsChild>
        <w:div w:id="904292953">
          <w:marLeft w:val="0"/>
          <w:marRight w:val="0"/>
          <w:marTop w:val="0"/>
          <w:marBottom w:val="0"/>
          <w:divBdr>
            <w:top w:val="none" w:sz="0" w:space="0" w:color="auto"/>
            <w:left w:val="none" w:sz="0" w:space="0" w:color="auto"/>
            <w:bottom w:val="none" w:sz="0" w:space="0" w:color="auto"/>
            <w:right w:val="none" w:sz="0" w:space="0" w:color="auto"/>
          </w:divBdr>
        </w:div>
      </w:divsChild>
    </w:div>
    <w:div w:id="250892112">
      <w:marLeft w:val="0"/>
      <w:marRight w:val="0"/>
      <w:marTop w:val="0"/>
      <w:marBottom w:val="0"/>
      <w:divBdr>
        <w:top w:val="none" w:sz="0" w:space="0" w:color="auto"/>
        <w:left w:val="none" w:sz="0" w:space="0" w:color="auto"/>
        <w:bottom w:val="none" w:sz="0" w:space="0" w:color="auto"/>
        <w:right w:val="none" w:sz="0" w:space="0" w:color="auto"/>
      </w:divBdr>
      <w:divsChild>
        <w:div w:id="343824804">
          <w:marLeft w:val="0"/>
          <w:marRight w:val="0"/>
          <w:marTop w:val="0"/>
          <w:marBottom w:val="0"/>
          <w:divBdr>
            <w:top w:val="none" w:sz="0" w:space="0" w:color="auto"/>
            <w:left w:val="none" w:sz="0" w:space="0" w:color="auto"/>
            <w:bottom w:val="none" w:sz="0" w:space="0" w:color="auto"/>
            <w:right w:val="none" w:sz="0" w:space="0" w:color="auto"/>
          </w:divBdr>
        </w:div>
      </w:divsChild>
    </w:div>
    <w:div w:id="255408747">
      <w:bodyDiv w:val="1"/>
      <w:marLeft w:val="0"/>
      <w:marRight w:val="0"/>
      <w:marTop w:val="0"/>
      <w:marBottom w:val="0"/>
      <w:divBdr>
        <w:top w:val="none" w:sz="0" w:space="0" w:color="auto"/>
        <w:left w:val="none" w:sz="0" w:space="0" w:color="auto"/>
        <w:bottom w:val="none" w:sz="0" w:space="0" w:color="auto"/>
        <w:right w:val="none" w:sz="0" w:space="0" w:color="auto"/>
      </w:divBdr>
      <w:divsChild>
        <w:div w:id="1096318742">
          <w:marLeft w:val="0"/>
          <w:marRight w:val="0"/>
          <w:marTop w:val="0"/>
          <w:marBottom w:val="0"/>
          <w:divBdr>
            <w:top w:val="none" w:sz="0" w:space="0" w:color="auto"/>
            <w:left w:val="none" w:sz="0" w:space="0" w:color="auto"/>
            <w:bottom w:val="none" w:sz="0" w:space="0" w:color="auto"/>
            <w:right w:val="none" w:sz="0" w:space="0" w:color="auto"/>
          </w:divBdr>
          <w:divsChild>
            <w:div w:id="1876499885">
              <w:marLeft w:val="0"/>
              <w:marRight w:val="0"/>
              <w:marTop w:val="0"/>
              <w:marBottom w:val="0"/>
              <w:divBdr>
                <w:top w:val="none" w:sz="0" w:space="0" w:color="auto"/>
                <w:left w:val="none" w:sz="0" w:space="0" w:color="auto"/>
                <w:bottom w:val="none" w:sz="0" w:space="0" w:color="auto"/>
                <w:right w:val="none" w:sz="0" w:space="0" w:color="auto"/>
              </w:divBdr>
            </w:div>
            <w:div w:id="2112125255">
              <w:marLeft w:val="0"/>
              <w:marRight w:val="0"/>
              <w:marTop w:val="0"/>
              <w:marBottom w:val="0"/>
              <w:divBdr>
                <w:top w:val="none" w:sz="0" w:space="0" w:color="auto"/>
                <w:left w:val="none" w:sz="0" w:space="0" w:color="auto"/>
                <w:bottom w:val="none" w:sz="0" w:space="0" w:color="auto"/>
                <w:right w:val="none" w:sz="0" w:space="0" w:color="auto"/>
              </w:divBdr>
            </w:div>
            <w:div w:id="1004164283">
              <w:marLeft w:val="0"/>
              <w:marRight w:val="0"/>
              <w:marTop w:val="0"/>
              <w:marBottom w:val="0"/>
              <w:divBdr>
                <w:top w:val="none" w:sz="0" w:space="0" w:color="auto"/>
                <w:left w:val="none" w:sz="0" w:space="0" w:color="auto"/>
                <w:bottom w:val="none" w:sz="0" w:space="0" w:color="auto"/>
                <w:right w:val="none" w:sz="0" w:space="0" w:color="auto"/>
              </w:divBdr>
            </w:div>
            <w:div w:id="560138977">
              <w:marLeft w:val="0"/>
              <w:marRight w:val="0"/>
              <w:marTop w:val="0"/>
              <w:marBottom w:val="0"/>
              <w:divBdr>
                <w:top w:val="none" w:sz="0" w:space="0" w:color="auto"/>
                <w:left w:val="none" w:sz="0" w:space="0" w:color="auto"/>
                <w:bottom w:val="none" w:sz="0" w:space="0" w:color="auto"/>
                <w:right w:val="none" w:sz="0" w:space="0" w:color="auto"/>
              </w:divBdr>
            </w:div>
            <w:div w:id="2011444334">
              <w:marLeft w:val="0"/>
              <w:marRight w:val="0"/>
              <w:marTop w:val="0"/>
              <w:marBottom w:val="0"/>
              <w:divBdr>
                <w:top w:val="none" w:sz="0" w:space="0" w:color="auto"/>
                <w:left w:val="none" w:sz="0" w:space="0" w:color="auto"/>
                <w:bottom w:val="none" w:sz="0" w:space="0" w:color="auto"/>
                <w:right w:val="none" w:sz="0" w:space="0" w:color="auto"/>
              </w:divBdr>
            </w:div>
            <w:div w:id="1888907412">
              <w:marLeft w:val="0"/>
              <w:marRight w:val="0"/>
              <w:marTop w:val="0"/>
              <w:marBottom w:val="0"/>
              <w:divBdr>
                <w:top w:val="none" w:sz="0" w:space="0" w:color="auto"/>
                <w:left w:val="none" w:sz="0" w:space="0" w:color="auto"/>
                <w:bottom w:val="none" w:sz="0" w:space="0" w:color="auto"/>
                <w:right w:val="none" w:sz="0" w:space="0" w:color="auto"/>
              </w:divBdr>
            </w:div>
            <w:div w:id="431708949">
              <w:marLeft w:val="0"/>
              <w:marRight w:val="0"/>
              <w:marTop w:val="0"/>
              <w:marBottom w:val="0"/>
              <w:divBdr>
                <w:top w:val="none" w:sz="0" w:space="0" w:color="auto"/>
                <w:left w:val="none" w:sz="0" w:space="0" w:color="auto"/>
                <w:bottom w:val="none" w:sz="0" w:space="0" w:color="auto"/>
                <w:right w:val="none" w:sz="0" w:space="0" w:color="auto"/>
              </w:divBdr>
            </w:div>
            <w:div w:id="1792088506">
              <w:marLeft w:val="0"/>
              <w:marRight w:val="0"/>
              <w:marTop w:val="0"/>
              <w:marBottom w:val="0"/>
              <w:divBdr>
                <w:top w:val="none" w:sz="0" w:space="0" w:color="auto"/>
                <w:left w:val="none" w:sz="0" w:space="0" w:color="auto"/>
                <w:bottom w:val="none" w:sz="0" w:space="0" w:color="auto"/>
                <w:right w:val="none" w:sz="0" w:space="0" w:color="auto"/>
              </w:divBdr>
            </w:div>
            <w:div w:id="1975139888">
              <w:marLeft w:val="0"/>
              <w:marRight w:val="0"/>
              <w:marTop w:val="0"/>
              <w:marBottom w:val="0"/>
              <w:divBdr>
                <w:top w:val="none" w:sz="0" w:space="0" w:color="auto"/>
                <w:left w:val="none" w:sz="0" w:space="0" w:color="auto"/>
                <w:bottom w:val="none" w:sz="0" w:space="0" w:color="auto"/>
                <w:right w:val="none" w:sz="0" w:space="0" w:color="auto"/>
              </w:divBdr>
            </w:div>
            <w:div w:id="1378047565">
              <w:marLeft w:val="0"/>
              <w:marRight w:val="0"/>
              <w:marTop w:val="0"/>
              <w:marBottom w:val="0"/>
              <w:divBdr>
                <w:top w:val="none" w:sz="0" w:space="0" w:color="auto"/>
                <w:left w:val="none" w:sz="0" w:space="0" w:color="auto"/>
                <w:bottom w:val="none" w:sz="0" w:space="0" w:color="auto"/>
                <w:right w:val="none" w:sz="0" w:space="0" w:color="auto"/>
              </w:divBdr>
            </w:div>
            <w:div w:id="1776363237">
              <w:marLeft w:val="0"/>
              <w:marRight w:val="0"/>
              <w:marTop w:val="0"/>
              <w:marBottom w:val="0"/>
              <w:divBdr>
                <w:top w:val="none" w:sz="0" w:space="0" w:color="auto"/>
                <w:left w:val="none" w:sz="0" w:space="0" w:color="auto"/>
                <w:bottom w:val="none" w:sz="0" w:space="0" w:color="auto"/>
                <w:right w:val="none" w:sz="0" w:space="0" w:color="auto"/>
              </w:divBdr>
            </w:div>
            <w:div w:id="733770822">
              <w:marLeft w:val="0"/>
              <w:marRight w:val="0"/>
              <w:marTop w:val="0"/>
              <w:marBottom w:val="0"/>
              <w:divBdr>
                <w:top w:val="none" w:sz="0" w:space="0" w:color="auto"/>
                <w:left w:val="none" w:sz="0" w:space="0" w:color="auto"/>
                <w:bottom w:val="none" w:sz="0" w:space="0" w:color="auto"/>
                <w:right w:val="none" w:sz="0" w:space="0" w:color="auto"/>
              </w:divBdr>
            </w:div>
            <w:div w:id="1228884505">
              <w:marLeft w:val="0"/>
              <w:marRight w:val="0"/>
              <w:marTop w:val="0"/>
              <w:marBottom w:val="0"/>
              <w:divBdr>
                <w:top w:val="none" w:sz="0" w:space="0" w:color="auto"/>
                <w:left w:val="none" w:sz="0" w:space="0" w:color="auto"/>
                <w:bottom w:val="none" w:sz="0" w:space="0" w:color="auto"/>
                <w:right w:val="none" w:sz="0" w:space="0" w:color="auto"/>
              </w:divBdr>
            </w:div>
            <w:div w:id="1162504144">
              <w:marLeft w:val="0"/>
              <w:marRight w:val="0"/>
              <w:marTop w:val="0"/>
              <w:marBottom w:val="0"/>
              <w:divBdr>
                <w:top w:val="none" w:sz="0" w:space="0" w:color="auto"/>
                <w:left w:val="none" w:sz="0" w:space="0" w:color="auto"/>
                <w:bottom w:val="none" w:sz="0" w:space="0" w:color="auto"/>
                <w:right w:val="none" w:sz="0" w:space="0" w:color="auto"/>
              </w:divBdr>
            </w:div>
            <w:div w:id="893858487">
              <w:marLeft w:val="0"/>
              <w:marRight w:val="0"/>
              <w:marTop w:val="0"/>
              <w:marBottom w:val="0"/>
              <w:divBdr>
                <w:top w:val="none" w:sz="0" w:space="0" w:color="auto"/>
                <w:left w:val="none" w:sz="0" w:space="0" w:color="auto"/>
                <w:bottom w:val="none" w:sz="0" w:space="0" w:color="auto"/>
                <w:right w:val="none" w:sz="0" w:space="0" w:color="auto"/>
              </w:divBdr>
            </w:div>
            <w:div w:id="808786543">
              <w:marLeft w:val="0"/>
              <w:marRight w:val="0"/>
              <w:marTop w:val="0"/>
              <w:marBottom w:val="0"/>
              <w:divBdr>
                <w:top w:val="none" w:sz="0" w:space="0" w:color="auto"/>
                <w:left w:val="none" w:sz="0" w:space="0" w:color="auto"/>
                <w:bottom w:val="none" w:sz="0" w:space="0" w:color="auto"/>
                <w:right w:val="none" w:sz="0" w:space="0" w:color="auto"/>
              </w:divBdr>
            </w:div>
            <w:div w:id="630523055">
              <w:marLeft w:val="0"/>
              <w:marRight w:val="0"/>
              <w:marTop w:val="0"/>
              <w:marBottom w:val="0"/>
              <w:divBdr>
                <w:top w:val="none" w:sz="0" w:space="0" w:color="auto"/>
                <w:left w:val="none" w:sz="0" w:space="0" w:color="auto"/>
                <w:bottom w:val="none" w:sz="0" w:space="0" w:color="auto"/>
                <w:right w:val="none" w:sz="0" w:space="0" w:color="auto"/>
              </w:divBdr>
            </w:div>
            <w:div w:id="681590474">
              <w:marLeft w:val="0"/>
              <w:marRight w:val="0"/>
              <w:marTop w:val="0"/>
              <w:marBottom w:val="0"/>
              <w:divBdr>
                <w:top w:val="none" w:sz="0" w:space="0" w:color="auto"/>
                <w:left w:val="none" w:sz="0" w:space="0" w:color="auto"/>
                <w:bottom w:val="none" w:sz="0" w:space="0" w:color="auto"/>
                <w:right w:val="none" w:sz="0" w:space="0" w:color="auto"/>
              </w:divBdr>
            </w:div>
            <w:div w:id="1930314317">
              <w:marLeft w:val="0"/>
              <w:marRight w:val="0"/>
              <w:marTop w:val="0"/>
              <w:marBottom w:val="0"/>
              <w:divBdr>
                <w:top w:val="none" w:sz="0" w:space="0" w:color="auto"/>
                <w:left w:val="none" w:sz="0" w:space="0" w:color="auto"/>
                <w:bottom w:val="none" w:sz="0" w:space="0" w:color="auto"/>
                <w:right w:val="none" w:sz="0" w:space="0" w:color="auto"/>
              </w:divBdr>
            </w:div>
            <w:div w:id="742678062">
              <w:marLeft w:val="0"/>
              <w:marRight w:val="0"/>
              <w:marTop w:val="0"/>
              <w:marBottom w:val="0"/>
              <w:divBdr>
                <w:top w:val="none" w:sz="0" w:space="0" w:color="auto"/>
                <w:left w:val="none" w:sz="0" w:space="0" w:color="auto"/>
                <w:bottom w:val="none" w:sz="0" w:space="0" w:color="auto"/>
                <w:right w:val="none" w:sz="0" w:space="0" w:color="auto"/>
              </w:divBdr>
            </w:div>
            <w:div w:id="1103114052">
              <w:marLeft w:val="0"/>
              <w:marRight w:val="0"/>
              <w:marTop w:val="0"/>
              <w:marBottom w:val="0"/>
              <w:divBdr>
                <w:top w:val="none" w:sz="0" w:space="0" w:color="auto"/>
                <w:left w:val="none" w:sz="0" w:space="0" w:color="auto"/>
                <w:bottom w:val="none" w:sz="0" w:space="0" w:color="auto"/>
                <w:right w:val="none" w:sz="0" w:space="0" w:color="auto"/>
              </w:divBdr>
            </w:div>
            <w:div w:id="1352150911">
              <w:marLeft w:val="0"/>
              <w:marRight w:val="0"/>
              <w:marTop w:val="0"/>
              <w:marBottom w:val="0"/>
              <w:divBdr>
                <w:top w:val="none" w:sz="0" w:space="0" w:color="auto"/>
                <w:left w:val="none" w:sz="0" w:space="0" w:color="auto"/>
                <w:bottom w:val="none" w:sz="0" w:space="0" w:color="auto"/>
                <w:right w:val="none" w:sz="0" w:space="0" w:color="auto"/>
              </w:divBdr>
            </w:div>
            <w:div w:id="1128668041">
              <w:marLeft w:val="0"/>
              <w:marRight w:val="0"/>
              <w:marTop w:val="0"/>
              <w:marBottom w:val="0"/>
              <w:divBdr>
                <w:top w:val="none" w:sz="0" w:space="0" w:color="auto"/>
                <w:left w:val="none" w:sz="0" w:space="0" w:color="auto"/>
                <w:bottom w:val="none" w:sz="0" w:space="0" w:color="auto"/>
                <w:right w:val="none" w:sz="0" w:space="0" w:color="auto"/>
              </w:divBdr>
            </w:div>
            <w:div w:id="1939412954">
              <w:marLeft w:val="0"/>
              <w:marRight w:val="0"/>
              <w:marTop w:val="0"/>
              <w:marBottom w:val="0"/>
              <w:divBdr>
                <w:top w:val="none" w:sz="0" w:space="0" w:color="auto"/>
                <w:left w:val="none" w:sz="0" w:space="0" w:color="auto"/>
                <w:bottom w:val="none" w:sz="0" w:space="0" w:color="auto"/>
                <w:right w:val="none" w:sz="0" w:space="0" w:color="auto"/>
              </w:divBdr>
            </w:div>
            <w:div w:id="98183975">
              <w:marLeft w:val="0"/>
              <w:marRight w:val="0"/>
              <w:marTop w:val="0"/>
              <w:marBottom w:val="0"/>
              <w:divBdr>
                <w:top w:val="none" w:sz="0" w:space="0" w:color="auto"/>
                <w:left w:val="none" w:sz="0" w:space="0" w:color="auto"/>
                <w:bottom w:val="none" w:sz="0" w:space="0" w:color="auto"/>
                <w:right w:val="none" w:sz="0" w:space="0" w:color="auto"/>
              </w:divBdr>
            </w:div>
            <w:div w:id="384448424">
              <w:marLeft w:val="0"/>
              <w:marRight w:val="0"/>
              <w:marTop w:val="0"/>
              <w:marBottom w:val="0"/>
              <w:divBdr>
                <w:top w:val="none" w:sz="0" w:space="0" w:color="auto"/>
                <w:left w:val="none" w:sz="0" w:space="0" w:color="auto"/>
                <w:bottom w:val="none" w:sz="0" w:space="0" w:color="auto"/>
                <w:right w:val="none" w:sz="0" w:space="0" w:color="auto"/>
              </w:divBdr>
            </w:div>
            <w:div w:id="1192836306">
              <w:marLeft w:val="0"/>
              <w:marRight w:val="0"/>
              <w:marTop w:val="0"/>
              <w:marBottom w:val="0"/>
              <w:divBdr>
                <w:top w:val="none" w:sz="0" w:space="0" w:color="auto"/>
                <w:left w:val="none" w:sz="0" w:space="0" w:color="auto"/>
                <w:bottom w:val="none" w:sz="0" w:space="0" w:color="auto"/>
                <w:right w:val="none" w:sz="0" w:space="0" w:color="auto"/>
              </w:divBdr>
            </w:div>
            <w:div w:id="1421869740">
              <w:marLeft w:val="0"/>
              <w:marRight w:val="0"/>
              <w:marTop w:val="0"/>
              <w:marBottom w:val="0"/>
              <w:divBdr>
                <w:top w:val="none" w:sz="0" w:space="0" w:color="auto"/>
                <w:left w:val="none" w:sz="0" w:space="0" w:color="auto"/>
                <w:bottom w:val="none" w:sz="0" w:space="0" w:color="auto"/>
                <w:right w:val="none" w:sz="0" w:space="0" w:color="auto"/>
              </w:divBdr>
            </w:div>
            <w:div w:id="263921856">
              <w:marLeft w:val="0"/>
              <w:marRight w:val="0"/>
              <w:marTop w:val="0"/>
              <w:marBottom w:val="0"/>
              <w:divBdr>
                <w:top w:val="none" w:sz="0" w:space="0" w:color="auto"/>
                <w:left w:val="none" w:sz="0" w:space="0" w:color="auto"/>
                <w:bottom w:val="none" w:sz="0" w:space="0" w:color="auto"/>
                <w:right w:val="none" w:sz="0" w:space="0" w:color="auto"/>
              </w:divBdr>
            </w:div>
            <w:div w:id="11078763">
              <w:marLeft w:val="0"/>
              <w:marRight w:val="0"/>
              <w:marTop w:val="0"/>
              <w:marBottom w:val="0"/>
              <w:divBdr>
                <w:top w:val="none" w:sz="0" w:space="0" w:color="auto"/>
                <w:left w:val="none" w:sz="0" w:space="0" w:color="auto"/>
                <w:bottom w:val="none" w:sz="0" w:space="0" w:color="auto"/>
                <w:right w:val="none" w:sz="0" w:space="0" w:color="auto"/>
              </w:divBdr>
            </w:div>
            <w:div w:id="2001493420">
              <w:marLeft w:val="0"/>
              <w:marRight w:val="0"/>
              <w:marTop w:val="0"/>
              <w:marBottom w:val="0"/>
              <w:divBdr>
                <w:top w:val="none" w:sz="0" w:space="0" w:color="auto"/>
                <w:left w:val="none" w:sz="0" w:space="0" w:color="auto"/>
                <w:bottom w:val="none" w:sz="0" w:space="0" w:color="auto"/>
                <w:right w:val="none" w:sz="0" w:space="0" w:color="auto"/>
              </w:divBdr>
            </w:div>
            <w:div w:id="816726693">
              <w:marLeft w:val="0"/>
              <w:marRight w:val="0"/>
              <w:marTop w:val="0"/>
              <w:marBottom w:val="0"/>
              <w:divBdr>
                <w:top w:val="none" w:sz="0" w:space="0" w:color="auto"/>
                <w:left w:val="none" w:sz="0" w:space="0" w:color="auto"/>
                <w:bottom w:val="none" w:sz="0" w:space="0" w:color="auto"/>
                <w:right w:val="none" w:sz="0" w:space="0" w:color="auto"/>
              </w:divBdr>
            </w:div>
            <w:div w:id="1476679950">
              <w:marLeft w:val="0"/>
              <w:marRight w:val="0"/>
              <w:marTop w:val="0"/>
              <w:marBottom w:val="0"/>
              <w:divBdr>
                <w:top w:val="none" w:sz="0" w:space="0" w:color="auto"/>
                <w:left w:val="none" w:sz="0" w:space="0" w:color="auto"/>
                <w:bottom w:val="none" w:sz="0" w:space="0" w:color="auto"/>
                <w:right w:val="none" w:sz="0" w:space="0" w:color="auto"/>
              </w:divBdr>
            </w:div>
            <w:div w:id="513224004">
              <w:marLeft w:val="0"/>
              <w:marRight w:val="0"/>
              <w:marTop w:val="0"/>
              <w:marBottom w:val="0"/>
              <w:divBdr>
                <w:top w:val="none" w:sz="0" w:space="0" w:color="auto"/>
                <w:left w:val="none" w:sz="0" w:space="0" w:color="auto"/>
                <w:bottom w:val="none" w:sz="0" w:space="0" w:color="auto"/>
                <w:right w:val="none" w:sz="0" w:space="0" w:color="auto"/>
              </w:divBdr>
            </w:div>
            <w:div w:id="414279231">
              <w:marLeft w:val="0"/>
              <w:marRight w:val="0"/>
              <w:marTop w:val="0"/>
              <w:marBottom w:val="0"/>
              <w:divBdr>
                <w:top w:val="none" w:sz="0" w:space="0" w:color="auto"/>
                <w:left w:val="none" w:sz="0" w:space="0" w:color="auto"/>
                <w:bottom w:val="none" w:sz="0" w:space="0" w:color="auto"/>
                <w:right w:val="none" w:sz="0" w:space="0" w:color="auto"/>
              </w:divBdr>
            </w:div>
            <w:div w:id="696582798">
              <w:marLeft w:val="0"/>
              <w:marRight w:val="0"/>
              <w:marTop w:val="0"/>
              <w:marBottom w:val="0"/>
              <w:divBdr>
                <w:top w:val="none" w:sz="0" w:space="0" w:color="auto"/>
                <w:left w:val="none" w:sz="0" w:space="0" w:color="auto"/>
                <w:bottom w:val="none" w:sz="0" w:space="0" w:color="auto"/>
                <w:right w:val="none" w:sz="0" w:space="0" w:color="auto"/>
              </w:divBdr>
            </w:div>
            <w:div w:id="454253189">
              <w:marLeft w:val="0"/>
              <w:marRight w:val="0"/>
              <w:marTop w:val="0"/>
              <w:marBottom w:val="0"/>
              <w:divBdr>
                <w:top w:val="none" w:sz="0" w:space="0" w:color="auto"/>
                <w:left w:val="none" w:sz="0" w:space="0" w:color="auto"/>
                <w:bottom w:val="none" w:sz="0" w:space="0" w:color="auto"/>
                <w:right w:val="none" w:sz="0" w:space="0" w:color="auto"/>
              </w:divBdr>
            </w:div>
            <w:div w:id="964307687">
              <w:marLeft w:val="0"/>
              <w:marRight w:val="0"/>
              <w:marTop w:val="0"/>
              <w:marBottom w:val="0"/>
              <w:divBdr>
                <w:top w:val="none" w:sz="0" w:space="0" w:color="auto"/>
                <w:left w:val="none" w:sz="0" w:space="0" w:color="auto"/>
                <w:bottom w:val="none" w:sz="0" w:space="0" w:color="auto"/>
                <w:right w:val="none" w:sz="0" w:space="0" w:color="auto"/>
              </w:divBdr>
            </w:div>
            <w:div w:id="1764305330">
              <w:marLeft w:val="0"/>
              <w:marRight w:val="0"/>
              <w:marTop w:val="0"/>
              <w:marBottom w:val="0"/>
              <w:divBdr>
                <w:top w:val="none" w:sz="0" w:space="0" w:color="auto"/>
                <w:left w:val="none" w:sz="0" w:space="0" w:color="auto"/>
                <w:bottom w:val="none" w:sz="0" w:space="0" w:color="auto"/>
                <w:right w:val="none" w:sz="0" w:space="0" w:color="auto"/>
              </w:divBdr>
            </w:div>
            <w:div w:id="401022662">
              <w:marLeft w:val="0"/>
              <w:marRight w:val="0"/>
              <w:marTop w:val="0"/>
              <w:marBottom w:val="0"/>
              <w:divBdr>
                <w:top w:val="none" w:sz="0" w:space="0" w:color="auto"/>
                <w:left w:val="none" w:sz="0" w:space="0" w:color="auto"/>
                <w:bottom w:val="none" w:sz="0" w:space="0" w:color="auto"/>
                <w:right w:val="none" w:sz="0" w:space="0" w:color="auto"/>
              </w:divBdr>
            </w:div>
            <w:div w:id="822047915">
              <w:marLeft w:val="0"/>
              <w:marRight w:val="0"/>
              <w:marTop w:val="0"/>
              <w:marBottom w:val="0"/>
              <w:divBdr>
                <w:top w:val="none" w:sz="0" w:space="0" w:color="auto"/>
                <w:left w:val="none" w:sz="0" w:space="0" w:color="auto"/>
                <w:bottom w:val="none" w:sz="0" w:space="0" w:color="auto"/>
                <w:right w:val="none" w:sz="0" w:space="0" w:color="auto"/>
              </w:divBdr>
            </w:div>
            <w:div w:id="1996297688">
              <w:marLeft w:val="0"/>
              <w:marRight w:val="0"/>
              <w:marTop w:val="0"/>
              <w:marBottom w:val="0"/>
              <w:divBdr>
                <w:top w:val="none" w:sz="0" w:space="0" w:color="auto"/>
                <w:left w:val="none" w:sz="0" w:space="0" w:color="auto"/>
                <w:bottom w:val="none" w:sz="0" w:space="0" w:color="auto"/>
                <w:right w:val="none" w:sz="0" w:space="0" w:color="auto"/>
              </w:divBdr>
            </w:div>
            <w:div w:id="2145195463">
              <w:marLeft w:val="0"/>
              <w:marRight w:val="0"/>
              <w:marTop w:val="0"/>
              <w:marBottom w:val="0"/>
              <w:divBdr>
                <w:top w:val="none" w:sz="0" w:space="0" w:color="auto"/>
                <w:left w:val="none" w:sz="0" w:space="0" w:color="auto"/>
                <w:bottom w:val="none" w:sz="0" w:space="0" w:color="auto"/>
                <w:right w:val="none" w:sz="0" w:space="0" w:color="auto"/>
              </w:divBdr>
            </w:div>
            <w:div w:id="1886453764">
              <w:marLeft w:val="0"/>
              <w:marRight w:val="0"/>
              <w:marTop w:val="0"/>
              <w:marBottom w:val="0"/>
              <w:divBdr>
                <w:top w:val="none" w:sz="0" w:space="0" w:color="auto"/>
                <w:left w:val="none" w:sz="0" w:space="0" w:color="auto"/>
                <w:bottom w:val="none" w:sz="0" w:space="0" w:color="auto"/>
                <w:right w:val="none" w:sz="0" w:space="0" w:color="auto"/>
              </w:divBdr>
            </w:div>
            <w:div w:id="534315446">
              <w:marLeft w:val="0"/>
              <w:marRight w:val="0"/>
              <w:marTop w:val="0"/>
              <w:marBottom w:val="0"/>
              <w:divBdr>
                <w:top w:val="none" w:sz="0" w:space="0" w:color="auto"/>
                <w:left w:val="none" w:sz="0" w:space="0" w:color="auto"/>
                <w:bottom w:val="none" w:sz="0" w:space="0" w:color="auto"/>
                <w:right w:val="none" w:sz="0" w:space="0" w:color="auto"/>
              </w:divBdr>
            </w:div>
            <w:div w:id="585503123">
              <w:marLeft w:val="0"/>
              <w:marRight w:val="0"/>
              <w:marTop w:val="0"/>
              <w:marBottom w:val="0"/>
              <w:divBdr>
                <w:top w:val="none" w:sz="0" w:space="0" w:color="auto"/>
                <w:left w:val="none" w:sz="0" w:space="0" w:color="auto"/>
                <w:bottom w:val="none" w:sz="0" w:space="0" w:color="auto"/>
                <w:right w:val="none" w:sz="0" w:space="0" w:color="auto"/>
              </w:divBdr>
            </w:div>
            <w:div w:id="889194398">
              <w:marLeft w:val="0"/>
              <w:marRight w:val="0"/>
              <w:marTop w:val="0"/>
              <w:marBottom w:val="0"/>
              <w:divBdr>
                <w:top w:val="none" w:sz="0" w:space="0" w:color="auto"/>
                <w:left w:val="none" w:sz="0" w:space="0" w:color="auto"/>
                <w:bottom w:val="none" w:sz="0" w:space="0" w:color="auto"/>
                <w:right w:val="none" w:sz="0" w:space="0" w:color="auto"/>
              </w:divBdr>
            </w:div>
            <w:div w:id="856650748">
              <w:marLeft w:val="0"/>
              <w:marRight w:val="0"/>
              <w:marTop w:val="0"/>
              <w:marBottom w:val="0"/>
              <w:divBdr>
                <w:top w:val="none" w:sz="0" w:space="0" w:color="auto"/>
                <w:left w:val="none" w:sz="0" w:space="0" w:color="auto"/>
                <w:bottom w:val="none" w:sz="0" w:space="0" w:color="auto"/>
                <w:right w:val="none" w:sz="0" w:space="0" w:color="auto"/>
              </w:divBdr>
            </w:div>
            <w:div w:id="660932557">
              <w:marLeft w:val="0"/>
              <w:marRight w:val="0"/>
              <w:marTop w:val="0"/>
              <w:marBottom w:val="0"/>
              <w:divBdr>
                <w:top w:val="none" w:sz="0" w:space="0" w:color="auto"/>
                <w:left w:val="none" w:sz="0" w:space="0" w:color="auto"/>
                <w:bottom w:val="none" w:sz="0" w:space="0" w:color="auto"/>
                <w:right w:val="none" w:sz="0" w:space="0" w:color="auto"/>
              </w:divBdr>
            </w:div>
            <w:div w:id="1470392241">
              <w:marLeft w:val="0"/>
              <w:marRight w:val="0"/>
              <w:marTop w:val="0"/>
              <w:marBottom w:val="0"/>
              <w:divBdr>
                <w:top w:val="none" w:sz="0" w:space="0" w:color="auto"/>
                <w:left w:val="none" w:sz="0" w:space="0" w:color="auto"/>
                <w:bottom w:val="none" w:sz="0" w:space="0" w:color="auto"/>
                <w:right w:val="none" w:sz="0" w:space="0" w:color="auto"/>
              </w:divBdr>
            </w:div>
            <w:div w:id="425422992">
              <w:marLeft w:val="0"/>
              <w:marRight w:val="0"/>
              <w:marTop w:val="0"/>
              <w:marBottom w:val="0"/>
              <w:divBdr>
                <w:top w:val="none" w:sz="0" w:space="0" w:color="auto"/>
                <w:left w:val="none" w:sz="0" w:space="0" w:color="auto"/>
                <w:bottom w:val="none" w:sz="0" w:space="0" w:color="auto"/>
                <w:right w:val="none" w:sz="0" w:space="0" w:color="auto"/>
              </w:divBdr>
            </w:div>
            <w:div w:id="1647737817">
              <w:marLeft w:val="0"/>
              <w:marRight w:val="0"/>
              <w:marTop w:val="0"/>
              <w:marBottom w:val="0"/>
              <w:divBdr>
                <w:top w:val="none" w:sz="0" w:space="0" w:color="auto"/>
                <w:left w:val="none" w:sz="0" w:space="0" w:color="auto"/>
                <w:bottom w:val="none" w:sz="0" w:space="0" w:color="auto"/>
                <w:right w:val="none" w:sz="0" w:space="0" w:color="auto"/>
              </w:divBdr>
            </w:div>
            <w:div w:id="1718895615">
              <w:marLeft w:val="0"/>
              <w:marRight w:val="0"/>
              <w:marTop w:val="0"/>
              <w:marBottom w:val="0"/>
              <w:divBdr>
                <w:top w:val="none" w:sz="0" w:space="0" w:color="auto"/>
                <w:left w:val="none" w:sz="0" w:space="0" w:color="auto"/>
                <w:bottom w:val="none" w:sz="0" w:space="0" w:color="auto"/>
                <w:right w:val="none" w:sz="0" w:space="0" w:color="auto"/>
              </w:divBdr>
            </w:div>
            <w:div w:id="1021710257">
              <w:marLeft w:val="0"/>
              <w:marRight w:val="0"/>
              <w:marTop w:val="0"/>
              <w:marBottom w:val="0"/>
              <w:divBdr>
                <w:top w:val="none" w:sz="0" w:space="0" w:color="auto"/>
                <w:left w:val="none" w:sz="0" w:space="0" w:color="auto"/>
                <w:bottom w:val="none" w:sz="0" w:space="0" w:color="auto"/>
                <w:right w:val="none" w:sz="0" w:space="0" w:color="auto"/>
              </w:divBdr>
            </w:div>
            <w:div w:id="167453320">
              <w:marLeft w:val="0"/>
              <w:marRight w:val="0"/>
              <w:marTop w:val="0"/>
              <w:marBottom w:val="0"/>
              <w:divBdr>
                <w:top w:val="none" w:sz="0" w:space="0" w:color="auto"/>
                <w:left w:val="none" w:sz="0" w:space="0" w:color="auto"/>
                <w:bottom w:val="none" w:sz="0" w:space="0" w:color="auto"/>
                <w:right w:val="none" w:sz="0" w:space="0" w:color="auto"/>
              </w:divBdr>
            </w:div>
            <w:div w:id="1339389720">
              <w:marLeft w:val="0"/>
              <w:marRight w:val="0"/>
              <w:marTop w:val="0"/>
              <w:marBottom w:val="0"/>
              <w:divBdr>
                <w:top w:val="none" w:sz="0" w:space="0" w:color="auto"/>
                <w:left w:val="none" w:sz="0" w:space="0" w:color="auto"/>
                <w:bottom w:val="none" w:sz="0" w:space="0" w:color="auto"/>
                <w:right w:val="none" w:sz="0" w:space="0" w:color="auto"/>
              </w:divBdr>
            </w:div>
            <w:div w:id="2020236587">
              <w:marLeft w:val="0"/>
              <w:marRight w:val="0"/>
              <w:marTop w:val="0"/>
              <w:marBottom w:val="0"/>
              <w:divBdr>
                <w:top w:val="none" w:sz="0" w:space="0" w:color="auto"/>
                <w:left w:val="none" w:sz="0" w:space="0" w:color="auto"/>
                <w:bottom w:val="none" w:sz="0" w:space="0" w:color="auto"/>
                <w:right w:val="none" w:sz="0" w:space="0" w:color="auto"/>
              </w:divBdr>
            </w:div>
            <w:div w:id="1298102393">
              <w:marLeft w:val="0"/>
              <w:marRight w:val="0"/>
              <w:marTop w:val="0"/>
              <w:marBottom w:val="0"/>
              <w:divBdr>
                <w:top w:val="none" w:sz="0" w:space="0" w:color="auto"/>
                <w:left w:val="none" w:sz="0" w:space="0" w:color="auto"/>
                <w:bottom w:val="none" w:sz="0" w:space="0" w:color="auto"/>
                <w:right w:val="none" w:sz="0" w:space="0" w:color="auto"/>
              </w:divBdr>
            </w:div>
            <w:div w:id="1463037148">
              <w:marLeft w:val="0"/>
              <w:marRight w:val="0"/>
              <w:marTop w:val="0"/>
              <w:marBottom w:val="0"/>
              <w:divBdr>
                <w:top w:val="none" w:sz="0" w:space="0" w:color="auto"/>
                <w:left w:val="none" w:sz="0" w:space="0" w:color="auto"/>
                <w:bottom w:val="none" w:sz="0" w:space="0" w:color="auto"/>
                <w:right w:val="none" w:sz="0" w:space="0" w:color="auto"/>
              </w:divBdr>
            </w:div>
            <w:div w:id="172645356">
              <w:marLeft w:val="0"/>
              <w:marRight w:val="0"/>
              <w:marTop w:val="0"/>
              <w:marBottom w:val="0"/>
              <w:divBdr>
                <w:top w:val="none" w:sz="0" w:space="0" w:color="auto"/>
                <w:left w:val="none" w:sz="0" w:space="0" w:color="auto"/>
                <w:bottom w:val="none" w:sz="0" w:space="0" w:color="auto"/>
                <w:right w:val="none" w:sz="0" w:space="0" w:color="auto"/>
              </w:divBdr>
            </w:div>
            <w:div w:id="192959359">
              <w:marLeft w:val="0"/>
              <w:marRight w:val="0"/>
              <w:marTop w:val="0"/>
              <w:marBottom w:val="0"/>
              <w:divBdr>
                <w:top w:val="none" w:sz="0" w:space="0" w:color="auto"/>
                <w:left w:val="none" w:sz="0" w:space="0" w:color="auto"/>
                <w:bottom w:val="none" w:sz="0" w:space="0" w:color="auto"/>
                <w:right w:val="none" w:sz="0" w:space="0" w:color="auto"/>
              </w:divBdr>
            </w:div>
            <w:div w:id="1131286940">
              <w:marLeft w:val="0"/>
              <w:marRight w:val="0"/>
              <w:marTop w:val="0"/>
              <w:marBottom w:val="0"/>
              <w:divBdr>
                <w:top w:val="none" w:sz="0" w:space="0" w:color="auto"/>
                <w:left w:val="none" w:sz="0" w:space="0" w:color="auto"/>
                <w:bottom w:val="none" w:sz="0" w:space="0" w:color="auto"/>
                <w:right w:val="none" w:sz="0" w:space="0" w:color="auto"/>
              </w:divBdr>
            </w:div>
            <w:div w:id="591936841">
              <w:marLeft w:val="0"/>
              <w:marRight w:val="0"/>
              <w:marTop w:val="0"/>
              <w:marBottom w:val="0"/>
              <w:divBdr>
                <w:top w:val="none" w:sz="0" w:space="0" w:color="auto"/>
                <w:left w:val="none" w:sz="0" w:space="0" w:color="auto"/>
                <w:bottom w:val="none" w:sz="0" w:space="0" w:color="auto"/>
                <w:right w:val="none" w:sz="0" w:space="0" w:color="auto"/>
              </w:divBdr>
            </w:div>
            <w:div w:id="921329242">
              <w:marLeft w:val="0"/>
              <w:marRight w:val="0"/>
              <w:marTop w:val="0"/>
              <w:marBottom w:val="0"/>
              <w:divBdr>
                <w:top w:val="none" w:sz="0" w:space="0" w:color="auto"/>
                <w:left w:val="none" w:sz="0" w:space="0" w:color="auto"/>
                <w:bottom w:val="none" w:sz="0" w:space="0" w:color="auto"/>
                <w:right w:val="none" w:sz="0" w:space="0" w:color="auto"/>
              </w:divBdr>
            </w:div>
            <w:div w:id="1343312825">
              <w:marLeft w:val="0"/>
              <w:marRight w:val="0"/>
              <w:marTop w:val="0"/>
              <w:marBottom w:val="0"/>
              <w:divBdr>
                <w:top w:val="none" w:sz="0" w:space="0" w:color="auto"/>
                <w:left w:val="none" w:sz="0" w:space="0" w:color="auto"/>
                <w:bottom w:val="none" w:sz="0" w:space="0" w:color="auto"/>
                <w:right w:val="none" w:sz="0" w:space="0" w:color="auto"/>
              </w:divBdr>
            </w:div>
            <w:div w:id="266472142">
              <w:marLeft w:val="0"/>
              <w:marRight w:val="0"/>
              <w:marTop w:val="0"/>
              <w:marBottom w:val="0"/>
              <w:divBdr>
                <w:top w:val="none" w:sz="0" w:space="0" w:color="auto"/>
                <w:left w:val="none" w:sz="0" w:space="0" w:color="auto"/>
                <w:bottom w:val="none" w:sz="0" w:space="0" w:color="auto"/>
                <w:right w:val="none" w:sz="0" w:space="0" w:color="auto"/>
              </w:divBdr>
            </w:div>
            <w:div w:id="373583709">
              <w:marLeft w:val="0"/>
              <w:marRight w:val="0"/>
              <w:marTop w:val="0"/>
              <w:marBottom w:val="0"/>
              <w:divBdr>
                <w:top w:val="none" w:sz="0" w:space="0" w:color="auto"/>
                <w:left w:val="none" w:sz="0" w:space="0" w:color="auto"/>
                <w:bottom w:val="none" w:sz="0" w:space="0" w:color="auto"/>
                <w:right w:val="none" w:sz="0" w:space="0" w:color="auto"/>
              </w:divBdr>
            </w:div>
            <w:div w:id="1737120821">
              <w:marLeft w:val="0"/>
              <w:marRight w:val="0"/>
              <w:marTop w:val="0"/>
              <w:marBottom w:val="0"/>
              <w:divBdr>
                <w:top w:val="none" w:sz="0" w:space="0" w:color="auto"/>
                <w:left w:val="none" w:sz="0" w:space="0" w:color="auto"/>
                <w:bottom w:val="none" w:sz="0" w:space="0" w:color="auto"/>
                <w:right w:val="none" w:sz="0" w:space="0" w:color="auto"/>
              </w:divBdr>
            </w:div>
            <w:div w:id="1899196033">
              <w:marLeft w:val="0"/>
              <w:marRight w:val="0"/>
              <w:marTop w:val="0"/>
              <w:marBottom w:val="0"/>
              <w:divBdr>
                <w:top w:val="none" w:sz="0" w:space="0" w:color="auto"/>
                <w:left w:val="none" w:sz="0" w:space="0" w:color="auto"/>
                <w:bottom w:val="none" w:sz="0" w:space="0" w:color="auto"/>
                <w:right w:val="none" w:sz="0" w:space="0" w:color="auto"/>
              </w:divBdr>
            </w:div>
            <w:div w:id="75246714">
              <w:marLeft w:val="0"/>
              <w:marRight w:val="0"/>
              <w:marTop w:val="0"/>
              <w:marBottom w:val="0"/>
              <w:divBdr>
                <w:top w:val="none" w:sz="0" w:space="0" w:color="auto"/>
                <w:left w:val="none" w:sz="0" w:space="0" w:color="auto"/>
                <w:bottom w:val="none" w:sz="0" w:space="0" w:color="auto"/>
                <w:right w:val="none" w:sz="0" w:space="0" w:color="auto"/>
              </w:divBdr>
            </w:div>
            <w:div w:id="1823228945">
              <w:marLeft w:val="0"/>
              <w:marRight w:val="0"/>
              <w:marTop w:val="0"/>
              <w:marBottom w:val="0"/>
              <w:divBdr>
                <w:top w:val="none" w:sz="0" w:space="0" w:color="auto"/>
                <w:left w:val="none" w:sz="0" w:space="0" w:color="auto"/>
                <w:bottom w:val="none" w:sz="0" w:space="0" w:color="auto"/>
                <w:right w:val="none" w:sz="0" w:space="0" w:color="auto"/>
              </w:divBdr>
            </w:div>
            <w:div w:id="1363358401">
              <w:marLeft w:val="0"/>
              <w:marRight w:val="0"/>
              <w:marTop w:val="0"/>
              <w:marBottom w:val="0"/>
              <w:divBdr>
                <w:top w:val="none" w:sz="0" w:space="0" w:color="auto"/>
                <w:left w:val="none" w:sz="0" w:space="0" w:color="auto"/>
                <w:bottom w:val="none" w:sz="0" w:space="0" w:color="auto"/>
                <w:right w:val="none" w:sz="0" w:space="0" w:color="auto"/>
              </w:divBdr>
            </w:div>
            <w:div w:id="613051867">
              <w:marLeft w:val="0"/>
              <w:marRight w:val="0"/>
              <w:marTop w:val="0"/>
              <w:marBottom w:val="0"/>
              <w:divBdr>
                <w:top w:val="none" w:sz="0" w:space="0" w:color="auto"/>
                <w:left w:val="none" w:sz="0" w:space="0" w:color="auto"/>
                <w:bottom w:val="none" w:sz="0" w:space="0" w:color="auto"/>
                <w:right w:val="none" w:sz="0" w:space="0" w:color="auto"/>
              </w:divBdr>
            </w:div>
            <w:div w:id="434910500">
              <w:marLeft w:val="0"/>
              <w:marRight w:val="0"/>
              <w:marTop w:val="0"/>
              <w:marBottom w:val="0"/>
              <w:divBdr>
                <w:top w:val="none" w:sz="0" w:space="0" w:color="auto"/>
                <w:left w:val="none" w:sz="0" w:space="0" w:color="auto"/>
                <w:bottom w:val="none" w:sz="0" w:space="0" w:color="auto"/>
                <w:right w:val="none" w:sz="0" w:space="0" w:color="auto"/>
              </w:divBdr>
            </w:div>
            <w:div w:id="878249645">
              <w:marLeft w:val="0"/>
              <w:marRight w:val="0"/>
              <w:marTop w:val="0"/>
              <w:marBottom w:val="0"/>
              <w:divBdr>
                <w:top w:val="none" w:sz="0" w:space="0" w:color="auto"/>
                <w:left w:val="none" w:sz="0" w:space="0" w:color="auto"/>
                <w:bottom w:val="none" w:sz="0" w:space="0" w:color="auto"/>
                <w:right w:val="none" w:sz="0" w:space="0" w:color="auto"/>
              </w:divBdr>
            </w:div>
            <w:div w:id="889339537">
              <w:marLeft w:val="0"/>
              <w:marRight w:val="0"/>
              <w:marTop w:val="0"/>
              <w:marBottom w:val="0"/>
              <w:divBdr>
                <w:top w:val="none" w:sz="0" w:space="0" w:color="auto"/>
                <w:left w:val="none" w:sz="0" w:space="0" w:color="auto"/>
                <w:bottom w:val="none" w:sz="0" w:space="0" w:color="auto"/>
                <w:right w:val="none" w:sz="0" w:space="0" w:color="auto"/>
              </w:divBdr>
            </w:div>
            <w:div w:id="1561089257">
              <w:marLeft w:val="0"/>
              <w:marRight w:val="0"/>
              <w:marTop w:val="0"/>
              <w:marBottom w:val="0"/>
              <w:divBdr>
                <w:top w:val="none" w:sz="0" w:space="0" w:color="auto"/>
                <w:left w:val="none" w:sz="0" w:space="0" w:color="auto"/>
                <w:bottom w:val="none" w:sz="0" w:space="0" w:color="auto"/>
                <w:right w:val="none" w:sz="0" w:space="0" w:color="auto"/>
              </w:divBdr>
            </w:div>
            <w:div w:id="297340115">
              <w:marLeft w:val="0"/>
              <w:marRight w:val="0"/>
              <w:marTop w:val="0"/>
              <w:marBottom w:val="0"/>
              <w:divBdr>
                <w:top w:val="none" w:sz="0" w:space="0" w:color="auto"/>
                <w:left w:val="none" w:sz="0" w:space="0" w:color="auto"/>
                <w:bottom w:val="none" w:sz="0" w:space="0" w:color="auto"/>
                <w:right w:val="none" w:sz="0" w:space="0" w:color="auto"/>
              </w:divBdr>
            </w:div>
            <w:div w:id="72701045">
              <w:marLeft w:val="0"/>
              <w:marRight w:val="0"/>
              <w:marTop w:val="0"/>
              <w:marBottom w:val="0"/>
              <w:divBdr>
                <w:top w:val="none" w:sz="0" w:space="0" w:color="auto"/>
                <w:left w:val="none" w:sz="0" w:space="0" w:color="auto"/>
                <w:bottom w:val="none" w:sz="0" w:space="0" w:color="auto"/>
                <w:right w:val="none" w:sz="0" w:space="0" w:color="auto"/>
              </w:divBdr>
            </w:div>
            <w:div w:id="570510318">
              <w:marLeft w:val="0"/>
              <w:marRight w:val="0"/>
              <w:marTop w:val="0"/>
              <w:marBottom w:val="0"/>
              <w:divBdr>
                <w:top w:val="none" w:sz="0" w:space="0" w:color="auto"/>
                <w:left w:val="none" w:sz="0" w:space="0" w:color="auto"/>
                <w:bottom w:val="none" w:sz="0" w:space="0" w:color="auto"/>
                <w:right w:val="none" w:sz="0" w:space="0" w:color="auto"/>
              </w:divBdr>
            </w:div>
            <w:div w:id="39943879">
              <w:marLeft w:val="0"/>
              <w:marRight w:val="0"/>
              <w:marTop w:val="0"/>
              <w:marBottom w:val="0"/>
              <w:divBdr>
                <w:top w:val="none" w:sz="0" w:space="0" w:color="auto"/>
                <w:left w:val="none" w:sz="0" w:space="0" w:color="auto"/>
                <w:bottom w:val="none" w:sz="0" w:space="0" w:color="auto"/>
                <w:right w:val="none" w:sz="0" w:space="0" w:color="auto"/>
              </w:divBdr>
            </w:div>
            <w:div w:id="970553851">
              <w:marLeft w:val="0"/>
              <w:marRight w:val="0"/>
              <w:marTop w:val="0"/>
              <w:marBottom w:val="0"/>
              <w:divBdr>
                <w:top w:val="none" w:sz="0" w:space="0" w:color="auto"/>
                <w:left w:val="none" w:sz="0" w:space="0" w:color="auto"/>
                <w:bottom w:val="none" w:sz="0" w:space="0" w:color="auto"/>
                <w:right w:val="none" w:sz="0" w:space="0" w:color="auto"/>
              </w:divBdr>
            </w:div>
            <w:div w:id="1162233445">
              <w:marLeft w:val="0"/>
              <w:marRight w:val="0"/>
              <w:marTop w:val="0"/>
              <w:marBottom w:val="0"/>
              <w:divBdr>
                <w:top w:val="none" w:sz="0" w:space="0" w:color="auto"/>
                <w:left w:val="none" w:sz="0" w:space="0" w:color="auto"/>
                <w:bottom w:val="none" w:sz="0" w:space="0" w:color="auto"/>
                <w:right w:val="none" w:sz="0" w:space="0" w:color="auto"/>
              </w:divBdr>
            </w:div>
            <w:div w:id="838351128">
              <w:marLeft w:val="0"/>
              <w:marRight w:val="0"/>
              <w:marTop w:val="0"/>
              <w:marBottom w:val="0"/>
              <w:divBdr>
                <w:top w:val="none" w:sz="0" w:space="0" w:color="auto"/>
                <w:left w:val="none" w:sz="0" w:space="0" w:color="auto"/>
                <w:bottom w:val="none" w:sz="0" w:space="0" w:color="auto"/>
                <w:right w:val="none" w:sz="0" w:space="0" w:color="auto"/>
              </w:divBdr>
            </w:div>
            <w:div w:id="1596133978">
              <w:marLeft w:val="0"/>
              <w:marRight w:val="0"/>
              <w:marTop w:val="0"/>
              <w:marBottom w:val="0"/>
              <w:divBdr>
                <w:top w:val="none" w:sz="0" w:space="0" w:color="auto"/>
                <w:left w:val="none" w:sz="0" w:space="0" w:color="auto"/>
                <w:bottom w:val="none" w:sz="0" w:space="0" w:color="auto"/>
                <w:right w:val="none" w:sz="0" w:space="0" w:color="auto"/>
              </w:divBdr>
            </w:div>
            <w:div w:id="168103718">
              <w:marLeft w:val="0"/>
              <w:marRight w:val="0"/>
              <w:marTop w:val="0"/>
              <w:marBottom w:val="0"/>
              <w:divBdr>
                <w:top w:val="none" w:sz="0" w:space="0" w:color="auto"/>
                <w:left w:val="none" w:sz="0" w:space="0" w:color="auto"/>
                <w:bottom w:val="none" w:sz="0" w:space="0" w:color="auto"/>
                <w:right w:val="none" w:sz="0" w:space="0" w:color="auto"/>
              </w:divBdr>
            </w:div>
            <w:div w:id="1142625515">
              <w:marLeft w:val="0"/>
              <w:marRight w:val="0"/>
              <w:marTop w:val="0"/>
              <w:marBottom w:val="0"/>
              <w:divBdr>
                <w:top w:val="none" w:sz="0" w:space="0" w:color="auto"/>
                <w:left w:val="none" w:sz="0" w:space="0" w:color="auto"/>
                <w:bottom w:val="none" w:sz="0" w:space="0" w:color="auto"/>
                <w:right w:val="none" w:sz="0" w:space="0" w:color="auto"/>
              </w:divBdr>
            </w:div>
            <w:div w:id="49812245">
              <w:marLeft w:val="0"/>
              <w:marRight w:val="0"/>
              <w:marTop w:val="0"/>
              <w:marBottom w:val="0"/>
              <w:divBdr>
                <w:top w:val="none" w:sz="0" w:space="0" w:color="auto"/>
                <w:left w:val="none" w:sz="0" w:space="0" w:color="auto"/>
                <w:bottom w:val="none" w:sz="0" w:space="0" w:color="auto"/>
                <w:right w:val="none" w:sz="0" w:space="0" w:color="auto"/>
              </w:divBdr>
            </w:div>
            <w:div w:id="213662253">
              <w:marLeft w:val="0"/>
              <w:marRight w:val="0"/>
              <w:marTop w:val="0"/>
              <w:marBottom w:val="0"/>
              <w:divBdr>
                <w:top w:val="none" w:sz="0" w:space="0" w:color="auto"/>
                <w:left w:val="none" w:sz="0" w:space="0" w:color="auto"/>
                <w:bottom w:val="none" w:sz="0" w:space="0" w:color="auto"/>
                <w:right w:val="none" w:sz="0" w:space="0" w:color="auto"/>
              </w:divBdr>
            </w:div>
            <w:div w:id="1458377849">
              <w:marLeft w:val="0"/>
              <w:marRight w:val="0"/>
              <w:marTop w:val="0"/>
              <w:marBottom w:val="0"/>
              <w:divBdr>
                <w:top w:val="none" w:sz="0" w:space="0" w:color="auto"/>
                <w:left w:val="none" w:sz="0" w:space="0" w:color="auto"/>
                <w:bottom w:val="none" w:sz="0" w:space="0" w:color="auto"/>
                <w:right w:val="none" w:sz="0" w:space="0" w:color="auto"/>
              </w:divBdr>
            </w:div>
            <w:div w:id="2045472545">
              <w:marLeft w:val="0"/>
              <w:marRight w:val="0"/>
              <w:marTop w:val="0"/>
              <w:marBottom w:val="0"/>
              <w:divBdr>
                <w:top w:val="none" w:sz="0" w:space="0" w:color="auto"/>
                <w:left w:val="none" w:sz="0" w:space="0" w:color="auto"/>
                <w:bottom w:val="none" w:sz="0" w:space="0" w:color="auto"/>
                <w:right w:val="none" w:sz="0" w:space="0" w:color="auto"/>
              </w:divBdr>
            </w:div>
            <w:div w:id="1616325208">
              <w:marLeft w:val="0"/>
              <w:marRight w:val="0"/>
              <w:marTop w:val="0"/>
              <w:marBottom w:val="0"/>
              <w:divBdr>
                <w:top w:val="none" w:sz="0" w:space="0" w:color="auto"/>
                <w:left w:val="none" w:sz="0" w:space="0" w:color="auto"/>
                <w:bottom w:val="none" w:sz="0" w:space="0" w:color="auto"/>
                <w:right w:val="none" w:sz="0" w:space="0" w:color="auto"/>
              </w:divBdr>
            </w:div>
            <w:div w:id="228658874">
              <w:marLeft w:val="0"/>
              <w:marRight w:val="0"/>
              <w:marTop w:val="0"/>
              <w:marBottom w:val="0"/>
              <w:divBdr>
                <w:top w:val="none" w:sz="0" w:space="0" w:color="auto"/>
                <w:left w:val="none" w:sz="0" w:space="0" w:color="auto"/>
                <w:bottom w:val="none" w:sz="0" w:space="0" w:color="auto"/>
                <w:right w:val="none" w:sz="0" w:space="0" w:color="auto"/>
              </w:divBdr>
            </w:div>
            <w:div w:id="1978677566">
              <w:marLeft w:val="0"/>
              <w:marRight w:val="0"/>
              <w:marTop w:val="0"/>
              <w:marBottom w:val="0"/>
              <w:divBdr>
                <w:top w:val="none" w:sz="0" w:space="0" w:color="auto"/>
                <w:left w:val="none" w:sz="0" w:space="0" w:color="auto"/>
                <w:bottom w:val="none" w:sz="0" w:space="0" w:color="auto"/>
                <w:right w:val="none" w:sz="0" w:space="0" w:color="auto"/>
              </w:divBdr>
            </w:div>
            <w:div w:id="479343660">
              <w:marLeft w:val="0"/>
              <w:marRight w:val="0"/>
              <w:marTop w:val="0"/>
              <w:marBottom w:val="0"/>
              <w:divBdr>
                <w:top w:val="none" w:sz="0" w:space="0" w:color="auto"/>
                <w:left w:val="none" w:sz="0" w:space="0" w:color="auto"/>
                <w:bottom w:val="none" w:sz="0" w:space="0" w:color="auto"/>
                <w:right w:val="none" w:sz="0" w:space="0" w:color="auto"/>
              </w:divBdr>
            </w:div>
            <w:div w:id="119811980">
              <w:marLeft w:val="0"/>
              <w:marRight w:val="0"/>
              <w:marTop w:val="0"/>
              <w:marBottom w:val="0"/>
              <w:divBdr>
                <w:top w:val="none" w:sz="0" w:space="0" w:color="auto"/>
                <w:left w:val="none" w:sz="0" w:space="0" w:color="auto"/>
                <w:bottom w:val="none" w:sz="0" w:space="0" w:color="auto"/>
                <w:right w:val="none" w:sz="0" w:space="0" w:color="auto"/>
              </w:divBdr>
            </w:div>
            <w:div w:id="8789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620">
      <w:bodyDiv w:val="1"/>
      <w:marLeft w:val="0"/>
      <w:marRight w:val="0"/>
      <w:marTop w:val="0"/>
      <w:marBottom w:val="0"/>
      <w:divBdr>
        <w:top w:val="none" w:sz="0" w:space="0" w:color="auto"/>
        <w:left w:val="none" w:sz="0" w:space="0" w:color="auto"/>
        <w:bottom w:val="none" w:sz="0" w:space="0" w:color="auto"/>
        <w:right w:val="none" w:sz="0" w:space="0" w:color="auto"/>
      </w:divBdr>
    </w:div>
    <w:div w:id="260723773">
      <w:bodyDiv w:val="1"/>
      <w:marLeft w:val="0"/>
      <w:marRight w:val="0"/>
      <w:marTop w:val="0"/>
      <w:marBottom w:val="0"/>
      <w:divBdr>
        <w:top w:val="none" w:sz="0" w:space="0" w:color="auto"/>
        <w:left w:val="none" w:sz="0" w:space="0" w:color="auto"/>
        <w:bottom w:val="none" w:sz="0" w:space="0" w:color="auto"/>
        <w:right w:val="none" w:sz="0" w:space="0" w:color="auto"/>
      </w:divBdr>
      <w:divsChild>
        <w:div w:id="194119557">
          <w:marLeft w:val="0"/>
          <w:marRight w:val="0"/>
          <w:marTop w:val="0"/>
          <w:marBottom w:val="0"/>
          <w:divBdr>
            <w:top w:val="none" w:sz="0" w:space="0" w:color="auto"/>
            <w:left w:val="none" w:sz="0" w:space="0" w:color="auto"/>
            <w:bottom w:val="none" w:sz="0" w:space="0" w:color="auto"/>
            <w:right w:val="none" w:sz="0" w:space="0" w:color="auto"/>
          </w:divBdr>
          <w:divsChild>
            <w:div w:id="815604819">
              <w:marLeft w:val="0"/>
              <w:marRight w:val="0"/>
              <w:marTop w:val="0"/>
              <w:marBottom w:val="0"/>
              <w:divBdr>
                <w:top w:val="none" w:sz="0" w:space="0" w:color="auto"/>
                <w:left w:val="none" w:sz="0" w:space="0" w:color="auto"/>
                <w:bottom w:val="none" w:sz="0" w:space="0" w:color="auto"/>
                <w:right w:val="none" w:sz="0" w:space="0" w:color="auto"/>
              </w:divBdr>
              <w:divsChild>
                <w:div w:id="447428103">
                  <w:marLeft w:val="0"/>
                  <w:marRight w:val="150"/>
                  <w:marTop w:val="0"/>
                  <w:marBottom w:val="0"/>
                  <w:divBdr>
                    <w:top w:val="none" w:sz="0" w:space="0" w:color="auto"/>
                    <w:left w:val="none" w:sz="0" w:space="0" w:color="auto"/>
                    <w:bottom w:val="none" w:sz="0" w:space="0" w:color="auto"/>
                    <w:right w:val="none" w:sz="0" w:space="0" w:color="auto"/>
                  </w:divBdr>
                  <w:divsChild>
                    <w:div w:id="2535869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6558814">
          <w:marLeft w:val="0"/>
          <w:marRight w:val="150"/>
          <w:marTop w:val="0"/>
          <w:marBottom w:val="0"/>
          <w:divBdr>
            <w:top w:val="none" w:sz="0" w:space="0" w:color="auto"/>
            <w:left w:val="none" w:sz="0" w:space="0" w:color="auto"/>
            <w:bottom w:val="none" w:sz="0" w:space="0" w:color="auto"/>
            <w:right w:val="none" w:sz="0" w:space="0" w:color="auto"/>
          </w:divBdr>
          <w:divsChild>
            <w:div w:id="3617107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4463360">
      <w:bodyDiv w:val="1"/>
      <w:marLeft w:val="0"/>
      <w:marRight w:val="0"/>
      <w:marTop w:val="0"/>
      <w:marBottom w:val="0"/>
      <w:divBdr>
        <w:top w:val="none" w:sz="0" w:space="0" w:color="auto"/>
        <w:left w:val="none" w:sz="0" w:space="0" w:color="auto"/>
        <w:bottom w:val="none" w:sz="0" w:space="0" w:color="auto"/>
        <w:right w:val="none" w:sz="0" w:space="0" w:color="auto"/>
      </w:divBdr>
      <w:divsChild>
        <w:div w:id="1873494041">
          <w:marLeft w:val="0"/>
          <w:marRight w:val="0"/>
          <w:marTop w:val="0"/>
          <w:marBottom w:val="0"/>
          <w:divBdr>
            <w:top w:val="none" w:sz="0" w:space="0" w:color="auto"/>
            <w:left w:val="none" w:sz="0" w:space="0" w:color="auto"/>
            <w:bottom w:val="none" w:sz="0" w:space="0" w:color="auto"/>
            <w:right w:val="none" w:sz="0" w:space="0" w:color="auto"/>
          </w:divBdr>
          <w:divsChild>
            <w:div w:id="1632202307">
              <w:marLeft w:val="0"/>
              <w:marRight w:val="0"/>
              <w:marTop w:val="0"/>
              <w:marBottom w:val="0"/>
              <w:divBdr>
                <w:top w:val="none" w:sz="0" w:space="0" w:color="auto"/>
                <w:left w:val="none" w:sz="0" w:space="0" w:color="auto"/>
                <w:bottom w:val="none" w:sz="0" w:space="0" w:color="auto"/>
                <w:right w:val="none" w:sz="0" w:space="0" w:color="auto"/>
              </w:divBdr>
            </w:div>
            <w:div w:id="576670531">
              <w:marLeft w:val="0"/>
              <w:marRight w:val="0"/>
              <w:marTop w:val="0"/>
              <w:marBottom w:val="0"/>
              <w:divBdr>
                <w:top w:val="none" w:sz="0" w:space="0" w:color="auto"/>
                <w:left w:val="none" w:sz="0" w:space="0" w:color="auto"/>
                <w:bottom w:val="none" w:sz="0" w:space="0" w:color="auto"/>
                <w:right w:val="none" w:sz="0" w:space="0" w:color="auto"/>
              </w:divBdr>
            </w:div>
            <w:div w:id="1831359724">
              <w:marLeft w:val="0"/>
              <w:marRight w:val="0"/>
              <w:marTop w:val="0"/>
              <w:marBottom w:val="0"/>
              <w:divBdr>
                <w:top w:val="none" w:sz="0" w:space="0" w:color="auto"/>
                <w:left w:val="none" w:sz="0" w:space="0" w:color="auto"/>
                <w:bottom w:val="none" w:sz="0" w:space="0" w:color="auto"/>
                <w:right w:val="none" w:sz="0" w:space="0" w:color="auto"/>
              </w:divBdr>
            </w:div>
            <w:div w:id="306083381">
              <w:marLeft w:val="0"/>
              <w:marRight w:val="0"/>
              <w:marTop w:val="0"/>
              <w:marBottom w:val="0"/>
              <w:divBdr>
                <w:top w:val="none" w:sz="0" w:space="0" w:color="auto"/>
                <w:left w:val="none" w:sz="0" w:space="0" w:color="auto"/>
                <w:bottom w:val="none" w:sz="0" w:space="0" w:color="auto"/>
                <w:right w:val="none" w:sz="0" w:space="0" w:color="auto"/>
              </w:divBdr>
            </w:div>
            <w:div w:id="68579736">
              <w:marLeft w:val="0"/>
              <w:marRight w:val="0"/>
              <w:marTop w:val="0"/>
              <w:marBottom w:val="0"/>
              <w:divBdr>
                <w:top w:val="none" w:sz="0" w:space="0" w:color="auto"/>
                <w:left w:val="none" w:sz="0" w:space="0" w:color="auto"/>
                <w:bottom w:val="none" w:sz="0" w:space="0" w:color="auto"/>
                <w:right w:val="none" w:sz="0" w:space="0" w:color="auto"/>
              </w:divBdr>
            </w:div>
            <w:div w:id="1885746761">
              <w:marLeft w:val="0"/>
              <w:marRight w:val="0"/>
              <w:marTop w:val="0"/>
              <w:marBottom w:val="0"/>
              <w:divBdr>
                <w:top w:val="none" w:sz="0" w:space="0" w:color="auto"/>
                <w:left w:val="none" w:sz="0" w:space="0" w:color="auto"/>
                <w:bottom w:val="none" w:sz="0" w:space="0" w:color="auto"/>
                <w:right w:val="none" w:sz="0" w:space="0" w:color="auto"/>
              </w:divBdr>
            </w:div>
            <w:div w:id="947152839">
              <w:marLeft w:val="0"/>
              <w:marRight w:val="0"/>
              <w:marTop w:val="0"/>
              <w:marBottom w:val="0"/>
              <w:divBdr>
                <w:top w:val="none" w:sz="0" w:space="0" w:color="auto"/>
                <w:left w:val="none" w:sz="0" w:space="0" w:color="auto"/>
                <w:bottom w:val="none" w:sz="0" w:space="0" w:color="auto"/>
                <w:right w:val="none" w:sz="0" w:space="0" w:color="auto"/>
              </w:divBdr>
            </w:div>
            <w:div w:id="1633051514">
              <w:marLeft w:val="0"/>
              <w:marRight w:val="0"/>
              <w:marTop w:val="0"/>
              <w:marBottom w:val="0"/>
              <w:divBdr>
                <w:top w:val="none" w:sz="0" w:space="0" w:color="auto"/>
                <w:left w:val="none" w:sz="0" w:space="0" w:color="auto"/>
                <w:bottom w:val="none" w:sz="0" w:space="0" w:color="auto"/>
                <w:right w:val="none" w:sz="0" w:space="0" w:color="auto"/>
              </w:divBdr>
            </w:div>
            <w:div w:id="1396246049">
              <w:marLeft w:val="0"/>
              <w:marRight w:val="0"/>
              <w:marTop w:val="0"/>
              <w:marBottom w:val="0"/>
              <w:divBdr>
                <w:top w:val="none" w:sz="0" w:space="0" w:color="auto"/>
                <w:left w:val="none" w:sz="0" w:space="0" w:color="auto"/>
                <w:bottom w:val="none" w:sz="0" w:space="0" w:color="auto"/>
                <w:right w:val="none" w:sz="0" w:space="0" w:color="auto"/>
              </w:divBdr>
            </w:div>
            <w:div w:id="735057097">
              <w:marLeft w:val="0"/>
              <w:marRight w:val="0"/>
              <w:marTop w:val="0"/>
              <w:marBottom w:val="0"/>
              <w:divBdr>
                <w:top w:val="none" w:sz="0" w:space="0" w:color="auto"/>
                <w:left w:val="none" w:sz="0" w:space="0" w:color="auto"/>
                <w:bottom w:val="none" w:sz="0" w:space="0" w:color="auto"/>
                <w:right w:val="none" w:sz="0" w:space="0" w:color="auto"/>
              </w:divBdr>
            </w:div>
            <w:div w:id="1581137268">
              <w:marLeft w:val="0"/>
              <w:marRight w:val="0"/>
              <w:marTop w:val="0"/>
              <w:marBottom w:val="0"/>
              <w:divBdr>
                <w:top w:val="none" w:sz="0" w:space="0" w:color="auto"/>
                <w:left w:val="none" w:sz="0" w:space="0" w:color="auto"/>
                <w:bottom w:val="none" w:sz="0" w:space="0" w:color="auto"/>
                <w:right w:val="none" w:sz="0" w:space="0" w:color="auto"/>
              </w:divBdr>
            </w:div>
            <w:div w:id="820003754">
              <w:marLeft w:val="0"/>
              <w:marRight w:val="0"/>
              <w:marTop w:val="0"/>
              <w:marBottom w:val="0"/>
              <w:divBdr>
                <w:top w:val="none" w:sz="0" w:space="0" w:color="auto"/>
                <w:left w:val="none" w:sz="0" w:space="0" w:color="auto"/>
                <w:bottom w:val="none" w:sz="0" w:space="0" w:color="auto"/>
                <w:right w:val="none" w:sz="0" w:space="0" w:color="auto"/>
              </w:divBdr>
            </w:div>
            <w:div w:id="2130656796">
              <w:marLeft w:val="0"/>
              <w:marRight w:val="0"/>
              <w:marTop w:val="0"/>
              <w:marBottom w:val="0"/>
              <w:divBdr>
                <w:top w:val="none" w:sz="0" w:space="0" w:color="auto"/>
                <w:left w:val="none" w:sz="0" w:space="0" w:color="auto"/>
                <w:bottom w:val="none" w:sz="0" w:space="0" w:color="auto"/>
                <w:right w:val="none" w:sz="0" w:space="0" w:color="auto"/>
              </w:divBdr>
            </w:div>
            <w:div w:id="1264454432">
              <w:marLeft w:val="0"/>
              <w:marRight w:val="0"/>
              <w:marTop w:val="0"/>
              <w:marBottom w:val="0"/>
              <w:divBdr>
                <w:top w:val="none" w:sz="0" w:space="0" w:color="auto"/>
                <w:left w:val="none" w:sz="0" w:space="0" w:color="auto"/>
                <w:bottom w:val="none" w:sz="0" w:space="0" w:color="auto"/>
                <w:right w:val="none" w:sz="0" w:space="0" w:color="auto"/>
              </w:divBdr>
            </w:div>
            <w:div w:id="1627278107">
              <w:marLeft w:val="0"/>
              <w:marRight w:val="0"/>
              <w:marTop w:val="0"/>
              <w:marBottom w:val="0"/>
              <w:divBdr>
                <w:top w:val="none" w:sz="0" w:space="0" w:color="auto"/>
                <w:left w:val="none" w:sz="0" w:space="0" w:color="auto"/>
                <w:bottom w:val="none" w:sz="0" w:space="0" w:color="auto"/>
                <w:right w:val="none" w:sz="0" w:space="0" w:color="auto"/>
              </w:divBdr>
            </w:div>
            <w:div w:id="2005936452">
              <w:marLeft w:val="0"/>
              <w:marRight w:val="0"/>
              <w:marTop w:val="0"/>
              <w:marBottom w:val="0"/>
              <w:divBdr>
                <w:top w:val="none" w:sz="0" w:space="0" w:color="auto"/>
                <w:left w:val="none" w:sz="0" w:space="0" w:color="auto"/>
                <w:bottom w:val="none" w:sz="0" w:space="0" w:color="auto"/>
                <w:right w:val="none" w:sz="0" w:space="0" w:color="auto"/>
              </w:divBdr>
            </w:div>
            <w:div w:id="542592814">
              <w:marLeft w:val="0"/>
              <w:marRight w:val="0"/>
              <w:marTop w:val="0"/>
              <w:marBottom w:val="0"/>
              <w:divBdr>
                <w:top w:val="none" w:sz="0" w:space="0" w:color="auto"/>
                <w:left w:val="none" w:sz="0" w:space="0" w:color="auto"/>
                <w:bottom w:val="none" w:sz="0" w:space="0" w:color="auto"/>
                <w:right w:val="none" w:sz="0" w:space="0" w:color="auto"/>
              </w:divBdr>
            </w:div>
            <w:div w:id="1026449385">
              <w:marLeft w:val="0"/>
              <w:marRight w:val="0"/>
              <w:marTop w:val="0"/>
              <w:marBottom w:val="0"/>
              <w:divBdr>
                <w:top w:val="none" w:sz="0" w:space="0" w:color="auto"/>
                <w:left w:val="none" w:sz="0" w:space="0" w:color="auto"/>
                <w:bottom w:val="none" w:sz="0" w:space="0" w:color="auto"/>
                <w:right w:val="none" w:sz="0" w:space="0" w:color="auto"/>
              </w:divBdr>
            </w:div>
            <w:div w:id="243804767">
              <w:marLeft w:val="0"/>
              <w:marRight w:val="0"/>
              <w:marTop w:val="0"/>
              <w:marBottom w:val="0"/>
              <w:divBdr>
                <w:top w:val="none" w:sz="0" w:space="0" w:color="auto"/>
                <w:left w:val="none" w:sz="0" w:space="0" w:color="auto"/>
                <w:bottom w:val="none" w:sz="0" w:space="0" w:color="auto"/>
                <w:right w:val="none" w:sz="0" w:space="0" w:color="auto"/>
              </w:divBdr>
            </w:div>
            <w:div w:id="364451463">
              <w:marLeft w:val="0"/>
              <w:marRight w:val="0"/>
              <w:marTop w:val="0"/>
              <w:marBottom w:val="0"/>
              <w:divBdr>
                <w:top w:val="none" w:sz="0" w:space="0" w:color="auto"/>
                <w:left w:val="none" w:sz="0" w:space="0" w:color="auto"/>
                <w:bottom w:val="none" w:sz="0" w:space="0" w:color="auto"/>
                <w:right w:val="none" w:sz="0" w:space="0" w:color="auto"/>
              </w:divBdr>
            </w:div>
            <w:div w:id="1101602612">
              <w:marLeft w:val="0"/>
              <w:marRight w:val="0"/>
              <w:marTop w:val="0"/>
              <w:marBottom w:val="0"/>
              <w:divBdr>
                <w:top w:val="none" w:sz="0" w:space="0" w:color="auto"/>
                <w:left w:val="none" w:sz="0" w:space="0" w:color="auto"/>
                <w:bottom w:val="none" w:sz="0" w:space="0" w:color="auto"/>
                <w:right w:val="none" w:sz="0" w:space="0" w:color="auto"/>
              </w:divBdr>
            </w:div>
            <w:div w:id="812874060">
              <w:marLeft w:val="0"/>
              <w:marRight w:val="0"/>
              <w:marTop w:val="0"/>
              <w:marBottom w:val="0"/>
              <w:divBdr>
                <w:top w:val="none" w:sz="0" w:space="0" w:color="auto"/>
                <w:left w:val="none" w:sz="0" w:space="0" w:color="auto"/>
                <w:bottom w:val="none" w:sz="0" w:space="0" w:color="auto"/>
                <w:right w:val="none" w:sz="0" w:space="0" w:color="auto"/>
              </w:divBdr>
            </w:div>
            <w:div w:id="2087916063">
              <w:marLeft w:val="0"/>
              <w:marRight w:val="0"/>
              <w:marTop w:val="0"/>
              <w:marBottom w:val="0"/>
              <w:divBdr>
                <w:top w:val="none" w:sz="0" w:space="0" w:color="auto"/>
                <w:left w:val="none" w:sz="0" w:space="0" w:color="auto"/>
                <w:bottom w:val="none" w:sz="0" w:space="0" w:color="auto"/>
                <w:right w:val="none" w:sz="0" w:space="0" w:color="auto"/>
              </w:divBdr>
            </w:div>
            <w:div w:id="1244073617">
              <w:marLeft w:val="0"/>
              <w:marRight w:val="0"/>
              <w:marTop w:val="0"/>
              <w:marBottom w:val="0"/>
              <w:divBdr>
                <w:top w:val="none" w:sz="0" w:space="0" w:color="auto"/>
                <w:left w:val="none" w:sz="0" w:space="0" w:color="auto"/>
                <w:bottom w:val="none" w:sz="0" w:space="0" w:color="auto"/>
                <w:right w:val="none" w:sz="0" w:space="0" w:color="auto"/>
              </w:divBdr>
            </w:div>
            <w:div w:id="1677686931">
              <w:marLeft w:val="0"/>
              <w:marRight w:val="0"/>
              <w:marTop w:val="0"/>
              <w:marBottom w:val="0"/>
              <w:divBdr>
                <w:top w:val="none" w:sz="0" w:space="0" w:color="auto"/>
                <w:left w:val="none" w:sz="0" w:space="0" w:color="auto"/>
                <w:bottom w:val="none" w:sz="0" w:space="0" w:color="auto"/>
                <w:right w:val="none" w:sz="0" w:space="0" w:color="auto"/>
              </w:divBdr>
            </w:div>
            <w:div w:id="950477726">
              <w:marLeft w:val="0"/>
              <w:marRight w:val="0"/>
              <w:marTop w:val="0"/>
              <w:marBottom w:val="0"/>
              <w:divBdr>
                <w:top w:val="none" w:sz="0" w:space="0" w:color="auto"/>
                <w:left w:val="none" w:sz="0" w:space="0" w:color="auto"/>
                <w:bottom w:val="none" w:sz="0" w:space="0" w:color="auto"/>
                <w:right w:val="none" w:sz="0" w:space="0" w:color="auto"/>
              </w:divBdr>
            </w:div>
            <w:div w:id="2081519089">
              <w:marLeft w:val="0"/>
              <w:marRight w:val="0"/>
              <w:marTop w:val="0"/>
              <w:marBottom w:val="0"/>
              <w:divBdr>
                <w:top w:val="none" w:sz="0" w:space="0" w:color="auto"/>
                <w:left w:val="none" w:sz="0" w:space="0" w:color="auto"/>
                <w:bottom w:val="none" w:sz="0" w:space="0" w:color="auto"/>
                <w:right w:val="none" w:sz="0" w:space="0" w:color="auto"/>
              </w:divBdr>
            </w:div>
            <w:div w:id="933055051">
              <w:marLeft w:val="0"/>
              <w:marRight w:val="0"/>
              <w:marTop w:val="0"/>
              <w:marBottom w:val="0"/>
              <w:divBdr>
                <w:top w:val="none" w:sz="0" w:space="0" w:color="auto"/>
                <w:left w:val="none" w:sz="0" w:space="0" w:color="auto"/>
                <w:bottom w:val="none" w:sz="0" w:space="0" w:color="auto"/>
                <w:right w:val="none" w:sz="0" w:space="0" w:color="auto"/>
              </w:divBdr>
            </w:div>
            <w:div w:id="1210261585">
              <w:marLeft w:val="0"/>
              <w:marRight w:val="0"/>
              <w:marTop w:val="0"/>
              <w:marBottom w:val="0"/>
              <w:divBdr>
                <w:top w:val="none" w:sz="0" w:space="0" w:color="auto"/>
                <w:left w:val="none" w:sz="0" w:space="0" w:color="auto"/>
                <w:bottom w:val="none" w:sz="0" w:space="0" w:color="auto"/>
                <w:right w:val="none" w:sz="0" w:space="0" w:color="auto"/>
              </w:divBdr>
            </w:div>
            <w:div w:id="1206601810">
              <w:marLeft w:val="0"/>
              <w:marRight w:val="0"/>
              <w:marTop w:val="0"/>
              <w:marBottom w:val="0"/>
              <w:divBdr>
                <w:top w:val="none" w:sz="0" w:space="0" w:color="auto"/>
                <w:left w:val="none" w:sz="0" w:space="0" w:color="auto"/>
                <w:bottom w:val="none" w:sz="0" w:space="0" w:color="auto"/>
                <w:right w:val="none" w:sz="0" w:space="0" w:color="auto"/>
              </w:divBdr>
            </w:div>
            <w:div w:id="4926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8968">
      <w:marLeft w:val="0"/>
      <w:marRight w:val="0"/>
      <w:marTop w:val="0"/>
      <w:marBottom w:val="0"/>
      <w:divBdr>
        <w:top w:val="none" w:sz="0" w:space="0" w:color="auto"/>
        <w:left w:val="none" w:sz="0" w:space="0" w:color="auto"/>
        <w:bottom w:val="none" w:sz="0" w:space="0" w:color="auto"/>
        <w:right w:val="none" w:sz="0" w:space="0" w:color="auto"/>
      </w:divBdr>
      <w:divsChild>
        <w:div w:id="104153820">
          <w:marLeft w:val="0"/>
          <w:marRight w:val="0"/>
          <w:marTop w:val="0"/>
          <w:marBottom w:val="0"/>
          <w:divBdr>
            <w:top w:val="none" w:sz="0" w:space="0" w:color="auto"/>
            <w:left w:val="none" w:sz="0" w:space="0" w:color="auto"/>
            <w:bottom w:val="none" w:sz="0" w:space="0" w:color="auto"/>
            <w:right w:val="none" w:sz="0" w:space="0" w:color="auto"/>
          </w:divBdr>
        </w:div>
      </w:divsChild>
    </w:div>
    <w:div w:id="272564694">
      <w:marLeft w:val="0"/>
      <w:marRight w:val="0"/>
      <w:marTop w:val="0"/>
      <w:marBottom w:val="0"/>
      <w:divBdr>
        <w:top w:val="none" w:sz="0" w:space="0" w:color="auto"/>
        <w:left w:val="none" w:sz="0" w:space="0" w:color="auto"/>
        <w:bottom w:val="none" w:sz="0" w:space="0" w:color="auto"/>
        <w:right w:val="none" w:sz="0" w:space="0" w:color="auto"/>
      </w:divBdr>
      <w:divsChild>
        <w:div w:id="77793901">
          <w:marLeft w:val="0"/>
          <w:marRight w:val="0"/>
          <w:marTop w:val="0"/>
          <w:marBottom w:val="0"/>
          <w:divBdr>
            <w:top w:val="none" w:sz="0" w:space="0" w:color="auto"/>
            <w:left w:val="none" w:sz="0" w:space="0" w:color="auto"/>
            <w:bottom w:val="none" w:sz="0" w:space="0" w:color="auto"/>
            <w:right w:val="none" w:sz="0" w:space="0" w:color="auto"/>
          </w:divBdr>
        </w:div>
      </w:divsChild>
    </w:div>
    <w:div w:id="273683121">
      <w:marLeft w:val="0"/>
      <w:marRight w:val="0"/>
      <w:marTop w:val="0"/>
      <w:marBottom w:val="0"/>
      <w:divBdr>
        <w:top w:val="none" w:sz="0" w:space="0" w:color="auto"/>
        <w:left w:val="none" w:sz="0" w:space="0" w:color="auto"/>
        <w:bottom w:val="none" w:sz="0" w:space="0" w:color="auto"/>
        <w:right w:val="none" w:sz="0" w:space="0" w:color="auto"/>
      </w:divBdr>
      <w:divsChild>
        <w:div w:id="494953656">
          <w:marLeft w:val="0"/>
          <w:marRight w:val="0"/>
          <w:marTop w:val="0"/>
          <w:marBottom w:val="0"/>
          <w:divBdr>
            <w:top w:val="none" w:sz="0" w:space="0" w:color="auto"/>
            <w:left w:val="none" w:sz="0" w:space="0" w:color="auto"/>
            <w:bottom w:val="none" w:sz="0" w:space="0" w:color="auto"/>
            <w:right w:val="none" w:sz="0" w:space="0" w:color="auto"/>
          </w:divBdr>
        </w:div>
      </w:divsChild>
    </w:div>
    <w:div w:id="276528873">
      <w:marLeft w:val="0"/>
      <w:marRight w:val="0"/>
      <w:marTop w:val="0"/>
      <w:marBottom w:val="0"/>
      <w:divBdr>
        <w:top w:val="none" w:sz="0" w:space="0" w:color="auto"/>
        <w:left w:val="none" w:sz="0" w:space="0" w:color="auto"/>
        <w:bottom w:val="none" w:sz="0" w:space="0" w:color="auto"/>
        <w:right w:val="none" w:sz="0" w:space="0" w:color="auto"/>
      </w:divBdr>
      <w:divsChild>
        <w:div w:id="1683898022">
          <w:marLeft w:val="0"/>
          <w:marRight w:val="0"/>
          <w:marTop w:val="0"/>
          <w:marBottom w:val="0"/>
          <w:divBdr>
            <w:top w:val="none" w:sz="0" w:space="0" w:color="auto"/>
            <w:left w:val="none" w:sz="0" w:space="0" w:color="auto"/>
            <w:bottom w:val="none" w:sz="0" w:space="0" w:color="auto"/>
            <w:right w:val="none" w:sz="0" w:space="0" w:color="auto"/>
          </w:divBdr>
        </w:div>
      </w:divsChild>
    </w:div>
    <w:div w:id="283393550">
      <w:marLeft w:val="0"/>
      <w:marRight w:val="0"/>
      <w:marTop w:val="0"/>
      <w:marBottom w:val="0"/>
      <w:divBdr>
        <w:top w:val="none" w:sz="0" w:space="0" w:color="auto"/>
        <w:left w:val="none" w:sz="0" w:space="0" w:color="auto"/>
        <w:bottom w:val="none" w:sz="0" w:space="0" w:color="auto"/>
        <w:right w:val="none" w:sz="0" w:space="0" w:color="auto"/>
      </w:divBdr>
      <w:divsChild>
        <w:div w:id="932317982">
          <w:marLeft w:val="0"/>
          <w:marRight w:val="0"/>
          <w:marTop w:val="0"/>
          <w:marBottom w:val="0"/>
          <w:divBdr>
            <w:top w:val="none" w:sz="0" w:space="0" w:color="auto"/>
            <w:left w:val="none" w:sz="0" w:space="0" w:color="auto"/>
            <w:bottom w:val="none" w:sz="0" w:space="0" w:color="auto"/>
            <w:right w:val="none" w:sz="0" w:space="0" w:color="auto"/>
          </w:divBdr>
        </w:div>
      </w:divsChild>
    </w:div>
    <w:div w:id="285477175">
      <w:bodyDiv w:val="1"/>
      <w:marLeft w:val="0"/>
      <w:marRight w:val="0"/>
      <w:marTop w:val="0"/>
      <w:marBottom w:val="0"/>
      <w:divBdr>
        <w:top w:val="none" w:sz="0" w:space="0" w:color="auto"/>
        <w:left w:val="none" w:sz="0" w:space="0" w:color="auto"/>
        <w:bottom w:val="none" w:sz="0" w:space="0" w:color="auto"/>
        <w:right w:val="none" w:sz="0" w:space="0" w:color="auto"/>
      </w:divBdr>
    </w:div>
    <w:div w:id="285703630">
      <w:marLeft w:val="0"/>
      <w:marRight w:val="0"/>
      <w:marTop w:val="0"/>
      <w:marBottom w:val="0"/>
      <w:divBdr>
        <w:top w:val="none" w:sz="0" w:space="0" w:color="auto"/>
        <w:left w:val="none" w:sz="0" w:space="0" w:color="auto"/>
        <w:bottom w:val="none" w:sz="0" w:space="0" w:color="auto"/>
        <w:right w:val="none" w:sz="0" w:space="0" w:color="auto"/>
      </w:divBdr>
      <w:divsChild>
        <w:div w:id="1666469003">
          <w:marLeft w:val="0"/>
          <w:marRight w:val="0"/>
          <w:marTop w:val="0"/>
          <w:marBottom w:val="0"/>
          <w:divBdr>
            <w:top w:val="none" w:sz="0" w:space="0" w:color="auto"/>
            <w:left w:val="none" w:sz="0" w:space="0" w:color="auto"/>
            <w:bottom w:val="none" w:sz="0" w:space="0" w:color="auto"/>
            <w:right w:val="none" w:sz="0" w:space="0" w:color="auto"/>
          </w:divBdr>
        </w:div>
      </w:divsChild>
    </w:div>
    <w:div w:id="286350067">
      <w:bodyDiv w:val="1"/>
      <w:marLeft w:val="0"/>
      <w:marRight w:val="0"/>
      <w:marTop w:val="0"/>
      <w:marBottom w:val="0"/>
      <w:divBdr>
        <w:top w:val="none" w:sz="0" w:space="0" w:color="auto"/>
        <w:left w:val="none" w:sz="0" w:space="0" w:color="auto"/>
        <w:bottom w:val="none" w:sz="0" w:space="0" w:color="auto"/>
        <w:right w:val="none" w:sz="0" w:space="0" w:color="auto"/>
      </w:divBdr>
    </w:div>
    <w:div w:id="287318333">
      <w:marLeft w:val="0"/>
      <w:marRight w:val="0"/>
      <w:marTop w:val="0"/>
      <w:marBottom w:val="0"/>
      <w:divBdr>
        <w:top w:val="none" w:sz="0" w:space="0" w:color="auto"/>
        <w:left w:val="none" w:sz="0" w:space="0" w:color="auto"/>
        <w:bottom w:val="none" w:sz="0" w:space="0" w:color="auto"/>
        <w:right w:val="none" w:sz="0" w:space="0" w:color="auto"/>
      </w:divBdr>
      <w:divsChild>
        <w:div w:id="1708946180">
          <w:marLeft w:val="0"/>
          <w:marRight w:val="0"/>
          <w:marTop w:val="0"/>
          <w:marBottom w:val="0"/>
          <w:divBdr>
            <w:top w:val="none" w:sz="0" w:space="0" w:color="auto"/>
            <w:left w:val="none" w:sz="0" w:space="0" w:color="auto"/>
            <w:bottom w:val="none" w:sz="0" w:space="0" w:color="auto"/>
            <w:right w:val="none" w:sz="0" w:space="0" w:color="auto"/>
          </w:divBdr>
        </w:div>
      </w:divsChild>
    </w:div>
    <w:div w:id="289821624">
      <w:marLeft w:val="0"/>
      <w:marRight w:val="0"/>
      <w:marTop w:val="0"/>
      <w:marBottom w:val="0"/>
      <w:divBdr>
        <w:top w:val="none" w:sz="0" w:space="0" w:color="auto"/>
        <w:left w:val="none" w:sz="0" w:space="0" w:color="auto"/>
        <w:bottom w:val="none" w:sz="0" w:space="0" w:color="auto"/>
        <w:right w:val="none" w:sz="0" w:space="0" w:color="auto"/>
      </w:divBdr>
      <w:divsChild>
        <w:div w:id="1472677002">
          <w:marLeft w:val="0"/>
          <w:marRight w:val="0"/>
          <w:marTop w:val="0"/>
          <w:marBottom w:val="0"/>
          <w:divBdr>
            <w:top w:val="none" w:sz="0" w:space="0" w:color="auto"/>
            <w:left w:val="none" w:sz="0" w:space="0" w:color="auto"/>
            <w:bottom w:val="none" w:sz="0" w:space="0" w:color="auto"/>
            <w:right w:val="none" w:sz="0" w:space="0" w:color="auto"/>
          </w:divBdr>
        </w:div>
      </w:divsChild>
    </w:div>
    <w:div w:id="290749712">
      <w:bodyDiv w:val="1"/>
      <w:marLeft w:val="0"/>
      <w:marRight w:val="0"/>
      <w:marTop w:val="0"/>
      <w:marBottom w:val="0"/>
      <w:divBdr>
        <w:top w:val="none" w:sz="0" w:space="0" w:color="auto"/>
        <w:left w:val="none" w:sz="0" w:space="0" w:color="auto"/>
        <w:bottom w:val="none" w:sz="0" w:space="0" w:color="auto"/>
        <w:right w:val="none" w:sz="0" w:space="0" w:color="auto"/>
      </w:divBdr>
    </w:div>
    <w:div w:id="294457579">
      <w:marLeft w:val="0"/>
      <w:marRight w:val="0"/>
      <w:marTop w:val="0"/>
      <w:marBottom w:val="0"/>
      <w:divBdr>
        <w:top w:val="none" w:sz="0" w:space="0" w:color="auto"/>
        <w:left w:val="none" w:sz="0" w:space="0" w:color="auto"/>
        <w:bottom w:val="none" w:sz="0" w:space="0" w:color="auto"/>
        <w:right w:val="none" w:sz="0" w:space="0" w:color="auto"/>
      </w:divBdr>
      <w:divsChild>
        <w:div w:id="761024211">
          <w:marLeft w:val="0"/>
          <w:marRight w:val="0"/>
          <w:marTop w:val="0"/>
          <w:marBottom w:val="0"/>
          <w:divBdr>
            <w:top w:val="none" w:sz="0" w:space="0" w:color="auto"/>
            <w:left w:val="none" w:sz="0" w:space="0" w:color="auto"/>
            <w:bottom w:val="none" w:sz="0" w:space="0" w:color="auto"/>
            <w:right w:val="none" w:sz="0" w:space="0" w:color="auto"/>
          </w:divBdr>
        </w:div>
      </w:divsChild>
    </w:div>
    <w:div w:id="296571486">
      <w:marLeft w:val="0"/>
      <w:marRight w:val="0"/>
      <w:marTop w:val="0"/>
      <w:marBottom w:val="0"/>
      <w:divBdr>
        <w:top w:val="none" w:sz="0" w:space="0" w:color="auto"/>
        <w:left w:val="none" w:sz="0" w:space="0" w:color="auto"/>
        <w:bottom w:val="none" w:sz="0" w:space="0" w:color="auto"/>
        <w:right w:val="none" w:sz="0" w:space="0" w:color="auto"/>
      </w:divBdr>
      <w:divsChild>
        <w:div w:id="1199855372">
          <w:marLeft w:val="0"/>
          <w:marRight w:val="0"/>
          <w:marTop w:val="0"/>
          <w:marBottom w:val="0"/>
          <w:divBdr>
            <w:top w:val="none" w:sz="0" w:space="0" w:color="auto"/>
            <w:left w:val="none" w:sz="0" w:space="0" w:color="auto"/>
            <w:bottom w:val="none" w:sz="0" w:space="0" w:color="auto"/>
            <w:right w:val="none" w:sz="0" w:space="0" w:color="auto"/>
          </w:divBdr>
        </w:div>
      </w:divsChild>
    </w:div>
    <w:div w:id="298189965">
      <w:bodyDiv w:val="1"/>
      <w:marLeft w:val="0"/>
      <w:marRight w:val="0"/>
      <w:marTop w:val="0"/>
      <w:marBottom w:val="0"/>
      <w:divBdr>
        <w:top w:val="none" w:sz="0" w:space="0" w:color="auto"/>
        <w:left w:val="none" w:sz="0" w:space="0" w:color="auto"/>
        <w:bottom w:val="none" w:sz="0" w:space="0" w:color="auto"/>
        <w:right w:val="none" w:sz="0" w:space="0" w:color="auto"/>
      </w:divBdr>
    </w:div>
    <w:div w:id="303042949">
      <w:marLeft w:val="0"/>
      <w:marRight w:val="0"/>
      <w:marTop w:val="0"/>
      <w:marBottom w:val="0"/>
      <w:divBdr>
        <w:top w:val="none" w:sz="0" w:space="0" w:color="auto"/>
        <w:left w:val="none" w:sz="0" w:space="0" w:color="auto"/>
        <w:bottom w:val="none" w:sz="0" w:space="0" w:color="auto"/>
        <w:right w:val="none" w:sz="0" w:space="0" w:color="auto"/>
      </w:divBdr>
      <w:divsChild>
        <w:div w:id="1050423630">
          <w:marLeft w:val="0"/>
          <w:marRight w:val="0"/>
          <w:marTop w:val="0"/>
          <w:marBottom w:val="0"/>
          <w:divBdr>
            <w:top w:val="none" w:sz="0" w:space="0" w:color="auto"/>
            <w:left w:val="none" w:sz="0" w:space="0" w:color="auto"/>
            <w:bottom w:val="none" w:sz="0" w:space="0" w:color="auto"/>
            <w:right w:val="none" w:sz="0" w:space="0" w:color="auto"/>
          </w:divBdr>
        </w:div>
      </w:divsChild>
    </w:div>
    <w:div w:id="309600456">
      <w:bodyDiv w:val="1"/>
      <w:marLeft w:val="0"/>
      <w:marRight w:val="0"/>
      <w:marTop w:val="0"/>
      <w:marBottom w:val="0"/>
      <w:divBdr>
        <w:top w:val="none" w:sz="0" w:space="0" w:color="auto"/>
        <w:left w:val="none" w:sz="0" w:space="0" w:color="auto"/>
        <w:bottom w:val="none" w:sz="0" w:space="0" w:color="auto"/>
        <w:right w:val="none" w:sz="0" w:space="0" w:color="auto"/>
      </w:divBdr>
    </w:div>
    <w:div w:id="311522160">
      <w:bodyDiv w:val="1"/>
      <w:marLeft w:val="0"/>
      <w:marRight w:val="0"/>
      <w:marTop w:val="0"/>
      <w:marBottom w:val="0"/>
      <w:divBdr>
        <w:top w:val="none" w:sz="0" w:space="0" w:color="auto"/>
        <w:left w:val="none" w:sz="0" w:space="0" w:color="auto"/>
        <w:bottom w:val="none" w:sz="0" w:space="0" w:color="auto"/>
        <w:right w:val="none" w:sz="0" w:space="0" w:color="auto"/>
      </w:divBdr>
      <w:divsChild>
        <w:div w:id="249973002">
          <w:marLeft w:val="0"/>
          <w:marRight w:val="0"/>
          <w:marTop w:val="0"/>
          <w:marBottom w:val="0"/>
          <w:divBdr>
            <w:top w:val="none" w:sz="0" w:space="0" w:color="auto"/>
            <w:left w:val="none" w:sz="0" w:space="0" w:color="auto"/>
            <w:bottom w:val="none" w:sz="0" w:space="0" w:color="auto"/>
            <w:right w:val="none" w:sz="0" w:space="0" w:color="auto"/>
          </w:divBdr>
          <w:divsChild>
            <w:div w:id="1108432909">
              <w:marLeft w:val="0"/>
              <w:marRight w:val="0"/>
              <w:marTop w:val="0"/>
              <w:marBottom w:val="0"/>
              <w:divBdr>
                <w:top w:val="none" w:sz="0" w:space="0" w:color="auto"/>
                <w:left w:val="none" w:sz="0" w:space="0" w:color="auto"/>
                <w:bottom w:val="none" w:sz="0" w:space="0" w:color="auto"/>
                <w:right w:val="none" w:sz="0" w:space="0" w:color="auto"/>
              </w:divBdr>
            </w:div>
            <w:div w:id="367142253">
              <w:marLeft w:val="0"/>
              <w:marRight w:val="0"/>
              <w:marTop w:val="0"/>
              <w:marBottom w:val="0"/>
              <w:divBdr>
                <w:top w:val="none" w:sz="0" w:space="0" w:color="auto"/>
                <w:left w:val="none" w:sz="0" w:space="0" w:color="auto"/>
                <w:bottom w:val="none" w:sz="0" w:space="0" w:color="auto"/>
                <w:right w:val="none" w:sz="0" w:space="0" w:color="auto"/>
              </w:divBdr>
            </w:div>
            <w:div w:id="1301032293">
              <w:marLeft w:val="0"/>
              <w:marRight w:val="0"/>
              <w:marTop w:val="0"/>
              <w:marBottom w:val="0"/>
              <w:divBdr>
                <w:top w:val="none" w:sz="0" w:space="0" w:color="auto"/>
                <w:left w:val="none" w:sz="0" w:space="0" w:color="auto"/>
                <w:bottom w:val="none" w:sz="0" w:space="0" w:color="auto"/>
                <w:right w:val="none" w:sz="0" w:space="0" w:color="auto"/>
              </w:divBdr>
            </w:div>
            <w:div w:id="599217663">
              <w:marLeft w:val="0"/>
              <w:marRight w:val="0"/>
              <w:marTop w:val="0"/>
              <w:marBottom w:val="0"/>
              <w:divBdr>
                <w:top w:val="none" w:sz="0" w:space="0" w:color="auto"/>
                <w:left w:val="none" w:sz="0" w:space="0" w:color="auto"/>
                <w:bottom w:val="none" w:sz="0" w:space="0" w:color="auto"/>
                <w:right w:val="none" w:sz="0" w:space="0" w:color="auto"/>
              </w:divBdr>
            </w:div>
            <w:div w:id="1108889339">
              <w:marLeft w:val="0"/>
              <w:marRight w:val="0"/>
              <w:marTop w:val="0"/>
              <w:marBottom w:val="0"/>
              <w:divBdr>
                <w:top w:val="none" w:sz="0" w:space="0" w:color="auto"/>
                <w:left w:val="none" w:sz="0" w:space="0" w:color="auto"/>
                <w:bottom w:val="none" w:sz="0" w:space="0" w:color="auto"/>
                <w:right w:val="none" w:sz="0" w:space="0" w:color="auto"/>
              </w:divBdr>
            </w:div>
            <w:div w:id="507840325">
              <w:marLeft w:val="0"/>
              <w:marRight w:val="0"/>
              <w:marTop w:val="0"/>
              <w:marBottom w:val="0"/>
              <w:divBdr>
                <w:top w:val="none" w:sz="0" w:space="0" w:color="auto"/>
                <w:left w:val="none" w:sz="0" w:space="0" w:color="auto"/>
                <w:bottom w:val="none" w:sz="0" w:space="0" w:color="auto"/>
                <w:right w:val="none" w:sz="0" w:space="0" w:color="auto"/>
              </w:divBdr>
            </w:div>
            <w:div w:id="1877500171">
              <w:marLeft w:val="0"/>
              <w:marRight w:val="0"/>
              <w:marTop w:val="0"/>
              <w:marBottom w:val="0"/>
              <w:divBdr>
                <w:top w:val="none" w:sz="0" w:space="0" w:color="auto"/>
                <w:left w:val="none" w:sz="0" w:space="0" w:color="auto"/>
                <w:bottom w:val="none" w:sz="0" w:space="0" w:color="auto"/>
                <w:right w:val="none" w:sz="0" w:space="0" w:color="auto"/>
              </w:divBdr>
            </w:div>
            <w:div w:id="2084062382">
              <w:marLeft w:val="0"/>
              <w:marRight w:val="0"/>
              <w:marTop w:val="0"/>
              <w:marBottom w:val="0"/>
              <w:divBdr>
                <w:top w:val="none" w:sz="0" w:space="0" w:color="auto"/>
                <w:left w:val="none" w:sz="0" w:space="0" w:color="auto"/>
                <w:bottom w:val="none" w:sz="0" w:space="0" w:color="auto"/>
                <w:right w:val="none" w:sz="0" w:space="0" w:color="auto"/>
              </w:divBdr>
            </w:div>
            <w:div w:id="1359815347">
              <w:marLeft w:val="0"/>
              <w:marRight w:val="0"/>
              <w:marTop w:val="0"/>
              <w:marBottom w:val="0"/>
              <w:divBdr>
                <w:top w:val="none" w:sz="0" w:space="0" w:color="auto"/>
                <w:left w:val="none" w:sz="0" w:space="0" w:color="auto"/>
                <w:bottom w:val="none" w:sz="0" w:space="0" w:color="auto"/>
                <w:right w:val="none" w:sz="0" w:space="0" w:color="auto"/>
              </w:divBdr>
            </w:div>
            <w:div w:id="1242642735">
              <w:marLeft w:val="0"/>
              <w:marRight w:val="0"/>
              <w:marTop w:val="0"/>
              <w:marBottom w:val="0"/>
              <w:divBdr>
                <w:top w:val="none" w:sz="0" w:space="0" w:color="auto"/>
                <w:left w:val="none" w:sz="0" w:space="0" w:color="auto"/>
                <w:bottom w:val="none" w:sz="0" w:space="0" w:color="auto"/>
                <w:right w:val="none" w:sz="0" w:space="0" w:color="auto"/>
              </w:divBdr>
            </w:div>
            <w:div w:id="1640529045">
              <w:marLeft w:val="0"/>
              <w:marRight w:val="0"/>
              <w:marTop w:val="0"/>
              <w:marBottom w:val="0"/>
              <w:divBdr>
                <w:top w:val="none" w:sz="0" w:space="0" w:color="auto"/>
                <w:left w:val="none" w:sz="0" w:space="0" w:color="auto"/>
                <w:bottom w:val="none" w:sz="0" w:space="0" w:color="auto"/>
                <w:right w:val="none" w:sz="0" w:space="0" w:color="auto"/>
              </w:divBdr>
            </w:div>
            <w:div w:id="268439145">
              <w:marLeft w:val="0"/>
              <w:marRight w:val="0"/>
              <w:marTop w:val="0"/>
              <w:marBottom w:val="0"/>
              <w:divBdr>
                <w:top w:val="none" w:sz="0" w:space="0" w:color="auto"/>
                <w:left w:val="none" w:sz="0" w:space="0" w:color="auto"/>
                <w:bottom w:val="none" w:sz="0" w:space="0" w:color="auto"/>
                <w:right w:val="none" w:sz="0" w:space="0" w:color="auto"/>
              </w:divBdr>
            </w:div>
            <w:div w:id="1328249182">
              <w:marLeft w:val="0"/>
              <w:marRight w:val="0"/>
              <w:marTop w:val="0"/>
              <w:marBottom w:val="0"/>
              <w:divBdr>
                <w:top w:val="none" w:sz="0" w:space="0" w:color="auto"/>
                <w:left w:val="none" w:sz="0" w:space="0" w:color="auto"/>
                <w:bottom w:val="none" w:sz="0" w:space="0" w:color="auto"/>
                <w:right w:val="none" w:sz="0" w:space="0" w:color="auto"/>
              </w:divBdr>
            </w:div>
            <w:div w:id="1038622508">
              <w:marLeft w:val="0"/>
              <w:marRight w:val="0"/>
              <w:marTop w:val="0"/>
              <w:marBottom w:val="0"/>
              <w:divBdr>
                <w:top w:val="none" w:sz="0" w:space="0" w:color="auto"/>
                <w:left w:val="none" w:sz="0" w:space="0" w:color="auto"/>
                <w:bottom w:val="none" w:sz="0" w:space="0" w:color="auto"/>
                <w:right w:val="none" w:sz="0" w:space="0" w:color="auto"/>
              </w:divBdr>
            </w:div>
            <w:div w:id="2073766266">
              <w:marLeft w:val="0"/>
              <w:marRight w:val="0"/>
              <w:marTop w:val="0"/>
              <w:marBottom w:val="0"/>
              <w:divBdr>
                <w:top w:val="none" w:sz="0" w:space="0" w:color="auto"/>
                <w:left w:val="none" w:sz="0" w:space="0" w:color="auto"/>
                <w:bottom w:val="none" w:sz="0" w:space="0" w:color="auto"/>
                <w:right w:val="none" w:sz="0" w:space="0" w:color="auto"/>
              </w:divBdr>
            </w:div>
            <w:div w:id="1084568526">
              <w:marLeft w:val="0"/>
              <w:marRight w:val="0"/>
              <w:marTop w:val="0"/>
              <w:marBottom w:val="0"/>
              <w:divBdr>
                <w:top w:val="none" w:sz="0" w:space="0" w:color="auto"/>
                <w:left w:val="none" w:sz="0" w:space="0" w:color="auto"/>
                <w:bottom w:val="none" w:sz="0" w:space="0" w:color="auto"/>
                <w:right w:val="none" w:sz="0" w:space="0" w:color="auto"/>
              </w:divBdr>
            </w:div>
            <w:div w:id="11880457">
              <w:marLeft w:val="0"/>
              <w:marRight w:val="0"/>
              <w:marTop w:val="0"/>
              <w:marBottom w:val="0"/>
              <w:divBdr>
                <w:top w:val="none" w:sz="0" w:space="0" w:color="auto"/>
                <w:left w:val="none" w:sz="0" w:space="0" w:color="auto"/>
                <w:bottom w:val="none" w:sz="0" w:space="0" w:color="auto"/>
                <w:right w:val="none" w:sz="0" w:space="0" w:color="auto"/>
              </w:divBdr>
            </w:div>
            <w:div w:id="419376587">
              <w:marLeft w:val="0"/>
              <w:marRight w:val="0"/>
              <w:marTop w:val="0"/>
              <w:marBottom w:val="0"/>
              <w:divBdr>
                <w:top w:val="none" w:sz="0" w:space="0" w:color="auto"/>
                <w:left w:val="none" w:sz="0" w:space="0" w:color="auto"/>
                <w:bottom w:val="none" w:sz="0" w:space="0" w:color="auto"/>
                <w:right w:val="none" w:sz="0" w:space="0" w:color="auto"/>
              </w:divBdr>
            </w:div>
            <w:div w:id="1674910815">
              <w:marLeft w:val="0"/>
              <w:marRight w:val="0"/>
              <w:marTop w:val="0"/>
              <w:marBottom w:val="0"/>
              <w:divBdr>
                <w:top w:val="none" w:sz="0" w:space="0" w:color="auto"/>
                <w:left w:val="none" w:sz="0" w:space="0" w:color="auto"/>
                <w:bottom w:val="none" w:sz="0" w:space="0" w:color="auto"/>
                <w:right w:val="none" w:sz="0" w:space="0" w:color="auto"/>
              </w:divBdr>
            </w:div>
            <w:div w:id="1977250365">
              <w:marLeft w:val="0"/>
              <w:marRight w:val="0"/>
              <w:marTop w:val="0"/>
              <w:marBottom w:val="0"/>
              <w:divBdr>
                <w:top w:val="none" w:sz="0" w:space="0" w:color="auto"/>
                <w:left w:val="none" w:sz="0" w:space="0" w:color="auto"/>
                <w:bottom w:val="none" w:sz="0" w:space="0" w:color="auto"/>
                <w:right w:val="none" w:sz="0" w:space="0" w:color="auto"/>
              </w:divBdr>
            </w:div>
            <w:div w:id="721751086">
              <w:marLeft w:val="0"/>
              <w:marRight w:val="0"/>
              <w:marTop w:val="0"/>
              <w:marBottom w:val="0"/>
              <w:divBdr>
                <w:top w:val="none" w:sz="0" w:space="0" w:color="auto"/>
                <w:left w:val="none" w:sz="0" w:space="0" w:color="auto"/>
                <w:bottom w:val="none" w:sz="0" w:space="0" w:color="auto"/>
                <w:right w:val="none" w:sz="0" w:space="0" w:color="auto"/>
              </w:divBdr>
            </w:div>
            <w:div w:id="1155536677">
              <w:marLeft w:val="0"/>
              <w:marRight w:val="0"/>
              <w:marTop w:val="0"/>
              <w:marBottom w:val="0"/>
              <w:divBdr>
                <w:top w:val="none" w:sz="0" w:space="0" w:color="auto"/>
                <w:left w:val="none" w:sz="0" w:space="0" w:color="auto"/>
                <w:bottom w:val="none" w:sz="0" w:space="0" w:color="auto"/>
                <w:right w:val="none" w:sz="0" w:space="0" w:color="auto"/>
              </w:divBdr>
            </w:div>
            <w:div w:id="1936014966">
              <w:marLeft w:val="0"/>
              <w:marRight w:val="0"/>
              <w:marTop w:val="0"/>
              <w:marBottom w:val="0"/>
              <w:divBdr>
                <w:top w:val="none" w:sz="0" w:space="0" w:color="auto"/>
                <w:left w:val="none" w:sz="0" w:space="0" w:color="auto"/>
                <w:bottom w:val="none" w:sz="0" w:space="0" w:color="auto"/>
                <w:right w:val="none" w:sz="0" w:space="0" w:color="auto"/>
              </w:divBdr>
            </w:div>
            <w:div w:id="1185099469">
              <w:marLeft w:val="0"/>
              <w:marRight w:val="0"/>
              <w:marTop w:val="0"/>
              <w:marBottom w:val="0"/>
              <w:divBdr>
                <w:top w:val="none" w:sz="0" w:space="0" w:color="auto"/>
                <w:left w:val="none" w:sz="0" w:space="0" w:color="auto"/>
                <w:bottom w:val="none" w:sz="0" w:space="0" w:color="auto"/>
                <w:right w:val="none" w:sz="0" w:space="0" w:color="auto"/>
              </w:divBdr>
            </w:div>
            <w:div w:id="342632418">
              <w:marLeft w:val="0"/>
              <w:marRight w:val="0"/>
              <w:marTop w:val="0"/>
              <w:marBottom w:val="0"/>
              <w:divBdr>
                <w:top w:val="none" w:sz="0" w:space="0" w:color="auto"/>
                <w:left w:val="none" w:sz="0" w:space="0" w:color="auto"/>
                <w:bottom w:val="none" w:sz="0" w:space="0" w:color="auto"/>
                <w:right w:val="none" w:sz="0" w:space="0" w:color="auto"/>
              </w:divBdr>
            </w:div>
            <w:div w:id="564222776">
              <w:marLeft w:val="0"/>
              <w:marRight w:val="0"/>
              <w:marTop w:val="0"/>
              <w:marBottom w:val="0"/>
              <w:divBdr>
                <w:top w:val="none" w:sz="0" w:space="0" w:color="auto"/>
                <w:left w:val="none" w:sz="0" w:space="0" w:color="auto"/>
                <w:bottom w:val="none" w:sz="0" w:space="0" w:color="auto"/>
                <w:right w:val="none" w:sz="0" w:space="0" w:color="auto"/>
              </w:divBdr>
            </w:div>
            <w:div w:id="109907682">
              <w:marLeft w:val="0"/>
              <w:marRight w:val="0"/>
              <w:marTop w:val="0"/>
              <w:marBottom w:val="0"/>
              <w:divBdr>
                <w:top w:val="none" w:sz="0" w:space="0" w:color="auto"/>
                <w:left w:val="none" w:sz="0" w:space="0" w:color="auto"/>
                <w:bottom w:val="none" w:sz="0" w:space="0" w:color="auto"/>
                <w:right w:val="none" w:sz="0" w:space="0" w:color="auto"/>
              </w:divBdr>
            </w:div>
            <w:div w:id="1928297328">
              <w:marLeft w:val="0"/>
              <w:marRight w:val="0"/>
              <w:marTop w:val="0"/>
              <w:marBottom w:val="0"/>
              <w:divBdr>
                <w:top w:val="none" w:sz="0" w:space="0" w:color="auto"/>
                <w:left w:val="none" w:sz="0" w:space="0" w:color="auto"/>
                <w:bottom w:val="none" w:sz="0" w:space="0" w:color="auto"/>
                <w:right w:val="none" w:sz="0" w:space="0" w:color="auto"/>
              </w:divBdr>
            </w:div>
            <w:div w:id="805394376">
              <w:marLeft w:val="0"/>
              <w:marRight w:val="0"/>
              <w:marTop w:val="0"/>
              <w:marBottom w:val="0"/>
              <w:divBdr>
                <w:top w:val="none" w:sz="0" w:space="0" w:color="auto"/>
                <w:left w:val="none" w:sz="0" w:space="0" w:color="auto"/>
                <w:bottom w:val="none" w:sz="0" w:space="0" w:color="auto"/>
                <w:right w:val="none" w:sz="0" w:space="0" w:color="auto"/>
              </w:divBdr>
            </w:div>
            <w:div w:id="609897589">
              <w:marLeft w:val="0"/>
              <w:marRight w:val="0"/>
              <w:marTop w:val="0"/>
              <w:marBottom w:val="0"/>
              <w:divBdr>
                <w:top w:val="none" w:sz="0" w:space="0" w:color="auto"/>
                <w:left w:val="none" w:sz="0" w:space="0" w:color="auto"/>
                <w:bottom w:val="none" w:sz="0" w:space="0" w:color="auto"/>
                <w:right w:val="none" w:sz="0" w:space="0" w:color="auto"/>
              </w:divBdr>
            </w:div>
            <w:div w:id="988897553">
              <w:marLeft w:val="0"/>
              <w:marRight w:val="0"/>
              <w:marTop w:val="0"/>
              <w:marBottom w:val="0"/>
              <w:divBdr>
                <w:top w:val="none" w:sz="0" w:space="0" w:color="auto"/>
                <w:left w:val="none" w:sz="0" w:space="0" w:color="auto"/>
                <w:bottom w:val="none" w:sz="0" w:space="0" w:color="auto"/>
                <w:right w:val="none" w:sz="0" w:space="0" w:color="auto"/>
              </w:divBdr>
            </w:div>
            <w:div w:id="1602688879">
              <w:marLeft w:val="0"/>
              <w:marRight w:val="0"/>
              <w:marTop w:val="0"/>
              <w:marBottom w:val="0"/>
              <w:divBdr>
                <w:top w:val="none" w:sz="0" w:space="0" w:color="auto"/>
                <w:left w:val="none" w:sz="0" w:space="0" w:color="auto"/>
                <w:bottom w:val="none" w:sz="0" w:space="0" w:color="auto"/>
                <w:right w:val="none" w:sz="0" w:space="0" w:color="auto"/>
              </w:divBdr>
            </w:div>
            <w:div w:id="283775167">
              <w:marLeft w:val="0"/>
              <w:marRight w:val="0"/>
              <w:marTop w:val="0"/>
              <w:marBottom w:val="0"/>
              <w:divBdr>
                <w:top w:val="none" w:sz="0" w:space="0" w:color="auto"/>
                <w:left w:val="none" w:sz="0" w:space="0" w:color="auto"/>
                <w:bottom w:val="none" w:sz="0" w:space="0" w:color="auto"/>
                <w:right w:val="none" w:sz="0" w:space="0" w:color="auto"/>
              </w:divBdr>
            </w:div>
            <w:div w:id="2134713642">
              <w:marLeft w:val="0"/>
              <w:marRight w:val="0"/>
              <w:marTop w:val="0"/>
              <w:marBottom w:val="0"/>
              <w:divBdr>
                <w:top w:val="none" w:sz="0" w:space="0" w:color="auto"/>
                <w:left w:val="none" w:sz="0" w:space="0" w:color="auto"/>
                <w:bottom w:val="none" w:sz="0" w:space="0" w:color="auto"/>
                <w:right w:val="none" w:sz="0" w:space="0" w:color="auto"/>
              </w:divBdr>
            </w:div>
            <w:div w:id="1563979825">
              <w:marLeft w:val="0"/>
              <w:marRight w:val="0"/>
              <w:marTop w:val="0"/>
              <w:marBottom w:val="0"/>
              <w:divBdr>
                <w:top w:val="none" w:sz="0" w:space="0" w:color="auto"/>
                <w:left w:val="none" w:sz="0" w:space="0" w:color="auto"/>
                <w:bottom w:val="none" w:sz="0" w:space="0" w:color="auto"/>
                <w:right w:val="none" w:sz="0" w:space="0" w:color="auto"/>
              </w:divBdr>
            </w:div>
            <w:div w:id="675697276">
              <w:marLeft w:val="0"/>
              <w:marRight w:val="0"/>
              <w:marTop w:val="0"/>
              <w:marBottom w:val="0"/>
              <w:divBdr>
                <w:top w:val="none" w:sz="0" w:space="0" w:color="auto"/>
                <w:left w:val="none" w:sz="0" w:space="0" w:color="auto"/>
                <w:bottom w:val="none" w:sz="0" w:space="0" w:color="auto"/>
                <w:right w:val="none" w:sz="0" w:space="0" w:color="auto"/>
              </w:divBdr>
            </w:div>
            <w:div w:id="18051303">
              <w:marLeft w:val="0"/>
              <w:marRight w:val="0"/>
              <w:marTop w:val="0"/>
              <w:marBottom w:val="0"/>
              <w:divBdr>
                <w:top w:val="none" w:sz="0" w:space="0" w:color="auto"/>
                <w:left w:val="none" w:sz="0" w:space="0" w:color="auto"/>
                <w:bottom w:val="none" w:sz="0" w:space="0" w:color="auto"/>
                <w:right w:val="none" w:sz="0" w:space="0" w:color="auto"/>
              </w:divBdr>
            </w:div>
            <w:div w:id="1872257369">
              <w:marLeft w:val="0"/>
              <w:marRight w:val="0"/>
              <w:marTop w:val="0"/>
              <w:marBottom w:val="0"/>
              <w:divBdr>
                <w:top w:val="none" w:sz="0" w:space="0" w:color="auto"/>
                <w:left w:val="none" w:sz="0" w:space="0" w:color="auto"/>
                <w:bottom w:val="none" w:sz="0" w:space="0" w:color="auto"/>
                <w:right w:val="none" w:sz="0" w:space="0" w:color="auto"/>
              </w:divBdr>
            </w:div>
            <w:div w:id="624820846">
              <w:marLeft w:val="0"/>
              <w:marRight w:val="0"/>
              <w:marTop w:val="0"/>
              <w:marBottom w:val="0"/>
              <w:divBdr>
                <w:top w:val="none" w:sz="0" w:space="0" w:color="auto"/>
                <w:left w:val="none" w:sz="0" w:space="0" w:color="auto"/>
                <w:bottom w:val="none" w:sz="0" w:space="0" w:color="auto"/>
                <w:right w:val="none" w:sz="0" w:space="0" w:color="auto"/>
              </w:divBdr>
            </w:div>
            <w:div w:id="856425706">
              <w:marLeft w:val="0"/>
              <w:marRight w:val="0"/>
              <w:marTop w:val="0"/>
              <w:marBottom w:val="0"/>
              <w:divBdr>
                <w:top w:val="none" w:sz="0" w:space="0" w:color="auto"/>
                <w:left w:val="none" w:sz="0" w:space="0" w:color="auto"/>
                <w:bottom w:val="none" w:sz="0" w:space="0" w:color="auto"/>
                <w:right w:val="none" w:sz="0" w:space="0" w:color="auto"/>
              </w:divBdr>
            </w:div>
            <w:div w:id="29769736">
              <w:marLeft w:val="0"/>
              <w:marRight w:val="0"/>
              <w:marTop w:val="0"/>
              <w:marBottom w:val="0"/>
              <w:divBdr>
                <w:top w:val="none" w:sz="0" w:space="0" w:color="auto"/>
                <w:left w:val="none" w:sz="0" w:space="0" w:color="auto"/>
                <w:bottom w:val="none" w:sz="0" w:space="0" w:color="auto"/>
                <w:right w:val="none" w:sz="0" w:space="0" w:color="auto"/>
              </w:divBdr>
            </w:div>
            <w:div w:id="148907628">
              <w:marLeft w:val="0"/>
              <w:marRight w:val="0"/>
              <w:marTop w:val="0"/>
              <w:marBottom w:val="0"/>
              <w:divBdr>
                <w:top w:val="none" w:sz="0" w:space="0" w:color="auto"/>
                <w:left w:val="none" w:sz="0" w:space="0" w:color="auto"/>
                <w:bottom w:val="none" w:sz="0" w:space="0" w:color="auto"/>
                <w:right w:val="none" w:sz="0" w:space="0" w:color="auto"/>
              </w:divBdr>
            </w:div>
            <w:div w:id="431895327">
              <w:marLeft w:val="0"/>
              <w:marRight w:val="0"/>
              <w:marTop w:val="0"/>
              <w:marBottom w:val="0"/>
              <w:divBdr>
                <w:top w:val="none" w:sz="0" w:space="0" w:color="auto"/>
                <w:left w:val="none" w:sz="0" w:space="0" w:color="auto"/>
                <w:bottom w:val="none" w:sz="0" w:space="0" w:color="auto"/>
                <w:right w:val="none" w:sz="0" w:space="0" w:color="auto"/>
              </w:divBdr>
            </w:div>
            <w:div w:id="1109274431">
              <w:marLeft w:val="0"/>
              <w:marRight w:val="0"/>
              <w:marTop w:val="0"/>
              <w:marBottom w:val="0"/>
              <w:divBdr>
                <w:top w:val="none" w:sz="0" w:space="0" w:color="auto"/>
                <w:left w:val="none" w:sz="0" w:space="0" w:color="auto"/>
                <w:bottom w:val="none" w:sz="0" w:space="0" w:color="auto"/>
                <w:right w:val="none" w:sz="0" w:space="0" w:color="auto"/>
              </w:divBdr>
            </w:div>
            <w:div w:id="653220699">
              <w:marLeft w:val="0"/>
              <w:marRight w:val="0"/>
              <w:marTop w:val="0"/>
              <w:marBottom w:val="0"/>
              <w:divBdr>
                <w:top w:val="none" w:sz="0" w:space="0" w:color="auto"/>
                <w:left w:val="none" w:sz="0" w:space="0" w:color="auto"/>
                <w:bottom w:val="none" w:sz="0" w:space="0" w:color="auto"/>
                <w:right w:val="none" w:sz="0" w:space="0" w:color="auto"/>
              </w:divBdr>
            </w:div>
            <w:div w:id="1289892255">
              <w:marLeft w:val="0"/>
              <w:marRight w:val="0"/>
              <w:marTop w:val="0"/>
              <w:marBottom w:val="0"/>
              <w:divBdr>
                <w:top w:val="none" w:sz="0" w:space="0" w:color="auto"/>
                <w:left w:val="none" w:sz="0" w:space="0" w:color="auto"/>
                <w:bottom w:val="none" w:sz="0" w:space="0" w:color="auto"/>
                <w:right w:val="none" w:sz="0" w:space="0" w:color="auto"/>
              </w:divBdr>
            </w:div>
            <w:div w:id="1125612460">
              <w:marLeft w:val="0"/>
              <w:marRight w:val="0"/>
              <w:marTop w:val="0"/>
              <w:marBottom w:val="0"/>
              <w:divBdr>
                <w:top w:val="none" w:sz="0" w:space="0" w:color="auto"/>
                <w:left w:val="none" w:sz="0" w:space="0" w:color="auto"/>
                <w:bottom w:val="none" w:sz="0" w:space="0" w:color="auto"/>
                <w:right w:val="none" w:sz="0" w:space="0" w:color="auto"/>
              </w:divBdr>
            </w:div>
            <w:div w:id="622884281">
              <w:marLeft w:val="0"/>
              <w:marRight w:val="0"/>
              <w:marTop w:val="0"/>
              <w:marBottom w:val="0"/>
              <w:divBdr>
                <w:top w:val="none" w:sz="0" w:space="0" w:color="auto"/>
                <w:left w:val="none" w:sz="0" w:space="0" w:color="auto"/>
                <w:bottom w:val="none" w:sz="0" w:space="0" w:color="auto"/>
                <w:right w:val="none" w:sz="0" w:space="0" w:color="auto"/>
              </w:divBdr>
            </w:div>
            <w:div w:id="1938712752">
              <w:marLeft w:val="0"/>
              <w:marRight w:val="0"/>
              <w:marTop w:val="0"/>
              <w:marBottom w:val="0"/>
              <w:divBdr>
                <w:top w:val="none" w:sz="0" w:space="0" w:color="auto"/>
                <w:left w:val="none" w:sz="0" w:space="0" w:color="auto"/>
                <w:bottom w:val="none" w:sz="0" w:space="0" w:color="auto"/>
                <w:right w:val="none" w:sz="0" w:space="0" w:color="auto"/>
              </w:divBdr>
            </w:div>
            <w:div w:id="1337151759">
              <w:marLeft w:val="0"/>
              <w:marRight w:val="0"/>
              <w:marTop w:val="0"/>
              <w:marBottom w:val="0"/>
              <w:divBdr>
                <w:top w:val="none" w:sz="0" w:space="0" w:color="auto"/>
                <w:left w:val="none" w:sz="0" w:space="0" w:color="auto"/>
                <w:bottom w:val="none" w:sz="0" w:space="0" w:color="auto"/>
                <w:right w:val="none" w:sz="0" w:space="0" w:color="auto"/>
              </w:divBdr>
            </w:div>
            <w:div w:id="1241671058">
              <w:marLeft w:val="0"/>
              <w:marRight w:val="0"/>
              <w:marTop w:val="0"/>
              <w:marBottom w:val="0"/>
              <w:divBdr>
                <w:top w:val="none" w:sz="0" w:space="0" w:color="auto"/>
                <w:left w:val="none" w:sz="0" w:space="0" w:color="auto"/>
                <w:bottom w:val="none" w:sz="0" w:space="0" w:color="auto"/>
                <w:right w:val="none" w:sz="0" w:space="0" w:color="auto"/>
              </w:divBdr>
            </w:div>
            <w:div w:id="771584201">
              <w:marLeft w:val="0"/>
              <w:marRight w:val="0"/>
              <w:marTop w:val="0"/>
              <w:marBottom w:val="0"/>
              <w:divBdr>
                <w:top w:val="none" w:sz="0" w:space="0" w:color="auto"/>
                <w:left w:val="none" w:sz="0" w:space="0" w:color="auto"/>
                <w:bottom w:val="none" w:sz="0" w:space="0" w:color="auto"/>
                <w:right w:val="none" w:sz="0" w:space="0" w:color="auto"/>
              </w:divBdr>
            </w:div>
            <w:div w:id="1964193040">
              <w:marLeft w:val="0"/>
              <w:marRight w:val="0"/>
              <w:marTop w:val="0"/>
              <w:marBottom w:val="0"/>
              <w:divBdr>
                <w:top w:val="none" w:sz="0" w:space="0" w:color="auto"/>
                <w:left w:val="none" w:sz="0" w:space="0" w:color="auto"/>
                <w:bottom w:val="none" w:sz="0" w:space="0" w:color="auto"/>
                <w:right w:val="none" w:sz="0" w:space="0" w:color="auto"/>
              </w:divBdr>
            </w:div>
            <w:div w:id="1008480188">
              <w:marLeft w:val="0"/>
              <w:marRight w:val="0"/>
              <w:marTop w:val="0"/>
              <w:marBottom w:val="0"/>
              <w:divBdr>
                <w:top w:val="none" w:sz="0" w:space="0" w:color="auto"/>
                <w:left w:val="none" w:sz="0" w:space="0" w:color="auto"/>
                <w:bottom w:val="none" w:sz="0" w:space="0" w:color="auto"/>
                <w:right w:val="none" w:sz="0" w:space="0" w:color="auto"/>
              </w:divBdr>
            </w:div>
            <w:div w:id="1670907341">
              <w:marLeft w:val="0"/>
              <w:marRight w:val="0"/>
              <w:marTop w:val="0"/>
              <w:marBottom w:val="0"/>
              <w:divBdr>
                <w:top w:val="none" w:sz="0" w:space="0" w:color="auto"/>
                <w:left w:val="none" w:sz="0" w:space="0" w:color="auto"/>
                <w:bottom w:val="none" w:sz="0" w:space="0" w:color="auto"/>
                <w:right w:val="none" w:sz="0" w:space="0" w:color="auto"/>
              </w:divBdr>
            </w:div>
            <w:div w:id="84110078">
              <w:marLeft w:val="0"/>
              <w:marRight w:val="0"/>
              <w:marTop w:val="0"/>
              <w:marBottom w:val="0"/>
              <w:divBdr>
                <w:top w:val="none" w:sz="0" w:space="0" w:color="auto"/>
                <w:left w:val="none" w:sz="0" w:space="0" w:color="auto"/>
                <w:bottom w:val="none" w:sz="0" w:space="0" w:color="auto"/>
                <w:right w:val="none" w:sz="0" w:space="0" w:color="auto"/>
              </w:divBdr>
            </w:div>
            <w:div w:id="1039621535">
              <w:marLeft w:val="0"/>
              <w:marRight w:val="0"/>
              <w:marTop w:val="0"/>
              <w:marBottom w:val="0"/>
              <w:divBdr>
                <w:top w:val="none" w:sz="0" w:space="0" w:color="auto"/>
                <w:left w:val="none" w:sz="0" w:space="0" w:color="auto"/>
                <w:bottom w:val="none" w:sz="0" w:space="0" w:color="auto"/>
                <w:right w:val="none" w:sz="0" w:space="0" w:color="auto"/>
              </w:divBdr>
            </w:div>
            <w:div w:id="1187672301">
              <w:marLeft w:val="0"/>
              <w:marRight w:val="0"/>
              <w:marTop w:val="0"/>
              <w:marBottom w:val="0"/>
              <w:divBdr>
                <w:top w:val="none" w:sz="0" w:space="0" w:color="auto"/>
                <w:left w:val="none" w:sz="0" w:space="0" w:color="auto"/>
                <w:bottom w:val="none" w:sz="0" w:space="0" w:color="auto"/>
                <w:right w:val="none" w:sz="0" w:space="0" w:color="auto"/>
              </w:divBdr>
            </w:div>
            <w:div w:id="1469399449">
              <w:marLeft w:val="0"/>
              <w:marRight w:val="0"/>
              <w:marTop w:val="0"/>
              <w:marBottom w:val="0"/>
              <w:divBdr>
                <w:top w:val="none" w:sz="0" w:space="0" w:color="auto"/>
                <w:left w:val="none" w:sz="0" w:space="0" w:color="auto"/>
                <w:bottom w:val="none" w:sz="0" w:space="0" w:color="auto"/>
                <w:right w:val="none" w:sz="0" w:space="0" w:color="auto"/>
              </w:divBdr>
            </w:div>
            <w:div w:id="676814425">
              <w:marLeft w:val="0"/>
              <w:marRight w:val="0"/>
              <w:marTop w:val="0"/>
              <w:marBottom w:val="0"/>
              <w:divBdr>
                <w:top w:val="none" w:sz="0" w:space="0" w:color="auto"/>
                <w:left w:val="none" w:sz="0" w:space="0" w:color="auto"/>
                <w:bottom w:val="none" w:sz="0" w:space="0" w:color="auto"/>
                <w:right w:val="none" w:sz="0" w:space="0" w:color="auto"/>
              </w:divBdr>
            </w:div>
            <w:div w:id="641618576">
              <w:marLeft w:val="0"/>
              <w:marRight w:val="0"/>
              <w:marTop w:val="0"/>
              <w:marBottom w:val="0"/>
              <w:divBdr>
                <w:top w:val="none" w:sz="0" w:space="0" w:color="auto"/>
                <w:left w:val="none" w:sz="0" w:space="0" w:color="auto"/>
                <w:bottom w:val="none" w:sz="0" w:space="0" w:color="auto"/>
                <w:right w:val="none" w:sz="0" w:space="0" w:color="auto"/>
              </w:divBdr>
            </w:div>
            <w:div w:id="150874602">
              <w:marLeft w:val="0"/>
              <w:marRight w:val="0"/>
              <w:marTop w:val="0"/>
              <w:marBottom w:val="0"/>
              <w:divBdr>
                <w:top w:val="none" w:sz="0" w:space="0" w:color="auto"/>
                <w:left w:val="none" w:sz="0" w:space="0" w:color="auto"/>
                <w:bottom w:val="none" w:sz="0" w:space="0" w:color="auto"/>
                <w:right w:val="none" w:sz="0" w:space="0" w:color="auto"/>
              </w:divBdr>
            </w:div>
            <w:div w:id="2121028657">
              <w:marLeft w:val="0"/>
              <w:marRight w:val="0"/>
              <w:marTop w:val="0"/>
              <w:marBottom w:val="0"/>
              <w:divBdr>
                <w:top w:val="none" w:sz="0" w:space="0" w:color="auto"/>
                <w:left w:val="none" w:sz="0" w:space="0" w:color="auto"/>
                <w:bottom w:val="none" w:sz="0" w:space="0" w:color="auto"/>
                <w:right w:val="none" w:sz="0" w:space="0" w:color="auto"/>
              </w:divBdr>
            </w:div>
            <w:div w:id="268894786">
              <w:marLeft w:val="0"/>
              <w:marRight w:val="0"/>
              <w:marTop w:val="0"/>
              <w:marBottom w:val="0"/>
              <w:divBdr>
                <w:top w:val="none" w:sz="0" w:space="0" w:color="auto"/>
                <w:left w:val="none" w:sz="0" w:space="0" w:color="auto"/>
                <w:bottom w:val="none" w:sz="0" w:space="0" w:color="auto"/>
                <w:right w:val="none" w:sz="0" w:space="0" w:color="auto"/>
              </w:divBdr>
            </w:div>
            <w:div w:id="3732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8859">
      <w:bodyDiv w:val="1"/>
      <w:marLeft w:val="0"/>
      <w:marRight w:val="0"/>
      <w:marTop w:val="0"/>
      <w:marBottom w:val="0"/>
      <w:divBdr>
        <w:top w:val="none" w:sz="0" w:space="0" w:color="auto"/>
        <w:left w:val="none" w:sz="0" w:space="0" w:color="auto"/>
        <w:bottom w:val="none" w:sz="0" w:space="0" w:color="auto"/>
        <w:right w:val="none" w:sz="0" w:space="0" w:color="auto"/>
      </w:divBdr>
    </w:div>
    <w:div w:id="315765733">
      <w:marLeft w:val="0"/>
      <w:marRight w:val="0"/>
      <w:marTop w:val="0"/>
      <w:marBottom w:val="0"/>
      <w:divBdr>
        <w:top w:val="none" w:sz="0" w:space="0" w:color="auto"/>
        <w:left w:val="none" w:sz="0" w:space="0" w:color="auto"/>
        <w:bottom w:val="none" w:sz="0" w:space="0" w:color="auto"/>
        <w:right w:val="none" w:sz="0" w:space="0" w:color="auto"/>
      </w:divBdr>
      <w:divsChild>
        <w:div w:id="1060593961">
          <w:marLeft w:val="0"/>
          <w:marRight w:val="0"/>
          <w:marTop w:val="0"/>
          <w:marBottom w:val="0"/>
          <w:divBdr>
            <w:top w:val="none" w:sz="0" w:space="0" w:color="auto"/>
            <w:left w:val="none" w:sz="0" w:space="0" w:color="auto"/>
            <w:bottom w:val="none" w:sz="0" w:space="0" w:color="auto"/>
            <w:right w:val="none" w:sz="0" w:space="0" w:color="auto"/>
          </w:divBdr>
        </w:div>
      </w:divsChild>
    </w:div>
    <w:div w:id="317197534">
      <w:marLeft w:val="0"/>
      <w:marRight w:val="0"/>
      <w:marTop w:val="0"/>
      <w:marBottom w:val="0"/>
      <w:divBdr>
        <w:top w:val="none" w:sz="0" w:space="0" w:color="auto"/>
        <w:left w:val="none" w:sz="0" w:space="0" w:color="auto"/>
        <w:bottom w:val="none" w:sz="0" w:space="0" w:color="auto"/>
        <w:right w:val="none" w:sz="0" w:space="0" w:color="auto"/>
      </w:divBdr>
      <w:divsChild>
        <w:div w:id="1489981389">
          <w:marLeft w:val="0"/>
          <w:marRight w:val="0"/>
          <w:marTop w:val="0"/>
          <w:marBottom w:val="0"/>
          <w:divBdr>
            <w:top w:val="none" w:sz="0" w:space="0" w:color="auto"/>
            <w:left w:val="none" w:sz="0" w:space="0" w:color="auto"/>
            <w:bottom w:val="none" w:sz="0" w:space="0" w:color="auto"/>
            <w:right w:val="none" w:sz="0" w:space="0" w:color="auto"/>
          </w:divBdr>
        </w:div>
      </w:divsChild>
    </w:div>
    <w:div w:id="318731689">
      <w:marLeft w:val="0"/>
      <w:marRight w:val="0"/>
      <w:marTop w:val="0"/>
      <w:marBottom w:val="0"/>
      <w:divBdr>
        <w:top w:val="none" w:sz="0" w:space="0" w:color="auto"/>
        <w:left w:val="none" w:sz="0" w:space="0" w:color="auto"/>
        <w:bottom w:val="none" w:sz="0" w:space="0" w:color="auto"/>
        <w:right w:val="none" w:sz="0" w:space="0" w:color="auto"/>
      </w:divBdr>
      <w:divsChild>
        <w:div w:id="1480422218">
          <w:marLeft w:val="0"/>
          <w:marRight w:val="0"/>
          <w:marTop w:val="0"/>
          <w:marBottom w:val="0"/>
          <w:divBdr>
            <w:top w:val="none" w:sz="0" w:space="0" w:color="auto"/>
            <w:left w:val="none" w:sz="0" w:space="0" w:color="auto"/>
            <w:bottom w:val="none" w:sz="0" w:space="0" w:color="auto"/>
            <w:right w:val="none" w:sz="0" w:space="0" w:color="auto"/>
          </w:divBdr>
        </w:div>
      </w:divsChild>
    </w:div>
    <w:div w:id="318964791">
      <w:marLeft w:val="0"/>
      <w:marRight w:val="0"/>
      <w:marTop w:val="0"/>
      <w:marBottom w:val="0"/>
      <w:divBdr>
        <w:top w:val="none" w:sz="0" w:space="0" w:color="auto"/>
        <w:left w:val="none" w:sz="0" w:space="0" w:color="auto"/>
        <w:bottom w:val="none" w:sz="0" w:space="0" w:color="auto"/>
        <w:right w:val="none" w:sz="0" w:space="0" w:color="auto"/>
      </w:divBdr>
      <w:divsChild>
        <w:div w:id="481848948">
          <w:marLeft w:val="0"/>
          <w:marRight w:val="0"/>
          <w:marTop w:val="0"/>
          <w:marBottom w:val="0"/>
          <w:divBdr>
            <w:top w:val="none" w:sz="0" w:space="0" w:color="auto"/>
            <w:left w:val="none" w:sz="0" w:space="0" w:color="auto"/>
            <w:bottom w:val="none" w:sz="0" w:space="0" w:color="auto"/>
            <w:right w:val="none" w:sz="0" w:space="0" w:color="auto"/>
          </w:divBdr>
        </w:div>
      </w:divsChild>
    </w:div>
    <w:div w:id="319817769">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0"/>
          <w:divBdr>
            <w:top w:val="none" w:sz="0" w:space="0" w:color="auto"/>
            <w:left w:val="none" w:sz="0" w:space="0" w:color="auto"/>
            <w:bottom w:val="none" w:sz="0" w:space="0" w:color="auto"/>
            <w:right w:val="none" w:sz="0" w:space="0" w:color="auto"/>
          </w:divBdr>
        </w:div>
      </w:divsChild>
    </w:div>
    <w:div w:id="321929049">
      <w:bodyDiv w:val="1"/>
      <w:marLeft w:val="0"/>
      <w:marRight w:val="0"/>
      <w:marTop w:val="0"/>
      <w:marBottom w:val="0"/>
      <w:divBdr>
        <w:top w:val="none" w:sz="0" w:space="0" w:color="auto"/>
        <w:left w:val="none" w:sz="0" w:space="0" w:color="auto"/>
        <w:bottom w:val="none" w:sz="0" w:space="0" w:color="auto"/>
        <w:right w:val="none" w:sz="0" w:space="0" w:color="auto"/>
      </w:divBdr>
    </w:div>
    <w:div w:id="323121723">
      <w:bodyDiv w:val="1"/>
      <w:marLeft w:val="0"/>
      <w:marRight w:val="0"/>
      <w:marTop w:val="0"/>
      <w:marBottom w:val="0"/>
      <w:divBdr>
        <w:top w:val="none" w:sz="0" w:space="0" w:color="auto"/>
        <w:left w:val="none" w:sz="0" w:space="0" w:color="auto"/>
        <w:bottom w:val="none" w:sz="0" w:space="0" w:color="auto"/>
        <w:right w:val="none" w:sz="0" w:space="0" w:color="auto"/>
      </w:divBdr>
    </w:div>
    <w:div w:id="329599038">
      <w:marLeft w:val="0"/>
      <w:marRight w:val="0"/>
      <w:marTop w:val="0"/>
      <w:marBottom w:val="0"/>
      <w:divBdr>
        <w:top w:val="none" w:sz="0" w:space="0" w:color="auto"/>
        <w:left w:val="none" w:sz="0" w:space="0" w:color="auto"/>
        <w:bottom w:val="none" w:sz="0" w:space="0" w:color="auto"/>
        <w:right w:val="none" w:sz="0" w:space="0" w:color="auto"/>
      </w:divBdr>
      <w:divsChild>
        <w:div w:id="264389140">
          <w:marLeft w:val="0"/>
          <w:marRight w:val="0"/>
          <w:marTop w:val="0"/>
          <w:marBottom w:val="0"/>
          <w:divBdr>
            <w:top w:val="none" w:sz="0" w:space="0" w:color="auto"/>
            <w:left w:val="none" w:sz="0" w:space="0" w:color="auto"/>
            <w:bottom w:val="none" w:sz="0" w:space="0" w:color="auto"/>
            <w:right w:val="none" w:sz="0" w:space="0" w:color="auto"/>
          </w:divBdr>
        </w:div>
      </w:divsChild>
    </w:div>
    <w:div w:id="332103388">
      <w:marLeft w:val="0"/>
      <w:marRight w:val="0"/>
      <w:marTop w:val="0"/>
      <w:marBottom w:val="0"/>
      <w:divBdr>
        <w:top w:val="none" w:sz="0" w:space="0" w:color="auto"/>
        <w:left w:val="none" w:sz="0" w:space="0" w:color="auto"/>
        <w:bottom w:val="none" w:sz="0" w:space="0" w:color="auto"/>
        <w:right w:val="none" w:sz="0" w:space="0" w:color="auto"/>
      </w:divBdr>
      <w:divsChild>
        <w:div w:id="352458537">
          <w:marLeft w:val="0"/>
          <w:marRight w:val="0"/>
          <w:marTop w:val="0"/>
          <w:marBottom w:val="0"/>
          <w:divBdr>
            <w:top w:val="none" w:sz="0" w:space="0" w:color="auto"/>
            <w:left w:val="none" w:sz="0" w:space="0" w:color="auto"/>
            <w:bottom w:val="none" w:sz="0" w:space="0" w:color="auto"/>
            <w:right w:val="none" w:sz="0" w:space="0" w:color="auto"/>
          </w:divBdr>
        </w:div>
      </w:divsChild>
    </w:div>
    <w:div w:id="332226927">
      <w:marLeft w:val="0"/>
      <w:marRight w:val="0"/>
      <w:marTop w:val="0"/>
      <w:marBottom w:val="0"/>
      <w:divBdr>
        <w:top w:val="none" w:sz="0" w:space="0" w:color="auto"/>
        <w:left w:val="none" w:sz="0" w:space="0" w:color="auto"/>
        <w:bottom w:val="none" w:sz="0" w:space="0" w:color="auto"/>
        <w:right w:val="none" w:sz="0" w:space="0" w:color="auto"/>
      </w:divBdr>
      <w:divsChild>
        <w:div w:id="1936550186">
          <w:marLeft w:val="0"/>
          <w:marRight w:val="0"/>
          <w:marTop w:val="0"/>
          <w:marBottom w:val="0"/>
          <w:divBdr>
            <w:top w:val="none" w:sz="0" w:space="0" w:color="auto"/>
            <w:left w:val="none" w:sz="0" w:space="0" w:color="auto"/>
            <w:bottom w:val="none" w:sz="0" w:space="0" w:color="auto"/>
            <w:right w:val="none" w:sz="0" w:space="0" w:color="auto"/>
          </w:divBdr>
        </w:div>
      </w:divsChild>
    </w:div>
    <w:div w:id="337775994">
      <w:bodyDiv w:val="1"/>
      <w:marLeft w:val="0"/>
      <w:marRight w:val="0"/>
      <w:marTop w:val="0"/>
      <w:marBottom w:val="0"/>
      <w:divBdr>
        <w:top w:val="none" w:sz="0" w:space="0" w:color="auto"/>
        <w:left w:val="none" w:sz="0" w:space="0" w:color="auto"/>
        <w:bottom w:val="none" w:sz="0" w:space="0" w:color="auto"/>
        <w:right w:val="none" w:sz="0" w:space="0" w:color="auto"/>
      </w:divBdr>
    </w:div>
    <w:div w:id="339310594">
      <w:bodyDiv w:val="1"/>
      <w:marLeft w:val="0"/>
      <w:marRight w:val="0"/>
      <w:marTop w:val="0"/>
      <w:marBottom w:val="0"/>
      <w:divBdr>
        <w:top w:val="none" w:sz="0" w:space="0" w:color="auto"/>
        <w:left w:val="none" w:sz="0" w:space="0" w:color="auto"/>
        <w:bottom w:val="none" w:sz="0" w:space="0" w:color="auto"/>
        <w:right w:val="none" w:sz="0" w:space="0" w:color="auto"/>
      </w:divBdr>
    </w:div>
    <w:div w:id="339818150">
      <w:bodyDiv w:val="1"/>
      <w:marLeft w:val="0"/>
      <w:marRight w:val="0"/>
      <w:marTop w:val="0"/>
      <w:marBottom w:val="0"/>
      <w:divBdr>
        <w:top w:val="none" w:sz="0" w:space="0" w:color="auto"/>
        <w:left w:val="none" w:sz="0" w:space="0" w:color="auto"/>
        <w:bottom w:val="none" w:sz="0" w:space="0" w:color="auto"/>
        <w:right w:val="none" w:sz="0" w:space="0" w:color="auto"/>
      </w:divBdr>
      <w:divsChild>
        <w:div w:id="1898739564">
          <w:marLeft w:val="0"/>
          <w:marRight w:val="0"/>
          <w:marTop w:val="0"/>
          <w:marBottom w:val="0"/>
          <w:divBdr>
            <w:top w:val="none" w:sz="0" w:space="0" w:color="auto"/>
            <w:left w:val="none" w:sz="0" w:space="0" w:color="auto"/>
            <w:bottom w:val="none" w:sz="0" w:space="0" w:color="auto"/>
            <w:right w:val="none" w:sz="0" w:space="0" w:color="auto"/>
          </w:divBdr>
          <w:divsChild>
            <w:div w:id="959653213">
              <w:marLeft w:val="0"/>
              <w:marRight w:val="0"/>
              <w:marTop w:val="0"/>
              <w:marBottom w:val="0"/>
              <w:divBdr>
                <w:top w:val="none" w:sz="0" w:space="0" w:color="auto"/>
                <w:left w:val="none" w:sz="0" w:space="0" w:color="auto"/>
                <w:bottom w:val="none" w:sz="0" w:space="0" w:color="auto"/>
                <w:right w:val="none" w:sz="0" w:space="0" w:color="auto"/>
              </w:divBdr>
            </w:div>
            <w:div w:id="2112165391">
              <w:marLeft w:val="0"/>
              <w:marRight w:val="0"/>
              <w:marTop w:val="0"/>
              <w:marBottom w:val="0"/>
              <w:divBdr>
                <w:top w:val="none" w:sz="0" w:space="0" w:color="auto"/>
                <w:left w:val="none" w:sz="0" w:space="0" w:color="auto"/>
                <w:bottom w:val="none" w:sz="0" w:space="0" w:color="auto"/>
                <w:right w:val="none" w:sz="0" w:space="0" w:color="auto"/>
              </w:divBdr>
            </w:div>
            <w:div w:id="1064645529">
              <w:marLeft w:val="0"/>
              <w:marRight w:val="0"/>
              <w:marTop w:val="0"/>
              <w:marBottom w:val="0"/>
              <w:divBdr>
                <w:top w:val="none" w:sz="0" w:space="0" w:color="auto"/>
                <w:left w:val="none" w:sz="0" w:space="0" w:color="auto"/>
                <w:bottom w:val="none" w:sz="0" w:space="0" w:color="auto"/>
                <w:right w:val="none" w:sz="0" w:space="0" w:color="auto"/>
              </w:divBdr>
            </w:div>
            <w:div w:id="225148643">
              <w:marLeft w:val="0"/>
              <w:marRight w:val="0"/>
              <w:marTop w:val="0"/>
              <w:marBottom w:val="0"/>
              <w:divBdr>
                <w:top w:val="none" w:sz="0" w:space="0" w:color="auto"/>
                <w:left w:val="none" w:sz="0" w:space="0" w:color="auto"/>
                <w:bottom w:val="none" w:sz="0" w:space="0" w:color="auto"/>
                <w:right w:val="none" w:sz="0" w:space="0" w:color="auto"/>
              </w:divBdr>
            </w:div>
            <w:div w:id="2008170917">
              <w:marLeft w:val="0"/>
              <w:marRight w:val="0"/>
              <w:marTop w:val="0"/>
              <w:marBottom w:val="0"/>
              <w:divBdr>
                <w:top w:val="none" w:sz="0" w:space="0" w:color="auto"/>
                <w:left w:val="none" w:sz="0" w:space="0" w:color="auto"/>
                <w:bottom w:val="none" w:sz="0" w:space="0" w:color="auto"/>
                <w:right w:val="none" w:sz="0" w:space="0" w:color="auto"/>
              </w:divBdr>
            </w:div>
            <w:div w:id="86511527">
              <w:marLeft w:val="0"/>
              <w:marRight w:val="0"/>
              <w:marTop w:val="0"/>
              <w:marBottom w:val="0"/>
              <w:divBdr>
                <w:top w:val="none" w:sz="0" w:space="0" w:color="auto"/>
                <w:left w:val="none" w:sz="0" w:space="0" w:color="auto"/>
                <w:bottom w:val="none" w:sz="0" w:space="0" w:color="auto"/>
                <w:right w:val="none" w:sz="0" w:space="0" w:color="auto"/>
              </w:divBdr>
            </w:div>
            <w:div w:id="162282297">
              <w:marLeft w:val="0"/>
              <w:marRight w:val="0"/>
              <w:marTop w:val="0"/>
              <w:marBottom w:val="0"/>
              <w:divBdr>
                <w:top w:val="none" w:sz="0" w:space="0" w:color="auto"/>
                <w:left w:val="none" w:sz="0" w:space="0" w:color="auto"/>
                <w:bottom w:val="none" w:sz="0" w:space="0" w:color="auto"/>
                <w:right w:val="none" w:sz="0" w:space="0" w:color="auto"/>
              </w:divBdr>
            </w:div>
            <w:div w:id="378434864">
              <w:marLeft w:val="0"/>
              <w:marRight w:val="0"/>
              <w:marTop w:val="0"/>
              <w:marBottom w:val="0"/>
              <w:divBdr>
                <w:top w:val="none" w:sz="0" w:space="0" w:color="auto"/>
                <w:left w:val="none" w:sz="0" w:space="0" w:color="auto"/>
                <w:bottom w:val="none" w:sz="0" w:space="0" w:color="auto"/>
                <w:right w:val="none" w:sz="0" w:space="0" w:color="auto"/>
              </w:divBdr>
            </w:div>
            <w:div w:id="1770006710">
              <w:marLeft w:val="0"/>
              <w:marRight w:val="0"/>
              <w:marTop w:val="0"/>
              <w:marBottom w:val="0"/>
              <w:divBdr>
                <w:top w:val="none" w:sz="0" w:space="0" w:color="auto"/>
                <w:left w:val="none" w:sz="0" w:space="0" w:color="auto"/>
                <w:bottom w:val="none" w:sz="0" w:space="0" w:color="auto"/>
                <w:right w:val="none" w:sz="0" w:space="0" w:color="auto"/>
              </w:divBdr>
            </w:div>
            <w:div w:id="1528907817">
              <w:marLeft w:val="0"/>
              <w:marRight w:val="0"/>
              <w:marTop w:val="0"/>
              <w:marBottom w:val="0"/>
              <w:divBdr>
                <w:top w:val="none" w:sz="0" w:space="0" w:color="auto"/>
                <w:left w:val="none" w:sz="0" w:space="0" w:color="auto"/>
                <w:bottom w:val="none" w:sz="0" w:space="0" w:color="auto"/>
                <w:right w:val="none" w:sz="0" w:space="0" w:color="auto"/>
              </w:divBdr>
            </w:div>
            <w:div w:id="1570112368">
              <w:marLeft w:val="0"/>
              <w:marRight w:val="0"/>
              <w:marTop w:val="0"/>
              <w:marBottom w:val="0"/>
              <w:divBdr>
                <w:top w:val="none" w:sz="0" w:space="0" w:color="auto"/>
                <w:left w:val="none" w:sz="0" w:space="0" w:color="auto"/>
                <w:bottom w:val="none" w:sz="0" w:space="0" w:color="auto"/>
                <w:right w:val="none" w:sz="0" w:space="0" w:color="auto"/>
              </w:divBdr>
            </w:div>
            <w:div w:id="2006085592">
              <w:marLeft w:val="0"/>
              <w:marRight w:val="0"/>
              <w:marTop w:val="0"/>
              <w:marBottom w:val="0"/>
              <w:divBdr>
                <w:top w:val="none" w:sz="0" w:space="0" w:color="auto"/>
                <w:left w:val="none" w:sz="0" w:space="0" w:color="auto"/>
                <w:bottom w:val="none" w:sz="0" w:space="0" w:color="auto"/>
                <w:right w:val="none" w:sz="0" w:space="0" w:color="auto"/>
              </w:divBdr>
            </w:div>
            <w:div w:id="1423180024">
              <w:marLeft w:val="0"/>
              <w:marRight w:val="0"/>
              <w:marTop w:val="0"/>
              <w:marBottom w:val="0"/>
              <w:divBdr>
                <w:top w:val="none" w:sz="0" w:space="0" w:color="auto"/>
                <w:left w:val="none" w:sz="0" w:space="0" w:color="auto"/>
                <w:bottom w:val="none" w:sz="0" w:space="0" w:color="auto"/>
                <w:right w:val="none" w:sz="0" w:space="0" w:color="auto"/>
              </w:divBdr>
            </w:div>
            <w:div w:id="594215151">
              <w:marLeft w:val="0"/>
              <w:marRight w:val="0"/>
              <w:marTop w:val="0"/>
              <w:marBottom w:val="0"/>
              <w:divBdr>
                <w:top w:val="none" w:sz="0" w:space="0" w:color="auto"/>
                <w:left w:val="none" w:sz="0" w:space="0" w:color="auto"/>
                <w:bottom w:val="none" w:sz="0" w:space="0" w:color="auto"/>
                <w:right w:val="none" w:sz="0" w:space="0" w:color="auto"/>
              </w:divBdr>
            </w:div>
            <w:div w:id="1340817192">
              <w:marLeft w:val="0"/>
              <w:marRight w:val="0"/>
              <w:marTop w:val="0"/>
              <w:marBottom w:val="0"/>
              <w:divBdr>
                <w:top w:val="none" w:sz="0" w:space="0" w:color="auto"/>
                <w:left w:val="none" w:sz="0" w:space="0" w:color="auto"/>
                <w:bottom w:val="none" w:sz="0" w:space="0" w:color="auto"/>
                <w:right w:val="none" w:sz="0" w:space="0" w:color="auto"/>
              </w:divBdr>
            </w:div>
            <w:div w:id="40055947">
              <w:marLeft w:val="0"/>
              <w:marRight w:val="0"/>
              <w:marTop w:val="0"/>
              <w:marBottom w:val="0"/>
              <w:divBdr>
                <w:top w:val="none" w:sz="0" w:space="0" w:color="auto"/>
                <w:left w:val="none" w:sz="0" w:space="0" w:color="auto"/>
                <w:bottom w:val="none" w:sz="0" w:space="0" w:color="auto"/>
                <w:right w:val="none" w:sz="0" w:space="0" w:color="auto"/>
              </w:divBdr>
            </w:div>
            <w:div w:id="1469320745">
              <w:marLeft w:val="0"/>
              <w:marRight w:val="0"/>
              <w:marTop w:val="0"/>
              <w:marBottom w:val="0"/>
              <w:divBdr>
                <w:top w:val="none" w:sz="0" w:space="0" w:color="auto"/>
                <w:left w:val="none" w:sz="0" w:space="0" w:color="auto"/>
                <w:bottom w:val="none" w:sz="0" w:space="0" w:color="auto"/>
                <w:right w:val="none" w:sz="0" w:space="0" w:color="auto"/>
              </w:divBdr>
            </w:div>
            <w:div w:id="1487209650">
              <w:marLeft w:val="0"/>
              <w:marRight w:val="0"/>
              <w:marTop w:val="0"/>
              <w:marBottom w:val="0"/>
              <w:divBdr>
                <w:top w:val="none" w:sz="0" w:space="0" w:color="auto"/>
                <w:left w:val="none" w:sz="0" w:space="0" w:color="auto"/>
                <w:bottom w:val="none" w:sz="0" w:space="0" w:color="auto"/>
                <w:right w:val="none" w:sz="0" w:space="0" w:color="auto"/>
              </w:divBdr>
            </w:div>
            <w:div w:id="885334196">
              <w:marLeft w:val="0"/>
              <w:marRight w:val="0"/>
              <w:marTop w:val="0"/>
              <w:marBottom w:val="0"/>
              <w:divBdr>
                <w:top w:val="none" w:sz="0" w:space="0" w:color="auto"/>
                <w:left w:val="none" w:sz="0" w:space="0" w:color="auto"/>
                <w:bottom w:val="none" w:sz="0" w:space="0" w:color="auto"/>
                <w:right w:val="none" w:sz="0" w:space="0" w:color="auto"/>
              </w:divBdr>
            </w:div>
            <w:div w:id="425394224">
              <w:marLeft w:val="0"/>
              <w:marRight w:val="0"/>
              <w:marTop w:val="0"/>
              <w:marBottom w:val="0"/>
              <w:divBdr>
                <w:top w:val="none" w:sz="0" w:space="0" w:color="auto"/>
                <w:left w:val="none" w:sz="0" w:space="0" w:color="auto"/>
                <w:bottom w:val="none" w:sz="0" w:space="0" w:color="auto"/>
                <w:right w:val="none" w:sz="0" w:space="0" w:color="auto"/>
              </w:divBdr>
            </w:div>
            <w:div w:id="968776477">
              <w:marLeft w:val="0"/>
              <w:marRight w:val="0"/>
              <w:marTop w:val="0"/>
              <w:marBottom w:val="0"/>
              <w:divBdr>
                <w:top w:val="none" w:sz="0" w:space="0" w:color="auto"/>
                <w:left w:val="none" w:sz="0" w:space="0" w:color="auto"/>
                <w:bottom w:val="none" w:sz="0" w:space="0" w:color="auto"/>
                <w:right w:val="none" w:sz="0" w:space="0" w:color="auto"/>
              </w:divBdr>
            </w:div>
            <w:div w:id="350842385">
              <w:marLeft w:val="0"/>
              <w:marRight w:val="0"/>
              <w:marTop w:val="0"/>
              <w:marBottom w:val="0"/>
              <w:divBdr>
                <w:top w:val="none" w:sz="0" w:space="0" w:color="auto"/>
                <w:left w:val="none" w:sz="0" w:space="0" w:color="auto"/>
                <w:bottom w:val="none" w:sz="0" w:space="0" w:color="auto"/>
                <w:right w:val="none" w:sz="0" w:space="0" w:color="auto"/>
              </w:divBdr>
            </w:div>
            <w:div w:id="945580179">
              <w:marLeft w:val="0"/>
              <w:marRight w:val="0"/>
              <w:marTop w:val="0"/>
              <w:marBottom w:val="0"/>
              <w:divBdr>
                <w:top w:val="none" w:sz="0" w:space="0" w:color="auto"/>
                <w:left w:val="none" w:sz="0" w:space="0" w:color="auto"/>
                <w:bottom w:val="none" w:sz="0" w:space="0" w:color="auto"/>
                <w:right w:val="none" w:sz="0" w:space="0" w:color="auto"/>
              </w:divBdr>
            </w:div>
            <w:div w:id="1780025326">
              <w:marLeft w:val="0"/>
              <w:marRight w:val="0"/>
              <w:marTop w:val="0"/>
              <w:marBottom w:val="0"/>
              <w:divBdr>
                <w:top w:val="none" w:sz="0" w:space="0" w:color="auto"/>
                <w:left w:val="none" w:sz="0" w:space="0" w:color="auto"/>
                <w:bottom w:val="none" w:sz="0" w:space="0" w:color="auto"/>
                <w:right w:val="none" w:sz="0" w:space="0" w:color="auto"/>
              </w:divBdr>
            </w:div>
            <w:div w:id="921523777">
              <w:marLeft w:val="0"/>
              <w:marRight w:val="0"/>
              <w:marTop w:val="0"/>
              <w:marBottom w:val="0"/>
              <w:divBdr>
                <w:top w:val="none" w:sz="0" w:space="0" w:color="auto"/>
                <w:left w:val="none" w:sz="0" w:space="0" w:color="auto"/>
                <w:bottom w:val="none" w:sz="0" w:space="0" w:color="auto"/>
                <w:right w:val="none" w:sz="0" w:space="0" w:color="auto"/>
              </w:divBdr>
            </w:div>
            <w:div w:id="462388049">
              <w:marLeft w:val="0"/>
              <w:marRight w:val="0"/>
              <w:marTop w:val="0"/>
              <w:marBottom w:val="0"/>
              <w:divBdr>
                <w:top w:val="none" w:sz="0" w:space="0" w:color="auto"/>
                <w:left w:val="none" w:sz="0" w:space="0" w:color="auto"/>
                <w:bottom w:val="none" w:sz="0" w:space="0" w:color="auto"/>
                <w:right w:val="none" w:sz="0" w:space="0" w:color="auto"/>
              </w:divBdr>
            </w:div>
            <w:div w:id="2143496548">
              <w:marLeft w:val="0"/>
              <w:marRight w:val="0"/>
              <w:marTop w:val="0"/>
              <w:marBottom w:val="0"/>
              <w:divBdr>
                <w:top w:val="none" w:sz="0" w:space="0" w:color="auto"/>
                <w:left w:val="none" w:sz="0" w:space="0" w:color="auto"/>
                <w:bottom w:val="none" w:sz="0" w:space="0" w:color="auto"/>
                <w:right w:val="none" w:sz="0" w:space="0" w:color="auto"/>
              </w:divBdr>
            </w:div>
            <w:div w:id="1978411316">
              <w:marLeft w:val="0"/>
              <w:marRight w:val="0"/>
              <w:marTop w:val="0"/>
              <w:marBottom w:val="0"/>
              <w:divBdr>
                <w:top w:val="none" w:sz="0" w:space="0" w:color="auto"/>
                <w:left w:val="none" w:sz="0" w:space="0" w:color="auto"/>
                <w:bottom w:val="none" w:sz="0" w:space="0" w:color="auto"/>
                <w:right w:val="none" w:sz="0" w:space="0" w:color="auto"/>
              </w:divBdr>
            </w:div>
            <w:div w:id="1289312870">
              <w:marLeft w:val="0"/>
              <w:marRight w:val="0"/>
              <w:marTop w:val="0"/>
              <w:marBottom w:val="0"/>
              <w:divBdr>
                <w:top w:val="none" w:sz="0" w:space="0" w:color="auto"/>
                <w:left w:val="none" w:sz="0" w:space="0" w:color="auto"/>
                <w:bottom w:val="none" w:sz="0" w:space="0" w:color="auto"/>
                <w:right w:val="none" w:sz="0" w:space="0" w:color="auto"/>
              </w:divBdr>
            </w:div>
            <w:div w:id="341398953">
              <w:marLeft w:val="0"/>
              <w:marRight w:val="0"/>
              <w:marTop w:val="0"/>
              <w:marBottom w:val="0"/>
              <w:divBdr>
                <w:top w:val="none" w:sz="0" w:space="0" w:color="auto"/>
                <w:left w:val="none" w:sz="0" w:space="0" w:color="auto"/>
                <w:bottom w:val="none" w:sz="0" w:space="0" w:color="auto"/>
                <w:right w:val="none" w:sz="0" w:space="0" w:color="auto"/>
              </w:divBdr>
            </w:div>
            <w:div w:id="17244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516">
      <w:marLeft w:val="0"/>
      <w:marRight w:val="0"/>
      <w:marTop w:val="0"/>
      <w:marBottom w:val="0"/>
      <w:divBdr>
        <w:top w:val="none" w:sz="0" w:space="0" w:color="auto"/>
        <w:left w:val="none" w:sz="0" w:space="0" w:color="auto"/>
        <w:bottom w:val="none" w:sz="0" w:space="0" w:color="auto"/>
        <w:right w:val="none" w:sz="0" w:space="0" w:color="auto"/>
      </w:divBdr>
      <w:divsChild>
        <w:div w:id="693379842">
          <w:marLeft w:val="0"/>
          <w:marRight w:val="0"/>
          <w:marTop w:val="0"/>
          <w:marBottom w:val="0"/>
          <w:divBdr>
            <w:top w:val="none" w:sz="0" w:space="0" w:color="auto"/>
            <w:left w:val="none" w:sz="0" w:space="0" w:color="auto"/>
            <w:bottom w:val="none" w:sz="0" w:space="0" w:color="auto"/>
            <w:right w:val="none" w:sz="0" w:space="0" w:color="auto"/>
          </w:divBdr>
        </w:div>
      </w:divsChild>
    </w:div>
    <w:div w:id="342440129">
      <w:marLeft w:val="0"/>
      <w:marRight w:val="0"/>
      <w:marTop w:val="0"/>
      <w:marBottom w:val="0"/>
      <w:divBdr>
        <w:top w:val="none" w:sz="0" w:space="0" w:color="auto"/>
        <w:left w:val="none" w:sz="0" w:space="0" w:color="auto"/>
        <w:bottom w:val="none" w:sz="0" w:space="0" w:color="auto"/>
        <w:right w:val="none" w:sz="0" w:space="0" w:color="auto"/>
      </w:divBdr>
      <w:divsChild>
        <w:div w:id="34235453">
          <w:marLeft w:val="0"/>
          <w:marRight w:val="0"/>
          <w:marTop w:val="0"/>
          <w:marBottom w:val="0"/>
          <w:divBdr>
            <w:top w:val="none" w:sz="0" w:space="0" w:color="auto"/>
            <w:left w:val="none" w:sz="0" w:space="0" w:color="auto"/>
            <w:bottom w:val="none" w:sz="0" w:space="0" w:color="auto"/>
            <w:right w:val="none" w:sz="0" w:space="0" w:color="auto"/>
          </w:divBdr>
        </w:div>
      </w:divsChild>
    </w:div>
    <w:div w:id="350566417">
      <w:bodyDiv w:val="1"/>
      <w:marLeft w:val="0"/>
      <w:marRight w:val="0"/>
      <w:marTop w:val="0"/>
      <w:marBottom w:val="0"/>
      <w:divBdr>
        <w:top w:val="none" w:sz="0" w:space="0" w:color="auto"/>
        <w:left w:val="none" w:sz="0" w:space="0" w:color="auto"/>
        <w:bottom w:val="none" w:sz="0" w:space="0" w:color="auto"/>
        <w:right w:val="none" w:sz="0" w:space="0" w:color="auto"/>
      </w:divBdr>
    </w:div>
    <w:div w:id="351810124">
      <w:bodyDiv w:val="1"/>
      <w:marLeft w:val="0"/>
      <w:marRight w:val="0"/>
      <w:marTop w:val="0"/>
      <w:marBottom w:val="0"/>
      <w:divBdr>
        <w:top w:val="none" w:sz="0" w:space="0" w:color="auto"/>
        <w:left w:val="none" w:sz="0" w:space="0" w:color="auto"/>
        <w:bottom w:val="none" w:sz="0" w:space="0" w:color="auto"/>
        <w:right w:val="none" w:sz="0" w:space="0" w:color="auto"/>
      </w:divBdr>
    </w:div>
    <w:div w:id="351880146">
      <w:bodyDiv w:val="1"/>
      <w:marLeft w:val="0"/>
      <w:marRight w:val="0"/>
      <w:marTop w:val="0"/>
      <w:marBottom w:val="0"/>
      <w:divBdr>
        <w:top w:val="none" w:sz="0" w:space="0" w:color="auto"/>
        <w:left w:val="none" w:sz="0" w:space="0" w:color="auto"/>
        <w:bottom w:val="none" w:sz="0" w:space="0" w:color="auto"/>
        <w:right w:val="none" w:sz="0" w:space="0" w:color="auto"/>
      </w:divBdr>
    </w:div>
    <w:div w:id="357237978">
      <w:marLeft w:val="0"/>
      <w:marRight w:val="0"/>
      <w:marTop w:val="0"/>
      <w:marBottom w:val="0"/>
      <w:divBdr>
        <w:top w:val="none" w:sz="0" w:space="0" w:color="auto"/>
        <w:left w:val="none" w:sz="0" w:space="0" w:color="auto"/>
        <w:bottom w:val="none" w:sz="0" w:space="0" w:color="auto"/>
        <w:right w:val="none" w:sz="0" w:space="0" w:color="auto"/>
      </w:divBdr>
      <w:divsChild>
        <w:div w:id="1137524754">
          <w:marLeft w:val="0"/>
          <w:marRight w:val="0"/>
          <w:marTop w:val="0"/>
          <w:marBottom w:val="0"/>
          <w:divBdr>
            <w:top w:val="none" w:sz="0" w:space="0" w:color="auto"/>
            <w:left w:val="none" w:sz="0" w:space="0" w:color="auto"/>
            <w:bottom w:val="none" w:sz="0" w:space="0" w:color="auto"/>
            <w:right w:val="none" w:sz="0" w:space="0" w:color="auto"/>
          </w:divBdr>
        </w:div>
      </w:divsChild>
    </w:div>
    <w:div w:id="364185713">
      <w:marLeft w:val="0"/>
      <w:marRight w:val="0"/>
      <w:marTop w:val="0"/>
      <w:marBottom w:val="0"/>
      <w:divBdr>
        <w:top w:val="none" w:sz="0" w:space="0" w:color="auto"/>
        <w:left w:val="none" w:sz="0" w:space="0" w:color="auto"/>
        <w:bottom w:val="none" w:sz="0" w:space="0" w:color="auto"/>
        <w:right w:val="none" w:sz="0" w:space="0" w:color="auto"/>
      </w:divBdr>
      <w:divsChild>
        <w:div w:id="643394585">
          <w:marLeft w:val="0"/>
          <w:marRight w:val="0"/>
          <w:marTop w:val="0"/>
          <w:marBottom w:val="0"/>
          <w:divBdr>
            <w:top w:val="none" w:sz="0" w:space="0" w:color="auto"/>
            <w:left w:val="none" w:sz="0" w:space="0" w:color="auto"/>
            <w:bottom w:val="none" w:sz="0" w:space="0" w:color="auto"/>
            <w:right w:val="none" w:sz="0" w:space="0" w:color="auto"/>
          </w:divBdr>
        </w:div>
      </w:divsChild>
    </w:div>
    <w:div w:id="365108846">
      <w:marLeft w:val="0"/>
      <w:marRight w:val="0"/>
      <w:marTop w:val="0"/>
      <w:marBottom w:val="0"/>
      <w:divBdr>
        <w:top w:val="none" w:sz="0" w:space="0" w:color="auto"/>
        <w:left w:val="none" w:sz="0" w:space="0" w:color="auto"/>
        <w:bottom w:val="none" w:sz="0" w:space="0" w:color="auto"/>
        <w:right w:val="none" w:sz="0" w:space="0" w:color="auto"/>
      </w:divBdr>
      <w:divsChild>
        <w:div w:id="2827934">
          <w:marLeft w:val="0"/>
          <w:marRight w:val="0"/>
          <w:marTop w:val="0"/>
          <w:marBottom w:val="0"/>
          <w:divBdr>
            <w:top w:val="none" w:sz="0" w:space="0" w:color="auto"/>
            <w:left w:val="none" w:sz="0" w:space="0" w:color="auto"/>
            <w:bottom w:val="none" w:sz="0" w:space="0" w:color="auto"/>
            <w:right w:val="none" w:sz="0" w:space="0" w:color="auto"/>
          </w:divBdr>
        </w:div>
      </w:divsChild>
    </w:div>
    <w:div w:id="365375438">
      <w:marLeft w:val="0"/>
      <w:marRight w:val="0"/>
      <w:marTop w:val="0"/>
      <w:marBottom w:val="0"/>
      <w:divBdr>
        <w:top w:val="none" w:sz="0" w:space="0" w:color="auto"/>
        <w:left w:val="none" w:sz="0" w:space="0" w:color="auto"/>
        <w:bottom w:val="none" w:sz="0" w:space="0" w:color="auto"/>
        <w:right w:val="none" w:sz="0" w:space="0" w:color="auto"/>
      </w:divBdr>
      <w:divsChild>
        <w:div w:id="1796675116">
          <w:marLeft w:val="0"/>
          <w:marRight w:val="0"/>
          <w:marTop w:val="0"/>
          <w:marBottom w:val="0"/>
          <w:divBdr>
            <w:top w:val="none" w:sz="0" w:space="0" w:color="auto"/>
            <w:left w:val="none" w:sz="0" w:space="0" w:color="auto"/>
            <w:bottom w:val="none" w:sz="0" w:space="0" w:color="auto"/>
            <w:right w:val="none" w:sz="0" w:space="0" w:color="auto"/>
          </w:divBdr>
        </w:div>
      </w:divsChild>
    </w:div>
    <w:div w:id="369261705">
      <w:marLeft w:val="0"/>
      <w:marRight w:val="0"/>
      <w:marTop w:val="0"/>
      <w:marBottom w:val="0"/>
      <w:divBdr>
        <w:top w:val="none" w:sz="0" w:space="0" w:color="auto"/>
        <w:left w:val="none" w:sz="0" w:space="0" w:color="auto"/>
        <w:bottom w:val="none" w:sz="0" w:space="0" w:color="auto"/>
        <w:right w:val="none" w:sz="0" w:space="0" w:color="auto"/>
      </w:divBdr>
      <w:divsChild>
        <w:div w:id="804859941">
          <w:marLeft w:val="0"/>
          <w:marRight w:val="0"/>
          <w:marTop w:val="0"/>
          <w:marBottom w:val="0"/>
          <w:divBdr>
            <w:top w:val="none" w:sz="0" w:space="0" w:color="auto"/>
            <w:left w:val="none" w:sz="0" w:space="0" w:color="auto"/>
            <w:bottom w:val="none" w:sz="0" w:space="0" w:color="auto"/>
            <w:right w:val="none" w:sz="0" w:space="0" w:color="auto"/>
          </w:divBdr>
        </w:div>
      </w:divsChild>
    </w:div>
    <w:div w:id="369838303">
      <w:bodyDiv w:val="1"/>
      <w:marLeft w:val="0"/>
      <w:marRight w:val="0"/>
      <w:marTop w:val="0"/>
      <w:marBottom w:val="0"/>
      <w:divBdr>
        <w:top w:val="none" w:sz="0" w:space="0" w:color="auto"/>
        <w:left w:val="none" w:sz="0" w:space="0" w:color="auto"/>
        <w:bottom w:val="none" w:sz="0" w:space="0" w:color="auto"/>
        <w:right w:val="none" w:sz="0" w:space="0" w:color="auto"/>
      </w:divBdr>
    </w:div>
    <w:div w:id="373116343">
      <w:marLeft w:val="0"/>
      <w:marRight w:val="0"/>
      <w:marTop w:val="0"/>
      <w:marBottom w:val="0"/>
      <w:divBdr>
        <w:top w:val="none" w:sz="0" w:space="0" w:color="auto"/>
        <w:left w:val="none" w:sz="0" w:space="0" w:color="auto"/>
        <w:bottom w:val="none" w:sz="0" w:space="0" w:color="auto"/>
        <w:right w:val="none" w:sz="0" w:space="0" w:color="auto"/>
      </w:divBdr>
      <w:divsChild>
        <w:div w:id="262609682">
          <w:marLeft w:val="0"/>
          <w:marRight w:val="0"/>
          <w:marTop w:val="0"/>
          <w:marBottom w:val="0"/>
          <w:divBdr>
            <w:top w:val="none" w:sz="0" w:space="0" w:color="auto"/>
            <w:left w:val="none" w:sz="0" w:space="0" w:color="auto"/>
            <w:bottom w:val="none" w:sz="0" w:space="0" w:color="auto"/>
            <w:right w:val="none" w:sz="0" w:space="0" w:color="auto"/>
          </w:divBdr>
        </w:div>
      </w:divsChild>
    </w:div>
    <w:div w:id="385908114">
      <w:marLeft w:val="0"/>
      <w:marRight w:val="0"/>
      <w:marTop w:val="0"/>
      <w:marBottom w:val="0"/>
      <w:divBdr>
        <w:top w:val="none" w:sz="0" w:space="0" w:color="auto"/>
        <w:left w:val="none" w:sz="0" w:space="0" w:color="auto"/>
        <w:bottom w:val="none" w:sz="0" w:space="0" w:color="auto"/>
        <w:right w:val="none" w:sz="0" w:space="0" w:color="auto"/>
      </w:divBdr>
      <w:divsChild>
        <w:div w:id="558056106">
          <w:marLeft w:val="0"/>
          <w:marRight w:val="0"/>
          <w:marTop w:val="0"/>
          <w:marBottom w:val="0"/>
          <w:divBdr>
            <w:top w:val="none" w:sz="0" w:space="0" w:color="auto"/>
            <w:left w:val="none" w:sz="0" w:space="0" w:color="auto"/>
            <w:bottom w:val="none" w:sz="0" w:space="0" w:color="auto"/>
            <w:right w:val="none" w:sz="0" w:space="0" w:color="auto"/>
          </w:divBdr>
        </w:div>
      </w:divsChild>
    </w:div>
    <w:div w:id="386875695">
      <w:bodyDiv w:val="1"/>
      <w:marLeft w:val="0"/>
      <w:marRight w:val="0"/>
      <w:marTop w:val="0"/>
      <w:marBottom w:val="0"/>
      <w:divBdr>
        <w:top w:val="none" w:sz="0" w:space="0" w:color="auto"/>
        <w:left w:val="none" w:sz="0" w:space="0" w:color="auto"/>
        <w:bottom w:val="none" w:sz="0" w:space="0" w:color="auto"/>
        <w:right w:val="none" w:sz="0" w:space="0" w:color="auto"/>
      </w:divBdr>
    </w:div>
    <w:div w:id="393090405">
      <w:bodyDiv w:val="1"/>
      <w:marLeft w:val="0"/>
      <w:marRight w:val="0"/>
      <w:marTop w:val="0"/>
      <w:marBottom w:val="0"/>
      <w:divBdr>
        <w:top w:val="none" w:sz="0" w:space="0" w:color="auto"/>
        <w:left w:val="none" w:sz="0" w:space="0" w:color="auto"/>
        <w:bottom w:val="none" w:sz="0" w:space="0" w:color="auto"/>
        <w:right w:val="none" w:sz="0" w:space="0" w:color="auto"/>
      </w:divBdr>
    </w:div>
    <w:div w:id="396128148">
      <w:marLeft w:val="0"/>
      <w:marRight w:val="0"/>
      <w:marTop w:val="0"/>
      <w:marBottom w:val="0"/>
      <w:divBdr>
        <w:top w:val="none" w:sz="0" w:space="0" w:color="auto"/>
        <w:left w:val="none" w:sz="0" w:space="0" w:color="auto"/>
        <w:bottom w:val="none" w:sz="0" w:space="0" w:color="auto"/>
        <w:right w:val="none" w:sz="0" w:space="0" w:color="auto"/>
      </w:divBdr>
      <w:divsChild>
        <w:div w:id="261913552">
          <w:marLeft w:val="0"/>
          <w:marRight w:val="0"/>
          <w:marTop w:val="0"/>
          <w:marBottom w:val="0"/>
          <w:divBdr>
            <w:top w:val="none" w:sz="0" w:space="0" w:color="auto"/>
            <w:left w:val="none" w:sz="0" w:space="0" w:color="auto"/>
            <w:bottom w:val="none" w:sz="0" w:space="0" w:color="auto"/>
            <w:right w:val="none" w:sz="0" w:space="0" w:color="auto"/>
          </w:divBdr>
        </w:div>
      </w:divsChild>
    </w:div>
    <w:div w:id="397483372">
      <w:marLeft w:val="0"/>
      <w:marRight w:val="0"/>
      <w:marTop w:val="0"/>
      <w:marBottom w:val="0"/>
      <w:divBdr>
        <w:top w:val="none" w:sz="0" w:space="0" w:color="auto"/>
        <w:left w:val="none" w:sz="0" w:space="0" w:color="auto"/>
        <w:bottom w:val="none" w:sz="0" w:space="0" w:color="auto"/>
        <w:right w:val="none" w:sz="0" w:space="0" w:color="auto"/>
      </w:divBdr>
      <w:divsChild>
        <w:div w:id="1926302518">
          <w:marLeft w:val="0"/>
          <w:marRight w:val="0"/>
          <w:marTop w:val="0"/>
          <w:marBottom w:val="0"/>
          <w:divBdr>
            <w:top w:val="none" w:sz="0" w:space="0" w:color="auto"/>
            <w:left w:val="none" w:sz="0" w:space="0" w:color="auto"/>
            <w:bottom w:val="none" w:sz="0" w:space="0" w:color="auto"/>
            <w:right w:val="none" w:sz="0" w:space="0" w:color="auto"/>
          </w:divBdr>
        </w:div>
      </w:divsChild>
    </w:div>
    <w:div w:id="405568746">
      <w:marLeft w:val="0"/>
      <w:marRight w:val="0"/>
      <w:marTop w:val="0"/>
      <w:marBottom w:val="0"/>
      <w:divBdr>
        <w:top w:val="none" w:sz="0" w:space="0" w:color="auto"/>
        <w:left w:val="none" w:sz="0" w:space="0" w:color="auto"/>
        <w:bottom w:val="none" w:sz="0" w:space="0" w:color="auto"/>
        <w:right w:val="none" w:sz="0" w:space="0" w:color="auto"/>
      </w:divBdr>
      <w:divsChild>
        <w:div w:id="449669214">
          <w:marLeft w:val="0"/>
          <w:marRight w:val="0"/>
          <w:marTop w:val="0"/>
          <w:marBottom w:val="0"/>
          <w:divBdr>
            <w:top w:val="none" w:sz="0" w:space="0" w:color="auto"/>
            <w:left w:val="none" w:sz="0" w:space="0" w:color="auto"/>
            <w:bottom w:val="none" w:sz="0" w:space="0" w:color="auto"/>
            <w:right w:val="none" w:sz="0" w:space="0" w:color="auto"/>
          </w:divBdr>
        </w:div>
      </w:divsChild>
    </w:div>
    <w:div w:id="407075003">
      <w:bodyDiv w:val="1"/>
      <w:marLeft w:val="0"/>
      <w:marRight w:val="0"/>
      <w:marTop w:val="0"/>
      <w:marBottom w:val="0"/>
      <w:divBdr>
        <w:top w:val="none" w:sz="0" w:space="0" w:color="auto"/>
        <w:left w:val="none" w:sz="0" w:space="0" w:color="auto"/>
        <w:bottom w:val="none" w:sz="0" w:space="0" w:color="auto"/>
        <w:right w:val="none" w:sz="0" w:space="0" w:color="auto"/>
      </w:divBdr>
    </w:div>
    <w:div w:id="408313553">
      <w:marLeft w:val="0"/>
      <w:marRight w:val="0"/>
      <w:marTop w:val="0"/>
      <w:marBottom w:val="0"/>
      <w:divBdr>
        <w:top w:val="none" w:sz="0" w:space="0" w:color="auto"/>
        <w:left w:val="none" w:sz="0" w:space="0" w:color="auto"/>
        <w:bottom w:val="none" w:sz="0" w:space="0" w:color="auto"/>
        <w:right w:val="none" w:sz="0" w:space="0" w:color="auto"/>
      </w:divBdr>
      <w:divsChild>
        <w:div w:id="889848035">
          <w:marLeft w:val="0"/>
          <w:marRight w:val="0"/>
          <w:marTop w:val="0"/>
          <w:marBottom w:val="0"/>
          <w:divBdr>
            <w:top w:val="none" w:sz="0" w:space="0" w:color="auto"/>
            <w:left w:val="none" w:sz="0" w:space="0" w:color="auto"/>
            <w:bottom w:val="none" w:sz="0" w:space="0" w:color="auto"/>
            <w:right w:val="none" w:sz="0" w:space="0" w:color="auto"/>
          </w:divBdr>
        </w:div>
      </w:divsChild>
    </w:div>
    <w:div w:id="408430708">
      <w:bodyDiv w:val="1"/>
      <w:marLeft w:val="0"/>
      <w:marRight w:val="0"/>
      <w:marTop w:val="0"/>
      <w:marBottom w:val="0"/>
      <w:divBdr>
        <w:top w:val="none" w:sz="0" w:space="0" w:color="auto"/>
        <w:left w:val="none" w:sz="0" w:space="0" w:color="auto"/>
        <w:bottom w:val="none" w:sz="0" w:space="0" w:color="auto"/>
        <w:right w:val="none" w:sz="0" w:space="0" w:color="auto"/>
      </w:divBdr>
    </w:div>
    <w:div w:id="408961883">
      <w:bodyDiv w:val="1"/>
      <w:marLeft w:val="0"/>
      <w:marRight w:val="0"/>
      <w:marTop w:val="0"/>
      <w:marBottom w:val="0"/>
      <w:divBdr>
        <w:top w:val="none" w:sz="0" w:space="0" w:color="auto"/>
        <w:left w:val="none" w:sz="0" w:space="0" w:color="auto"/>
        <w:bottom w:val="none" w:sz="0" w:space="0" w:color="auto"/>
        <w:right w:val="none" w:sz="0" w:space="0" w:color="auto"/>
      </w:divBdr>
    </w:div>
    <w:div w:id="411776868">
      <w:marLeft w:val="0"/>
      <w:marRight w:val="150"/>
      <w:marTop w:val="0"/>
      <w:marBottom w:val="0"/>
      <w:divBdr>
        <w:top w:val="none" w:sz="0" w:space="0" w:color="auto"/>
        <w:left w:val="none" w:sz="0" w:space="0" w:color="auto"/>
        <w:bottom w:val="none" w:sz="0" w:space="0" w:color="auto"/>
        <w:right w:val="none" w:sz="0" w:space="0" w:color="auto"/>
      </w:divBdr>
      <w:divsChild>
        <w:div w:id="1555701185">
          <w:marLeft w:val="0"/>
          <w:marRight w:val="150"/>
          <w:marTop w:val="0"/>
          <w:marBottom w:val="0"/>
          <w:divBdr>
            <w:top w:val="none" w:sz="0" w:space="0" w:color="auto"/>
            <w:left w:val="none" w:sz="0" w:space="0" w:color="auto"/>
            <w:bottom w:val="none" w:sz="0" w:space="0" w:color="auto"/>
            <w:right w:val="none" w:sz="0" w:space="0" w:color="auto"/>
          </w:divBdr>
        </w:div>
      </w:divsChild>
    </w:div>
    <w:div w:id="412581805">
      <w:marLeft w:val="0"/>
      <w:marRight w:val="0"/>
      <w:marTop w:val="0"/>
      <w:marBottom w:val="0"/>
      <w:divBdr>
        <w:top w:val="none" w:sz="0" w:space="0" w:color="auto"/>
        <w:left w:val="none" w:sz="0" w:space="0" w:color="auto"/>
        <w:bottom w:val="none" w:sz="0" w:space="0" w:color="auto"/>
        <w:right w:val="none" w:sz="0" w:space="0" w:color="auto"/>
      </w:divBdr>
      <w:divsChild>
        <w:div w:id="910694149">
          <w:marLeft w:val="0"/>
          <w:marRight w:val="0"/>
          <w:marTop w:val="0"/>
          <w:marBottom w:val="0"/>
          <w:divBdr>
            <w:top w:val="none" w:sz="0" w:space="0" w:color="auto"/>
            <w:left w:val="none" w:sz="0" w:space="0" w:color="auto"/>
            <w:bottom w:val="none" w:sz="0" w:space="0" w:color="auto"/>
            <w:right w:val="none" w:sz="0" w:space="0" w:color="auto"/>
          </w:divBdr>
        </w:div>
      </w:divsChild>
    </w:div>
    <w:div w:id="416708242">
      <w:bodyDiv w:val="1"/>
      <w:marLeft w:val="0"/>
      <w:marRight w:val="0"/>
      <w:marTop w:val="0"/>
      <w:marBottom w:val="0"/>
      <w:divBdr>
        <w:top w:val="none" w:sz="0" w:space="0" w:color="auto"/>
        <w:left w:val="none" w:sz="0" w:space="0" w:color="auto"/>
        <w:bottom w:val="none" w:sz="0" w:space="0" w:color="auto"/>
        <w:right w:val="none" w:sz="0" w:space="0" w:color="auto"/>
      </w:divBdr>
    </w:div>
    <w:div w:id="418990191">
      <w:marLeft w:val="0"/>
      <w:marRight w:val="0"/>
      <w:marTop w:val="0"/>
      <w:marBottom w:val="0"/>
      <w:divBdr>
        <w:top w:val="none" w:sz="0" w:space="0" w:color="auto"/>
        <w:left w:val="none" w:sz="0" w:space="0" w:color="auto"/>
        <w:bottom w:val="none" w:sz="0" w:space="0" w:color="auto"/>
        <w:right w:val="none" w:sz="0" w:space="0" w:color="auto"/>
      </w:divBdr>
      <w:divsChild>
        <w:div w:id="1086659023">
          <w:marLeft w:val="0"/>
          <w:marRight w:val="0"/>
          <w:marTop w:val="0"/>
          <w:marBottom w:val="0"/>
          <w:divBdr>
            <w:top w:val="none" w:sz="0" w:space="0" w:color="auto"/>
            <w:left w:val="none" w:sz="0" w:space="0" w:color="auto"/>
            <w:bottom w:val="none" w:sz="0" w:space="0" w:color="auto"/>
            <w:right w:val="none" w:sz="0" w:space="0" w:color="auto"/>
          </w:divBdr>
        </w:div>
      </w:divsChild>
    </w:div>
    <w:div w:id="419914355">
      <w:bodyDiv w:val="1"/>
      <w:marLeft w:val="0"/>
      <w:marRight w:val="0"/>
      <w:marTop w:val="0"/>
      <w:marBottom w:val="0"/>
      <w:divBdr>
        <w:top w:val="none" w:sz="0" w:space="0" w:color="auto"/>
        <w:left w:val="none" w:sz="0" w:space="0" w:color="auto"/>
        <w:bottom w:val="none" w:sz="0" w:space="0" w:color="auto"/>
        <w:right w:val="none" w:sz="0" w:space="0" w:color="auto"/>
      </w:divBdr>
    </w:div>
    <w:div w:id="420370796">
      <w:bodyDiv w:val="1"/>
      <w:marLeft w:val="0"/>
      <w:marRight w:val="0"/>
      <w:marTop w:val="0"/>
      <w:marBottom w:val="0"/>
      <w:divBdr>
        <w:top w:val="none" w:sz="0" w:space="0" w:color="auto"/>
        <w:left w:val="none" w:sz="0" w:space="0" w:color="auto"/>
        <w:bottom w:val="none" w:sz="0" w:space="0" w:color="auto"/>
        <w:right w:val="none" w:sz="0" w:space="0" w:color="auto"/>
      </w:divBdr>
    </w:div>
    <w:div w:id="421221309">
      <w:bodyDiv w:val="1"/>
      <w:marLeft w:val="0"/>
      <w:marRight w:val="0"/>
      <w:marTop w:val="0"/>
      <w:marBottom w:val="0"/>
      <w:divBdr>
        <w:top w:val="none" w:sz="0" w:space="0" w:color="auto"/>
        <w:left w:val="none" w:sz="0" w:space="0" w:color="auto"/>
        <w:bottom w:val="none" w:sz="0" w:space="0" w:color="auto"/>
        <w:right w:val="none" w:sz="0" w:space="0" w:color="auto"/>
      </w:divBdr>
    </w:div>
    <w:div w:id="421873303">
      <w:marLeft w:val="0"/>
      <w:marRight w:val="0"/>
      <w:marTop w:val="0"/>
      <w:marBottom w:val="0"/>
      <w:divBdr>
        <w:top w:val="none" w:sz="0" w:space="0" w:color="auto"/>
        <w:left w:val="none" w:sz="0" w:space="0" w:color="auto"/>
        <w:bottom w:val="none" w:sz="0" w:space="0" w:color="auto"/>
        <w:right w:val="none" w:sz="0" w:space="0" w:color="auto"/>
      </w:divBdr>
      <w:divsChild>
        <w:div w:id="1798135839">
          <w:marLeft w:val="0"/>
          <w:marRight w:val="0"/>
          <w:marTop w:val="0"/>
          <w:marBottom w:val="0"/>
          <w:divBdr>
            <w:top w:val="none" w:sz="0" w:space="0" w:color="auto"/>
            <w:left w:val="none" w:sz="0" w:space="0" w:color="auto"/>
            <w:bottom w:val="none" w:sz="0" w:space="0" w:color="auto"/>
            <w:right w:val="none" w:sz="0" w:space="0" w:color="auto"/>
          </w:divBdr>
        </w:div>
      </w:divsChild>
    </w:div>
    <w:div w:id="421998005">
      <w:marLeft w:val="0"/>
      <w:marRight w:val="0"/>
      <w:marTop w:val="0"/>
      <w:marBottom w:val="0"/>
      <w:divBdr>
        <w:top w:val="none" w:sz="0" w:space="0" w:color="auto"/>
        <w:left w:val="none" w:sz="0" w:space="0" w:color="auto"/>
        <w:bottom w:val="none" w:sz="0" w:space="0" w:color="auto"/>
        <w:right w:val="none" w:sz="0" w:space="0" w:color="auto"/>
      </w:divBdr>
      <w:divsChild>
        <w:div w:id="1329595566">
          <w:marLeft w:val="0"/>
          <w:marRight w:val="0"/>
          <w:marTop w:val="0"/>
          <w:marBottom w:val="0"/>
          <w:divBdr>
            <w:top w:val="none" w:sz="0" w:space="0" w:color="auto"/>
            <w:left w:val="none" w:sz="0" w:space="0" w:color="auto"/>
            <w:bottom w:val="none" w:sz="0" w:space="0" w:color="auto"/>
            <w:right w:val="none" w:sz="0" w:space="0" w:color="auto"/>
          </w:divBdr>
        </w:div>
      </w:divsChild>
    </w:div>
    <w:div w:id="422148584">
      <w:marLeft w:val="0"/>
      <w:marRight w:val="0"/>
      <w:marTop w:val="0"/>
      <w:marBottom w:val="0"/>
      <w:divBdr>
        <w:top w:val="none" w:sz="0" w:space="0" w:color="auto"/>
        <w:left w:val="none" w:sz="0" w:space="0" w:color="auto"/>
        <w:bottom w:val="none" w:sz="0" w:space="0" w:color="auto"/>
        <w:right w:val="none" w:sz="0" w:space="0" w:color="auto"/>
      </w:divBdr>
      <w:divsChild>
        <w:div w:id="1095707431">
          <w:marLeft w:val="0"/>
          <w:marRight w:val="0"/>
          <w:marTop w:val="0"/>
          <w:marBottom w:val="0"/>
          <w:divBdr>
            <w:top w:val="none" w:sz="0" w:space="0" w:color="auto"/>
            <w:left w:val="none" w:sz="0" w:space="0" w:color="auto"/>
            <w:bottom w:val="none" w:sz="0" w:space="0" w:color="auto"/>
            <w:right w:val="none" w:sz="0" w:space="0" w:color="auto"/>
          </w:divBdr>
        </w:div>
      </w:divsChild>
    </w:div>
    <w:div w:id="425541357">
      <w:marLeft w:val="0"/>
      <w:marRight w:val="0"/>
      <w:marTop w:val="0"/>
      <w:marBottom w:val="0"/>
      <w:divBdr>
        <w:top w:val="none" w:sz="0" w:space="0" w:color="auto"/>
        <w:left w:val="none" w:sz="0" w:space="0" w:color="auto"/>
        <w:bottom w:val="none" w:sz="0" w:space="0" w:color="auto"/>
        <w:right w:val="none" w:sz="0" w:space="0" w:color="auto"/>
      </w:divBdr>
      <w:divsChild>
        <w:div w:id="450712272">
          <w:marLeft w:val="0"/>
          <w:marRight w:val="0"/>
          <w:marTop w:val="0"/>
          <w:marBottom w:val="0"/>
          <w:divBdr>
            <w:top w:val="none" w:sz="0" w:space="0" w:color="auto"/>
            <w:left w:val="none" w:sz="0" w:space="0" w:color="auto"/>
            <w:bottom w:val="none" w:sz="0" w:space="0" w:color="auto"/>
            <w:right w:val="none" w:sz="0" w:space="0" w:color="auto"/>
          </w:divBdr>
        </w:div>
      </w:divsChild>
    </w:div>
    <w:div w:id="429005788">
      <w:marLeft w:val="0"/>
      <w:marRight w:val="0"/>
      <w:marTop w:val="0"/>
      <w:marBottom w:val="0"/>
      <w:divBdr>
        <w:top w:val="none" w:sz="0" w:space="0" w:color="auto"/>
        <w:left w:val="none" w:sz="0" w:space="0" w:color="auto"/>
        <w:bottom w:val="none" w:sz="0" w:space="0" w:color="auto"/>
        <w:right w:val="none" w:sz="0" w:space="0" w:color="auto"/>
      </w:divBdr>
      <w:divsChild>
        <w:div w:id="1336153133">
          <w:marLeft w:val="0"/>
          <w:marRight w:val="0"/>
          <w:marTop w:val="0"/>
          <w:marBottom w:val="0"/>
          <w:divBdr>
            <w:top w:val="none" w:sz="0" w:space="0" w:color="auto"/>
            <w:left w:val="none" w:sz="0" w:space="0" w:color="auto"/>
            <w:bottom w:val="none" w:sz="0" w:space="0" w:color="auto"/>
            <w:right w:val="none" w:sz="0" w:space="0" w:color="auto"/>
          </w:divBdr>
        </w:div>
      </w:divsChild>
    </w:div>
    <w:div w:id="434517498">
      <w:marLeft w:val="0"/>
      <w:marRight w:val="0"/>
      <w:marTop w:val="0"/>
      <w:marBottom w:val="0"/>
      <w:divBdr>
        <w:top w:val="none" w:sz="0" w:space="0" w:color="auto"/>
        <w:left w:val="none" w:sz="0" w:space="0" w:color="auto"/>
        <w:bottom w:val="none" w:sz="0" w:space="0" w:color="auto"/>
        <w:right w:val="none" w:sz="0" w:space="0" w:color="auto"/>
      </w:divBdr>
      <w:divsChild>
        <w:div w:id="102041151">
          <w:marLeft w:val="0"/>
          <w:marRight w:val="0"/>
          <w:marTop w:val="0"/>
          <w:marBottom w:val="0"/>
          <w:divBdr>
            <w:top w:val="none" w:sz="0" w:space="0" w:color="auto"/>
            <w:left w:val="none" w:sz="0" w:space="0" w:color="auto"/>
            <w:bottom w:val="none" w:sz="0" w:space="0" w:color="auto"/>
            <w:right w:val="none" w:sz="0" w:space="0" w:color="auto"/>
          </w:divBdr>
        </w:div>
      </w:divsChild>
    </w:div>
    <w:div w:id="435833375">
      <w:marLeft w:val="0"/>
      <w:marRight w:val="0"/>
      <w:marTop w:val="0"/>
      <w:marBottom w:val="0"/>
      <w:divBdr>
        <w:top w:val="none" w:sz="0" w:space="0" w:color="auto"/>
        <w:left w:val="none" w:sz="0" w:space="0" w:color="auto"/>
        <w:bottom w:val="none" w:sz="0" w:space="0" w:color="auto"/>
        <w:right w:val="none" w:sz="0" w:space="0" w:color="auto"/>
      </w:divBdr>
      <w:divsChild>
        <w:div w:id="1283029615">
          <w:marLeft w:val="0"/>
          <w:marRight w:val="0"/>
          <w:marTop w:val="0"/>
          <w:marBottom w:val="0"/>
          <w:divBdr>
            <w:top w:val="none" w:sz="0" w:space="0" w:color="auto"/>
            <w:left w:val="none" w:sz="0" w:space="0" w:color="auto"/>
            <w:bottom w:val="none" w:sz="0" w:space="0" w:color="auto"/>
            <w:right w:val="none" w:sz="0" w:space="0" w:color="auto"/>
          </w:divBdr>
        </w:div>
      </w:divsChild>
    </w:div>
    <w:div w:id="441143878">
      <w:marLeft w:val="0"/>
      <w:marRight w:val="0"/>
      <w:marTop w:val="0"/>
      <w:marBottom w:val="0"/>
      <w:divBdr>
        <w:top w:val="none" w:sz="0" w:space="0" w:color="auto"/>
        <w:left w:val="none" w:sz="0" w:space="0" w:color="auto"/>
        <w:bottom w:val="none" w:sz="0" w:space="0" w:color="auto"/>
        <w:right w:val="none" w:sz="0" w:space="0" w:color="auto"/>
      </w:divBdr>
      <w:divsChild>
        <w:div w:id="775909625">
          <w:marLeft w:val="0"/>
          <w:marRight w:val="0"/>
          <w:marTop w:val="0"/>
          <w:marBottom w:val="0"/>
          <w:divBdr>
            <w:top w:val="none" w:sz="0" w:space="0" w:color="auto"/>
            <w:left w:val="none" w:sz="0" w:space="0" w:color="auto"/>
            <w:bottom w:val="none" w:sz="0" w:space="0" w:color="auto"/>
            <w:right w:val="none" w:sz="0" w:space="0" w:color="auto"/>
          </w:divBdr>
        </w:div>
      </w:divsChild>
    </w:div>
    <w:div w:id="443157147">
      <w:marLeft w:val="0"/>
      <w:marRight w:val="0"/>
      <w:marTop w:val="0"/>
      <w:marBottom w:val="0"/>
      <w:divBdr>
        <w:top w:val="none" w:sz="0" w:space="0" w:color="auto"/>
        <w:left w:val="none" w:sz="0" w:space="0" w:color="auto"/>
        <w:bottom w:val="none" w:sz="0" w:space="0" w:color="auto"/>
        <w:right w:val="none" w:sz="0" w:space="0" w:color="auto"/>
      </w:divBdr>
      <w:divsChild>
        <w:div w:id="794757218">
          <w:marLeft w:val="0"/>
          <w:marRight w:val="0"/>
          <w:marTop w:val="0"/>
          <w:marBottom w:val="0"/>
          <w:divBdr>
            <w:top w:val="none" w:sz="0" w:space="0" w:color="auto"/>
            <w:left w:val="none" w:sz="0" w:space="0" w:color="auto"/>
            <w:bottom w:val="none" w:sz="0" w:space="0" w:color="auto"/>
            <w:right w:val="none" w:sz="0" w:space="0" w:color="auto"/>
          </w:divBdr>
        </w:div>
      </w:divsChild>
    </w:div>
    <w:div w:id="446972929">
      <w:marLeft w:val="0"/>
      <w:marRight w:val="150"/>
      <w:marTop w:val="0"/>
      <w:marBottom w:val="0"/>
      <w:divBdr>
        <w:top w:val="none" w:sz="0" w:space="0" w:color="auto"/>
        <w:left w:val="none" w:sz="0" w:space="0" w:color="auto"/>
        <w:bottom w:val="none" w:sz="0" w:space="0" w:color="auto"/>
        <w:right w:val="none" w:sz="0" w:space="0" w:color="auto"/>
      </w:divBdr>
      <w:divsChild>
        <w:div w:id="1452283946">
          <w:marLeft w:val="0"/>
          <w:marRight w:val="150"/>
          <w:marTop w:val="0"/>
          <w:marBottom w:val="0"/>
          <w:divBdr>
            <w:top w:val="none" w:sz="0" w:space="0" w:color="auto"/>
            <w:left w:val="none" w:sz="0" w:space="0" w:color="auto"/>
            <w:bottom w:val="none" w:sz="0" w:space="0" w:color="auto"/>
            <w:right w:val="none" w:sz="0" w:space="0" w:color="auto"/>
          </w:divBdr>
        </w:div>
      </w:divsChild>
    </w:div>
    <w:div w:id="448470401">
      <w:bodyDiv w:val="1"/>
      <w:marLeft w:val="0"/>
      <w:marRight w:val="0"/>
      <w:marTop w:val="0"/>
      <w:marBottom w:val="0"/>
      <w:divBdr>
        <w:top w:val="none" w:sz="0" w:space="0" w:color="auto"/>
        <w:left w:val="none" w:sz="0" w:space="0" w:color="auto"/>
        <w:bottom w:val="none" w:sz="0" w:space="0" w:color="auto"/>
        <w:right w:val="none" w:sz="0" w:space="0" w:color="auto"/>
      </w:divBdr>
      <w:divsChild>
        <w:div w:id="1117215100">
          <w:marLeft w:val="0"/>
          <w:marRight w:val="0"/>
          <w:marTop w:val="0"/>
          <w:marBottom w:val="0"/>
          <w:divBdr>
            <w:top w:val="none" w:sz="0" w:space="0" w:color="auto"/>
            <w:left w:val="none" w:sz="0" w:space="0" w:color="auto"/>
            <w:bottom w:val="none" w:sz="0" w:space="0" w:color="auto"/>
            <w:right w:val="none" w:sz="0" w:space="0" w:color="auto"/>
          </w:divBdr>
          <w:divsChild>
            <w:div w:id="1260872140">
              <w:marLeft w:val="0"/>
              <w:marRight w:val="0"/>
              <w:marTop w:val="0"/>
              <w:marBottom w:val="0"/>
              <w:divBdr>
                <w:top w:val="none" w:sz="0" w:space="0" w:color="auto"/>
                <w:left w:val="none" w:sz="0" w:space="0" w:color="auto"/>
                <w:bottom w:val="none" w:sz="0" w:space="0" w:color="auto"/>
                <w:right w:val="none" w:sz="0" w:space="0" w:color="auto"/>
              </w:divBdr>
            </w:div>
            <w:div w:id="1876964226">
              <w:marLeft w:val="0"/>
              <w:marRight w:val="0"/>
              <w:marTop w:val="0"/>
              <w:marBottom w:val="0"/>
              <w:divBdr>
                <w:top w:val="none" w:sz="0" w:space="0" w:color="auto"/>
                <w:left w:val="none" w:sz="0" w:space="0" w:color="auto"/>
                <w:bottom w:val="none" w:sz="0" w:space="0" w:color="auto"/>
                <w:right w:val="none" w:sz="0" w:space="0" w:color="auto"/>
              </w:divBdr>
            </w:div>
            <w:div w:id="419447461">
              <w:marLeft w:val="0"/>
              <w:marRight w:val="0"/>
              <w:marTop w:val="0"/>
              <w:marBottom w:val="0"/>
              <w:divBdr>
                <w:top w:val="none" w:sz="0" w:space="0" w:color="auto"/>
                <w:left w:val="none" w:sz="0" w:space="0" w:color="auto"/>
                <w:bottom w:val="none" w:sz="0" w:space="0" w:color="auto"/>
                <w:right w:val="none" w:sz="0" w:space="0" w:color="auto"/>
              </w:divBdr>
            </w:div>
            <w:div w:id="1480422393">
              <w:marLeft w:val="0"/>
              <w:marRight w:val="0"/>
              <w:marTop w:val="0"/>
              <w:marBottom w:val="0"/>
              <w:divBdr>
                <w:top w:val="none" w:sz="0" w:space="0" w:color="auto"/>
                <w:left w:val="none" w:sz="0" w:space="0" w:color="auto"/>
                <w:bottom w:val="none" w:sz="0" w:space="0" w:color="auto"/>
                <w:right w:val="none" w:sz="0" w:space="0" w:color="auto"/>
              </w:divBdr>
            </w:div>
            <w:div w:id="1296644932">
              <w:marLeft w:val="0"/>
              <w:marRight w:val="0"/>
              <w:marTop w:val="0"/>
              <w:marBottom w:val="0"/>
              <w:divBdr>
                <w:top w:val="none" w:sz="0" w:space="0" w:color="auto"/>
                <w:left w:val="none" w:sz="0" w:space="0" w:color="auto"/>
                <w:bottom w:val="none" w:sz="0" w:space="0" w:color="auto"/>
                <w:right w:val="none" w:sz="0" w:space="0" w:color="auto"/>
              </w:divBdr>
            </w:div>
            <w:div w:id="1278174788">
              <w:marLeft w:val="0"/>
              <w:marRight w:val="0"/>
              <w:marTop w:val="0"/>
              <w:marBottom w:val="0"/>
              <w:divBdr>
                <w:top w:val="none" w:sz="0" w:space="0" w:color="auto"/>
                <w:left w:val="none" w:sz="0" w:space="0" w:color="auto"/>
                <w:bottom w:val="none" w:sz="0" w:space="0" w:color="auto"/>
                <w:right w:val="none" w:sz="0" w:space="0" w:color="auto"/>
              </w:divBdr>
            </w:div>
            <w:div w:id="1969553500">
              <w:marLeft w:val="0"/>
              <w:marRight w:val="0"/>
              <w:marTop w:val="0"/>
              <w:marBottom w:val="0"/>
              <w:divBdr>
                <w:top w:val="none" w:sz="0" w:space="0" w:color="auto"/>
                <w:left w:val="none" w:sz="0" w:space="0" w:color="auto"/>
                <w:bottom w:val="none" w:sz="0" w:space="0" w:color="auto"/>
                <w:right w:val="none" w:sz="0" w:space="0" w:color="auto"/>
              </w:divBdr>
            </w:div>
            <w:div w:id="1294872102">
              <w:marLeft w:val="0"/>
              <w:marRight w:val="0"/>
              <w:marTop w:val="0"/>
              <w:marBottom w:val="0"/>
              <w:divBdr>
                <w:top w:val="none" w:sz="0" w:space="0" w:color="auto"/>
                <w:left w:val="none" w:sz="0" w:space="0" w:color="auto"/>
                <w:bottom w:val="none" w:sz="0" w:space="0" w:color="auto"/>
                <w:right w:val="none" w:sz="0" w:space="0" w:color="auto"/>
              </w:divBdr>
            </w:div>
            <w:div w:id="2080135025">
              <w:marLeft w:val="0"/>
              <w:marRight w:val="0"/>
              <w:marTop w:val="0"/>
              <w:marBottom w:val="0"/>
              <w:divBdr>
                <w:top w:val="none" w:sz="0" w:space="0" w:color="auto"/>
                <w:left w:val="none" w:sz="0" w:space="0" w:color="auto"/>
                <w:bottom w:val="none" w:sz="0" w:space="0" w:color="auto"/>
                <w:right w:val="none" w:sz="0" w:space="0" w:color="auto"/>
              </w:divBdr>
            </w:div>
            <w:div w:id="986863366">
              <w:marLeft w:val="0"/>
              <w:marRight w:val="0"/>
              <w:marTop w:val="0"/>
              <w:marBottom w:val="0"/>
              <w:divBdr>
                <w:top w:val="none" w:sz="0" w:space="0" w:color="auto"/>
                <w:left w:val="none" w:sz="0" w:space="0" w:color="auto"/>
                <w:bottom w:val="none" w:sz="0" w:space="0" w:color="auto"/>
                <w:right w:val="none" w:sz="0" w:space="0" w:color="auto"/>
              </w:divBdr>
            </w:div>
            <w:div w:id="372967035">
              <w:marLeft w:val="0"/>
              <w:marRight w:val="0"/>
              <w:marTop w:val="0"/>
              <w:marBottom w:val="0"/>
              <w:divBdr>
                <w:top w:val="none" w:sz="0" w:space="0" w:color="auto"/>
                <w:left w:val="none" w:sz="0" w:space="0" w:color="auto"/>
                <w:bottom w:val="none" w:sz="0" w:space="0" w:color="auto"/>
                <w:right w:val="none" w:sz="0" w:space="0" w:color="auto"/>
              </w:divBdr>
            </w:div>
            <w:div w:id="614601561">
              <w:marLeft w:val="0"/>
              <w:marRight w:val="0"/>
              <w:marTop w:val="0"/>
              <w:marBottom w:val="0"/>
              <w:divBdr>
                <w:top w:val="none" w:sz="0" w:space="0" w:color="auto"/>
                <w:left w:val="none" w:sz="0" w:space="0" w:color="auto"/>
                <w:bottom w:val="none" w:sz="0" w:space="0" w:color="auto"/>
                <w:right w:val="none" w:sz="0" w:space="0" w:color="auto"/>
              </w:divBdr>
            </w:div>
            <w:div w:id="1421757393">
              <w:marLeft w:val="0"/>
              <w:marRight w:val="0"/>
              <w:marTop w:val="0"/>
              <w:marBottom w:val="0"/>
              <w:divBdr>
                <w:top w:val="none" w:sz="0" w:space="0" w:color="auto"/>
                <w:left w:val="none" w:sz="0" w:space="0" w:color="auto"/>
                <w:bottom w:val="none" w:sz="0" w:space="0" w:color="auto"/>
                <w:right w:val="none" w:sz="0" w:space="0" w:color="auto"/>
              </w:divBdr>
            </w:div>
            <w:div w:id="842430079">
              <w:marLeft w:val="0"/>
              <w:marRight w:val="0"/>
              <w:marTop w:val="0"/>
              <w:marBottom w:val="0"/>
              <w:divBdr>
                <w:top w:val="none" w:sz="0" w:space="0" w:color="auto"/>
                <w:left w:val="none" w:sz="0" w:space="0" w:color="auto"/>
                <w:bottom w:val="none" w:sz="0" w:space="0" w:color="auto"/>
                <w:right w:val="none" w:sz="0" w:space="0" w:color="auto"/>
              </w:divBdr>
            </w:div>
            <w:div w:id="510488384">
              <w:marLeft w:val="0"/>
              <w:marRight w:val="0"/>
              <w:marTop w:val="0"/>
              <w:marBottom w:val="0"/>
              <w:divBdr>
                <w:top w:val="none" w:sz="0" w:space="0" w:color="auto"/>
                <w:left w:val="none" w:sz="0" w:space="0" w:color="auto"/>
                <w:bottom w:val="none" w:sz="0" w:space="0" w:color="auto"/>
                <w:right w:val="none" w:sz="0" w:space="0" w:color="auto"/>
              </w:divBdr>
            </w:div>
            <w:div w:id="205677543">
              <w:marLeft w:val="0"/>
              <w:marRight w:val="0"/>
              <w:marTop w:val="0"/>
              <w:marBottom w:val="0"/>
              <w:divBdr>
                <w:top w:val="none" w:sz="0" w:space="0" w:color="auto"/>
                <w:left w:val="none" w:sz="0" w:space="0" w:color="auto"/>
                <w:bottom w:val="none" w:sz="0" w:space="0" w:color="auto"/>
                <w:right w:val="none" w:sz="0" w:space="0" w:color="auto"/>
              </w:divBdr>
            </w:div>
            <w:div w:id="863251033">
              <w:marLeft w:val="0"/>
              <w:marRight w:val="0"/>
              <w:marTop w:val="0"/>
              <w:marBottom w:val="0"/>
              <w:divBdr>
                <w:top w:val="none" w:sz="0" w:space="0" w:color="auto"/>
                <w:left w:val="none" w:sz="0" w:space="0" w:color="auto"/>
                <w:bottom w:val="none" w:sz="0" w:space="0" w:color="auto"/>
                <w:right w:val="none" w:sz="0" w:space="0" w:color="auto"/>
              </w:divBdr>
            </w:div>
            <w:div w:id="819154525">
              <w:marLeft w:val="0"/>
              <w:marRight w:val="0"/>
              <w:marTop w:val="0"/>
              <w:marBottom w:val="0"/>
              <w:divBdr>
                <w:top w:val="none" w:sz="0" w:space="0" w:color="auto"/>
                <w:left w:val="none" w:sz="0" w:space="0" w:color="auto"/>
                <w:bottom w:val="none" w:sz="0" w:space="0" w:color="auto"/>
                <w:right w:val="none" w:sz="0" w:space="0" w:color="auto"/>
              </w:divBdr>
            </w:div>
            <w:div w:id="1538003522">
              <w:marLeft w:val="0"/>
              <w:marRight w:val="0"/>
              <w:marTop w:val="0"/>
              <w:marBottom w:val="0"/>
              <w:divBdr>
                <w:top w:val="none" w:sz="0" w:space="0" w:color="auto"/>
                <w:left w:val="none" w:sz="0" w:space="0" w:color="auto"/>
                <w:bottom w:val="none" w:sz="0" w:space="0" w:color="auto"/>
                <w:right w:val="none" w:sz="0" w:space="0" w:color="auto"/>
              </w:divBdr>
            </w:div>
            <w:div w:id="142740588">
              <w:marLeft w:val="0"/>
              <w:marRight w:val="0"/>
              <w:marTop w:val="0"/>
              <w:marBottom w:val="0"/>
              <w:divBdr>
                <w:top w:val="none" w:sz="0" w:space="0" w:color="auto"/>
                <w:left w:val="none" w:sz="0" w:space="0" w:color="auto"/>
                <w:bottom w:val="none" w:sz="0" w:space="0" w:color="auto"/>
                <w:right w:val="none" w:sz="0" w:space="0" w:color="auto"/>
              </w:divBdr>
            </w:div>
            <w:div w:id="2618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2081">
      <w:marLeft w:val="0"/>
      <w:marRight w:val="0"/>
      <w:marTop w:val="0"/>
      <w:marBottom w:val="0"/>
      <w:divBdr>
        <w:top w:val="none" w:sz="0" w:space="0" w:color="auto"/>
        <w:left w:val="none" w:sz="0" w:space="0" w:color="auto"/>
        <w:bottom w:val="none" w:sz="0" w:space="0" w:color="auto"/>
        <w:right w:val="none" w:sz="0" w:space="0" w:color="auto"/>
      </w:divBdr>
      <w:divsChild>
        <w:div w:id="1097872762">
          <w:marLeft w:val="0"/>
          <w:marRight w:val="0"/>
          <w:marTop w:val="0"/>
          <w:marBottom w:val="0"/>
          <w:divBdr>
            <w:top w:val="none" w:sz="0" w:space="0" w:color="auto"/>
            <w:left w:val="none" w:sz="0" w:space="0" w:color="auto"/>
            <w:bottom w:val="none" w:sz="0" w:space="0" w:color="auto"/>
            <w:right w:val="none" w:sz="0" w:space="0" w:color="auto"/>
          </w:divBdr>
        </w:div>
      </w:divsChild>
    </w:div>
    <w:div w:id="451940568">
      <w:marLeft w:val="0"/>
      <w:marRight w:val="0"/>
      <w:marTop w:val="0"/>
      <w:marBottom w:val="0"/>
      <w:divBdr>
        <w:top w:val="none" w:sz="0" w:space="0" w:color="auto"/>
        <w:left w:val="none" w:sz="0" w:space="0" w:color="auto"/>
        <w:bottom w:val="none" w:sz="0" w:space="0" w:color="auto"/>
        <w:right w:val="none" w:sz="0" w:space="0" w:color="auto"/>
      </w:divBdr>
      <w:divsChild>
        <w:div w:id="809248564">
          <w:marLeft w:val="0"/>
          <w:marRight w:val="0"/>
          <w:marTop w:val="0"/>
          <w:marBottom w:val="0"/>
          <w:divBdr>
            <w:top w:val="none" w:sz="0" w:space="0" w:color="auto"/>
            <w:left w:val="none" w:sz="0" w:space="0" w:color="auto"/>
            <w:bottom w:val="none" w:sz="0" w:space="0" w:color="auto"/>
            <w:right w:val="none" w:sz="0" w:space="0" w:color="auto"/>
          </w:divBdr>
        </w:div>
      </w:divsChild>
    </w:div>
    <w:div w:id="453403248">
      <w:bodyDiv w:val="1"/>
      <w:marLeft w:val="0"/>
      <w:marRight w:val="0"/>
      <w:marTop w:val="0"/>
      <w:marBottom w:val="0"/>
      <w:divBdr>
        <w:top w:val="none" w:sz="0" w:space="0" w:color="auto"/>
        <w:left w:val="none" w:sz="0" w:space="0" w:color="auto"/>
        <w:bottom w:val="none" w:sz="0" w:space="0" w:color="auto"/>
        <w:right w:val="none" w:sz="0" w:space="0" w:color="auto"/>
      </w:divBdr>
    </w:div>
    <w:div w:id="455638125">
      <w:bodyDiv w:val="1"/>
      <w:marLeft w:val="0"/>
      <w:marRight w:val="0"/>
      <w:marTop w:val="0"/>
      <w:marBottom w:val="0"/>
      <w:divBdr>
        <w:top w:val="none" w:sz="0" w:space="0" w:color="auto"/>
        <w:left w:val="none" w:sz="0" w:space="0" w:color="auto"/>
        <w:bottom w:val="none" w:sz="0" w:space="0" w:color="auto"/>
        <w:right w:val="none" w:sz="0" w:space="0" w:color="auto"/>
      </w:divBdr>
    </w:div>
    <w:div w:id="458883645">
      <w:bodyDiv w:val="1"/>
      <w:marLeft w:val="0"/>
      <w:marRight w:val="0"/>
      <w:marTop w:val="0"/>
      <w:marBottom w:val="0"/>
      <w:divBdr>
        <w:top w:val="none" w:sz="0" w:space="0" w:color="auto"/>
        <w:left w:val="none" w:sz="0" w:space="0" w:color="auto"/>
        <w:bottom w:val="none" w:sz="0" w:space="0" w:color="auto"/>
        <w:right w:val="none" w:sz="0" w:space="0" w:color="auto"/>
      </w:divBdr>
    </w:div>
    <w:div w:id="462038153">
      <w:bodyDiv w:val="1"/>
      <w:marLeft w:val="0"/>
      <w:marRight w:val="0"/>
      <w:marTop w:val="0"/>
      <w:marBottom w:val="0"/>
      <w:divBdr>
        <w:top w:val="none" w:sz="0" w:space="0" w:color="auto"/>
        <w:left w:val="none" w:sz="0" w:space="0" w:color="auto"/>
        <w:bottom w:val="none" w:sz="0" w:space="0" w:color="auto"/>
        <w:right w:val="none" w:sz="0" w:space="0" w:color="auto"/>
      </w:divBdr>
    </w:div>
    <w:div w:id="465705882">
      <w:marLeft w:val="0"/>
      <w:marRight w:val="0"/>
      <w:marTop w:val="0"/>
      <w:marBottom w:val="0"/>
      <w:divBdr>
        <w:top w:val="none" w:sz="0" w:space="0" w:color="auto"/>
        <w:left w:val="none" w:sz="0" w:space="0" w:color="auto"/>
        <w:bottom w:val="none" w:sz="0" w:space="0" w:color="auto"/>
        <w:right w:val="none" w:sz="0" w:space="0" w:color="auto"/>
      </w:divBdr>
      <w:divsChild>
        <w:div w:id="636690495">
          <w:marLeft w:val="0"/>
          <w:marRight w:val="0"/>
          <w:marTop w:val="0"/>
          <w:marBottom w:val="0"/>
          <w:divBdr>
            <w:top w:val="none" w:sz="0" w:space="0" w:color="auto"/>
            <w:left w:val="none" w:sz="0" w:space="0" w:color="auto"/>
            <w:bottom w:val="none" w:sz="0" w:space="0" w:color="auto"/>
            <w:right w:val="none" w:sz="0" w:space="0" w:color="auto"/>
          </w:divBdr>
        </w:div>
      </w:divsChild>
    </w:div>
    <w:div w:id="466749864">
      <w:marLeft w:val="0"/>
      <w:marRight w:val="0"/>
      <w:marTop w:val="0"/>
      <w:marBottom w:val="0"/>
      <w:divBdr>
        <w:top w:val="none" w:sz="0" w:space="0" w:color="auto"/>
        <w:left w:val="none" w:sz="0" w:space="0" w:color="auto"/>
        <w:bottom w:val="none" w:sz="0" w:space="0" w:color="auto"/>
        <w:right w:val="none" w:sz="0" w:space="0" w:color="auto"/>
      </w:divBdr>
      <w:divsChild>
        <w:div w:id="1649285015">
          <w:marLeft w:val="0"/>
          <w:marRight w:val="0"/>
          <w:marTop w:val="0"/>
          <w:marBottom w:val="0"/>
          <w:divBdr>
            <w:top w:val="none" w:sz="0" w:space="0" w:color="auto"/>
            <w:left w:val="none" w:sz="0" w:space="0" w:color="auto"/>
            <w:bottom w:val="none" w:sz="0" w:space="0" w:color="auto"/>
            <w:right w:val="none" w:sz="0" w:space="0" w:color="auto"/>
          </w:divBdr>
        </w:div>
      </w:divsChild>
    </w:div>
    <w:div w:id="468862486">
      <w:marLeft w:val="0"/>
      <w:marRight w:val="0"/>
      <w:marTop w:val="0"/>
      <w:marBottom w:val="0"/>
      <w:divBdr>
        <w:top w:val="none" w:sz="0" w:space="0" w:color="auto"/>
        <w:left w:val="none" w:sz="0" w:space="0" w:color="auto"/>
        <w:bottom w:val="none" w:sz="0" w:space="0" w:color="auto"/>
        <w:right w:val="none" w:sz="0" w:space="0" w:color="auto"/>
      </w:divBdr>
      <w:divsChild>
        <w:div w:id="1393430063">
          <w:marLeft w:val="0"/>
          <w:marRight w:val="0"/>
          <w:marTop w:val="0"/>
          <w:marBottom w:val="0"/>
          <w:divBdr>
            <w:top w:val="none" w:sz="0" w:space="0" w:color="auto"/>
            <w:left w:val="none" w:sz="0" w:space="0" w:color="auto"/>
            <w:bottom w:val="none" w:sz="0" w:space="0" w:color="auto"/>
            <w:right w:val="none" w:sz="0" w:space="0" w:color="auto"/>
          </w:divBdr>
        </w:div>
      </w:divsChild>
    </w:div>
    <w:div w:id="471603065">
      <w:marLeft w:val="0"/>
      <w:marRight w:val="0"/>
      <w:marTop w:val="0"/>
      <w:marBottom w:val="0"/>
      <w:divBdr>
        <w:top w:val="none" w:sz="0" w:space="0" w:color="auto"/>
        <w:left w:val="none" w:sz="0" w:space="0" w:color="auto"/>
        <w:bottom w:val="none" w:sz="0" w:space="0" w:color="auto"/>
        <w:right w:val="none" w:sz="0" w:space="0" w:color="auto"/>
      </w:divBdr>
      <w:divsChild>
        <w:div w:id="171536659">
          <w:marLeft w:val="0"/>
          <w:marRight w:val="0"/>
          <w:marTop w:val="0"/>
          <w:marBottom w:val="0"/>
          <w:divBdr>
            <w:top w:val="none" w:sz="0" w:space="0" w:color="auto"/>
            <w:left w:val="none" w:sz="0" w:space="0" w:color="auto"/>
            <w:bottom w:val="none" w:sz="0" w:space="0" w:color="auto"/>
            <w:right w:val="none" w:sz="0" w:space="0" w:color="auto"/>
          </w:divBdr>
        </w:div>
      </w:divsChild>
    </w:div>
    <w:div w:id="475684278">
      <w:marLeft w:val="0"/>
      <w:marRight w:val="0"/>
      <w:marTop w:val="0"/>
      <w:marBottom w:val="0"/>
      <w:divBdr>
        <w:top w:val="none" w:sz="0" w:space="0" w:color="auto"/>
        <w:left w:val="none" w:sz="0" w:space="0" w:color="auto"/>
        <w:bottom w:val="none" w:sz="0" w:space="0" w:color="auto"/>
        <w:right w:val="none" w:sz="0" w:space="0" w:color="auto"/>
      </w:divBdr>
      <w:divsChild>
        <w:div w:id="594753530">
          <w:marLeft w:val="0"/>
          <w:marRight w:val="0"/>
          <w:marTop w:val="0"/>
          <w:marBottom w:val="0"/>
          <w:divBdr>
            <w:top w:val="none" w:sz="0" w:space="0" w:color="auto"/>
            <w:left w:val="none" w:sz="0" w:space="0" w:color="auto"/>
            <w:bottom w:val="none" w:sz="0" w:space="0" w:color="auto"/>
            <w:right w:val="none" w:sz="0" w:space="0" w:color="auto"/>
          </w:divBdr>
        </w:div>
      </w:divsChild>
    </w:div>
    <w:div w:id="476142734">
      <w:bodyDiv w:val="1"/>
      <w:marLeft w:val="0"/>
      <w:marRight w:val="0"/>
      <w:marTop w:val="0"/>
      <w:marBottom w:val="0"/>
      <w:divBdr>
        <w:top w:val="none" w:sz="0" w:space="0" w:color="auto"/>
        <w:left w:val="none" w:sz="0" w:space="0" w:color="auto"/>
        <w:bottom w:val="none" w:sz="0" w:space="0" w:color="auto"/>
        <w:right w:val="none" w:sz="0" w:space="0" w:color="auto"/>
      </w:divBdr>
      <w:divsChild>
        <w:div w:id="559903806">
          <w:marLeft w:val="0"/>
          <w:marRight w:val="0"/>
          <w:marTop w:val="0"/>
          <w:marBottom w:val="0"/>
          <w:divBdr>
            <w:top w:val="none" w:sz="0" w:space="0" w:color="auto"/>
            <w:left w:val="none" w:sz="0" w:space="0" w:color="auto"/>
            <w:bottom w:val="none" w:sz="0" w:space="0" w:color="auto"/>
            <w:right w:val="none" w:sz="0" w:space="0" w:color="auto"/>
          </w:divBdr>
          <w:divsChild>
            <w:div w:id="1854297340">
              <w:marLeft w:val="0"/>
              <w:marRight w:val="0"/>
              <w:marTop w:val="0"/>
              <w:marBottom w:val="0"/>
              <w:divBdr>
                <w:top w:val="none" w:sz="0" w:space="0" w:color="auto"/>
                <w:left w:val="none" w:sz="0" w:space="0" w:color="auto"/>
                <w:bottom w:val="none" w:sz="0" w:space="0" w:color="auto"/>
                <w:right w:val="none" w:sz="0" w:space="0" w:color="auto"/>
              </w:divBdr>
            </w:div>
            <w:div w:id="1924682315">
              <w:marLeft w:val="0"/>
              <w:marRight w:val="0"/>
              <w:marTop w:val="0"/>
              <w:marBottom w:val="0"/>
              <w:divBdr>
                <w:top w:val="none" w:sz="0" w:space="0" w:color="auto"/>
                <w:left w:val="none" w:sz="0" w:space="0" w:color="auto"/>
                <w:bottom w:val="none" w:sz="0" w:space="0" w:color="auto"/>
                <w:right w:val="none" w:sz="0" w:space="0" w:color="auto"/>
              </w:divBdr>
            </w:div>
            <w:div w:id="770274604">
              <w:marLeft w:val="0"/>
              <w:marRight w:val="0"/>
              <w:marTop w:val="0"/>
              <w:marBottom w:val="0"/>
              <w:divBdr>
                <w:top w:val="none" w:sz="0" w:space="0" w:color="auto"/>
                <w:left w:val="none" w:sz="0" w:space="0" w:color="auto"/>
                <w:bottom w:val="none" w:sz="0" w:space="0" w:color="auto"/>
                <w:right w:val="none" w:sz="0" w:space="0" w:color="auto"/>
              </w:divBdr>
            </w:div>
            <w:div w:id="1012990697">
              <w:marLeft w:val="0"/>
              <w:marRight w:val="0"/>
              <w:marTop w:val="0"/>
              <w:marBottom w:val="0"/>
              <w:divBdr>
                <w:top w:val="none" w:sz="0" w:space="0" w:color="auto"/>
                <w:left w:val="none" w:sz="0" w:space="0" w:color="auto"/>
                <w:bottom w:val="none" w:sz="0" w:space="0" w:color="auto"/>
                <w:right w:val="none" w:sz="0" w:space="0" w:color="auto"/>
              </w:divBdr>
            </w:div>
            <w:div w:id="939459070">
              <w:marLeft w:val="0"/>
              <w:marRight w:val="0"/>
              <w:marTop w:val="0"/>
              <w:marBottom w:val="0"/>
              <w:divBdr>
                <w:top w:val="none" w:sz="0" w:space="0" w:color="auto"/>
                <w:left w:val="none" w:sz="0" w:space="0" w:color="auto"/>
                <w:bottom w:val="none" w:sz="0" w:space="0" w:color="auto"/>
                <w:right w:val="none" w:sz="0" w:space="0" w:color="auto"/>
              </w:divBdr>
            </w:div>
            <w:div w:id="1660576646">
              <w:marLeft w:val="0"/>
              <w:marRight w:val="0"/>
              <w:marTop w:val="0"/>
              <w:marBottom w:val="0"/>
              <w:divBdr>
                <w:top w:val="none" w:sz="0" w:space="0" w:color="auto"/>
                <w:left w:val="none" w:sz="0" w:space="0" w:color="auto"/>
                <w:bottom w:val="none" w:sz="0" w:space="0" w:color="auto"/>
                <w:right w:val="none" w:sz="0" w:space="0" w:color="auto"/>
              </w:divBdr>
            </w:div>
            <w:div w:id="1036008233">
              <w:marLeft w:val="0"/>
              <w:marRight w:val="0"/>
              <w:marTop w:val="0"/>
              <w:marBottom w:val="0"/>
              <w:divBdr>
                <w:top w:val="none" w:sz="0" w:space="0" w:color="auto"/>
                <w:left w:val="none" w:sz="0" w:space="0" w:color="auto"/>
                <w:bottom w:val="none" w:sz="0" w:space="0" w:color="auto"/>
                <w:right w:val="none" w:sz="0" w:space="0" w:color="auto"/>
              </w:divBdr>
            </w:div>
            <w:div w:id="611715668">
              <w:marLeft w:val="0"/>
              <w:marRight w:val="0"/>
              <w:marTop w:val="0"/>
              <w:marBottom w:val="0"/>
              <w:divBdr>
                <w:top w:val="none" w:sz="0" w:space="0" w:color="auto"/>
                <w:left w:val="none" w:sz="0" w:space="0" w:color="auto"/>
                <w:bottom w:val="none" w:sz="0" w:space="0" w:color="auto"/>
                <w:right w:val="none" w:sz="0" w:space="0" w:color="auto"/>
              </w:divBdr>
            </w:div>
            <w:div w:id="1119643861">
              <w:marLeft w:val="0"/>
              <w:marRight w:val="0"/>
              <w:marTop w:val="0"/>
              <w:marBottom w:val="0"/>
              <w:divBdr>
                <w:top w:val="none" w:sz="0" w:space="0" w:color="auto"/>
                <w:left w:val="none" w:sz="0" w:space="0" w:color="auto"/>
                <w:bottom w:val="none" w:sz="0" w:space="0" w:color="auto"/>
                <w:right w:val="none" w:sz="0" w:space="0" w:color="auto"/>
              </w:divBdr>
            </w:div>
            <w:div w:id="1492942337">
              <w:marLeft w:val="0"/>
              <w:marRight w:val="0"/>
              <w:marTop w:val="0"/>
              <w:marBottom w:val="0"/>
              <w:divBdr>
                <w:top w:val="none" w:sz="0" w:space="0" w:color="auto"/>
                <w:left w:val="none" w:sz="0" w:space="0" w:color="auto"/>
                <w:bottom w:val="none" w:sz="0" w:space="0" w:color="auto"/>
                <w:right w:val="none" w:sz="0" w:space="0" w:color="auto"/>
              </w:divBdr>
            </w:div>
            <w:div w:id="173036218">
              <w:marLeft w:val="0"/>
              <w:marRight w:val="0"/>
              <w:marTop w:val="0"/>
              <w:marBottom w:val="0"/>
              <w:divBdr>
                <w:top w:val="none" w:sz="0" w:space="0" w:color="auto"/>
                <w:left w:val="none" w:sz="0" w:space="0" w:color="auto"/>
                <w:bottom w:val="none" w:sz="0" w:space="0" w:color="auto"/>
                <w:right w:val="none" w:sz="0" w:space="0" w:color="auto"/>
              </w:divBdr>
            </w:div>
            <w:div w:id="1436050427">
              <w:marLeft w:val="0"/>
              <w:marRight w:val="0"/>
              <w:marTop w:val="0"/>
              <w:marBottom w:val="0"/>
              <w:divBdr>
                <w:top w:val="none" w:sz="0" w:space="0" w:color="auto"/>
                <w:left w:val="none" w:sz="0" w:space="0" w:color="auto"/>
                <w:bottom w:val="none" w:sz="0" w:space="0" w:color="auto"/>
                <w:right w:val="none" w:sz="0" w:space="0" w:color="auto"/>
              </w:divBdr>
            </w:div>
            <w:div w:id="674380766">
              <w:marLeft w:val="0"/>
              <w:marRight w:val="0"/>
              <w:marTop w:val="0"/>
              <w:marBottom w:val="0"/>
              <w:divBdr>
                <w:top w:val="none" w:sz="0" w:space="0" w:color="auto"/>
                <w:left w:val="none" w:sz="0" w:space="0" w:color="auto"/>
                <w:bottom w:val="none" w:sz="0" w:space="0" w:color="auto"/>
                <w:right w:val="none" w:sz="0" w:space="0" w:color="auto"/>
              </w:divBdr>
            </w:div>
            <w:div w:id="1019354655">
              <w:marLeft w:val="0"/>
              <w:marRight w:val="0"/>
              <w:marTop w:val="0"/>
              <w:marBottom w:val="0"/>
              <w:divBdr>
                <w:top w:val="none" w:sz="0" w:space="0" w:color="auto"/>
                <w:left w:val="none" w:sz="0" w:space="0" w:color="auto"/>
                <w:bottom w:val="none" w:sz="0" w:space="0" w:color="auto"/>
                <w:right w:val="none" w:sz="0" w:space="0" w:color="auto"/>
              </w:divBdr>
            </w:div>
            <w:div w:id="699360082">
              <w:marLeft w:val="0"/>
              <w:marRight w:val="0"/>
              <w:marTop w:val="0"/>
              <w:marBottom w:val="0"/>
              <w:divBdr>
                <w:top w:val="none" w:sz="0" w:space="0" w:color="auto"/>
                <w:left w:val="none" w:sz="0" w:space="0" w:color="auto"/>
                <w:bottom w:val="none" w:sz="0" w:space="0" w:color="auto"/>
                <w:right w:val="none" w:sz="0" w:space="0" w:color="auto"/>
              </w:divBdr>
            </w:div>
            <w:div w:id="1912697358">
              <w:marLeft w:val="0"/>
              <w:marRight w:val="0"/>
              <w:marTop w:val="0"/>
              <w:marBottom w:val="0"/>
              <w:divBdr>
                <w:top w:val="none" w:sz="0" w:space="0" w:color="auto"/>
                <w:left w:val="none" w:sz="0" w:space="0" w:color="auto"/>
                <w:bottom w:val="none" w:sz="0" w:space="0" w:color="auto"/>
                <w:right w:val="none" w:sz="0" w:space="0" w:color="auto"/>
              </w:divBdr>
            </w:div>
            <w:div w:id="674378964">
              <w:marLeft w:val="0"/>
              <w:marRight w:val="0"/>
              <w:marTop w:val="0"/>
              <w:marBottom w:val="0"/>
              <w:divBdr>
                <w:top w:val="none" w:sz="0" w:space="0" w:color="auto"/>
                <w:left w:val="none" w:sz="0" w:space="0" w:color="auto"/>
                <w:bottom w:val="none" w:sz="0" w:space="0" w:color="auto"/>
                <w:right w:val="none" w:sz="0" w:space="0" w:color="auto"/>
              </w:divBdr>
            </w:div>
            <w:div w:id="1169514889">
              <w:marLeft w:val="0"/>
              <w:marRight w:val="0"/>
              <w:marTop w:val="0"/>
              <w:marBottom w:val="0"/>
              <w:divBdr>
                <w:top w:val="none" w:sz="0" w:space="0" w:color="auto"/>
                <w:left w:val="none" w:sz="0" w:space="0" w:color="auto"/>
                <w:bottom w:val="none" w:sz="0" w:space="0" w:color="auto"/>
                <w:right w:val="none" w:sz="0" w:space="0" w:color="auto"/>
              </w:divBdr>
            </w:div>
            <w:div w:id="1988590637">
              <w:marLeft w:val="0"/>
              <w:marRight w:val="0"/>
              <w:marTop w:val="0"/>
              <w:marBottom w:val="0"/>
              <w:divBdr>
                <w:top w:val="none" w:sz="0" w:space="0" w:color="auto"/>
                <w:left w:val="none" w:sz="0" w:space="0" w:color="auto"/>
                <w:bottom w:val="none" w:sz="0" w:space="0" w:color="auto"/>
                <w:right w:val="none" w:sz="0" w:space="0" w:color="auto"/>
              </w:divBdr>
            </w:div>
            <w:div w:id="58285156">
              <w:marLeft w:val="0"/>
              <w:marRight w:val="0"/>
              <w:marTop w:val="0"/>
              <w:marBottom w:val="0"/>
              <w:divBdr>
                <w:top w:val="none" w:sz="0" w:space="0" w:color="auto"/>
                <w:left w:val="none" w:sz="0" w:space="0" w:color="auto"/>
                <w:bottom w:val="none" w:sz="0" w:space="0" w:color="auto"/>
                <w:right w:val="none" w:sz="0" w:space="0" w:color="auto"/>
              </w:divBdr>
            </w:div>
            <w:div w:id="87622153">
              <w:marLeft w:val="0"/>
              <w:marRight w:val="0"/>
              <w:marTop w:val="0"/>
              <w:marBottom w:val="0"/>
              <w:divBdr>
                <w:top w:val="none" w:sz="0" w:space="0" w:color="auto"/>
                <w:left w:val="none" w:sz="0" w:space="0" w:color="auto"/>
                <w:bottom w:val="none" w:sz="0" w:space="0" w:color="auto"/>
                <w:right w:val="none" w:sz="0" w:space="0" w:color="auto"/>
              </w:divBdr>
            </w:div>
            <w:div w:id="655300695">
              <w:marLeft w:val="0"/>
              <w:marRight w:val="0"/>
              <w:marTop w:val="0"/>
              <w:marBottom w:val="0"/>
              <w:divBdr>
                <w:top w:val="none" w:sz="0" w:space="0" w:color="auto"/>
                <w:left w:val="none" w:sz="0" w:space="0" w:color="auto"/>
                <w:bottom w:val="none" w:sz="0" w:space="0" w:color="auto"/>
                <w:right w:val="none" w:sz="0" w:space="0" w:color="auto"/>
              </w:divBdr>
            </w:div>
            <w:div w:id="1242718713">
              <w:marLeft w:val="0"/>
              <w:marRight w:val="0"/>
              <w:marTop w:val="0"/>
              <w:marBottom w:val="0"/>
              <w:divBdr>
                <w:top w:val="none" w:sz="0" w:space="0" w:color="auto"/>
                <w:left w:val="none" w:sz="0" w:space="0" w:color="auto"/>
                <w:bottom w:val="none" w:sz="0" w:space="0" w:color="auto"/>
                <w:right w:val="none" w:sz="0" w:space="0" w:color="auto"/>
              </w:divBdr>
            </w:div>
            <w:div w:id="764420162">
              <w:marLeft w:val="0"/>
              <w:marRight w:val="0"/>
              <w:marTop w:val="0"/>
              <w:marBottom w:val="0"/>
              <w:divBdr>
                <w:top w:val="none" w:sz="0" w:space="0" w:color="auto"/>
                <w:left w:val="none" w:sz="0" w:space="0" w:color="auto"/>
                <w:bottom w:val="none" w:sz="0" w:space="0" w:color="auto"/>
                <w:right w:val="none" w:sz="0" w:space="0" w:color="auto"/>
              </w:divBdr>
            </w:div>
            <w:div w:id="1021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89055">
      <w:marLeft w:val="0"/>
      <w:marRight w:val="0"/>
      <w:marTop w:val="0"/>
      <w:marBottom w:val="0"/>
      <w:divBdr>
        <w:top w:val="none" w:sz="0" w:space="0" w:color="auto"/>
        <w:left w:val="none" w:sz="0" w:space="0" w:color="auto"/>
        <w:bottom w:val="none" w:sz="0" w:space="0" w:color="auto"/>
        <w:right w:val="none" w:sz="0" w:space="0" w:color="auto"/>
      </w:divBdr>
      <w:divsChild>
        <w:div w:id="1348680966">
          <w:marLeft w:val="0"/>
          <w:marRight w:val="0"/>
          <w:marTop w:val="0"/>
          <w:marBottom w:val="0"/>
          <w:divBdr>
            <w:top w:val="none" w:sz="0" w:space="0" w:color="auto"/>
            <w:left w:val="none" w:sz="0" w:space="0" w:color="auto"/>
            <w:bottom w:val="none" w:sz="0" w:space="0" w:color="auto"/>
            <w:right w:val="none" w:sz="0" w:space="0" w:color="auto"/>
          </w:divBdr>
        </w:div>
      </w:divsChild>
    </w:div>
    <w:div w:id="478696177">
      <w:bodyDiv w:val="1"/>
      <w:marLeft w:val="0"/>
      <w:marRight w:val="0"/>
      <w:marTop w:val="0"/>
      <w:marBottom w:val="0"/>
      <w:divBdr>
        <w:top w:val="none" w:sz="0" w:space="0" w:color="auto"/>
        <w:left w:val="none" w:sz="0" w:space="0" w:color="auto"/>
        <w:bottom w:val="none" w:sz="0" w:space="0" w:color="auto"/>
        <w:right w:val="none" w:sz="0" w:space="0" w:color="auto"/>
      </w:divBdr>
    </w:div>
    <w:div w:id="482738731">
      <w:marLeft w:val="0"/>
      <w:marRight w:val="0"/>
      <w:marTop w:val="0"/>
      <w:marBottom w:val="0"/>
      <w:divBdr>
        <w:top w:val="none" w:sz="0" w:space="0" w:color="auto"/>
        <w:left w:val="none" w:sz="0" w:space="0" w:color="auto"/>
        <w:bottom w:val="none" w:sz="0" w:space="0" w:color="auto"/>
        <w:right w:val="none" w:sz="0" w:space="0" w:color="auto"/>
      </w:divBdr>
      <w:divsChild>
        <w:div w:id="583808541">
          <w:marLeft w:val="0"/>
          <w:marRight w:val="0"/>
          <w:marTop w:val="0"/>
          <w:marBottom w:val="0"/>
          <w:divBdr>
            <w:top w:val="none" w:sz="0" w:space="0" w:color="auto"/>
            <w:left w:val="none" w:sz="0" w:space="0" w:color="auto"/>
            <w:bottom w:val="none" w:sz="0" w:space="0" w:color="auto"/>
            <w:right w:val="none" w:sz="0" w:space="0" w:color="auto"/>
          </w:divBdr>
        </w:div>
      </w:divsChild>
    </w:div>
    <w:div w:id="483355692">
      <w:marLeft w:val="0"/>
      <w:marRight w:val="0"/>
      <w:marTop w:val="0"/>
      <w:marBottom w:val="0"/>
      <w:divBdr>
        <w:top w:val="none" w:sz="0" w:space="0" w:color="auto"/>
        <w:left w:val="none" w:sz="0" w:space="0" w:color="auto"/>
        <w:bottom w:val="none" w:sz="0" w:space="0" w:color="auto"/>
        <w:right w:val="none" w:sz="0" w:space="0" w:color="auto"/>
      </w:divBdr>
      <w:divsChild>
        <w:div w:id="519709519">
          <w:marLeft w:val="0"/>
          <w:marRight w:val="0"/>
          <w:marTop w:val="0"/>
          <w:marBottom w:val="0"/>
          <w:divBdr>
            <w:top w:val="none" w:sz="0" w:space="0" w:color="auto"/>
            <w:left w:val="none" w:sz="0" w:space="0" w:color="auto"/>
            <w:bottom w:val="none" w:sz="0" w:space="0" w:color="auto"/>
            <w:right w:val="none" w:sz="0" w:space="0" w:color="auto"/>
          </w:divBdr>
        </w:div>
      </w:divsChild>
    </w:div>
    <w:div w:id="485434711">
      <w:bodyDiv w:val="1"/>
      <w:marLeft w:val="0"/>
      <w:marRight w:val="0"/>
      <w:marTop w:val="0"/>
      <w:marBottom w:val="0"/>
      <w:divBdr>
        <w:top w:val="none" w:sz="0" w:space="0" w:color="auto"/>
        <w:left w:val="none" w:sz="0" w:space="0" w:color="auto"/>
        <w:bottom w:val="none" w:sz="0" w:space="0" w:color="auto"/>
        <w:right w:val="none" w:sz="0" w:space="0" w:color="auto"/>
      </w:divBdr>
      <w:divsChild>
        <w:div w:id="1072510783">
          <w:marLeft w:val="0"/>
          <w:marRight w:val="0"/>
          <w:marTop w:val="0"/>
          <w:marBottom w:val="0"/>
          <w:divBdr>
            <w:top w:val="none" w:sz="0" w:space="0" w:color="auto"/>
            <w:left w:val="none" w:sz="0" w:space="0" w:color="auto"/>
            <w:bottom w:val="none" w:sz="0" w:space="0" w:color="auto"/>
            <w:right w:val="none" w:sz="0" w:space="0" w:color="auto"/>
          </w:divBdr>
          <w:divsChild>
            <w:div w:id="1685981396">
              <w:marLeft w:val="0"/>
              <w:marRight w:val="0"/>
              <w:marTop w:val="0"/>
              <w:marBottom w:val="0"/>
              <w:divBdr>
                <w:top w:val="none" w:sz="0" w:space="0" w:color="auto"/>
                <w:left w:val="none" w:sz="0" w:space="0" w:color="auto"/>
                <w:bottom w:val="none" w:sz="0" w:space="0" w:color="auto"/>
                <w:right w:val="none" w:sz="0" w:space="0" w:color="auto"/>
              </w:divBdr>
              <w:divsChild>
                <w:div w:id="352074041">
                  <w:marLeft w:val="0"/>
                  <w:marRight w:val="150"/>
                  <w:marTop w:val="0"/>
                  <w:marBottom w:val="0"/>
                  <w:divBdr>
                    <w:top w:val="none" w:sz="0" w:space="0" w:color="auto"/>
                    <w:left w:val="none" w:sz="0" w:space="0" w:color="auto"/>
                    <w:bottom w:val="none" w:sz="0" w:space="0" w:color="auto"/>
                    <w:right w:val="none" w:sz="0" w:space="0" w:color="auto"/>
                  </w:divBdr>
                  <w:divsChild>
                    <w:div w:id="63047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0033062">
          <w:marLeft w:val="0"/>
          <w:marRight w:val="150"/>
          <w:marTop w:val="0"/>
          <w:marBottom w:val="0"/>
          <w:divBdr>
            <w:top w:val="none" w:sz="0" w:space="0" w:color="auto"/>
            <w:left w:val="none" w:sz="0" w:space="0" w:color="auto"/>
            <w:bottom w:val="none" w:sz="0" w:space="0" w:color="auto"/>
            <w:right w:val="none" w:sz="0" w:space="0" w:color="auto"/>
          </w:divBdr>
          <w:divsChild>
            <w:div w:id="2630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87522658">
      <w:bodyDiv w:val="1"/>
      <w:marLeft w:val="0"/>
      <w:marRight w:val="0"/>
      <w:marTop w:val="0"/>
      <w:marBottom w:val="0"/>
      <w:divBdr>
        <w:top w:val="none" w:sz="0" w:space="0" w:color="auto"/>
        <w:left w:val="none" w:sz="0" w:space="0" w:color="auto"/>
        <w:bottom w:val="none" w:sz="0" w:space="0" w:color="auto"/>
        <w:right w:val="none" w:sz="0" w:space="0" w:color="auto"/>
      </w:divBdr>
    </w:div>
    <w:div w:id="488637771">
      <w:marLeft w:val="0"/>
      <w:marRight w:val="0"/>
      <w:marTop w:val="0"/>
      <w:marBottom w:val="0"/>
      <w:divBdr>
        <w:top w:val="none" w:sz="0" w:space="0" w:color="auto"/>
        <w:left w:val="none" w:sz="0" w:space="0" w:color="auto"/>
        <w:bottom w:val="none" w:sz="0" w:space="0" w:color="auto"/>
        <w:right w:val="none" w:sz="0" w:space="0" w:color="auto"/>
      </w:divBdr>
      <w:divsChild>
        <w:div w:id="1596552201">
          <w:marLeft w:val="0"/>
          <w:marRight w:val="0"/>
          <w:marTop w:val="0"/>
          <w:marBottom w:val="0"/>
          <w:divBdr>
            <w:top w:val="none" w:sz="0" w:space="0" w:color="auto"/>
            <w:left w:val="none" w:sz="0" w:space="0" w:color="auto"/>
            <w:bottom w:val="none" w:sz="0" w:space="0" w:color="auto"/>
            <w:right w:val="none" w:sz="0" w:space="0" w:color="auto"/>
          </w:divBdr>
        </w:div>
      </w:divsChild>
    </w:div>
    <w:div w:id="489566875">
      <w:marLeft w:val="0"/>
      <w:marRight w:val="0"/>
      <w:marTop w:val="0"/>
      <w:marBottom w:val="0"/>
      <w:divBdr>
        <w:top w:val="none" w:sz="0" w:space="0" w:color="auto"/>
        <w:left w:val="none" w:sz="0" w:space="0" w:color="auto"/>
        <w:bottom w:val="none" w:sz="0" w:space="0" w:color="auto"/>
        <w:right w:val="none" w:sz="0" w:space="0" w:color="auto"/>
      </w:divBdr>
      <w:divsChild>
        <w:div w:id="1685858224">
          <w:marLeft w:val="0"/>
          <w:marRight w:val="0"/>
          <w:marTop w:val="0"/>
          <w:marBottom w:val="0"/>
          <w:divBdr>
            <w:top w:val="none" w:sz="0" w:space="0" w:color="auto"/>
            <w:left w:val="none" w:sz="0" w:space="0" w:color="auto"/>
            <w:bottom w:val="none" w:sz="0" w:space="0" w:color="auto"/>
            <w:right w:val="none" w:sz="0" w:space="0" w:color="auto"/>
          </w:divBdr>
        </w:div>
      </w:divsChild>
    </w:div>
    <w:div w:id="490296034">
      <w:marLeft w:val="0"/>
      <w:marRight w:val="0"/>
      <w:marTop w:val="0"/>
      <w:marBottom w:val="0"/>
      <w:divBdr>
        <w:top w:val="none" w:sz="0" w:space="0" w:color="auto"/>
        <w:left w:val="none" w:sz="0" w:space="0" w:color="auto"/>
        <w:bottom w:val="none" w:sz="0" w:space="0" w:color="auto"/>
        <w:right w:val="none" w:sz="0" w:space="0" w:color="auto"/>
      </w:divBdr>
      <w:divsChild>
        <w:div w:id="1351836746">
          <w:marLeft w:val="0"/>
          <w:marRight w:val="0"/>
          <w:marTop w:val="0"/>
          <w:marBottom w:val="0"/>
          <w:divBdr>
            <w:top w:val="none" w:sz="0" w:space="0" w:color="auto"/>
            <w:left w:val="none" w:sz="0" w:space="0" w:color="auto"/>
            <w:bottom w:val="none" w:sz="0" w:space="0" w:color="auto"/>
            <w:right w:val="none" w:sz="0" w:space="0" w:color="auto"/>
          </w:divBdr>
        </w:div>
      </w:divsChild>
    </w:div>
    <w:div w:id="490565738">
      <w:bodyDiv w:val="1"/>
      <w:marLeft w:val="0"/>
      <w:marRight w:val="0"/>
      <w:marTop w:val="0"/>
      <w:marBottom w:val="0"/>
      <w:divBdr>
        <w:top w:val="none" w:sz="0" w:space="0" w:color="auto"/>
        <w:left w:val="none" w:sz="0" w:space="0" w:color="auto"/>
        <w:bottom w:val="none" w:sz="0" w:space="0" w:color="auto"/>
        <w:right w:val="none" w:sz="0" w:space="0" w:color="auto"/>
      </w:divBdr>
    </w:div>
    <w:div w:id="492140845">
      <w:marLeft w:val="0"/>
      <w:marRight w:val="0"/>
      <w:marTop w:val="0"/>
      <w:marBottom w:val="0"/>
      <w:divBdr>
        <w:top w:val="none" w:sz="0" w:space="0" w:color="auto"/>
        <w:left w:val="none" w:sz="0" w:space="0" w:color="auto"/>
        <w:bottom w:val="none" w:sz="0" w:space="0" w:color="auto"/>
        <w:right w:val="none" w:sz="0" w:space="0" w:color="auto"/>
      </w:divBdr>
      <w:divsChild>
        <w:div w:id="1820613372">
          <w:marLeft w:val="0"/>
          <w:marRight w:val="0"/>
          <w:marTop w:val="0"/>
          <w:marBottom w:val="0"/>
          <w:divBdr>
            <w:top w:val="none" w:sz="0" w:space="0" w:color="auto"/>
            <w:left w:val="none" w:sz="0" w:space="0" w:color="auto"/>
            <w:bottom w:val="none" w:sz="0" w:space="0" w:color="auto"/>
            <w:right w:val="none" w:sz="0" w:space="0" w:color="auto"/>
          </w:divBdr>
        </w:div>
      </w:divsChild>
    </w:div>
    <w:div w:id="495806287">
      <w:bodyDiv w:val="1"/>
      <w:marLeft w:val="0"/>
      <w:marRight w:val="0"/>
      <w:marTop w:val="0"/>
      <w:marBottom w:val="0"/>
      <w:divBdr>
        <w:top w:val="none" w:sz="0" w:space="0" w:color="auto"/>
        <w:left w:val="none" w:sz="0" w:space="0" w:color="auto"/>
        <w:bottom w:val="none" w:sz="0" w:space="0" w:color="auto"/>
        <w:right w:val="none" w:sz="0" w:space="0" w:color="auto"/>
      </w:divBdr>
      <w:divsChild>
        <w:div w:id="324863204">
          <w:marLeft w:val="0"/>
          <w:marRight w:val="0"/>
          <w:marTop w:val="0"/>
          <w:marBottom w:val="0"/>
          <w:divBdr>
            <w:top w:val="none" w:sz="0" w:space="0" w:color="auto"/>
            <w:left w:val="none" w:sz="0" w:space="0" w:color="auto"/>
            <w:bottom w:val="none" w:sz="0" w:space="0" w:color="auto"/>
            <w:right w:val="none" w:sz="0" w:space="0" w:color="auto"/>
          </w:divBdr>
        </w:div>
        <w:div w:id="680357616">
          <w:marLeft w:val="0"/>
          <w:marRight w:val="0"/>
          <w:marTop w:val="0"/>
          <w:marBottom w:val="0"/>
          <w:divBdr>
            <w:top w:val="none" w:sz="0" w:space="0" w:color="auto"/>
            <w:left w:val="none" w:sz="0" w:space="0" w:color="auto"/>
            <w:bottom w:val="none" w:sz="0" w:space="0" w:color="auto"/>
            <w:right w:val="none" w:sz="0" w:space="0" w:color="auto"/>
          </w:divBdr>
        </w:div>
        <w:div w:id="433324922">
          <w:marLeft w:val="0"/>
          <w:marRight w:val="0"/>
          <w:marTop w:val="0"/>
          <w:marBottom w:val="0"/>
          <w:divBdr>
            <w:top w:val="none" w:sz="0" w:space="0" w:color="auto"/>
            <w:left w:val="none" w:sz="0" w:space="0" w:color="auto"/>
            <w:bottom w:val="none" w:sz="0" w:space="0" w:color="auto"/>
            <w:right w:val="none" w:sz="0" w:space="0" w:color="auto"/>
          </w:divBdr>
        </w:div>
        <w:div w:id="1929384426">
          <w:marLeft w:val="0"/>
          <w:marRight w:val="0"/>
          <w:marTop w:val="0"/>
          <w:marBottom w:val="0"/>
          <w:divBdr>
            <w:top w:val="none" w:sz="0" w:space="0" w:color="auto"/>
            <w:left w:val="none" w:sz="0" w:space="0" w:color="auto"/>
            <w:bottom w:val="none" w:sz="0" w:space="0" w:color="auto"/>
            <w:right w:val="none" w:sz="0" w:space="0" w:color="auto"/>
          </w:divBdr>
        </w:div>
        <w:div w:id="1196578753">
          <w:marLeft w:val="0"/>
          <w:marRight w:val="0"/>
          <w:marTop w:val="0"/>
          <w:marBottom w:val="0"/>
          <w:divBdr>
            <w:top w:val="none" w:sz="0" w:space="0" w:color="auto"/>
            <w:left w:val="none" w:sz="0" w:space="0" w:color="auto"/>
            <w:bottom w:val="none" w:sz="0" w:space="0" w:color="auto"/>
            <w:right w:val="none" w:sz="0" w:space="0" w:color="auto"/>
          </w:divBdr>
        </w:div>
        <w:div w:id="773793148">
          <w:marLeft w:val="0"/>
          <w:marRight w:val="0"/>
          <w:marTop w:val="0"/>
          <w:marBottom w:val="0"/>
          <w:divBdr>
            <w:top w:val="none" w:sz="0" w:space="0" w:color="auto"/>
            <w:left w:val="none" w:sz="0" w:space="0" w:color="auto"/>
            <w:bottom w:val="none" w:sz="0" w:space="0" w:color="auto"/>
            <w:right w:val="none" w:sz="0" w:space="0" w:color="auto"/>
          </w:divBdr>
        </w:div>
        <w:div w:id="374358130">
          <w:marLeft w:val="0"/>
          <w:marRight w:val="0"/>
          <w:marTop w:val="0"/>
          <w:marBottom w:val="0"/>
          <w:divBdr>
            <w:top w:val="none" w:sz="0" w:space="0" w:color="auto"/>
            <w:left w:val="none" w:sz="0" w:space="0" w:color="auto"/>
            <w:bottom w:val="none" w:sz="0" w:space="0" w:color="auto"/>
            <w:right w:val="none" w:sz="0" w:space="0" w:color="auto"/>
          </w:divBdr>
        </w:div>
        <w:div w:id="17002550">
          <w:marLeft w:val="0"/>
          <w:marRight w:val="0"/>
          <w:marTop w:val="0"/>
          <w:marBottom w:val="0"/>
          <w:divBdr>
            <w:top w:val="none" w:sz="0" w:space="0" w:color="auto"/>
            <w:left w:val="none" w:sz="0" w:space="0" w:color="auto"/>
            <w:bottom w:val="none" w:sz="0" w:space="0" w:color="auto"/>
            <w:right w:val="none" w:sz="0" w:space="0" w:color="auto"/>
          </w:divBdr>
        </w:div>
        <w:div w:id="1699433853">
          <w:marLeft w:val="0"/>
          <w:marRight w:val="0"/>
          <w:marTop w:val="0"/>
          <w:marBottom w:val="0"/>
          <w:divBdr>
            <w:top w:val="none" w:sz="0" w:space="0" w:color="auto"/>
            <w:left w:val="none" w:sz="0" w:space="0" w:color="auto"/>
            <w:bottom w:val="none" w:sz="0" w:space="0" w:color="auto"/>
            <w:right w:val="none" w:sz="0" w:space="0" w:color="auto"/>
          </w:divBdr>
        </w:div>
        <w:div w:id="1636446298">
          <w:marLeft w:val="0"/>
          <w:marRight w:val="0"/>
          <w:marTop w:val="0"/>
          <w:marBottom w:val="0"/>
          <w:divBdr>
            <w:top w:val="none" w:sz="0" w:space="0" w:color="auto"/>
            <w:left w:val="none" w:sz="0" w:space="0" w:color="auto"/>
            <w:bottom w:val="none" w:sz="0" w:space="0" w:color="auto"/>
            <w:right w:val="none" w:sz="0" w:space="0" w:color="auto"/>
          </w:divBdr>
        </w:div>
        <w:div w:id="1913389106">
          <w:marLeft w:val="0"/>
          <w:marRight w:val="0"/>
          <w:marTop w:val="0"/>
          <w:marBottom w:val="0"/>
          <w:divBdr>
            <w:top w:val="none" w:sz="0" w:space="0" w:color="auto"/>
            <w:left w:val="none" w:sz="0" w:space="0" w:color="auto"/>
            <w:bottom w:val="none" w:sz="0" w:space="0" w:color="auto"/>
            <w:right w:val="none" w:sz="0" w:space="0" w:color="auto"/>
          </w:divBdr>
        </w:div>
        <w:div w:id="285964047">
          <w:marLeft w:val="0"/>
          <w:marRight w:val="0"/>
          <w:marTop w:val="0"/>
          <w:marBottom w:val="0"/>
          <w:divBdr>
            <w:top w:val="none" w:sz="0" w:space="0" w:color="auto"/>
            <w:left w:val="none" w:sz="0" w:space="0" w:color="auto"/>
            <w:bottom w:val="none" w:sz="0" w:space="0" w:color="auto"/>
            <w:right w:val="none" w:sz="0" w:space="0" w:color="auto"/>
          </w:divBdr>
        </w:div>
        <w:div w:id="354038375">
          <w:marLeft w:val="0"/>
          <w:marRight w:val="0"/>
          <w:marTop w:val="0"/>
          <w:marBottom w:val="0"/>
          <w:divBdr>
            <w:top w:val="none" w:sz="0" w:space="0" w:color="auto"/>
            <w:left w:val="none" w:sz="0" w:space="0" w:color="auto"/>
            <w:bottom w:val="none" w:sz="0" w:space="0" w:color="auto"/>
            <w:right w:val="none" w:sz="0" w:space="0" w:color="auto"/>
          </w:divBdr>
        </w:div>
        <w:div w:id="838467620">
          <w:marLeft w:val="0"/>
          <w:marRight w:val="0"/>
          <w:marTop w:val="0"/>
          <w:marBottom w:val="0"/>
          <w:divBdr>
            <w:top w:val="none" w:sz="0" w:space="0" w:color="auto"/>
            <w:left w:val="none" w:sz="0" w:space="0" w:color="auto"/>
            <w:bottom w:val="none" w:sz="0" w:space="0" w:color="auto"/>
            <w:right w:val="none" w:sz="0" w:space="0" w:color="auto"/>
          </w:divBdr>
        </w:div>
        <w:div w:id="1619340246">
          <w:marLeft w:val="0"/>
          <w:marRight w:val="0"/>
          <w:marTop w:val="0"/>
          <w:marBottom w:val="0"/>
          <w:divBdr>
            <w:top w:val="none" w:sz="0" w:space="0" w:color="auto"/>
            <w:left w:val="none" w:sz="0" w:space="0" w:color="auto"/>
            <w:bottom w:val="none" w:sz="0" w:space="0" w:color="auto"/>
            <w:right w:val="none" w:sz="0" w:space="0" w:color="auto"/>
          </w:divBdr>
        </w:div>
        <w:div w:id="1272512679">
          <w:marLeft w:val="0"/>
          <w:marRight w:val="0"/>
          <w:marTop w:val="0"/>
          <w:marBottom w:val="0"/>
          <w:divBdr>
            <w:top w:val="none" w:sz="0" w:space="0" w:color="auto"/>
            <w:left w:val="none" w:sz="0" w:space="0" w:color="auto"/>
            <w:bottom w:val="none" w:sz="0" w:space="0" w:color="auto"/>
            <w:right w:val="none" w:sz="0" w:space="0" w:color="auto"/>
          </w:divBdr>
        </w:div>
        <w:div w:id="118257051">
          <w:marLeft w:val="0"/>
          <w:marRight w:val="0"/>
          <w:marTop w:val="0"/>
          <w:marBottom w:val="0"/>
          <w:divBdr>
            <w:top w:val="none" w:sz="0" w:space="0" w:color="auto"/>
            <w:left w:val="none" w:sz="0" w:space="0" w:color="auto"/>
            <w:bottom w:val="none" w:sz="0" w:space="0" w:color="auto"/>
            <w:right w:val="none" w:sz="0" w:space="0" w:color="auto"/>
          </w:divBdr>
        </w:div>
        <w:div w:id="1892888775">
          <w:marLeft w:val="0"/>
          <w:marRight w:val="0"/>
          <w:marTop w:val="0"/>
          <w:marBottom w:val="0"/>
          <w:divBdr>
            <w:top w:val="none" w:sz="0" w:space="0" w:color="auto"/>
            <w:left w:val="none" w:sz="0" w:space="0" w:color="auto"/>
            <w:bottom w:val="none" w:sz="0" w:space="0" w:color="auto"/>
            <w:right w:val="none" w:sz="0" w:space="0" w:color="auto"/>
          </w:divBdr>
        </w:div>
        <w:div w:id="1556047342">
          <w:marLeft w:val="0"/>
          <w:marRight w:val="0"/>
          <w:marTop w:val="0"/>
          <w:marBottom w:val="0"/>
          <w:divBdr>
            <w:top w:val="none" w:sz="0" w:space="0" w:color="auto"/>
            <w:left w:val="none" w:sz="0" w:space="0" w:color="auto"/>
            <w:bottom w:val="none" w:sz="0" w:space="0" w:color="auto"/>
            <w:right w:val="none" w:sz="0" w:space="0" w:color="auto"/>
          </w:divBdr>
        </w:div>
        <w:div w:id="1881162906">
          <w:marLeft w:val="0"/>
          <w:marRight w:val="0"/>
          <w:marTop w:val="0"/>
          <w:marBottom w:val="0"/>
          <w:divBdr>
            <w:top w:val="none" w:sz="0" w:space="0" w:color="auto"/>
            <w:left w:val="none" w:sz="0" w:space="0" w:color="auto"/>
            <w:bottom w:val="none" w:sz="0" w:space="0" w:color="auto"/>
            <w:right w:val="none" w:sz="0" w:space="0" w:color="auto"/>
          </w:divBdr>
        </w:div>
        <w:div w:id="1853252651">
          <w:marLeft w:val="0"/>
          <w:marRight w:val="0"/>
          <w:marTop w:val="0"/>
          <w:marBottom w:val="0"/>
          <w:divBdr>
            <w:top w:val="none" w:sz="0" w:space="0" w:color="auto"/>
            <w:left w:val="none" w:sz="0" w:space="0" w:color="auto"/>
            <w:bottom w:val="none" w:sz="0" w:space="0" w:color="auto"/>
            <w:right w:val="none" w:sz="0" w:space="0" w:color="auto"/>
          </w:divBdr>
        </w:div>
        <w:div w:id="2063092155">
          <w:marLeft w:val="0"/>
          <w:marRight w:val="0"/>
          <w:marTop w:val="0"/>
          <w:marBottom w:val="0"/>
          <w:divBdr>
            <w:top w:val="none" w:sz="0" w:space="0" w:color="auto"/>
            <w:left w:val="none" w:sz="0" w:space="0" w:color="auto"/>
            <w:bottom w:val="none" w:sz="0" w:space="0" w:color="auto"/>
            <w:right w:val="none" w:sz="0" w:space="0" w:color="auto"/>
          </w:divBdr>
        </w:div>
        <w:div w:id="596404249">
          <w:marLeft w:val="0"/>
          <w:marRight w:val="0"/>
          <w:marTop w:val="0"/>
          <w:marBottom w:val="0"/>
          <w:divBdr>
            <w:top w:val="none" w:sz="0" w:space="0" w:color="auto"/>
            <w:left w:val="none" w:sz="0" w:space="0" w:color="auto"/>
            <w:bottom w:val="none" w:sz="0" w:space="0" w:color="auto"/>
            <w:right w:val="none" w:sz="0" w:space="0" w:color="auto"/>
          </w:divBdr>
        </w:div>
        <w:div w:id="515196366">
          <w:marLeft w:val="0"/>
          <w:marRight w:val="0"/>
          <w:marTop w:val="0"/>
          <w:marBottom w:val="0"/>
          <w:divBdr>
            <w:top w:val="none" w:sz="0" w:space="0" w:color="auto"/>
            <w:left w:val="none" w:sz="0" w:space="0" w:color="auto"/>
            <w:bottom w:val="none" w:sz="0" w:space="0" w:color="auto"/>
            <w:right w:val="none" w:sz="0" w:space="0" w:color="auto"/>
          </w:divBdr>
        </w:div>
        <w:div w:id="115763324">
          <w:marLeft w:val="0"/>
          <w:marRight w:val="0"/>
          <w:marTop w:val="0"/>
          <w:marBottom w:val="0"/>
          <w:divBdr>
            <w:top w:val="none" w:sz="0" w:space="0" w:color="auto"/>
            <w:left w:val="none" w:sz="0" w:space="0" w:color="auto"/>
            <w:bottom w:val="none" w:sz="0" w:space="0" w:color="auto"/>
            <w:right w:val="none" w:sz="0" w:space="0" w:color="auto"/>
          </w:divBdr>
        </w:div>
        <w:div w:id="2053382385">
          <w:marLeft w:val="0"/>
          <w:marRight w:val="0"/>
          <w:marTop w:val="0"/>
          <w:marBottom w:val="0"/>
          <w:divBdr>
            <w:top w:val="none" w:sz="0" w:space="0" w:color="auto"/>
            <w:left w:val="none" w:sz="0" w:space="0" w:color="auto"/>
            <w:bottom w:val="none" w:sz="0" w:space="0" w:color="auto"/>
            <w:right w:val="none" w:sz="0" w:space="0" w:color="auto"/>
          </w:divBdr>
        </w:div>
        <w:div w:id="1295866965">
          <w:marLeft w:val="0"/>
          <w:marRight w:val="0"/>
          <w:marTop w:val="0"/>
          <w:marBottom w:val="0"/>
          <w:divBdr>
            <w:top w:val="none" w:sz="0" w:space="0" w:color="auto"/>
            <w:left w:val="none" w:sz="0" w:space="0" w:color="auto"/>
            <w:bottom w:val="none" w:sz="0" w:space="0" w:color="auto"/>
            <w:right w:val="none" w:sz="0" w:space="0" w:color="auto"/>
          </w:divBdr>
        </w:div>
        <w:div w:id="1402286884">
          <w:marLeft w:val="0"/>
          <w:marRight w:val="0"/>
          <w:marTop w:val="0"/>
          <w:marBottom w:val="0"/>
          <w:divBdr>
            <w:top w:val="none" w:sz="0" w:space="0" w:color="auto"/>
            <w:left w:val="none" w:sz="0" w:space="0" w:color="auto"/>
            <w:bottom w:val="none" w:sz="0" w:space="0" w:color="auto"/>
            <w:right w:val="none" w:sz="0" w:space="0" w:color="auto"/>
          </w:divBdr>
        </w:div>
        <w:div w:id="1943108114">
          <w:marLeft w:val="0"/>
          <w:marRight w:val="0"/>
          <w:marTop w:val="0"/>
          <w:marBottom w:val="0"/>
          <w:divBdr>
            <w:top w:val="none" w:sz="0" w:space="0" w:color="auto"/>
            <w:left w:val="none" w:sz="0" w:space="0" w:color="auto"/>
            <w:bottom w:val="none" w:sz="0" w:space="0" w:color="auto"/>
            <w:right w:val="none" w:sz="0" w:space="0" w:color="auto"/>
          </w:divBdr>
        </w:div>
        <w:div w:id="1032027620">
          <w:marLeft w:val="0"/>
          <w:marRight w:val="0"/>
          <w:marTop w:val="0"/>
          <w:marBottom w:val="0"/>
          <w:divBdr>
            <w:top w:val="none" w:sz="0" w:space="0" w:color="auto"/>
            <w:left w:val="none" w:sz="0" w:space="0" w:color="auto"/>
            <w:bottom w:val="none" w:sz="0" w:space="0" w:color="auto"/>
            <w:right w:val="none" w:sz="0" w:space="0" w:color="auto"/>
          </w:divBdr>
        </w:div>
      </w:divsChild>
    </w:div>
    <w:div w:id="496773192">
      <w:marLeft w:val="0"/>
      <w:marRight w:val="0"/>
      <w:marTop w:val="0"/>
      <w:marBottom w:val="0"/>
      <w:divBdr>
        <w:top w:val="none" w:sz="0" w:space="0" w:color="auto"/>
        <w:left w:val="none" w:sz="0" w:space="0" w:color="auto"/>
        <w:bottom w:val="none" w:sz="0" w:space="0" w:color="auto"/>
        <w:right w:val="none" w:sz="0" w:space="0" w:color="auto"/>
      </w:divBdr>
      <w:divsChild>
        <w:div w:id="76750584">
          <w:marLeft w:val="0"/>
          <w:marRight w:val="0"/>
          <w:marTop w:val="0"/>
          <w:marBottom w:val="0"/>
          <w:divBdr>
            <w:top w:val="none" w:sz="0" w:space="0" w:color="auto"/>
            <w:left w:val="none" w:sz="0" w:space="0" w:color="auto"/>
            <w:bottom w:val="none" w:sz="0" w:space="0" w:color="auto"/>
            <w:right w:val="none" w:sz="0" w:space="0" w:color="auto"/>
          </w:divBdr>
        </w:div>
      </w:divsChild>
    </w:div>
    <w:div w:id="505099291">
      <w:marLeft w:val="0"/>
      <w:marRight w:val="0"/>
      <w:marTop w:val="0"/>
      <w:marBottom w:val="0"/>
      <w:divBdr>
        <w:top w:val="none" w:sz="0" w:space="0" w:color="auto"/>
        <w:left w:val="none" w:sz="0" w:space="0" w:color="auto"/>
        <w:bottom w:val="none" w:sz="0" w:space="0" w:color="auto"/>
        <w:right w:val="none" w:sz="0" w:space="0" w:color="auto"/>
      </w:divBdr>
      <w:divsChild>
        <w:div w:id="1990591809">
          <w:marLeft w:val="0"/>
          <w:marRight w:val="0"/>
          <w:marTop w:val="0"/>
          <w:marBottom w:val="0"/>
          <w:divBdr>
            <w:top w:val="none" w:sz="0" w:space="0" w:color="auto"/>
            <w:left w:val="none" w:sz="0" w:space="0" w:color="auto"/>
            <w:bottom w:val="none" w:sz="0" w:space="0" w:color="auto"/>
            <w:right w:val="none" w:sz="0" w:space="0" w:color="auto"/>
          </w:divBdr>
        </w:div>
      </w:divsChild>
    </w:div>
    <w:div w:id="505706827">
      <w:marLeft w:val="0"/>
      <w:marRight w:val="0"/>
      <w:marTop w:val="0"/>
      <w:marBottom w:val="0"/>
      <w:divBdr>
        <w:top w:val="none" w:sz="0" w:space="0" w:color="auto"/>
        <w:left w:val="none" w:sz="0" w:space="0" w:color="auto"/>
        <w:bottom w:val="none" w:sz="0" w:space="0" w:color="auto"/>
        <w:right w:val="none" w:sz="0" w:space="0" w:color="auto"/>
      </w:divBdr>
      <w:divsChild>
        <w:div w:id="227957390">
          <w:marLeft w:val="0"/>
          <w:marRight w:val="0"/>
          <w:marTop w:val="0"/>
          <w:marBottom w:val="0"/>
          <w:divBdr>
            <w:top w:val="none" w:sz="0" w:space="0" w:color="auto"/>
            <w:left w:val="none" w:sz="0" w:space="0" w:color="auto"/>
            <w:bottom w:val="none" w:sz="0" w:space="0" w:color="auto"/>
            <w:right w:val="none" w:sz="0" w:space="0" w:color="auto"/>
          </w:divBdr>
        </w:div>
      </w:divsChild>
    </w:div>
    <w:div w:id="506559216">
      <w:marLeft w:val="0"/>
      <w:marRight w:val="0"/>
      <w:marTop w:val="0"/>
      <w:marBottom w:val="0"/>
      <w:divBdr>
        <w:top w:val="none" w:sz="0" w:space="0" w:color="auto"/>
        <w:left w:val="none" w:sz="0" w:space="0" w:color="auto"/>
        <w:bottom w:val="none" w:sz="0" w:space="0" w:color="auto"/>
        <w:right w:val="none" w:sz="0" w:space="0" w:color="auto"/>
      </w:divBdr>
      <w:divsChild>
        <w:div w:id="385380214">
          <w:marLeft w:val="0"/>
          <w:marRight w:val="0"/>
          <w:marTop w:val="0"/>
          <w:marBottom w:val="0"/>
          <w:divBdr>
            <w:top w:val="none" w:sz="0" w:space="0" w:color="auto"/>
            <w:left w:val="none" w:sz="0" w:space="0" w:color="auto"/>
            <w:bottom w:val="none" w:sz="0" w:space="0" w:color="auto"/>
            <w:right w:val="none" w:sz="0" w:space="0" w:color="auto"/>
          </w:divBdr>
        </w:div>
      </w:divsChild>
    </w:div>
    <w:div w:id="508831884">
      <w:marLeft w:val="0"/>
      <w:marRight w:val="0"/>
      <w:marTop w:val="0"/>
      <w:marBottom w:val="0"/>
      <w:divBdr>
        <w:top w:val="none" w:sz="0" w:space="0" w:color="auto"/>
        <w:left w:val="none" w:sz="0" w:space="0" w:color="auto"/>
        <w:bottom w:val="none" w:sz="0" w:space="0" w:color="auto"/>
        <w:right w:val="none" w:sz="0" w:space="0" w:color="auto"/>
      </w:divBdr>
      <w:divsChild>
        <w:div w:id="849761457">
          <w:marLeft w:val="0"/>
          <w:marRight w:val="0"/>
          <w:marTop w:val="0"/>
          <w:marBottom w:val="0"/>
          <w:divBdr>
            <w:top w:val="none" w:sz="0" w:space="0" w:color="auto"/>
            <w:left w:val="none" w:sz="0" w:space="0" w:color="auto"/>
            <w:bottom w:val="none" w:sz="0" w:space="0" w:color="auto"/>
            <w:right w:val="none" w:sz="0" w:space="0" w:color="auto"/>
          </w:divBdr>
        </w:div>
      </w:divsChild>
    </w:div>
    <w:div w:id="511338703">
      <w:bodyDiv w:val="1"/>
      <w:marLeft w:val="0"/>
      <w:marRight w:val="0"/>
      <w:marTop w:val="0"/>
      <w:marBottom w:val="0"/>
      <w:divBdr>
        <w:top w:val="none" w:sz="0" w:space="0" w:color="auto"/>
        <w:left w:val="none" w:sz="0" w:space="0" w:color="auto"/>
        <w:bottom w:val="none" w:sz="0" w:space="0" w:color="auto"/>
        <w:right w:val="none" w:sz="0" w:space="0" w:color="auto"/>
      </w:divBdr>
    </w:div>
    <w:div w:id="514728396">
      <w:marLeft w:val="0"/>
      <w:marRight w:val="0"/>
      <w:marTop w:val="0"/>
      <w:marBottom w:val="0"/>
      <w:divBdr>
        <w:top w:val="none" w:sz="0" w:space="0" w:color="auto"/>
        <w:left w:val="none" w:sz="0" w:space="0" w:color="auto"/>
        <w:bottom w:val="none" w:sz="0" w:space="0" w:color="auto"/>
        <w:right w:val="none" w:sz="0" w:space="0" w:color="auto"/>
      </w:divBdr>
      <w:divsChild>
        <w:div w:id="1713382660">
          <w:marLeft w:val="0"/>
          <w:marRight w:val="0"/>
          <w:marTop w:val="0"/>
          <w:marBottom w:val="0"/>
          <w:divBdr>
            <w:top w:val="none" w:sz="0" w:space="0" w:color="auto"/>
            <w:left w:val="none" w:sz="0" w:space="0" w:color="auto"/>
            <w:bottom w:val="none" w:sz="0" w:space="0" w:color="auto"/>
            <w:right w:val="none" w:sz="0" w:space="0" w:color="auto"/>
          </w:divBdr>
        </w:div>
      </w:divsChild>
    </w:div>
    <w:div w:id="515733848">
      <w:marLeft w:val="0"/>
      <w:marRight w:val="0"/>
      <w:marTop w:val="0"/>
      <w:marBottom w:val="0"/>
      <w:divBdr>
        <w:top w:val="none" w:sz="0" w:space="0" w:color="auto"/>
        <w:left w:val="none" w:sz="0" w:space="0" w:color="auto"/>
        <w:bottom w:val="none" w:sz="0" w:space="0" w:color="auto"/>
        <w:right w:val="none" w:sz="0" w:space="0" w:color="auto"/>
      </w:divBdr>
      <w:divsChild>
        <w:div w:id="534658703">
          <w:marLeft w:val="0"/>
          <w:marRight w:val="0"/>
          <w:marTop w:val="0"/>
          <w:marBottom w:val="0"/>
          <w:divBdr>
            <w:top w:val="none" w:sz="0" w:space="0" w:color="auto"/>
            <w:left w:val="none" w:sz="0" w:space="0" w:color="auto"/>
            <w:bottom w:val="none" w:sz="0" w:space="0" w:color="auto"/>
            <w:right w:val="none" w:sz="0" w:space="0" w:color="auto"/>
          </w:divBdr>
        </w:div>
      </w:divsChild>
    </w:div>
    <w:div w:id="517423946">
      <w:marLeft w:val="0"/>
      <w:marRight w:val="0"/>
      <w:marTop w:val="0"/>
      <w:marBottom w:val="0"/>
      <w:divBdr>
        <w:top w:val="none" w:sz="0" w:space="0" w:color="auto"/>
        <w:left w:val="none" w:sz="0" w:space="0" w:color="auto"/>
        <w:bottom w:val="none" w:sz="0" w:space="0" w:color="auto"/>
        <w:right w:val="none" w:sz="0" w:space="0" w:color="auto"/>
      </w:divBdr>
      <w:divsChild>
        <w:div w:id="1816138857">
          <w:marLeft w:val="0"/>
          <w:marRight w:val="0"/>
          <w:marTop w:val="0"/>
          <w:marBottom w:val="0"/>
          <w:divBdr>
            <w:top w:val="none" w:sz="0" w:space="0" w:color="auto"/>
            <w:left w:val="none" w:sz="0" w:space="0" w:color="auto"/>
            <w:bottom w:val="none" w:sz="0" w:space="0" w:color="auto"/>
            <w:right w:val="none" w:sz="0" w:space="0" w:color="auto"/>
          </w:divBdr>
        </w:div>
      </w:divsChild>
    </w:div>
    <w:div w:id="520171761">
      <w:marLeft w:val="0"/>
      <w:marRight w:val="0"/>
      <w:marTop w:val="0"/>
      <w:marBottom w:val="0"/>
      <w:divBdr>
        <w:top w:val="none" w:sz="0" w:space="0" w:color="auto"/>
        <w:left w:val="none" w:sz="0" w:space="0" w:color="auto"/>
        <w:bottom w:val="none" w:sz="0" w:space="0" w:color="auto"/>
        <w:right w:val="none" w:sz="0" w:space="0" w:color="auto"/>
      </w:divBdr>
      <w:divsChild>
        <w:div w:id="1594581980">
          <w:marLeft w:val="0"/>
          <w:marRight w:val="0"/>
          <w:marTop w:val="0"/>
          <w:marBottom w:val="0"/>
          <w:divBdr>
            <w:top w:val="none" w:sz="0" w:space="0" w:color="auto"/>
            <w:left w:val="none" w:sz="0" w:space="0" w:color="auto"/>
            <w:bottom w:val="none" w:sz="0" w:space="0" w:color="auto"/>
            <w:right w:val="none" w:sz="0" w:space="0" w:color="auto"/>
          </w:divBdr>
        </w:div>
      </w:divsChild>
    </w:div>
    <w:div w:id="523447145">
      <w:marLeft w:val="0"/>
      <w:marRight w:val="0"/>
      <w:marTop w:val="0"/>
      <w:marBottom w:val="0"/>
      <w:divBdr>
        <w:top w:val="none" w:sz="0" w:space="0" w:color="auto"/>
        <w:left w:val="none" w:sz="0" w:space="0" w:color="auto"/>
        <w:bottom w:val="none" w:sz="0" w:space="0" w:color="auto"/>
        <w:right w:val="none" w:sz="0" w:space="0" w:color="auto"/>
      </w:divBdr>
      <w:divsChild>
        <w:div w:id="1946813171">
          <w:marLeft w:val="0"/>
          <w:marRight w:val="0"/>
          <w:marTop w:val="0"/>
          <w:marBottom w:val="0"/>
          <w:divBdr>
            <w:top w:val="none" w:sz="0" w:space="0" w:color="auto"/>
            <w:left w:val="none" w:sz="0" w:space="0" w:color="auto"/>
            <w:bottom w:val="none" w:sz="0" w:space="0" w:color="auto"/>
            <w:right w:val="none" w:sz="0" w:space="0" w:color="auto"/>
          </w:divBdr>
        </w:div>
      </w:divsChild>
    </w:div>
    <w:div w:id="523901066">
      <w:marLeft w:val="0"/>
      <w:marRight w:val="0"/>
      <w:marTop w:val="0"/>
      <w:marBottom w:val="0"/>
      <w:divBdr>
        <w:top w:val="none" w:sz="0" w:space="0" w:color="auto"/>
        <w:left w:val="none" w:sz="0" w:space="0" w:color="auto"/>
        <w:bottom w:val="none" w:sz="0" w:space="0" w:color="auto"/>
        <w:right w:val="none" w:sz="0" w:space="0" w:color="auto"/>
      </w:divBdr>
      <w:divsChild>
        <w:div w:id="1869483690">
          <w:marLeft w:val="0"/>
          <w:marRight w:val="0"/>
          <w:marTop w:val="0"/>
          <w:marBottom w:val="0"/>
          <w:divBdr>
            <w:top w:val="none" w:sz="0" w:space="0" w:color="auto"/>
            <w:left w:val="none" w:sz="0" w:space="0" w:color="auto"/>
            <w:bottom w:val="none" w:sz="0" w:space="0" w:color="auto"/>
            <w:right w:val="none" w:sz="0" w:space="0" w:color="auto"/>
          </w:divBdr>
        </w:div>
      </w:divsChild>
    </w:div>
    <w:div w:id="524635848">
      <w:bodyDiv w:val="1"/>
      <w:marLeft w:val="0"/>
      <w:marRight w:val="0"/>
      <w:marTop w:val="0"/>
      <w:marBottom w:val="0"/>
      <w:divBdr>
        <w:top w:val="none" w:sz="0" w:space="0" w:color="auto"/>
        <w:left w:val="none" w:sz="0" w:space="0" w:color="auto"/>
        <w:bottom w:val="none" w:sz="0" w:space="0" w:color="auto"/>
        <w:right w:val="none" w:sz="0" w:space="0" w:color="auto"/>
      </w:divBdr>
      <w:divsChild>
        <w:div w:id="1327322906">
          <w:marLeft w:val="0"/>
          <w:marRight w:val="0"/>
          <w:marTop w:val="0"/>
          <w:marBottom w:val="0"/>
          <w:divBdr>
            <w:top w:val="none" w:sz="0" w:space="0" w:color="auto"/>
            <w:left w:val="none" w:sz="0" w:space="0" w:color="auto"/>
            <w:bottom w:val="none" w:sz="0" w:space="0" w:color="auto"/>
            <w:right w:val="none" w:sz="0" w:space="0" w:color="auto"/>
          </w:divBdr>
          <w:divsChild>
            <w:div w:id="506948531">
              <w:marLeft w:val="0"/>
              <w:marRight w:val="0"/>
              <w:marTop w:val="0"/>
              <w:marBottom w:val="0"/>
              <w:divBdr>
                <w:top w:val="none" w:sz="0" w:space="0" w:color="auto"/>
                <w:left w:val="none" w:sz="0" w:space="0" w:color="auto"/>
                <w:bottom w:val="none" w:sz="0" w:space="0" w:color="auto"/>
                <w:right w:val="none" w:sz="0" w:space="0" w:color="auto"/>
              </w:divBdr>
              <w:divsChild>
                <w:div w:id="227571891">
                  <w:marLeft w:val="0"/>
                  <w:marRight w:val="150"/>
                  <w:marTop w:val="0"/>
                  <w:marBottom w:val="0"/>
                  <w:divBdr>
                    <w:top w:val="none" w:sz="0" w:space="0" w:color="auto"/>
                    <w:left w:val="none" w:sz="0" w:space="0" w:color="auto"/>
                    <w:bottom w:val="none" w:sz="0" w:space="0" w:color="auto"/>
                    <w:right w:val="none" w:sz="0" w:space="0" w:color="auto"/>
                  </w:divBdr>
                  <w:divsChild>
                    <w:div w:id="11185284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52616">
          <w:marLeft w:val="0"/>
          <w:marRight w:val="150"/>
          <w:marTop w:val="0"/>
          <w:marBottom w:val="0"/>
          <w:divBdr>
            <w:top w:val="none" w:sz="0" w:space="0" w:color="auto"/>
            <w:left w:val="none" w:sz="0" w:space="0" w:color="auto"/>
            <w:bottom w:val="none" w:sz="0" w:space="0" w:color="auto"/>
            <w:right w:val="none" w:sz="0" w:space="0" w:color="auto"/>
          </w:divBdr>
          <w:divsChild>
            <w:div w:id="662129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27984337">
      <w:marLeft w:val="0"/>
      <w:marRight w:val="0"/>
      <w:marTop w:val="0"/>
      <w:marBottom w:val="0"/>
      <w:divBdr>
        <w:top w:val="none" w:sz="0" w:space="0" w:color="auto"/>
        <w:left w:val="none" w:sz="0" w:space="0" w:color="auto"/>
        <w:bottom w:val="none" w:sz="0" w:space="0" w:color="auto"/>
        <w:right w:val="none" w:sz="0" w:space="0" w:color="auto"/>
      </w:divBdr>
      <w:divsChild>
        <w:div w:id="1278216103">
          <w:marLeft w:val="0"/>
          <w:marRight w:val="0"/>
          <w:marTop w:val="0"/>
          <w:marBottom w:val="0"/>
          <w:divBdr>
            <w:top w:val="none" w:sz="0" w:space="0" w:color="auto"/>
            <w:left w:val="none" w:sz="0" w:space="0" w:color="auto"/>
            <w:bottom w:val="none" w:sz="0" w:space="0" w:color="auto"/>
            <w:right w:val="none" w:sz="0" w:space="0" w:color="auto"/>
          </w:divBdr>
        </w:div>
      </w:divsChild>
    </w:div>
    <w:div w:id="534003035">
      <w:bodyDiv w:val="1"/>
      <w:marLeft w:val="0"/>
      <w:marRight w:val="0"/>
      <w:marTop w:val="0"/>
      <w:marBottom w:val="0"/>
      <w:divBdr>
        <w:top w:val="none" w:sz="0" w:space="0" w:color="auto"/>
        <w:left w:val="none" w:sz="0" w:space="0" w:color="auto"/>
        <w:bottom w:val="none" w:sz="0" w:space="0" w:color="auto"/>
        <w:right w:val="none" w:sz="0" w:space="0" w:color="auto"/>
      </w:divBdr>
      <w:divsChild>
        <w:div w:id="286788288">
          <w:marLeft w:val="0"/>
          <w:marRight w:val="0"/>
          <w:marTop w:val="0"/>
          <w:marBottom w:val="0"/>
          <w:divBdr>
            <w:top w:val="none" w:sz="0" w:space="0" w:color="auto"/>
            <w:left w:val="none" w:sz="0" w:space="0" w:color="auto"/>
            <w:bottom w:val="none" w:sz="0" w:space="0" w:color="auto"/>
            <w:right w:val="none" w:sz="0" w:space="0" w:color="auto"/>
          </w:divBdr>
          <w:divsChild>
            <w:div w:id="1846900244">
              <w:marLeft w:val="0"/>
              <w:marRight w:val="0"/>
              <w:marTop w:val="0"/>
              <w:marBottom w:val="0"/>
              <w:divBdr>
                <w:top w:val="none" w:sz="0" w:space="0" w:color="auto"/>
                <w:left w:val="none" w:sz="0" w:space="0" w:color="auto"/>
                <w:bottom w:val="none" w:sz="0" w:space="0" w:color="auto"/>
                <w:right w:val="none" w:sz="0" w:space="0" w:color="auto"/>
              </w:divBdr>
              <w:divsChild>
                <w:div w:id="228462022">
                  <w:marLeft w:val="0"/>
                  <w:marRight w:val="150"/>
                  <w:marTop w:val="0"/>
                  <w:marBottom w:val="0"/>
                  <w:divBdr>
                    <w:top w:val="none" w:sz="0" w:space="0" w:color="auto"/>
                    <w:left w:val="none" w:sz="0" w:space="0" w:color="auto"/>
                    <w:bottom w:val="none" w:sz="0" w:space="0" w:color="auto"/>
                    <w:right w:val="none" w:sz="0" w:space="0" w:color="auto"/>
                  </w:divBdr>
                  <w:divsChild>
                    <w:div w:id="16448476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5048">
          <w:marLeft w:val="0"/>
          <w:marRight w:val="150"/>
          <w:marTop w:val="0"/>
          <w:marBottom w:val="0"/>
          <w:divBdr>
            <w:top w:val="none" w:sz="0" w:space="0" w:color="auto"/>
            <w:left w:val="none" w:sz="0" w:space="0" w:color="auto"/>
            <w:bottom w:val="none" w:sz="0" w:space="0" w:color="auto"/>
            <w:right w:val="none" w:sz="0" w:space="0" w:color="auto"/>
          </w:divBdr>
          <w:divsChild>
            <w:div w:id="20246245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8935196">
      <w:marLeft w:val="0"/>
      <w:marRight w:val="0"/>
      <w:marTop w:val="0"/>
      <w:marBottom w:val="0"/>
      <w:divBdr>
        <w:top w:val="none" w:sz="0" w:space="0" w:color="auto"/>
        <w:left w:val="none" w:sz="0" w:space="0" w:color="auto"/>
        <w:bottom w:val="none" w:sz="0" w:space="0" w:color="auto"/>
        <w:right w:val="none" w:sz="0" w:space="0" w:color="auto"/>
      </w:divBdr>
      <w:divsChild>
        <w:div w:id="1002781214">
          <w:marLeft w:val="0"/>
          <w:marRight w:val="0"/>
          <w:marTop w:val="0"/>
          <w:marBottom w:val="0"/>
          <w:divBdr>
            <w:top w:val="none" w:sz="0" w:space="0" w:color="auto"/>
            <w:left w:val="none" w:sz="0" w:space="0" w:color="auto"/>
            <w:bottom w:val="none" w:sz="0" w:space="0" w:color="auto"/>
            <w:right w:val="none" w:sz="0" w:space="0" w:color="auto"/>
          </w:divBdr>
        </w:div>
      </w:divsChild>
    </w:div>
    <w:div w:id="539363620">
      <w:bodyDiv w:val="1"/>
      <w:marLeft w:val="0"/>
      <w:marRight w:val="0"/>
      <w:marTop w:val="0"/>
      <w:marBottom w:val="0"/>
      <w:divBdr>
        <w:top w:val="none" w:sz="0" w:space="0" w:color="auto"/>
        <w:left w:val="none" w:sz="0" w:space="0" w:color="auto"/>
        <w:bottom w:val="none" w:sz="0" w:space="0" w:color="auto"/>
        <w:right w:val="none" w:sz="0" w:space="0" w:color="auto"/>
      </w:divBdr>
    </w:div>
    <w:div w:id="539829546">
      <w:marLeft w:val="0"/>
      <w:marRight w:val="0"/>
      <w:marTop w:val="0"/>
      <w:marBottom w:val="0"/>
      <w:divBdr>
        <w:top w:val="none" w:sz="0" w:space="0" w:color="auto"/>
        <w:left w:val="none" w:sz="0" w:space="0" w:color="auto"/>
        <w:bottom w:val="none" w:sz="0" w:space="0" w:color="auto"/>
        <w:right w:val="none" w:sz="0" w:space="0" w:color="auto"/>
      </w:divBdr>
      <w:divsChild>
        <w:div w:id="258564917">
          <w:marLeft w:val="0"/>
          <w:marRight w:val="0"/>
          <w:marTop w:val="0"/>
          <w:marBottom w:val="0"/>
          <w:divBdr>
            <w:top w:val="none" w:sz="0" w:space="0" w:color="auto"/>
            <w:left w:val="none" w:sz="0" w:space="0" w:color="auto"/>
            <w:bottom w:val="none" w:sz="0" w:space="0" w:color="auto"/>
            <w:right w:val="none" w:sz="0" w:space="0" w:color="auto"/>
          </w:divBdr>
        </w:div>
      </w:divsChild>
    </w:div>
    <w:div w:id="542596624">
      <w:marLeft w:val="0"/>
      <w:marRight w:val="150"/>
      <w:marTop w:val="0"/>
      <w:marBottom w:val="0"/>
      <w:divBdr>
        <w:top w:val="none" w:sz="0" w:space="0" w:color="auto"/>
        <w:left w:val="none" w:sz="0" w:space="0" w:color="auto"/>
        <w:bottom w:val="none" w:sz="0" w:space="0" w:color="auto"/>
        <w:right w:val="none" w:sz="0" w:space="0" w:color="auto"/>
      </w:divBdr>
      <w:divsChild>
        <w:div w:id="9963141">
          <w:marLeft w:val="0"/>
          <w:marRight w:val="150"/>
          <w:marTop w:val="0"/>
          <w:marBottom w:val="0"/>
          <w:divBdr>
            <w:top w:val="none" w:sz="0" w:space="0" w:color="auto"/>
            <w:left w:val="none" w:sz="0" w:space="0" w:color="auto"/>
            <w:bottom w:val="none" w:sz="0" w:space="0" w:color="auto"/>
            <w:right w:val="none" w:sz="0" w:space="0" w:color="auto"/>
          </w:divBdr>
        </w:div>
      </w:divsChild>
    </w:div>
    <w:div w:id="544293867">
      <w:bodyDiv w:val="1"/>
      <w:marLeft w:val="0"/>
      <w:marRight w:val="0"/>
      <w:marTop w:val="0"/>
      <w:marBottom w:val="0"/>
      <w:divBdr>
        <w:top w:val="none" w:sz="0" w:space="0" w:color="auto"/>
        <w:left w:val="none" w:sz="0" w:space="0" w:color="auto"/>
        <w:bottom w:val="none" w:sz="0" w:space="0" w:color="auto"/>
        <w:right w:val="none" w:sz="0" w:space="0" w:color="auto"/>
      </w:divBdr>
    </w:div>
    <w:div w:id="545878724">
      <w:marLeft w:val="0"/>
      <w:marRight w:val="0"/>
      <w:marTop w:val="0"/>
      <w:marBottom w:val="0"/>
      <w:divBdr>
        <w:top w:val="none" w:sz="0" w:space="0" w:color="auto"/>
        <w:left w:val="none" w:sz="0" w:space="0" w:color="auto"/>
        <w:bottom w:val="none" w:sz="0" w:space="0" w:color="auto"/>
        <w:right w:val="none" w:sz="0" w:space="0" w:color="auto"/>
      </w:divBdr>
      <w:divsChild>
        <w:div w:id="1940403995">
          <w:marLeft w:val="0"/>
          <w:marRight w:val="0"/>
          <w:marTop w:val="0"/>
          <w:marBottom w:val="0"/>
          <w:divBdr>
            <w:top w:val="none" w:sz="0" w:space="0" w:color="auto"/>
            <w:left w:val="none" w:sz="0" w:space="0" w:color="auto"/>
            <w:bottom w:val="none" w:sz="0" w:space="0" w:color="auto"/>
            <w:right w:val="none" w:sz="0" w:space="0" w:color="auto"/>
          </w:divBdr>
        </w:div>
      </w:divsChild>
    </w:div>
    <w:div w:id="547424719">
      <w:marLeft w:val="0"/>
      <w:marRight w:val="0"/>
      <w:marTop w:val="0"/>
      <w:marBottom w:val="0"/>
      <w:divBdr>
        <w:top w:val="none" w:sz="0" w:space="0" w:color="auto"/>
        <w:left w:val="none" w:sz="0" w:space="0" w:color="auto"/>
        <w:bottom w:val="none" w:sz="0" w:space="0" w:color="auto"/>
        <w:right w:val="none" w:sz="0" w:space="0" w:color="auto"/>
      </w:divBdr>
      <w:divsChild>
        <w:div w:id="11153799">
          <w:marLeft w:val="0"/>
          <w:marRight w:val="0"/>
          <w:marTop w:val="0"/>
          <w:marBottom w:val="0"/>
          <w:divBdr>
            <w:top w:val="none" w:sz="0" w:space="0" w:color="auto"/>
            <w:left w:val="none" w:sz="0" w:space="0" w:color="auto"/>
            <w:bottom w:val="none" w:sz="0" w:space="0" w:color="auto"/>
            <w:right w:val="none" w:sz="0" w:space="0" w:color="auto"/>
          </w:divBdr>
        </w:div>
      </w:divsChild>
    </w:div>
    <w:div w:id="554586288">
      <w:bodyDiv w:val="1"/>
      <w:marLeft w:val="0"/>
      <w:marRight w:val="0"/>
      <w:marTop w:val="0"/>
      <w:marBottom w:val="0"/>
      <w:divBdr>
        <w:top w:val="none" w:sz="0" w:space="0" w:color="auto"/>
        <w:left w:val="none" w:sz="0" w:space="0" w:color="auto"/>
        <w:bottom w:val="none" w:sz="0" w:space="0" w:color="auto"/>
        <w:right w:val="none" w:sz="0" w:space="0" w:color="auto"/>
      </w:divBdr>
      <w:divsChild>
        <w:div w:id="1011687232">
          <w:marLeft w:val="0"/>
          <w:marRight w:val="0"/>
          <w:marTop w:val="0"/>
          <w:marBottom w:val="0"/>
          <w:divBdr>
            <w:top w:val="none" w:sz="0" w:space="0" w:color="auto"/>
            <w:left w:val="none" w:sz="0" w:space="0" w:color="auto"/>
            <w:bottom w:val="none" w:sz="0" w:space="0" w:color="auto"/>
            <w:right w:val="none" w:sz="0" w:space="0" w:color="auto"/>
          </w:divBdr>
          <w:divsChild>
            <w:div w:id="418143251">
              <w:marLeft w:val="0"/>
              <w:marRight w:val="0"/>
              <w:marTop w:val="0"/>
              <w:marBottom w:val="0"/>
              <w:divBdr>
                <w:top w:val="none" w:sz="0" w:space="0" w:color="auto"/>
                <w:left w:val="none" w:sz="0" w:space="0" w:color="auto"/>
                <w:bottom w:val="none" w:sz="0" w:space="0" w:color="auto"/>
                <w:right w:val="none" w:sz="0" w:space="0" w:color="auto"/>
              </w:divBdr>
            </w:div>
            <w:div w:id="1530533969">
              <w:marLeft w:val="0"/>
              <w:marRight w:val="0"/>
              <w:marTop w:val="0"/>
              <w:marBottom w:val="0"/>
              <w:divBdr>
                <w:top w:val="none" w:sz="0" w:space="0" w:color="auto"/>
                <w:left w:val="none" w:sz="0" w:space="0" w:color="auto"/>
                <w:bottom w:val="none" w:sz="0" w:space="0" w:color="auto"/>
                <w:right w:val="none" w:sz="0" w:space="0" w:color="auto"/>
              </w:divBdr>
            </w:div>
            <w:div w:id="2109234596">
              <w:marLeft w:val="0"/>
              <w:marRight w:val="0"/>
              <w:marTop w:val="0"/>
              <w:marBottom w:val="0"/>
              <w:divBdr>
                <w:top w:val="none" w:sz="0" w:space="0" w:color="auto"/>
                <w:left w:val="none" w:sz="0" w:space="0" w:color="auto"/>
                <w:bottom w:val="none" w:sz="0" w:space="0" w:color="auto"/>
                <w:right w:val="none" w:sz="0" w:space="0" w:color="auto"/>
              </w:divBdr>
            </w:div>
            <w:div w:id="2045328942">
              <w:marLeft w:val="0"/>
              <w:marRight w:val="0"/>
              <w:marTop w:val="0"/>
              <w:marBottom w:val="0"/>
              <w:divBdr>
                <w:top w:val="none" w:sz="0" w:space="0" w:color="auto"/>
                <w:left w:val="none" w:sz="0" w:space="0" w:color="auto"/>
                <w:bottom w:val="none" w:sz="0" w:space="0" w:color="auto"/>
                <w:right w:val="none" w:sz="0" w:space="0" w:color="auto"/>
              </w:divBdr>
            </w:div>
            <w:div w:id="2144615183">
              <w:marLeft w:val="0"/>
              <w:marRight w:val="0"/>
              <w:marTop w:val="0"/>
              <w:marBottom w:val="0"/>
              <w:divBdr>
                <w:top w:val="none" w:sz="0" w:space="0" w:color="auto"/>
                <w:left w:val="none" w:sz="0" w:space="0" w:color="auto"/>
                <w:bottom w:val="none" w:sz="0" w:space="0" w:color="auto"/>
                <w:right w:val="none" w:sz="0" w:space="0" w:color="auto"/>
              </w:divBdr>
            </w:div>
            <w:div w:id="1156263384">
              <w:marLeft w:val="0"/>
              <w:marRight w:val="0"/>
              <w:marTop w:val="0"/>
              <w:marBottom w:val="0"/>
              <w:divBdr>
                <w:top w:val="none" w:sz="0" w:space="0" w:color="auto"/>
                <w:left w:val="none" w:sz="0" w:space="0" w:color="auto"/>
                <w:bottom w:val="none" w:sz="0" w:space="0" w:color="auto"/>
                <w:right w:val="none" w:sz="0" w:space="0" w:color="auto"/>
              </w:divBdr>
            </w:div>
            <w:div w:id="1340502073">
              <w:marLeft w:val="0"/>
              <w:marRight w:val="0"/>
              <w:marTop w:val="0"/>
              <w:marBottom w:val="0"/>
              <w:divBdr>
                <w:top w:val="none" w:sz="0" w:space="0" w:color="auto"/>
                <w:left w:val="none" w:sz="0" w:space="0" w:color="auto"/>
                <w:bottom w:val="none" w:sz="0" w:space="0" w:color="auto"/>
                <w:right w:val="none" w:sz="0" w:space="0" w:color="auto"/>
              </w:divBdr>
            </w:div>
            <w:div w:id="1495603037">
              <w:marLeft w:val="0"/>
              <w:marRight w:val="0"/>
              <w:marTop w:val="0"/>
              <w:marBottom w:val="0"/>
              <w:divBdr>
                <w:top w:val="none" w:sz="0" w:space="0" w:color="auto"/>
                <w:left w:val="none" w:sz="0" w:space="0" w:color="auto"/>
                <w:bottom w:val="none" w:sz="0" w:space="0" w:color="auto"/>
                <w:right w:val="none" w:sz="0" w:space="0" w:color="auto"/>
              </w:divBdr>
            </w:div>
            <w:div w:id="1657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3847">
      <w:marLeft w:val="0"/>
      <w:marRight w:val="0"/>
      <w:marTop w:val="0"/>
      <w:marBottom w:val="0"/>
      <w:divBdr>
        <w:top w:val="none" w:sz="0" w:space="0" w:color="auto"/>
        <w:left w:val="none" w:sz="0" w:space="0" w:color="auto"/>
        <w:bottom w:val="none" w:sz="0" w:space="0" w:color="auto"/>
        <w:right w:val="none" w:sz="0" w:space="0" w:color="auto"/>
      </w:divBdr>
      <w:divsChild>
        <w:div w:id="1879052480">
          <w:marLeft w:val="0"/>
          <w:marRight w:val="0"/>
          <w:marTop w:val="0"/>
          <w:marBottom w:val="0"/>
          <w:divBdr>
            <w:top w:val="none" w:sz="0" w:space="0" w:color="auto"/>
            <w:left w:val="none" w:sz="0" w:space="0" w:color="auto"/>
            <w:bottom w:val="none" w:sz="0" w:space="0" w:color="auto"/>
            <w:right w:val="none" w:sz="0" w:space="0" w:color="auto"/>
          </w:divBdr>
        </w:div>
      </w:divsChild>
    </w:div>
    <w:div w:id="557404115">
      <w:marLeft w:val="0"/>
      <w:marRight w:val="0"/>
      <w:marTop w:val="0"/>
      <w:marBottom w:val="0"/>
      <w:divBdr>
        <w:top w:val="none" w:sz="0" w:space="0" w:color="auto"/>
        <w:left w:val="none" w:sz="0" w:space="0" w:color="auto"/>
        <w:bottom w:val="none" w:sz="0" w:space="0" w:color="auto"/>
        <w:right w:val="none" w:sz="0" w:space="0" w:color="auto"/>
      </w:divBdr>
      <w:divsChild>
        <w:div w:id="298415570">
          <w:marLeft w:val="0"/>
          <w:marRight w:val="0"/>
          <w:marTop w:val="0"/>
          <w:marBottom w:val="0"/>
          <w:divBdr>
            <w:top w:val="none" w:sz="0" w:space="0" w:color="auto"/>
            <w:left w:val="none" w:sz="0" w:space="0" w:color="auto"/>
            <w:bottom w:val="none" w:sz="0" w:space="0" w:color="auto"/>
            <w:right w:val="none" w:sz="0" w:space="0" w:color="auto"/>
          </w:divBdr>
        </w:div>
      </w:divsChild>
    </w:div>
    <w:div w:id="557471935">
      <w:marLeft w:val="0"/>
      <w:marRight w:val="0"/>
      <w:marTop w:val="0"/>
      <w:marBottom w:val="0"/>
      <w:divBdr>
        <w:top w:val="none" w:sz="0" w:space="0" w:color="auto"/>
        <w:left w:val="none" w:sz="0" w:space="0" w:color="auto"/>
        <w:bottom w:val="none" w:sz="0" w:space="0" w:color="auto"/>
        <w:right w:val="none" w:sz="0" w:space="0" w:color="auto"/>
      </w:divBdr>
      <w:divsChild>
        <w:div w:id="85542437">
          <w:marLeft w:val="0"/>
          <w:marRight w:val="0"/>
          <w:marTop w:val="0"/>
          <w:marBottom w:val="0"/>
          <w:divBdr>
            <w:top w:val="none" w:sz="0" w:space="0" w:color="auto"/>
            <w:left w:val="none" w:sz="0" w:space="0" w:color="auto"/>
            <w:bottom w:val="none" w:sz="0" w:space="0" w:color="auto"/>
            <w:right w:val="none" w:sz="0" w:space="0" w:color="auto"/>
          </w:divBdr>
        </w:div>
      </w:divsChild>
    </w:div>
    <w:div w:id="560478307">
      <w:marLeft w:val="0"/>
      <w:marRight w:val="0"/>
      <w:marTop w:val="0"/>
      <w:marBottom w:val="0"/>
      <w:divBdr>
        <w:top w:val="none" w:sz="0" w:space="0" w:color="auto"/>
        <w:left w:val="none" w:sz="0" w:space="0" w:color="auto"/>
        <w:bottom w:val="none" w:sz="0" w:space="0" w:color="auto"/>
        <w:right w:val="none" w:sz="0" w:space="0" w:color="auto"/>
      </w:divBdr>
      <w:divsChild>
        <w:div w:id="1594821750">
          <w:marLeft w:val="0"/>
          <w:marRight w:val="0"/>
          <w:marTop w:val="0"/>
          <w:marBottom w:val="0"/>
          <w:divBdr>
            <w:top w:val="none" w:sz="0" w:space="0" w:color="auto"/>
            <w:left w:val="none" w:sz="0" w:space="0" w:color="auto"/>
            <w:bottom w:val="none" w:sz="0" w:space="0" w:color="auto"/>
            <w:right w:val="none" w:sz="0" w:space="0" w:color="auto"/>
          </w:divBdr>
        </w:div>
      </w:divsChild>
    </w:div>
    <w:div w:id="561988280">
      <w:bodyDiv w:val="1"/>
      <w:marLeft w:val="0"/>
      <w:marRight w:val="0"/>
      <w:marTop w:val="0"/>
      <w:marBottom w:val="0"/>
      <w:divBdr>
        <w:top w:val="none" w:sz="0" w:space="0" w:color="auto"/>
        <w:left w:val="none" w:sz="0" w:space="0" w:color="auto"/>
        <w:bottom w:val="none" w:sz="0" w:space="0" w:color="auto"/>
        <w:right w:val="none" w:sz="0" w:space="0" w:color="auto"/>
      </w:divBdr>
    </w:div>
    <w:div w:id="564606462">
      <w:bodyDiv w:val="1"/>
      <w:marLeft w:val="0"/>
      <w:marRight w:val="0"/>
      <w:marTop w:val="0"/>
      <w:marBottom w:val="0"/>
      <w:divBdr>
        <w:top w:val="none" w:sz="0" w:space="0" w:color="auto"/>
        <w:left w:val="none" w:sz="0" w:space="0" w:color="auto"/>
        <w:bottom w:val="none" w:sz="0" w:space="0" w:color="auto"/>
        <w:right w:val="none" w:sz="0" w:space="0" w:color="auto"/>
      </w:divBdr>
      <w:divsChild>
        <w:div w:id="124140643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 w:id="497768913">
              <w:marLeft w:val="0"/>
              <w:marRight w:val="0"/>
              <w:marTop w:val="0"/>
              <w:marBottom w:val="0"/>
              <w:divBdr>
                <w:top w:val="none" w:sz="0" w:space="0" w:color="auto"/>
                <w:left w:val="none" w:sz="0" w:space="0" w:color="auto"/>
                <w:bottom w:val="none" w:sz="0" w:space="0" w:color="auto"/>
                <w:right w:val="none" w:sz="0" w:space="0" w:color="auto"/>
              </w:divBdr>
            </w:div>
            <w:div w:id="1195197484">
              <w:marLeft w:val="0"/>
              <w:marRight w:val="0"/>
              <w:marTop w:val="0"/>
              <w:marBottom w:val="0"/>
              <w:divBdr>
                <w:top w:val="none" w:sz="0" w:space="0" w:color="auto"/>
                <w:left w:val="none" w:sz="0" w:space="0" w:color="auto"/>
                <w:bottom w:val="none" w:sz="0" w:space="0" w:color="auto"/>
                <w:right w:val="none" w:sz="0" w:space="0" w:color="auto"/>
              </w:divBdr>
            </w:div>
            <w:div w:id="1786122145">
              <w:marLeft w:val="0"/>
              <w:marRight w:val="0"/>
              <w:marTop w:val="0"/>
              <w:marBottom w:val="0"/>
              <w:divBdr>
                <w:top w:val="none" w:sz="0" w:space="0" w:color="auto"/>
                <w:left w:val="none" w:sz="0" w:space="0" w:color="auto"/>
                <w:bottom w:val="none" w:sz="0" w:space="0" w:color="auto"/>
                <w:right w:val="none" w:sz="0" w:space="0" w:color="auto"/>
              </w:divBdr>
            </w:div>
            <w:div w:id="535319046">
              <w:marLeft w:val="0"/>
              <w:marRight w:val="0"/>
              <w:marTop w:val="0"/>
              <w:marBottom w:val="0"/>
              <w:divBdr>
                <w:top w:val="none" w:sz="0" w:space="0" w:color="auto"/>
                <w:left w:val="none" w:sz="0" w:space="0" w:color="auto"/>
                <w:bottom w:val="none" w:sz="0" w:space="0" w:color="auto"/>
                <w:right w:val="none" w:sz="0" w:space="0" w:color="auto"/>
              </w:divBdr>
            </w:div>
            <w:div w:id="1613243527">
              <w:marLeft w:val="0"/>
              <w:marRight w:val="0"/>
              <w:marTop w:val="0"/>
              <w:marBottom w:val="0"/>
              <w:divBdr>
                <w:top w:val="none" w:sz="0" w:space="0" w:color="auto"/>
                <w:left w:val="none" w:sz="0" w:space="0" w:color="auto"/>
                <w:bottom w:val="none" w:sz="0" w:space="0" w:color="auto"/>
                <w:right w:val="none" w:sz="0" w:space="0" w:color="auto"/>
              </w:divBdr>
            </w:div>
            <w:div w:id="1634364385">
              <w:marLeft w:val="0"/>
              <w:marRight w:val="0"/>
              <w:marTop w:val="0"/>
              <w:marBottom w:val="0"/>
              <w:divBdr>
                <w:top w:val="none" w:sz="0" w:space="0" w:color="auto"/>
                <w:left w:val="none" w:sz="0" w:space="0" w:color="auto"/>
                <w:bottom w:val="none" w:sz="0" w:space="0" w:color="auto"/>
                <w:right w:val="none" w:sz="0" w:space="0" w:color="auto"/>
              </w:divBdr>
            </w:div>
            <w:div w:id="1192763355">
              <w:marLeft w:val="0"/>
              <w:marRight w:val="0"/>
              <w:marTop w:val="0"/>
              <w:marBottom w:val="0"/>
              <w:divBdr>
                <w:top w:val="none" w:sz="0" w:space="0" w:color="auto"/>
                <w:left w:val="none" w:sz="0" w:space="0" w:color="auto"/>
                <w:bottom w:val="none" w:sz="0" w:space="0" w:color="auto"/>
                <w:right w:val="none" w:sz="0" w:space="0" w:color="auto"/>
              </w:divBdr>
            </w:div>
            <w:div w:id="345793060">
              <w:marLeft w:val="0"/>
              <w:marRight w:val="0"/>
              <w:marTop w:val="0"/>
              <w:marBottom w:val="0"/>
              <w:divBdr>
                <w:top w:val="none" w:sz="0" w:space="0" w:color="auto"/>
                <w:left w:val="none" w:sz="0" w:space="0" w:color="auto"/>
                <w:bottom w:val="none" w:sz="0" w:space="0" w:color="auto"/>
                <w:right w:val="none" w:sz="0" w:space="0" w:color="auto"/>
              </w:divBdr>
            </w:div>
            <w:div w:id="450592423">
              <w:marLeft w:val="0"/>
              <w:marRight w:val="0"/>
              <w:marTop w:val="0"/>
              <w:marBottom w:val="0"/>
              <w:divBdr>
                <w:top w:val="none" w:sz="0" w:space="0" w:color="auto"/>
                <w:left w:val="none" w:sz="0" w:space="0" w:color="auto"/>
                <w:bottom w:val="none" w:sz="0" w:space="0" w:color="auto"/>
                <w:right w:val="none" w:sz="0" w:space="0" w:color="auto"/>
              </w:divBdr>
            </w:div>
            <w:div w:id="82384110">
              <w:marLeft w:val="0"/>
              <w:marRight w:val="0"/>
              <w:marTop w:val="0"/>
              <w:marBottom w:val="0"/>
              <w:divBdr>
                <w:top w:val="none" w:sz="0" w:space="0" w:color="auto"/>
                <w:left w:val="none" w:sz="0" w:space="0" w:color="auto"/>
                <w:bottom w:val="none" w:sz="0" w:space="0" w:color="auto"/>
                <w:right w:val="none" w:sz="0" w:space="0" w:color="auto"/>
              </w:divBdr>
            </w:div>
            <w:div w:id="1920599882">
              <w:marLeft w:val="0"/>
              <w:marRight w:val="0"/>
              <w:marTop w:val="0"/>
              <w:marBottom w:val="0"/>
              <w:divBdr>
                <w:top w:val="none" w:sz="0" w:space="0" w:color="auto"/>
                <w:left w:val="none" w:sz="0" w:space="0" w:color="auto"/>
                <w:bottom w:val="none" w:sz="0" w:space="0" w:color="auto"/>
                <w:right w:val="none" w:sz="0" w:space="0" w:color="auto"/>
              </w:divBdr>
            </w:div>
            <w:div w:id="5888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8218">
      <w:marLeft w:val="0"/>
      <w:marRight w:val="0"/>
      <w:marTop w:val="0"/>
      <w:marBottom w:val="0"/>
      <w:divBdr>
        <w:top w:val="none" w:sz="0" w:space="0" w:color="auto"/>
        <w:left w:val="none" w:sz="0" w:space="0" w:color="auto"/>
        <w:bottom w:val="none" w:sz="0" w:space="0" w:color="auto"/>
        <w:right w:val="none" w:sz="0" w:space="0" w:color="auto"/>
      </w:divBdr>
      <w:divsChild>
        <w:div w:id="724983505">
          <w:marLeft w:val="0"/>
          <w:marRight w:val="0"/>
          <w:marTop w:val="0"/>
          <w:marBottom w:val="0"/>
          <w:divBdr>
            <w:top w:val="none" w:sz="0" w:space="0" w:color="auto"/>
            <w:left w:val="none" w:sz="0" w:space="0" w:color="auto"/>
            <w:bottom w:val="none" w:sz="0" w:space="0" w:color="auto"/>
            <w:right w:val="none" w:sz="0" w:space="0" w:color="auto"/>
          </w:divBdr>
        </w:div>
      </w:divsChild>
    </w:div>
    <w:div w:id="576092688">
      <w:marLeft w:val="0"/>
      <w:marRight w:val="0"/>
      <w:marTop w:val="0"/>
      <w:marBottom w:val="0"/>
      <w:divBdr>
        <w:top w:val="none" w:sz="0" w:space="0" w:color="auto"/>
        <w:left w:val="none" w:sz="0" w:space="0" w:color="auto"/>
        <w:bottom w:val="none" w:sz="0" w:space="0" w:color="auto"/>
        <w:right w:val="none" w:sz="0" w:space="0" w:color="auto"/>
      </w:divBdr>
      <w:divsChild>
        <w:div w:id="750859502">
          <w:marLeft w:val="0"/>
          <w:marRight w:val="0"/>
          <w:marTop w:val="0"/>
          <w:marBottom w:val="0"/>
          <w:divBdr>
            <w:top w:val="none" w:sz="0" w:space="0" w:color="auto"/>
            <w:left w:val="none" w:sz="0" w:space="0" w:color="auto"/>
            <w:bottom w:val="none" w:sz="0" w:space="0" w:color="auto"/>
            <w:right w:val="none" w:sz="0" w:space="0" w:color="auto"/>
          </w:divBdr>
        </w:div>
      </w:divsChild>
    </w:div>
    <w:div w:id="576206545">
      <w:bodyDiv w:val="1"/>
      <w:marLeft w:val="0"/>
      <w:marRight w:val="0"/>
      <w:marTop w:val="0"/>
      <w:marBottom w:val="0"/>
      <w:divBdr>
        <w:top w:val="none" w:sz="0" w:space="0" w:color="auto"/>
        <w:left w:val="none" w:sz="0" w:space="0" w:color="auto"/>
        <w:bottom w:val="none" w:sz="0" w:space="0" w:color="auto"/>
        <w:right w:val="none" w:sz="0" w:space="0" w:color="auto"/>
      </w:divBdr>
    </w:div>
    <w:div w:id="577522091">
      <w:marLeft w:val="0"/>
      <w:marRight w:val="0"/>
      <w:marTop w:val="0"/>
      <w:marBottom w:val="0"/>
      <w:divBdr>
        <w:top w:val="none" w:sz="0" w:space="0" w:color="auto"/>
        <w:left w:val="none" w:sz="0" w:space="0" w:color="auto"/>
        <w:bottom w:val="none" w:sz="0" w:space="0" w:color="auto"/>
        <w:right w:val="none" w:sz="0" w:space="0" w:color="auto"/>
      </w:divBdr>
      <w:divsChild>
        <w:div w:id="1708291518">
          <w:marLeft w:val="0"/>
          <w:marRight w:val="0"/>
          <w:marTop w:val="0"/>
          <w:marBottom w:val="0"/>
          <w:divBdr>
            <w:top w:val="none" w:sz="0" w:space="0" w:color="auto"/>
            <w:left w:val="none" w:sz="0" w:space="0" w:color="auto"/>
            <w:bottom w:val="none" w:sz="0" w:space="0" w:color="auto"/>
            <w:right w:val="none" w:sz="0" w:space="0" w:color="auto"/>
          </w:divBdr>
        </w:div>
      </w:divsChild>
    </w:div>
    <w:div w:id="578255189">
      <w:marLeft w:val="0"/>
      <w:marRight w:val="0"/>
      <w:marTop w:val="0"/>
      <w:marBottom w:val="0"/>
      <w:divBdr>
        <w:top w:val="none" w:sz="0" w:space="0" w:color="auto"/>
        <w:left w:val="none" w:sz="0" w:space="0" w:color="auto"/>
        <w:bottom w:val="none" w:sz="0" w:space="0" w:color="auto"/>
        <w:right w:val="none" w:sz="0" w:space="0" w:color="auto"/>
      </w:divBdr>
      <w:divsChild>
        <w:div w:id="1360547136">
          <w:marLeft w:val="0"/>
          <w:marRight w:val="0"/>
          <w:marTop w:val="0"/>
          <w:marBottom w:val="0"/>
          <w:divBdr>
            <w:top w:val="none" w:sz="0" w:space="0" w:color="auto"/>
            <w:left w:val="none" w:sz="0" w:space="0" w:color="auto"/>
            <w:bottom w:val="none" w:sz="0" w:space="0" w:color="auto"/>
            <w:right w:val="none" w:sz="0" w:space="0" w:color="auto"/>
          </w:divBdr>
        </w:div>
      </w:divsChild>
    </w:div>
    <w:div w:id="579683702">
      <w:bodyDiv w:val="1"/>
      <w:marLeft w:val="0"/>
      <w:marRight w:val="0"/>
      <w:marTop w:val="0"/>
      <w:marBottom w:val="0"/>
      <w:divBdr>
        <w:top w:val="none" w:sz="0" w:space="0" w:color="auto"/>
        <w:left w:val="none" w:sz="0" w:space="0" w:color="auto"/>
        <w:bottom w:val="none" w:sz="0" w:space="0" w:color="auto"/>
        <w:right w:val="none" w:sz="0" w:space="0" w:color="auto"/>
      </w:divBdr>
    </w:div>
    <w:div w:id="580723251">
      <w:bodyDiv w:val="1"/>
      <w:marLeft w:val="0"/>
      <w:marRight w:val="0"/>
      <w:marTop w:val="0"/>
      <w:marBottom w:val="0"/>
      <w:divBdr>
        <w:top w:val="none" w:sz="0" w:space="0" w:color="auto"/>
        <w:left w:val="none" w:sz="0" w:space="0" w:color="auto"/>
        <w:bottom w:val="none" w:sz="0" w:space="0" w:color="auto"/>
        <w:right w:val="none" w:sz="0" w:space="0" w:color="auto"/>
      </w:divBdr>
    </w:div>
    <w:div w:id="580724704">
      <w:bodyDiv w:val="1"/>
      <w:marLeft w:val="0"/>
      <w:marRight w:val="0"/>
      <w:marTop w:val="0"/>
      <w:marBottom w:val="0"/>
      <w:divBdr>
        <w:top w:val="none" w:sz="0" w:space="0" w:color="auto"/>
        <w:left w:val="none" w:sz="0" w:space="0" w:color="auto"/>
        <w:bottom w:val="none" w:sz="0" w:space="0" w:color="auto"/>
        <w:right w:val="none" w:sz="0" w:space="0" w:color="auto"/>
      </w:divBdr>
    </w:div>
    <w:div w:id="588390138">
      <w:marLeft w:val="0"/>
      <w:marRight w:val="0"/>
      <w:marTop w:val="0"/>
      <w:marBottom w:val="0"/>
      <w:divBdr>
        <w:top w:val="none" w:sz="0" w:space="0" w:color="auto"/>
        <w:left w:val="none" w:sz="0" w:space="0" w:color="auto"/>
        <w:bottom w:val="none" w:sz="0" w:space="0" w:color="auto"/>
        <w:right w:val="none" w:sz="0" w:space="0" w:color="auto"/>
      </w:divBdr>
      <w:divsChild>
        <w:div w:id="369033594">
          <w:marLeft w:val="0"/>
          <w:marRight w:val="0"/>
          <w:marTop w:val="0"/>
          <w:marBottom w:val="0"/>
          <w:divBdr>
            <w:top w:val="none" w:sz="0" w:space="0" w:color="auto"/>
            <w:left w:val="none" w:sz="0" w:space="0" w:color="auto"/>
            <w:bottom w:val="none" w:sz="0" w:space="0" w:color="auto"/>
            <w:right w:val="none" w:sz="0" w:space="0" w:color="auto"/>
          </w:divBdr>
        </w:div>
      </w:divsChild>
    </w:div>
    <w:div w:id="592590598">
      <w:marLeft w:val="0"/>
      <w:marRight w:val="0"/>
      <w:marTop w:val="0"/>
      <w:marBottom w:val="0"/>
      <w:divBdr>
        <w:top w:val="none" w:sz="0" w:space="0" w:color="auto"/>
        <w:left w:val="none" w:sz="0" w:space="0" w:color="auto"/>
        <w:bottom w:val="none" w:sz="0" w:space="0" w:color="auto"/>
        <w:right w:val="none" w:sz="0" w:space="0" w:color="auto"/>
      </w:divBdr>
      <w:divsChild>
        <w:div w:id="1767731149">
          <w:marLeft w:val="0"/>
          <w:marRight w:val="0"/>
          <w:marTop w:val="0"/>
          <w:marBottom w:val="0"/>
          <w:divBdr>
            <w:top w:val="none" w:sz="0" w:space="0" w:color="auto"/>
            <w:left w:val="none" w:sz="0" w:space="0" w:color="auto"/>
            <w:bottom w:val="none" w:sz="0" w:space="0" w:color="auto"/>
            <w:right w:val="none" w:sz="0" w:space="0" w:color="auto"/>
          </w:divBdr>
        </w:div>
      </w:divsChild>
    </w:div>
    <w:div w:id="592788001">
      <w:marLeft w:val="0"/>
      <w:marRight w:val="150"/>
      <w:marTop w:val="0"/>
      <w:marBottom w:val="0"/>
      <w:divBdr>
        <w:top w:val="none" w:sz="0" w:space="0" w:color="auto"/>
        <w:left w:val="none" w:sz="0" w:space="0" w:color="auto"/>
        <w:bottom w:val="none" w:sz="0" w:space="0" w:color="auto"/>
        <w:right w:val="none" w:sz="0" w:space="0" w:color="auto"/>
      </w:divBdr>
      <w:divsChild>
        <w:div w:id="1716663307">
          <w:marLeft w:val="0"/>
          <w:marRight w:val="150"/>
          <w:marTop w:val="0"/>
          <w:marBottom w:val="0"/>
          <w:divBdr>
            <w:top w:val="none" w:sz="0" w:space="0" w:color="auto"/>
            <w:left w:val="none" w:sz="0" w:space="0" w:color="auto"/>
            <w:bottom w:val="none" w:sz="0" w:space="0" w:color="auto"/>
            <w:right w:val="none" w:sz="0" w:space="0" w:color="auto"/>
          </w:divBdr>
        </w:div>
      </w:divsChild>
    </w:div>
    <w:div w:id="596593965">
      <w:marLeft w:val="0"/>
      <w:marRight w:val="0"/>
      <w:marTop w:val="0"/>
      <w:marBottom w:val="0"/>
      <w:divBdr>
        <w:top w:val="none" w:sz="0" w:space="0" w:color="auto"/>
        <w:left w:val="none" w:sz="0" w:space="0" w:color="auto"/>
        <w:bottom w:val="none" w:sz="0" w:space="0" w:color="auto"/>
        <w:right w:val="none" w:sz="0" w:space="0" w:color="auto"/>
      </w:divBdr>
      <w:divsChild>
        <w:div w:id="1067386144">
          <w:marLeft w:val="0"/>
          <w:marRight w:val="0"/>
          <w:marTop w:val="0"/>
          <w:marBottom w:val="0"/>
          <w:divBdr>
            <w:top w:val="none" w:sz="0" w:space="0" w:color="auto"/>
            <w:left w:val="none" w:sz="0" w:space="0" w:color="auto"/>
            <w:bottom w:val="none" w:sz="0" w:space="0" w:color="auto"/>
            <w:right w:val="none" w:sz="0" w:space="0" w:color="auto"/>
          </w:divBdr>
        </w:div>
      </w:divsChild>
    </w:div>
    <w:div w:id="597446926">
      <w:marLeft w:val="0"/>
      <w:marRight w:val="0"/>
      <w:marTop w:val="0"/>
      <w:marBottom w:val="0"/>
      <w:divBdr>
        <w:top w:val="none" w:sz="0" w:space="0" w:color="auto"/>
        <w:left w:val="none" w:sz="0" w:space="0" w:color="auto"/>
        <w:bottom w:val="none" w:sz="0" w:space="0" w:color="auto"/>
        <w:right w:val="none" w:sz="0" w:space="0" w:color="auto"/>
      </w:divBdr>
      <w:divsChild>
        <w:div w:id="1815946143">
          <w:marLeft w:val="0"/>
          <w:marRight w:val="0"/>
          <w:marTop w:val="0"/>
          <w:marBottom w:val="0"/>
          <w:divBdr>
            <w:top w:val="none" w:sz="0" w:space="0" w:color="auto"/>
            <w:left w:val="none" w:sz="0" w:space="0" w:color="auto"/>
            <w:bottom w:val="none" w:sz="0" w:space="0" w:color="auto"/>
            <w:right w:val="none" w:sz="0" w:space="0" w:color="auto"/>
          </w:divBdr>
        </w:div>
      </w:divsChild>
    </w:div>
    <w:div w:id="599220447">
      <w:marLeft w:val="0"/>
      <w:marRight w:val="0"/>
      <w:marTop w:val="0"/>
      <w:marBottom w:val="0"/>
      <w:divBdr>
        <w:top w:val="none" w:sz="0" w:space="0" w:color="auto"/>
        <w:left w:val="none" w:sz="0" w:space="0" w:color="auto"/>
        <w:bottom w:val="none" w:sz="0" w:space="0" w:color="auto"/>
        <w:right w:val="none" w:sz="0" w:space="0" w:color="auto"/>
      </w:divBdr>
      <w:divsChild>
        <w:div w:id="1126582788">
          <w:marLeft w:val="0"/>
          <w:marRight w:val="0"/>
          <w:marTop w:val="0"/>
          <w:marBottom w:val="0"/>
          <w:divBdr>
            <w:top w:val="none" w:sz="0" w:space="0" w:color="auto"/>
            <w:left w:val="none" w:sz="0" w:space="0" w:color="auto"/>
            <w:bottom w:val="none" w:sz="0" w:space="0" w:color="auto"/>
            <w:right w:val="none" w:sz="0" w:space="0" w:color="auto"/>
          </w:divBdr>
        </w:div>
      </w:divsChild>
    </w:div>
    <w:div w:id="601500989">
      <w:bodyDiv w:val="1"/>
      <w:marLeft w:val="0"/>
      <w:marRight w:val="0"/>
      <w:marTop w:val="0"/>
      <w:marBottom w:val="0"/>
      <w:divBdr>
        <w:top w:val="none" w:sz="0" w:space="0" w:color="auto"/>
        <w:left w:val="none" w:sz="0" w:space="0" w:color="auto"/>
        <w:bottom w:val="none" w:sz="0" w:space="0" w:color="auto"/>
        <w:right w:val="none" w:sz="0" w:space="0" w:color="auto"/>
      </w:divBdr>
    </w:div>
    <w:div w:id="610553554">
      <w:marLeft w:val="0"/>
      <w:marRight w:val="0"/>
      <w:marTop w:val="0"/>
      <w:marBottom w:val="0"/>
      <w:divBdr>
        <w:top w:val="none" w:sz="0" w:space="0" w:color="auto"/>
        <w:left w:val="none" w:sz="0" w:space="0" w:color="auto"/>
        <w:bottom w:val="none" w:sz="0" w:space="0" w:color="auto"/>
        <w:right w:val="none" w:sz="0" w:space="0" w:color="auto"/>
      </w:divBdr>
      <w:divsChild>
        <w:div w:id="1537161848">
          <w:marLeft w:val="0"/>
          <w:marRight w:val="0"/>
          <w:marTop w:val="0"/>
          <w:marBottom w:val="0"/>
          <w:divBdr>
            <w:top w:val="none" w:sz="0" w:space="0" w:color="auto"/>
            <w:left w:val="none" w:sz="0" w:space="0" w:color="auto"/>
            <w:bottom w:val="none" w:sz="0" w:space="0" w:color="auto"/>
            <w:right w:val="none" w:sz="0" w:space="0" w:color="auto"/>
          </w:divBdr>
        </w:div>
      </w:divsChild>
    </w:div>
    <w:div w:id="623804031">
      <w:bodyDiv w:val="1"/>
      <w:marLeft w:val="0"/>
      <w:marRight w:val="0"/>
      <w:marTop w:val="0"/>
      <w:marBottom w:val="0"/>
      <w:divBdr>
        <w:top w:val="none" w:sz="0" w:space="0" w:color="auto"/>
        <w:left w:val="none" w:sz="0" w:space="0" w:color="auto"/>
        <w:bottom w:val="none" w:sz="0" w:space="0" w:color="auto"/>
        <w:right w:val="none" w:sz="0" w:space="0" w:color="auto"/>
      </w:divBdr>
      <w:divsChild>
        <w:div w:id="1397780516">
          <w:marLeft w:val="0"/>
          <w:marRight w:val="0"/>
          <w:marTop w:val="0"/>
          <w:marBottom w:val="0"/>
          <w:divBdr>
            <w:top w:val="none" w:sz="0" w:space="0" w:color="auto"/>
            <w:left w:val="none" w:sz="0" w:space="0" w:color="auto"/>
            <w:bottom w:val="none" w:sz="0" w:space="0" w:color="auto"/>
            <w:right w:val="none" w:sz="0" w:space="0" w:color="auto"/>
          </w:divBdr>
          <w:divsChild>
            <w:div w:id="1353801760">
              <w:marLeft w:val="0"/>
              <w:marRight w:val="0"/>
              <w:marTop w:val="0"/>
              <w:marBottom w:val="0"/>
              <w:divBdr>
                <w:top w:val="none" w:sz="0" w:space="0" w:color="auto"/>
                <w:left w:val="none" w:sz="0" w:space="0" w:color="auto"/>
                <w:bottom w:val="none" w:sz="0" w:space="0" w:color="auto"/>
                <w:right w:val="none" w:sz="0" w:space="0" w:color="auto"/>
              </w:divBdr>
            </w:div>
            <w:div w:id="1305699948">
              <w:marLeft w:val="0"/>
              <w:marRight w:val="0"/>
              <w:marTop w:val="0"/>
              <w:marBottom w:val="0"/>
              <w:divBdr>
                <w:top w:val="none" w:sz="0" w:space="0" w:color="auto"/>
                <w:left w:val="none" w:sz="0" w:space="0" w:color="auto"/>
                <w:bottom w:val="none" w:sz="0" w:space="0" w:color="auto"/>
                <w:right w:val="none" w:sz="0" w:space="0" w:color="auto"/>
              </w:divBdr>
            </w:div>
            <w:div w:id="1458334561">
              <w:marLeft w:val="0"/>
              <w:marRight w:val="0"/>
              <w:marTop w:val="0"/>
              <w:marBottom w:val="0"/>
              <w:divBdr>
                <w:top w:val="none" w:sz="0" w:space="0" w:color="auto"/>
                <w:left w:val="none" w:sz="0" w:space="0" w:color="auto"/>
                <w:bottom w:val="none" w:sz="0" w:space="0" w:color="auto"/>
                <w:right w:val="none" w:sz="0" w:space="0" w:color="auto"/>
              </w:divBdr>
            </w:div>
            <w:div w:id="453520154">
              <w:marLeft w:val="0"/>
              <w:marRight w:val="0"/>
              <w:marTop w:val="0"/>
              <w:marBottom w:val="0"/>
              <w:divBdr>
                <w:top w:val="none" w:sz="0" w:space="0" w:color="auto"/>
                <w:left w:val="none" w:sz="0" w:space="0" w:color="auto"/>
                <w:bottom w:val="none" w:sz="0" w:space="0" w:color="auto"/>
                <w:right w:val="none" w:sz="0" w:space="0" w:color="auto"/>
              </w:divBdr>
            </w:div>
            <w:div w:id="610283817">
              <w:marLeft w:val="0"/>
              <w:marRight w:val="0"/>
              <w:marTop w:val="0"/>
              <w:marBottom w:val="0"/>
              <w:divBdr>
                <w:top w:val="none" w:sz="0" w:space="0" w:color="auto"/>
                <w:left w:val="none" w:sz="0" w:space="0" w:color="auto"/>
                <w:bottom w:val="none" w:sz="0" w:space="0" w:color="auto"/>
                <w:right w:val="none" w:sz="0" w:space="0" w:color="auto"/>
              </w:divBdr>
            </w:div>
            <w:div w:id="419527993">
              <w:marLeft w:val="0"/>
              <w:marRight w:val="0"/>
              <w:marTop w:val="0"/>
              <w:marBottom w:val="0"/>
              <w:divBdr>
                <w:top w:val="none" w:sz="0" w:space="0" w:color="auto"/>
                <w:left w:val="none" w:sz="0" w:space="0" w:color="auto"/>
                <w:bottom w:val="none" w:sz="0" w:space="0" w:color="auto"/>
                <w:right w:val="none" w:sz="0" w:space="0" w:color="auto"/>
              </w:divBdr>
            </w:div>
            <w:div w:id="469134843">
              <w:marLeft w:val="0"/>
              <w:marRight w:val="0"/>
              <w:marTop w:val="0"/>
              <w:marBottom w:val="0"/>
              <w:divBdr>
                <w:top w:val="none" w:sz="0" w:space="0" w:color="auto"/>
                <w:left w:val="none" w:sz="0" w:space="0" w:color="auto"/>
                <w:bottom w:val="none" w:sz="0" w:space="0" w:color="auto"/>
                <w:right w:val="none" w:sz="0" w:space="0" w:color="auto"/>
              </w:divBdr>
            </w:div>
            <w:div w:id="1612977782">
              <w:marLeft w:val="0"/>
              <w:marRight w:val="0"/>
              <w:marTop w:val="0"/>
              <w:marBottom w:val="0"/>
              <w:divBdr>
                <w:top w:val="none" w:sz="0" w:space="0" w:color="auto"/>
                <w:left w:val="none" w:sz="0" w:space="0" w:color="auto"/>
                <w:bottom w:val="none" w:sz="0" w:space="0" w:color="auto"/>
                <w:right w:val="none" w:sz="0" w:space="0" w:color="auto"/>
              </w:divBdr>
            </w:div>
            <w:div w:id="11395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2893">
      <w:bodyDiv w:val="1"/>
      <w:marLeft w:val="0"/>
      <w:marRight w:val="0"/>
      <w:marTop w:val="0"/>
      <w:marBottom w:val="0"/>
      <w:divBdr>
        <w:top w:val="none" w:sz="0" w:space="0" w:color="auto"/>
        <w:left w:val="none" w:sz="0" w:space="0" w:color="auto"/>
        <w:bottom w:val="none" w:sz="0" w:space="0" w:color="auto"/>
        <w:right w:val="none" w:sz="0" w:space="0" w:color="auto"/>
      </w:divBdr>
    </w:div>
    <w:div w:id="628317088">
      <w:marLeft w:val="0"/>
      <w:marRight w:val="0"/>
      <w:marTop w:val="0"/>
      <w:marBottom w:val="0"/>
      <w:divBdr>
        <w:top w:val="none" w:sz="0" w:space="0" w:color="auto"/>
        <w:left w:val="none" w:sz="0" w:space="0" w:color="auto"/>
        <w:bottom w:val="none" w:sz="0" w:space="0" w:color="auto"/>
        <w:right w:val="none" w:sz="0" w:space="0" w:color="auto"/>
      </w:divBdr>
      <w:divsChild>
        <w:div w:id="1904483317">
          <w:marLeft w:val="0"/>
          <w:marRight w:val="0"/>
          <w:marTop w:val="0"/>
          <w:marBottom w:val="0"/>
          <w:divBdr>
            <w:top w:val="none" w:sz="0" w:space="0" w:color="auto"/>
            <w:left w:val="none" w:sz="0" w:space="0" w:color="auto"/>
            <w:bottom w:val="none" w:sz="0" w:space="0" w:color="auto"/>
            <w:right w:val="none" w:sz="0" w:space="0" w:color="auto"/>
          </w:divBdr>
        </w:div>
      </w:divsChild>
    </w:div>
    <w:div w:id="630480078">
      <w:bodyDiv w:val="1"/>
      <w:marLeft w:val="0"/>
      <w:marRight w:val="0"/>
      <w:marTop w:val="0"/>
      <w:marBottom w:val="0"/>
      <w:divBdr>
        <w:top w:val="none" w:sz="0" w:space="0" w:color="auto"/>
        <w:left w:val="none" w:sz="0" w:space="0" w:color="auto"/>
        <w:bottom w:val="none" w:sz="0" w:space="0" w:color="auto"/>
        <w:right w:val="none" w:sz="0" w:space="0" w:color="auto"/>
      </w:divBdr>
    </w:div>
    <w:div w:id="632684702">
      <w:marLeft w:val="0"/>
      <w:marRight w:val="0"/>
      <w:marTop w:val="0"/>
      <w:marBottom w:val="0"/>
      <w:divBdr>
        <w:top w:val="none" w:sz="0" w:space="0" w:color="auto"/>
        <w:left w:val="none" w:sz="0" w:space="0" w:color="auto"/>
        <w:bottom w:val="none" w:sz="0" w:space="0" w:color="auto"/>
        <w:right w:val="none" w:sz="0" w:space="0" w:color="auto"/>
      </w:divBdr>
      <w:divsChild>
        <w:div w:id="1498227722">
          <w:marLeft w:val="0"/>
          <w:marRight w:val="0"/>
          <w:marTop w:val="0"/>
          <w:marBottom w:val="0"/>
          <w:divBdr>
            <w:top w:val="none" w:sz="0" w:space="0" w:color="auto"/>
            <w:left w:val="none" w:sz="0" w:space="0" w:color="auto"/>
            <w:bottom w:val="none" w:sz="0" w:space="0" w:color="auto"/>
            <w:right w:val="none" w:sz="0" w:space="0" w:color="auto"/>
          </w:divBdr>
        </w:div>
      </w:divsChild>
    </w:div>
    <w:div w:id="632832151">
      <w:bodyDiv w:val="1"/>
      <w:marLeft w:val="0"/>
      <w:marRight w:val="0"/>
      <w:marTop w:val="0"/>
      <w:marBottom w:val="0"/>
      <w:divBdr>
        <w:top w:val="none" w:sz="0" w:space="0" w:color="auto"/>
        <w:left w:val="none" w:sz="0" w:space="0" w:color="auto"/>
        <w:bottom w:val="none" w:sz="0" w:space="0" w:color="auto"/>
        <w:right w:val="none" w:sz="0" w:space="0" w:color="auto"/>
      </w:divBdr>
      <w:divsChild>
        <w:div w:id="510461273">
          <w:marLeft w:val="0"/>
          <w:marRight w:val="0"/>
          <w:marTop w:val="0"/>
          <w:marBottom w:val="0"/>
          <w:divBdr>
            <w:top w:val="none" w:sz="0" w:space="0" w:color="auto"/>
            <w:left w:val="none" w:sz="0" w:space="0" w:color="auto"/>
            <w:bottom w:val="none" w:sz="0" w:space="0" w:color="auto"/>
            <w:right w:val="none" w:sz="0" w:space="0" w:color="auto"/>
          </w:divBdr>
          <w:divsChild>
            <w:div w:id="1134057881">
              <w:marLeft w:val="0"/>
              <w:marRight w:val="0"/>
              <w:marTop w:val="0"/>
              <w:marBottom w:val="0"/>
              <w:divBdr>
                <w:top w:val="none" w:sz="0" w:space="0" w:color="auto"/>
                <w:left w:val="none" w:sz="0" w:space="0" w:color="auto"/>
                <w:bottom w:val="none" w:sz="0" w:space="0" w:color="auto"/>
                <w:right w:val="none" w:sz="0" w:space="0" w:color="auto"/>
              </w:divBdr>
            </w:div>
            <w:div w:id="1711956756">
              <w:marLeft w:val="0"/>
              <w:marRight w:val="0"/>
              <w:marTop w:val="0"/>
              <w:marBottom w:val="0"/>
              <w:divBdr>
                <w:top w:val="none" w:sz="0" w:space="0" w:color="auto"/>
                <w:left w:val="none" w:sz="0" w:space="0" w:color="auto"/>
                <w:bottom w:val="none" w:sz="0" w:space="0" w:color="auto"/>
                <w:right w:val="none" w:sz="0" w:space="0" w:color="auto"/>
              </w:divBdr>
            </w:div>
            <w:div w:id="543904624">
              <w:marLeft w:val="0"/>
              <w:marRight w:val="0"/>
              <w:marTop w:val="0"/>
              <w:marBottom w:val="0"/>
              <w:divBdr>
                <w:top w:val="none" w:sz="0" w:space="0" w:color="auto"/>
                <w:left w:val="none" w:sz="0" w:space="0" w:color="auto"/>
                <w:bottom w:val="none" w:sz="0" w:space="0" w:color="auto"/>
                <w:right w:val="none" w:sz="0" w:space="0" w:color="auto"/>
              </w:divBdr>
            </w:div>
            <w:div w:id="2145389510">
              <w:marLeft w:val="0"/>
              <w:marRight w:val="0"/>
              <w:marTop w:val="0"/>
              <w:marBottom w:val="0"/>
              <w:divBdr>
                <w:top w:val="none" w:sz="0" w:space="0" w:color="auto"/>
                <w:left w:val="none" w:sz="0" w:space="0" w:color="auto"/>
                <w:bottom w:val="none" w:sz="0" w:space="0" w:color="auto"/>
                <w:right w:val="none" w:sz="0" w:space="0" w:color="auto"/>
              </w:divBdr>
            </w:div>
            <w:div w:id="621114592">
              <w:marLeft w:val="0"/>
              <w:marRight w:val="0"/>
              <w:marTop w:val="0"/>
              <w:marBottom w:val="0"/>
              <w:divBdr>
                <w:top w:val="none" w:sz="0" w:space="0" w:color="auto"/>
                <w:left w:val="none" w:sz="0" w:space="0" w:color="auto"/>
                <w:bottom w:val="none" w:sz="0" w:space="0" w:color="auto"/>
                <w:right w:val="none" w:sz="0" w:space="0" w:color="auto"/>
              </w:divBdr>
            </w:div>
            <w:div w:id="1810246466">
              <w:marLeft w:val="0"/>
              <w:marRight w:val="0"/>
              <w:marTop w:val="0"/>
              <w:marBottom w:val="0"/>
              <w:divBdr>
                <w:top w:val="none" w:sz="0" w:space="0" w:color="auto"/>
                <w:left w:val="none" w:sz="0" w:space="0" w:color="auto"/>
                <w:bottom w:val="none" w:sz="0" w:space="0" w:color="auto"/>
                <w:right w:val="none" w:sz="0" w:space="0" w:color="auto"/>
              </w:divBdr>
            </w:div>
            <w:div w:id="403534475">
              <w:marLeft w:val="0"/>
              <w:marRight w:val="0"/>
              <w:marTop w:val="0"/>
              <w:marBottom w:val="0"/>
              <w:divBdr>
                <w:top w:val="none" w:sz="0" w:space="0" w:color="auto"/>
                <w:left w:val="none" w:sz="0" w:space="0" w:color="auto"/>
                <w:bottom w:val="none" w:sz="0" w:space="0" w:color="auto"/>
                <w:right w:val="none" w:sz="0" w:space="0" w:color="auto"/>
              </w:divBdr>
            </w:div>
            <w:div w:id="1580480487">
              <w:marLeft w:val="0"/>
              <w:marRight w:val="0"/>
              <w:marTop w:val="0"/>
              <w:marBottom w:val="0"/>
              <w:divBdr>
                <w:top w:val="none" w:sz="0" w:space="0" w:color="auto"/>
                <w:left w:val="none" w:sz="0" w:space="0" w:color="auto"/>
                <w:bottom w:val="none" w:sz="0" w:space="0" w:color="auto"/>
                <w:right w:val="none" w:sz="0" w:space="0" w:color="auto"/>
              </w:divBdr>
            </w:div>
            <w:div w:id="710302451">
              <w:marLeft w:val="0"/>
              <w:marRight w:val="0"/>
              <w:marTop w:val="0"/>
              <w:marBottom w:val="0"/>
              <w:divBdr>
                <w:top w:val="none" w:sz="0" w:space="0" w:color="auto"/>
                <w:left w:val="none" w:sz="0" w:space="0" w:color="auto"/>
                <w:bottom w:val="none" w:sz="0" w:space="0" w:color="auto"/>
                <w:right w:val="none" w:sz="0" w:space="0" w:color="auto"/>
              </w:divBdr>
            </w:div>
            <w:div w:id="1149008461">
              <w:marLeft w:val="0"/>
              <w:marRight w:val="0"/>
              <w:marTop w:val="0"/>
              <w:marBottom w:val="0"/>
              <w:divBdr>
                <w:top w:val="none" w:sz="0" w:space="0" w:color="auto"/>
                <w:left w:val="none" w:sz="0" w:space="0" w:color="auto"/>
                <w:bottom w:val="none" w:sz="0" w:space="0" w:color="auto"/>
                <w:right w:val="none" w:sz="0" w:space="0" w:color="auto"/>
              </w:divBdr>
            </w:div>
            <w:div w:id="387807546">
              <w:marLeft w:val="0"/>
              <w:marRight w:val="0"/>
              <w:marTop w:val="0"/>
              <w:marBottom w:val="0"/>
              <w:divBdr>
                <w:top w:val="none" w:sz="0" w:space="0" w:color="auto"/>
                <w:left w:val="none" w:sz="0" w:space="0" w:color="auto"/>
                <w:bottom w:val="none" w:sz="0" w:space="0" w:color="auto"/>
                <w:right w:val="none" w:sz="0" w:space="0" w:color="auto"/>
              </w:divBdr>
            </w:div>
            <w:div w:id="1587034874">
              <w:marLeft w:val="0"/>
              <w:marRight w:val="0"/>
              <w:marTop w:val="0"/>
              <w:marBottom w:val="0"/>
              <w:divBdr>
                <w:top w:val="none" w:sz="0" w:space="0" w:color="auto"/>
                <w:left w:val="none" w:sz="0" w:space="0" w:color="auto"/>
                <w:bottom w:val="none" w:sz="0" w:space="0" w:color="auto"/>
                <w:right w:val="none" w:sz="0" w:space="0" w:color="auto"/>
              </w:divBdr>
            </w:div>
            <w:div w:id="809320189">
              <w:marLeft w:val="0"/>
              <w:marRight w:val="0"/>
              <w:marTop w:val="0"/>
              <w:marBottom w:val="0"/>
              <w:divBdr>
                <w:top w:val="none" w:sz="0" w:space="0" w:color="auto"/>
                <w:left w:val="none" w:sz="0" w:space="0" w:color="auto"/>
                <w:bottom w:val="none" w:sz="0" w:space="0" w:color="auto"/>
                <w:right w:val="none" w:sz="0" w:space="0" w:color="auto"/>
              </w:divBdr>
            </w:div>
            <w:div w:id="2026859866">
              <w:marLeft w:val="0"/>
              <w:marRight w:val="0"/>
              <w:marTop w:val="0"/>
              <w:marBottom w:val="0"/>
              <w:divBdr>
                <w:top w:val="none" w:sz="0" w:space="0" w:color="auto"/>
                <w:left w:val="none" w:sz="0" w:space="0" w:color="auto"/>
                <w:bottom w:val="none" w:sz="0" w:space="0" w:color="auto"/>
                <w:right w:val="none" w:sz="0" w:space="0" w:color="auto"/>
              </w:divBdr>
            </w:div>
            <w:div w:id="1331983055">
              <w:marLeft w:val="0"/>
              <w:marRight w:val="0"/>
              <w:marTop w:val="0"/>
              <w:marBottom w:val="0"/>
              <w:divBdr>
                <w:top w:val="none" w:sz="0" w:space="0" w:color="auto"/>
                <w:left w:val="none" w:sz="0" w:space="0" w:color="auto"/>
                <w:bottom w:val="none" w:sz="0" w:space="0" w:color="auto"/>
                <w:right w:val="none" w:sz="0" w:space="0" w:color="auto"/>
              </w:divBdr>
            </w:div>
            <w:div w:id="725957218">
              <w:marLeft w:val="0"/>
              <w:marRight w:val="0"/>
              <w:marTop w:val="0"/>
              <w:marBottom w:val="0"/>
              <w:divBdr>
                <w:top w:val="none" w:sz="0" w:space="0" w:color="auto"/>
                <w:left w:val="none" w:sz="0" w:space="0" w:color="auto"/>
                <w:bottom w:val="none" w:sz="0" w:space="0" w:color="auto"/>
                <w:right w:val="none" w:sz="0" w:space="0" w:color="auto"/>
              </w:divBdr>
            </w:div>
            <w:div w:id="1260605895">
              <w:marLeft w:val="0"/>
              <w:marRight w:val="0"/>
              <w:marTop w:val="0"/>
              <w:marBottom w:val="0"/>
              <w:divBdr>
                <w:top w:val="none" w:sz="0" w:space="0" w:color="auto"/>
                <w:left w:val="none" w:sz="0" w:space="0" w:color="auto"/>
                <w:bottom w:val="none" w:sz="0" w:space="0" w:color="auto"/>
                <w:right w:val="none" w:sz="0" w:space="0" w:color="auto"/>
              </w:divBdr>
            </w:div>
            <w:div w:id="1860504066">
              <w:marLeft w:val="0"/>
              <w:marRight w:val="0"/>
              <w:marTop w:val="0"/>
              <w:marBottom w:val="0"/>
              <w:divBdr>
                <w:top w:val="none" w:sz="0" w:space="0" w:color="auto"/>
                <w:left w:val="none" w:sz="0" w:space="0" w:color="auto"/>
                <w:bottom w:val="none" w:sz="0" w:space="0" w:color="auto"/>
                <w:right w:val="none" w:sz="0" w:space="0" w:color="auto"/>
              </w:divBdr>
            </w:div>
            <w:div w:id="1820728699">
              <w:marLeft w:val="0"/>
              <w:marRight w:val="0"/>
              <w:marTop w:val="0"/>
              <w:marBottom w:val="0"/>
              <w:divBdr>
                <w:top w:val="none" w:sz="0" w:space="0" w:color="auto"/>
                <w:left w:val="none" w:sz="0" w:space="0" w:color="auto"/>
                <w:bottom w:val="none" w:sz="0" w:space="0" w:color="auto"/>
                <w:right w:val="none" w:sz="0" w:space="0" w:color="auto"/>
              </w:divBdr>
            </w:div>
            <w:div w:id="220022787">
              <w:marLeft w:val="0"/>
              <w:marRight w:val="0"/>
              <w:marTop w:val="0"/>
              <w:marBottom w:val="0"/>
              <w:divBdr>
                <w:top w:val="none" w:sz="0" w:space="0" w:color="auto"/>
                <w:left w:val="none" w:sz="0" w:space="0" w:color="auto"/>
                <w:bottom w:val="none" w:sz="0" w:space="0" w:color="auto"/>
                <w:right w:val="none" w:sz="0" w:space="0" w:color="auto"/>
              </w:divBdr>
            </w:div>
            <w:div w:id="9637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5493">
      <w:marLeft w:val="0"/>
      <w:marRight w:val="0"/>
      <w:marTop w:val="0"/>
      <w:marBottom w:val="0"/>
      <w:divBdr>
        <w:top w:val="none" w:sz="0" w:space="0" w:color="auto"/>
        <w:left w:val="none" w:sz="0" w:space="0" w:color="auto"/>
        <w:bottom w:val="none" w:sz="0" w:space="0" w:color="auto"/>
        <w:right w:val="none" w:sz="0" w:space="0" w:color="auto"/>
      </w:divBdr>
      <w:divsChild>
        <w:div w:id="969094182">
          <w:marLeft w:val="0"/>
          <w:marRight w:val="0"/>
          <w:marTop w:val="0"/>
          <w:marBottom w:val="0"/>
          <w:divBdr>
            <w:top w:val="none" w:sz="0" w:space="0" w:color="auto"/>
            <w:left w:val="none" w:sz="0" w:space="0" w:color="auto"/>
            <w:bottom w:val="none" w:sz="0" w:space="0" w:color="auto"/>
            <w:right w:val="none" w:sz="0" w:space="0" w:color="auto"/>
          </w:divBdr>
        </w:div>
      </w:divsChild>
    </w:div>
    <w:div w:id="644940752">
      <w:marLeft w:val="0"/>
      <w:marRight w:val="0"/>
      <w:marTop w:val="0"/>
      <w:marBottom w:val="0"/>
      <w:divBdr>
        <w:top w:val="none" w:sz="0" w:space="0" w:color="auto"/>
        <w:left w:val="none" w:sz="0" w:space="0" w:color="auto"/>
        <w:bottom w:val="none" w:sz="0" w:space="0" w:color="auto"/>
        <w:right w:val="none" w:sz="0" w:space="0" w:color="auto"/>
      </w:divBdr>
      <w:divsChild>
        <w:div w:id="476994180">
          <w:marLeft w:val="0"/>
          <w:marRight w:val="0"/>
          <w:marTop w:val="0"/>
          <w:marBottom w:val="0"/>
          <w:divBdr>
            <w:top w:val="none" w:sz="0" w:space="0" w:color="auto"/>
            <w:left w:val="none" w:sz="0" w:space="0" w:color="auto"/>
            <w:bottom w:val="none" w:sz="0" w:space="0" w:color="auto"/>
            <w:right w:val="none" w:sz="0" w:space="0" w:color="auto"/>
          </w:divBdr>
        </w:div>
      </w:divsChild>
    </w:div>
    <w:div w:id="646059404">
      <w:bodyDiv w:val="1"/>
      <w:marLeft w:val="0"/>
      <w:marRight w:val="0"/>
      <w:marTop w:val="0"/>
      <w:marBottom w:val="0"/>
      <w:divBdr>
        <w:top w:val="none" w:sz="0" w:space="0" w:color="auto"/>
        <w:left w:val="none" w:sz="0" w:space="0" w:color="auto"/>
        <w:bottom w:val="none" w:sz="0" w:space="0" w:color="auto"/>
        <w:right w:val="none" w:sz="0" w:space="0" w:color="auto"/>
      </w:divBdr>
    </w:div>
    <w:div w:id="646520698">
      <w:marLeft w:val="0"/>
      <w:marRight w:val="0"/>
      <w:marTop w:val="0"/>
      <w:marBottom w:val="0"/>
      <w:divBdr>
        <w:top w:val="none" w:sz="0" w:space="0" w:color="auto"/>
        <w:left w:val="none" w:sz="0" w:space="0" w:color="auto"/>
        <w:bottom w:val="none" w:sz="0" w:space="0" w:color="auto"/>
        <w:right w:val="none" w:sz="0" w:space="0" w:color="auto"/>
      </w:divBdr>
      <w:divsChild>
        <w:div w:id="1810900902">
          <w:marLeft w:val="0"/>
          <w:marRight w:val="0"/>
          <w:marTop w:val="0"/>
          <w:marBottom w:val="0"/>
          <w:divBdr>
            <w:top w:val="none" w:sz="0" w:space="0" w:color="auto"/>
            <w:left w:val="none" w:sz="0" w:space="0" w:color="auto"/>
            <w:bottom w:val="none" w:sz="0" w:space="0" w:color="auto"/>
            <w:right w:val="none" w:sz="0" w:space="0" w:color="auto"/>
          </w:divBdr>
        </w:div>
      </w:divsChild>
    </w:div>
    <w:div w:id="650184263">
      <w:marLeft w:val="0"/>
      <w:marRight w:val="0"/>
      <w:marTop w:val="0"/>
      <w:marBottom w:val="0"/>
      <w:divBdr>
        <w:top w:val="none" w:sz="0" w:space="0" w:color="auto"/>
        <w:left w:val="none" w:sz="0" w:space="0" w:color="auto"/>
        <w:bottom w:val="none" w:sz="0" w:space="0" w:color="auto"/>
        <w:right w:val="none" w:sz="0" w:space="0" w:color="auto"/>
      </w:divBdr>
      <w:divsChild>
        <w:div w:id="2067990199">
          <w:marLeft w:val="0"/>
          <w:marRight w:val="0"/>
          <w:marTop w:val="0"/>
          <w:marBottom w:val="0"/>
          <w:divBdr>
            <w:top w:val="none" w:sz="0" w:space="0" w:color="auto"/>
            <w:left w:val="none" w:sz="0" w:space="0" w:color="auto"/>
            <w:bottom w:val="none" w:sz="0" w:space="0" w:color="auto"/>
            <w:right w:val="none" w:sz="0" w:space="0" w:color="auto"/>
          </w:divBdr>
        </w:div>
      </w:divsChild>
    </w:div>
    <w:div w:id="650641469">
      <w:marLeft w:val="0"/>
      <w:marRight w:val="0"/>
      <w:marTop w:val="0"/>
      <w:marBottom w:val="0"/>
      <w:divBdr>
        <w:top w:val="none" w:sz="0" w:space="0" w:color="auto"/>
        <w:left w:val="none" w:sz="0" w:space="0" w:color="auto"/>
        <w:bottom w:val="none" w:sz="0" w:space="0" w:color="auto"/>
        <w:right w:val="none" w:sz="0" w:space="0" w:color="auto"/>
      </w:divBdr>
      <w:divsChild>
        <w:div w:id="838229573">
          <w:marLeft w:val="0"/>
          <w:marRight w:val="0"/>
          <w:marTop w:val="0"/>
          <w:marBottom w:val="0"/>
          <w:divBdr>
            <w:top w:val="none" w:sz="0" w:space="0" w:color="auto"/>
            <w:left w:val="none" w:sz="0" w:space="0" w:color="auto"/>
            <w:bottom w:val="none" w:sz="0" w:space="0" w:color="auto"/>
            <w:right w:val="none" w:sz="0" w:space="0" w:color="auto"/>
          </w:divBdr>
        </w:div>
      </w:divsChild>
    </w:div>
    <w:div w:id="653993164">
      <w:marLeft w:val="0"/>
      <w:marRight w:val="0"/>
      <w:marTop w:val="0"/>
      <w:marBottom w:val="0"/>
      <w:divBdr>
        <w:top w:val="none" w:sz="0" w:space="0" w:color="auto"/>
        <w:left w:val="none" w:sz="0" w:space="0" w:color="auto"/>
        <w:bottom w:val="none" w:sz="0" w:space="0" w:color="auto"/>
        <w:right w:val="none" w:sz="0" w:space="0" w:color="auto"/>
      </w:divBdr>
      <w:divsChild>
        <w:div w:id="425657352">
          <w:marLeft w:val="0"/>
          <w:marRight w:val="0"/>
          <w:marTop w:val="0"/>
          <w:marBottom w:val="0"/>
          <w:divBdr>
            <w:top w:val="none" w:sz="0" w:space="0" w:color="auto"/>
            <w:left w:val="none" w:sz="0" w:space="0" w:color="auto"/>
            <w:bottom w:val="none" w:sz="0" w:space="0" w:color="auto"/>
            <w:right w:val="none" w:sz="0" w:space="0" w:color="auto"/>
          </w:divBdr>
        </w:div>
      </w:divsChild>
    </w:div>
    <w:div w:id="656417152">
      <w:marLeft w:val="0"/>
      <w:marRight w:val="0"/>
      <w:marTop w:val="0"/>
      <w:marBottom w:val="0"/>
      <w:divBdr>
        <w:top w:val="none" w:sz="0" w:space="0" w:color="auto"/>
        <w:left w:val="none" w:sz="0" w:space="0" w:color="auto"/>
        <w:bottom w:val="none" w:sz="0" w:space="0" w:color="auto"/>
        <w:right w:val="none" w:sz="0" w:space="0" w:color="auto"/>
      </w:divBdr>
      <w:divsChild>
        <w:div w:id="1073965501">
          <w:marLeft w:val="0"/>
          <w:marRight w:val="0"/>
          <w:marTop w:val="0"/>
          <w:marBottom w:val="0"/>
          <w:divBdr>
            <w:top w:val="none" w:sz="0" w:space="0" w:color="auto"/>
            <w:left w:val="none" w:sz="0" w:space="0" w:color="auto"/>
            <w:bottom w:val="none" w:sz="0" w:space="0" w:color="auto"/>
            <w:right w:val="none" w:sz="0" w:space="0" w:color="auto"/>
          </w:divBdr>
        </w:div>
      </w:divsChild>
    </w:div>
    <w:div w:id="664826382">
      <w:marLeft w:val="0"/>
      <w:marRight w:val="0"/>
      <w:marTop w:val="0"/>
      <w:marBottom w:val="0"/>
      <w:divBdr>
        <w:top w:val="none" w:sz="0" w:space="0" w:color="auto"/>
        <w:left w:val="none" w:sz="0" w:space="0" w:color="auto"/>
        <w:bottom w:val="none" w:sz="0" w:space="0" w:color="auto"/>
        <w:right w:val="none" w:sz="0" w:space="0" w:color="auto"/>
      </w:divBdr>
      <w:divsChild>
        <w:div w:id="2039116262">
          <w:marLeft w:val="0"/>
          <w:marRight w:val="0"/>
          <w:marTop w:val="0"/>
          <w:marBottom w:val="0"/>
          <w:divBdr>
            <w:top w:val="none" w:sz="0" w:space="0" w:color="auto"/>
            <w:left w:val="none" w:sz="0" w:space="0" w:color="auto"/>
            <w:bottom w:val="none" w:sz="0" w:space="0" w:color="auto"/>
            <w:right w:val="none" w:sz="0" w:space="0" w:color="auto"/>
          </w:divBdr>
        </w:div>
      </w:divsChild>
    </w:div>
    <w:div w:id="667907304">
      <w:marLeft w:val="0"/>
      <w:marRight w:val="0"/>
      <w:marTop w:val="0"/>
      <w:marBottom w:val="0"/>
      <w:divBdr>
        <w:top w:val="none" w:sz="0" w:space="0" w:color="auto"/>
        <w:left w:val="none" w:sz="0" w:space="0" w:color="auto"/>
        <w:bottom w:val="none" w:sz="0" w:space="0" w:color="auto"/>
        <w:right w:val="none" w:sz="0" w:space="0" w:color="auto"/>
      </w:divBdr>
      <w:divsChild>
        <w:div w:id="681783390">
          <w:marLeft w:val="0"/>
          <w:marRight w:val="0"/>
          <w:marTop w:val="0"/>
          <w:marBottom w:val="0"/>
          <w:divBdr>
            <w:top w:val="none" w:sz="0" w:space="0" w:color="auto"/>
            <w:left w:val="none" w:sz="0" w:space="0" w:color="auto"/>
            <w:bottom w:val="none" w:sz="0" w:space="0" w:color="auto"/>
            <w:right w:val="none" w:sz="0" w:space="0" w:color="auto"/>
          </w:divBdr>
        </w:div>
      </w:divsChild>
    </w:div>
    <w:div w:id="668219898">
      <w:marLeft w:val="0"/>
      <w:marRight w:val="0"/>
      <w:marTop w:val="0"/>
      <w:marBottom w:val="0"/>
      <w:divBdr>
        <w:top w:val="none" w:sz="0" w:space="0" w:color="auto"/>
        <w:left w:val="none" w:sz="0" w:space="0" w:color="auto"/>
        <w:bottom w:val="none" w:sz="0" w:space="0" w:color="auto"/>
        <w:right w:val="none" w:sz="0" w:space="0" w:color="auto"/>
      </w:divBdr>
      <w:divsChild>
        <w:div w:id="1375353291">
          <w:marLeft w:val="0"/>
          <w:marRight w:val="0"/>
          <w:marTop w:val="0"/>
          <w:marBottom w:val="0"/>
          <w:divBdr>
            <w:top w:val="none" w:sz="0" w:space="0" w:color="auto"/>
            <w:left w:val="none" w:sz="0" w:space="0" w:color="auto"/>
            <w:bottom w:val="none" w:sz="0" w:space="0" w:color="auto"/>
            <w:right w:val="none" w:sz="0" w:space="0" w:color="auto"/>
          </w:divBdr>
        </w:div>
      </w:divsChild>
    </w:div>
    <w:div w:id="671221786">
      <w:bodyDiv w:val="1"/>
      <w:marLeft w:val="0"/>
      <w:marRight w:val="0"/>
      <w:marTop w:val="0"/>
      <w:marBottom w:val="0"/>
      <w:divBdr>
        <w:top w:val="none" w:sz="0" w:space="0" w:color="auto"/>
        <w:left w:val="none" w:sz="0" w:space="0" w:color="auto"/>
        <w:bottom w:val="none" w:sz="0" w:space="0" w:color="auto"/>
        <w:right w:val="none" w:sz="0" w:space="0" w:color="auto"/>
      </w:divBdr>
    </w:div>
    <w:div w:id="673218082">
      <w:marLeft w:val="0"/>
      <w:marRight w:val="0"/>
      <w:marTop w:val="0"/>
      <w:marBottom w:val="0"/>
      <w:divBdr>
        <w:top w:val="none" w:sz="0" w:space="0" w:color="auto"/>
        <w:left w:val="none" w:sz="0" w:space="0" w:color="auto"/>
        <w:bottom w:val="none" w:sz="0" w:space="0" w:color="auto"/>
        <w:right w:val="none" w:sz="0" w:space="0" w:color="auto"/>
      </w:divBdr>
      <w:divsChild>
        <w:div w:id="83454157">
          <w:marLeft w:val="0"/>
          <w:marRight w:val="0"/>
          <w:marTop w:val="0"/>
          <w:marBottom w:val="0"/>
          <w:divBdr>
            <w:top w:val="none" w:sz="0" w:space="0" w:color="auto"/>
            <w:left w:val="none" w:sz="0" w:space="0" w:color="auto"/>
            <w:bottom w:val="none" w:sz="0" w:space="0" w:color="auto"/>
            <w:right w:val="none" w:sz="0" w:space="0" w:color="auto"/>
          </w:divBdr>
        </w:div>
      </w:divsChild>
    </w:div>
    <w:div w:id="673843846">
      <w:bodyDiv w:val="1"/>
      <w:marLeft w:val="0"/>
      <w:marRight w:val="0"/>
      <w:marTop w:val="0"/>
      <w:marBottom w:val="0"/>
      <w:divBdr>
        <w:top w:val="none" w:sz="0" w:space="0" w:color="auto"/>
        <w:left w:val="none" w:sz="0" w:space="0" w:color="auto"/>
        <w:bottom w:val="none" w:sz="0" w:space="0" w:color="auto"/>
        <w:right w:val="none" w:sz="0" w:space="0" w:color="auto"/>
      </w:divBdr>
    </w:div>
    <w:div w:id="674067401">
      <w:marLeft w:val="0"/>
      <w:marRight w:val="0"/>
      <w:marTop w:val="0"/>
      <w:marBottom w:val="0"/>
      <w:divBdr>
        <w:top w:val="none" w:sz="0" w:space="0" w:color="auto"/>
        <w:left w:val="none" w:sz="0" w:space="0" w:color="auto"/>
        <w:bottom w:val="none" w:sz="0" w:space="0" w:color="auto"/>
        <w:right w:val="none" w:sz="0" w:space="0" w:color="auto"/>
      </w:divBdr>
      <w:divsChild>
        <w:div w:id="298345783">
          <w:marLeft w:val="0"/>
          <w:marRight w:val="0"/>
          <w:marTop w:val="0"/>
          <w:marBottom w:val="0"/>
          <w:divBdr>
            <w:top w:val="none" w:sz="0" w:space="0" w:color="auto"/>
            <w:left w:val="none" w:sz="0" w:space="0" w:color="auto"/>
            <w:bottom w:val="none" w:sz="0" w:space="0" w:color="auto"/>
            <w:right w:val="none" w:sz="0" w:space="0" w:color="auto"/>
          </w:divBdr>
        </w:div>
      </w:divsChild>
    </w:div>
    <w:div w:id="675233156">
      <w:bodyDiv w:val="1"/>
      <w:marLeft w:val="0"/>
      <w:marRight w:val="0"/>
      <w:marTop w:val="0"/>
      <w:marBottom w:val="0"/>
      <w:divBdr>
        <w:top w:val="none" w:sz="0" w:space="0" w:color="auto"/>
        <w:left w:val="none" w:sz="0" w:space="0" w:color="auto"/>
        <w:bottom w:val="none" w:sz="0" w:space="0" w:color="auto"/>
        <w:right w:val="none" w:sz="0" w:space="0" w:color="auto"/>
      </w:divBdr>
      <w:divsChild>
        <w:div w:id="184903498">
          <w:marLeft w:val="0"/>
          <w:marRight w:val="0"/>
          <w:marTop w:val="0"/>
          <w:marBottom w:val="0"/>
          <w:divBdr>
            <w:top w:val="none" w:sz="0" w:space="0" w:color="auto"/>
            <w:left w:val="none" w:sz="0" w:space="0" w:color="auto"/>
            <w:bottom w:val="none" w:sz="0" w:space="0" w:color="auto"/>
            <w:right w:val="none" w:sz="0" w:space="0" w:color="auto"/>
          </w:divBdr>
          <w:divsChild>
            <w:div w:id="890195205">
              <w:marLeft w:val="0"/>
              <w:marRight w:val="0"/>
              <w:marTop w:val="0"/>
              <w:marBottom w:val="0"/>
              <w:divBdr>
                <w:top w:val="none" w:sz="0" w:space="0" w:color="auto"/>
                <w:left w:val="none" w:sz="0" w:space="0" w:color="auto"/>
                <w:bottom w:val="none" w:sz="0" w:space="0" w:color="auto"/>
                <w:right w:val="none" w:sz="0" w:space="0" w:color="auto"/>
              </w:divBdr>
            </w:div>
            <w:div w:id="1778451363">
              <w:marLeft w:val="0"/>
              <w:marRight w:val="0"/>
              <w:marTop w:val="0"/>
              <w:marBottom w:val="0"/>
              <w:divBdr>
                <w:top w:val="none" w:sz="0" w:space="0" w:color="auto"/>
                <w:left w:val="none" w:sz="0" w:space="0" w:color="auto"/>
                <w:bottom w:val="none" w:sz="0" w:space="0" w:color="auto"/>
                <w:right w:val="none" w:sz="0" w:space="0" w:color="auto"/>
              </w:divBdr>
            </w:div>
            <w:div w:id="288360733">
              <w:marLeft w:val="0"/>
              <w:marRight w:val="0"/>
              <w:marTop w:val="0"/>
              <w:marBottom w:val="0"/>
              <w:divBdr>
                <w:top w:val="none" w:sz="0" w:space="0" w:color="auto"/>
                <w:left w:val="none" w:sz="0" w:space="0" w:color="auto"/>
                <w:bottom w:val="none" w:sz="0" w:space="0" w:color="auto"/>
                <w:right w:val="none" w:sz="0" w:space="0" w:color="auto"/>
              </w:divBdr>
            </w:div>
            <w:div w:id="480853122">
              <w:marLeft w:val="0"/>
              <w:marRight w:val="0"/>
              <w:marTop w:val="0"/>
              <w:marBottom w:val="0"/>
              <w:divBdr>
                <w:top w:val="none" w:sz="0" w:space="0" w:color="auto"/>
                <w:left w:val="none" w:sz="0" w:space="0" w:color="auto"/>
                <w:bottom w:val="none" w:sz="0" w:space="0" w:color="auto"/>
                <w:right w:val="none" w:sz="0" w:space="0" w:color="auto"/>
              </w:divBdr>
            </w:div>
            <w:div w:id="1549605701">
              <w:marLeft w:val="0"/>
              <w:marRight w:val="0"/>
              <w:marTop w:val="0"/>
              <w:marBottom w:val="0"/>
              <w:divBdr>
                <w:top w:val="none" w:sz="0" w:space="0" w:color="auto"/>
                <w:left w:val="none" w:sz="0" w:space="0" w:color="auto"/>
                <w:bottom w:val="none" w:sz="0" w:space="0" w:color="auto"/>
                <w:right w:val="none" w:sz="0" w:space="0" w:color="auto"/>
              </w:divBdr>
            </w:div>
            <w:div w:id="774324360">
              <w:marLeft w:val="0"/>
              <w:marRight w:val="0"/>
              <w:marTop w:val="0"/>
              <w:marBottom w:val="0"/>
              <w:divBdr>
                <w:top w:val="none" w:sz="0" w:space="0" w:color="auto"/>
                <w:left w:val="none" w:sz="0" w:space="0" w:color="auto"/>
                <w:bottom w:val="none" w:sz="0" w:space="0" w:color="auto"/>
                <w:right w:val="none" w:sz="0" w:space="0" w:color="auto"/>
              </w:divBdr>
            </w:div>
            <w:div w:id="1269241836">
              <w:marLeft w:val="0"/>
              <w:marRight w:val="0"/>
              <w:marTop w:val="0"/>
              <w:marBottom w:val="0"/>
              <w:divBdr>
                <w:top w:val="none" w:sz="0" w:space="0" w:color="auto"/>
                <w:left w:val="none" w:sz="0" w:space="0" w:color="auto"/>
                <w:bottom w:val="none" w:sz="0" w:space="0" w:color="auto"/>
                <w:right w:val="none" w:sz="0" w:space="0" w:color="auto"/>
              </w:divBdr>
            </w:div>
            <w:div w:id="1330017218">
              <w:marLeft w:val="0"/>
              <w:marRight w:val="0"/>
              <w:marTop w:val="0"/>
              <w:marBottom w:val="0"/>
              <w:divBdr>
                <w:top w:val="none" w:sz="0" w:space="0" w:color="auto"/>
                <w:left w:val="none" w:sz="0" w:space="0" w:color="auto"/>
                <w:bottom w:val="none" w:sz="0" w:space="0" w:color="auto"/>
                <w:right w:val="none" w:sz="0" w:space="0" w:color="auto"/>
              </w:divBdr>
            </w:div>
            <w:div w:id="1922987029">
              <w:marLeft w:val="0"/>
              <w:marRight w:val="0"/>
              <w:marTop w:val="0"/>
              <w:marBottom w:val="0"/>
              <w:divBdr>
                <w:top w:val="none" w:sz="0" w:space="0" w:color="auto"/>
                <w:left w:val="none" w:sz="0" w:space="0" w:color="auto"/>
                <w:bottom w:val="none" w:sz="0" w:space="0" w:color="auto"/>
                <w:right w:val="none" w:sz="0" w:space="0" w:color="auto"/>
              </w:divBdr>
            </w:div>
            <w:div w:id="1719158172">
              <w:marLeft w:val="0"/>
              <w:marRight w:val="0"/>
              <w:marTop w:val="0"/>
              <w:marBottom w:val="0"/>
              <w:divBdr>
                <w:top w:val="none" w:sz="0" w:space="0" w:color="auto"/>
                <w:left w:val="none" w:sz="0" w:space="0" w:color="auto"/>
                <w:bottom w:val="none" w:sz="0" w:space="0" w:color="auto"/>
                <w:right w:val="none" w:sz="0" w:space="0" w:color="auto"/>
              </w:divBdr>
            </w:div>
            <w:div w:id="2119056150">
              <w:marLeft w:val="0"/>
              <w:marRight w:val="0"/>
              <w:marTop w:val="0"/>
              <w:marBottom w:val="0"/>
              <w:divBdr>
                <w:top w:val="none" w:sz="0" w:space="0" w:color="auto"/>
                <w:left w:val="none" w:sz="0" w:space="0" w:color="auto"/>
                <w:bottom w:val="none" w:sz="0" w:space="0" w:color="auto"/>
                <w:right w:val="none" w:sz="0" w:space="0" w:color="auto"/>
              </w:divBdr>
            </w:div>
            <w:div w:id="1128545769">
              <w:marLeft w:val="0"/>
              <w:marRight w:val="0"/>
              <w:marTop w:val="0"/>
              <w:marBottom w:val="0"/>
              <w:divBdr>
                <w:top w:val="none" w:sz="0" w:space="0" w:color="auto"/>
                <w:left w:val="none" w:sz="0" w:space="0" w:color="auto"/>
                <w:bottom w:val="none" w:sz="0" w:space="0" w:color="auto"/>
                <w:right w:val="none" w:sz="0" w:space="0" w:color="auto"/>
              </w:divBdr>
            </w:div>
            <w:div w:id="783769295">
              <w:marLeft w:val="0"/>
              <w:marRight w:val="0"/>
              <w:marTop w:val="0"/>
              <w:marBottom w:val="0"/>
              <w:divBdr>
                <w:top w:val="none" w:sz="0" w:space="0" w:color="auto"/>
                <w:left w:val="none" w:sz="0" w:space="0" w:color="auto"/>
                <w:bottom w:val="none" w:sz="0" w:space="0" w:color="auto"/>
                <w:right w:val="none" w:sz="0" w:space="0" w:color="auto"/>
              </w:divBdr>
            </w:div>
            <w:div w:id="1169368516">
              <w:marLeft w:val="0"/>
              <w:marRight w:val="0"/>
              <w:marTop w:val="0"/>
              <w:marBottom w:val="0"/>
              <w:divBdr>
                <w:top w:val="none" w:sz="0" w:space="0" w:color="auto"/>
                <w:left w:val="none" w:sz="0" w:space="0" w:color="auto"/>
                <w:bottom w:val="none" w:sz="0" w:space="0" w:color="auto"/>
                <w:right w:val="none" w:sz="0" w:space="0" w:color="auto"/>
              </w:divBdr>
            </w:div>
            <w:div w:id="1469664867">
              <w:marLeft w:val="0"/>
              <w:marRight w:val="0"/>
              <w:marTop w:val="0"/>
              <w:marBottom w:val="0"/>
              <w:divBdr>
                <w:top w:val="none" w:sz="0" w:space="0" w:color="auto"/>
                <w:left w:val="none" w:sz="0" w:space="0" w:color="auto"/>
                <w:bottom w:val="none" w:sz="0" w:space="0" w:color="auto"/>
                <w:right w:val="none" w:sz="0" w:space="0" w:color="auto"/>
              </w:divBdr>
            </w:div>
            <w:div w:id="1125587442">
              <w:marLeft w:val="0"/>
              <w:marRight w:val="0"/>
              <w:marTop w:val="0"/>
              <w:marBottom w:val="0"/>
              <w:divBdr>
                <w:top w:val="none" w:sz="0" w:space="0" w:color="auto"/>
                <w:left w:val="none" w:sz="0" w:space="0" w:color="auto"/>
                <w:bottom w:val="none" w:sz="0" w:space="0" w:color="auto"/>
                <w:right w:val="none" w:sz="0" w:space="0" w:color="auto"/>
              </w:divBdr>
            </w:div>
            <w:div w:id="1674839538">
              <w:marLeft w:val="0"/>
              <w:marRight w:val="0"/>
              <w:marTop w:val="0"/>
              <w:marBottom w:val="0"/>
              <w:divBdr>
                <w:top w:val="none" w:sz="0" w:space="0" w:color="auto"/>
                <w:left w:val="none" w:sz="0" w:space="0" w:color="auto"/>
                <w:bottom w:val="none" w:sz="0" w:space="0" w:color="auto"/>
                <w:right w:val="none" w:sz="0" w:space="0" w:color="auto"/>
              </w:divBdr>
            </w:div>
            <w:div w:id="219366763">
              <w:marLeft w:val="0"/>
              <w:marRight w:val="0"/>
              <w:marTop w:val="0"/>
              <w:marBottom w:val="0"/>
              <w:divBdr>
                <w:top w:val="none" w:sz="0" w:space="0" w:color="auto"/>
                <w:left w:val="none" w:sz="0" w:space="0" w:color="auto"/>
                <w:bottom w:val="none" w:sz="0" w:space="0" w:color="auto"/>
                <w:right w:val="none" w:sz="0" w:space="0" w:color="auto"/>
              </w:divBdr>
            </w:div>
            <w:div w:id="1114594465">
              <w:marLeft w:val="0"/>
              <w:marRight w:val="0"/>
              <w:marTop w:val="0"/>
              <w:marBottom w:val="0"/>
              <w:divBdr>
                <w:top w:val="none" w:sz="0" w:space="0" w:color="auto"/>
                <w:left w:val="none" w:sz="0" w:space="0" w:color="auto"/>
                <w:bottom w:val="none" w:sz="0" w:space="0" w:color="auto"/>
                <w:right w:val="none" w:sz="0" w:space="0" w:color="auto"/>
              </w:divBdr>
            </w:div>
            <w:div w:id="1126004696">
              <w:marLeft w:val="0"/>
              <w:marRight w:val="0"/>
              <w:marTop w:val="0"/>
              <w:marBottom w:val="0"/>
              <w:divBdr>
                <w:top w:val="none" w:sz="0" w:space="0" w:color="auto"/>
                <w:left w:val="none" w:sz="0" w:space="0" w:color="auto"/>
                <w:bottom w:val="none" w:sz="0" w:space="0" w:color="auto"/>
                <w:right w:val="none" w:sz="0" w:space="0" w:color="auto"/>
              </w:divBdr>
            </w:div>
            <w:div w:id="1219434352">
              <w:marLeft w:val="0"/>
              <w:marRight w:val="0"/>
              <w:marTop w:val="0"/>
              <w:marBottom w:val="0"/>
              <w:divBdr>
                <w:top w:val="none" w:sz="0" w:space="0" w:color="auto"/>
                <w:left w:val="none" w:sz="0" w:space="0" w:color="auto"/>
                <w:bottom w:val="none" w:sz="0" w:space="0" w:color="auto"/>
                <w:right w:val="none" w:sz="0" w:space="0" w:color="auto"/>
              </w:divBdr>
            </w:div>
            <w:div w:id="614363593">
              <w:marLeft w:val="0"/>
              <w:marRight w:val="0"/>
              <w:marTop w:val="0"/>
              <w:marBottom w:val="0"/>
              <w:divBdr>
                <w:top w:val="none" w:sz="0" w:space="0" w:color="auto"/>
                <w:left w:val="none" w:sz="0" w:space="0" w:color="auto"/>
                <w:bottom w:val="none" w:sz="0" w:space="0" w:color="auto"/>
                <w:right w:val="none" w:sz="0" w:space="0" w:color="auto"/>
              </w:divBdr>
            </w:div>
            <w:div w:id="1197888510">
              <w:marLeft w:val="0"/>
              <w:marRight w:val="0"/>
              <w:marTop w:val="0"/>
              <w:marBottom w:val="0"/>
              <w:divBdr>
                <w:top w:val="none" w:sz="0" w:space="0" w:color="auto"/>
                <w:left w:val="none" w:sz="0" w:space="0" w:color="auto"/>
                <w:bottom w:val="none" w:sz="0" w:space="0" w:color="auto"/>
                <w:right w:val="none" w:sz="0" w:space="0" w:color="auto"/>
              </w:divBdr>
            </w:div>
            <w:div w:id="1602950854">
              <w:marLeft w:val="0"/>
              <w:marRight w:val="0"/>
              <w:marTop w:val="0"/>
              <w:marBottom w:val="0"/>
              <w:divBdr>
                <w:top w:val="none" w:sz="0" w:space="0" w:color="auto"/>
                <w:left w:val="none" w:sz="0" w:space="0" w:color="auto"/>
                <w:bottom w:val="none" w:sz="0" w:space="0" w:color="auto"/>
                <w:right w:val="none" w:sz="0" w:space="0" w:color="auto"/>
              </w:divBdr>
            </w:div>
            <w:div w:id="732434972">
              <w:marLeft w:val="0"/>
              <w:marRight w:val="0"/>
              <w:marTop w:val="0"/>
              <w:marBottom w:val="0"/>
              <w:divBdr>
                <w:top w:val="none" w:sz="0" w:space="0" w:color="auto"/>
                <w:left w:val="none" w:sz="0" w:space="0" w:color="auto"/>
                <w:bottom w:val="none" w:sz="0" w:space="0" w:color="auto"/>
                <w:right w:val="none" w:sz="0" w:space="0" w:color="auto"/>
              </w:divBdr>
            </w:div>
            <w:div w:id="935407570">
              <w:marLeft w:val="0"/>
              <w:marRight w:val="0"/>
              <w:marTop w:val="0"/>
              <w:marBottom w:val="0"/>
              <w:divBdr>
                <w:top w:val="none" w:sz="0" w:space="0" w:color="auto"/>
                <w:left w:val="none" w:sz="0" w:space="0" w:color="auto"/>
                <w:bottom w:val="none" w:sz="0" w:space="0" w:color="auto"/>
                <w:right w:val="none" w:sz="0" w:space="0" w:color="auto"/>
              </w:divBdr>
            </w:div>
            <w:div w:id="515844824">
              <w:marLeft w:val="0"/>
              <w:marRight w:val="0"/>
              <w:marTop w:val="0"/>
              <w:marBottom w:val="0"/>
              <w:divBdr>
                <w:top w:val="none" w:sz="0" w:space="0" w:color="auto"/>
                <w:left w:val="none" w:sz="0" w:space="0" w:color="auto"/>
                <w:bottom w:val="none" w:sz="0" w:space="0" w:color="auto"/>
                <w:right w:val="none" w:sz="0" w:space="0" w:color="auto"/>
              </w:divBdr>
            </w:div>
            <w:div w:id="904922517">
              <w:marLeft w:val="0"/>
              <w:marRight w:val="0"/>
              <w:marTop w:val="0"/>
              <w:marBottom w:val="0"/>
              <w:divBdr>
                <w:top w:val="none" w:sz="0" w:space="0" w:color="auto"/>
                <w:left w:val="none" w:sz="0" w:space="0" w:color="auto"/>
                <w:bottom w:val="none" w:sz="0" w:space="0" w:color="auto"/>
                <w:right w:val="none" w:sz="0" w:space="0" w:color="auto"/>
              </w:divBdr>
            </w:div>
            <w:div w:id="1025331522">
              <w:marLeft w:val="0"/>
              <w:marRight w:val="0"/>
              <w:marTop w:val="0"/>
              <w:marBottom w:val="0"/>
              <w:divBdr>
                <w:top w:val="none" w:sz="0" w:space="0" w:color="auto"/>
                <w:left w:val="none" w:sz="0" w:space="0" w:color="auto"/>
                <w:bottom w:val="none" w:sz="0" w:space="0" w:color="auto"/>
                <w:right w:val="none" w:sz="0" w:space="0" w:color="auto"/>
              </w:divBdr>
            </w:div>
            <w:div w:id="1828086877">
              <w:marLeft w:val="0"/>
              <w:marRight w:val="0"/>
              <w:marTop w:val="0"/>
              <w:marBottom w:val="0"/>
              <w:divBdr>
                <w:top w:val="none" w:sz="0" w:space="0" w:color="auto"/>
                <w:left w:val="none" w:sz="0" w:space="0" w:color="auto"/>
                <w:bottom w:val="none" w:sz="0" w:space="0" w:color="auto"/>
                <w:right w:val="none" w:sz="0" w:space="0" w:color="auto"/>
              </w:divBdr>
            </w:div>
            <w:div w:id="1956446277">
              <w:marLeft w:val="0"/>
              <w:marRight w:val="0"/>
              <w:marTop w:val="0"/>
              <w:marBottom w:val="0"/>
              <w:divBdr>
                <w:top w:val="none" w:sz="0" w:space="0" w:color="auto"/>
                <w:left w:val="none" w:sz="0" w:space="0" w:color="auto"/>
                <w:bottom w:val="none" w:sz="0" w:space="0" w:color="auto"/>
                <w:right w:val="none" w:sz="0" w:space="0" w:color="auto"/>
              </w:divBdr>
            </w:div>
            <w:div w:id="1799489556">
              <w:marLeft w:val="0"/>
              <w:marRight w:val="0"/>
              <w:marTop w:val="0"/>
              <w:marBottom w:val="0"/>
              <w:divBdr>
                <w:top w:val="none" w:sz="0" w:space="0" w:color="auto"/>
                <w:left w:val="none" w:sz="0" w:space="0" w:color="auto"/>
                <w:bottom w:val="none" w:sz="0" w:space="0" w:color="auto"/>
                <w:right w:val="none" w:sz="0" w:space="0" w:color="auto"/>
              </w:divBdr>
            </w:div>
            <w:div w:id="1908764360">
              <w:marLeft w:val="0"/>
              <w:marRight w:val="0"/>
              <w:marTop w:val="0"/>
              <w:marBottom w:val="0"/>
              <w:divBdr>
                <w:top w:val="none" w:sz="0" w:space="0" w:color="auto"/>
                <w:left w:val="none" w:sz="0" w:space="0" w:color="auto"/>
                <w:bottom w:val="none" w:sz="0" w:space="0" w:color="auto"/>
                <w:right w:val="none" w:sz="0" w:space="0" w:color="auto"/>
              </w:divBdr>
            </w:div>
            <w:div w:id="643700717">
              <w:marLeft w:val="0"/>
              <w:marRight w:val="0"/>
              <w:marTop w:val="0"/>
              <w:marBottom w:val="0"/>
              <w:divBdr>
                <w:top w:val="none" w:sz="0" w:space="0" w:color="auto"/>
                <w:left w:val="none" w:sz="0" w:space="0" w:color="auto"/>
                <w:bottom w:val="none" w:sz="0" w:space="0" w:color="auto"/>
                <w:right w:val="none" w:sz="0" w:space="0" w:color="auto"/>
              </w:divBdr>
            </w:div>
            <w:div w:id="1645813769">
              <w:marLeft w:val="0"/>
              <w:marRight w:val="0"/>
              <w:marTop w:val="0"/>
              <w:marBottom w:val="0"/>
              <w:divBdr>
                <w:top w:val="none" w:sz="0" w:space="0" w:color="auto"/>
                <w:left w:val="none" w:sz="0" w:space="0" w:color="auto"/>
                <w:bottom w:val="none" w:sz="0" w:space="0" w:color="auto"/>
                <w:right w:val="none" w:sz="0" w:space="0" w:color="auto"/>
              </w:divBdr>
            </w:div>
            <w:div w:id="479807726">
              <w:marLeft w:val="0"/>
              <w:marRight w:val="0"/>
              <w:marTop w:val="0"/>
              <w:marBottom w:val="0"/>
              <w:divBdr>
                <w:top w:val="none" w:sz="0" w:space="0" w:color="auto"/>
                <w:left w:val="none" w:sz="0" w:space="0" w:color="auto"/>
                <w:bottom w:val="none" w:sz="0" w:space="0" w:color="auto"/>
                <w:right w:val="none" w:sz="0" w:space="0" w:color="auto"/>
              </w:divBdr>
            </w:div>
            <w:div w:id="1638146146">
              <w:marLeft w:val="0"/>
              <w:marRight w:val="0"/>
              <w:marTop w:val="0"/>
              <w:marBottom w:val="0"/>
              <w:divBdr>
                <w:top w:val="none" w:sz="0" w:space="0" w:color="auto"/>
                <w:left w:val="none" w:sz="0" w:space="0" w:color="auto"/>
                <w:bottom w:val="none" w:sz="0" w:space="0" w:color="auto"/>
                <w:right w:val="none" w:sz="0" w:space="0" w:color="auto"/>
              </w:divBdr>
            </w:div>
            <w:div w:id="1573194550">
              <w:marLeft w:val="0"/>
              <w:marRight w:val="0"/>
              <w:marTop w:val="0"/>
              <w:marBottom w:val="0"/>
              <w:divBdr>
                <w:top w:val="none" w:sz="0" w:space="0" w:color="auto"/>
                <w:left w:val="none" w:sz="0" w:space="0" w:color="auto"/>
                <w:bottom w:val="none" w:sz="0" w:space="0" w:color="auto"/>
                <w:right w:val="none" w:sz="0" w:space="0" w:color="auto"/>
              </w:divBdr>
            </w:div>
            <w:div w:id="388647611">
              <w:marLeft w:val="0"/>
              <w:marRight w:val="0"/>
              <w:marTop w:val="0"/>
              <w:marBottom w:val="0"/>
              <w:divBdr>
                <w:top w:val="none" w:sz="0" w:space="0" w:color="auto"/>
                <w:left w:val="none" w:sz="0" w:space="0" w:color="auto"/>
                <w:bottom w:val="none" w:sz="0" w:space="0" w:color="auto"/>
                <w:right w:val="none" w:sz="0" w:space="0" w:color="auto"/>
              </w:divBdr>
            </w:div>
            <w:div w:id="1999385301">
              <w:marLeft w:val="0"/>
              <w:marRight w:val="0"/>
              <w:marTop w:val="0"/>
              <w:marBottom w:val="0"/>
              <w:divBdr>
                <w:top w:val="none" w:sz="0" w:space="0" w:color="auto"/>
                <w:left w:val="none" w:sz="0" w:space="0" w:color="auto"/>
                <w:bottom w:val="none" w:sz="0" w:space="0" w:color="auto"/>
                <w:right w:val="none" w:sz="0" w:space="0" w:color="auto"/>
              </w:divBdr>
            </w:div>
            <w:div w:id="1007101909">
              <w:marLeft w:val="0"/>
              <w:marRight w:val="0"/>
              <w:marTop w:val="0"/>
              <w:marBottom w:val="0"/>
              <w:divBdr>
                <w:top w:val="none" w:sz="0" w:space="0" w:color="auto"/>
                <w:left w:val="none" w:sz="0" w:space="0" w:color="auto"/>
                <w:bottom w:val="none" w:sz="0" w:space="0" w:color="auto"/>
                <w:right w:val="none" w:sz="0" w:space="0" w:color="auto"/>
              </w:divBdr>
            </w:div>
            <w:div w:id="689335735">
              <w:marLeft w:val="0"/>
              <w:marRight w:val="0"/>
              <w:marTop w:val="0"/>
              <w:marBottom w:val="0"/>
              <w:divBdr>
                <w:top w:val="none" w:sz="0" w:space="0" w:color="auto"/>
                <w:left w:val="none" w:sz="0" w:space="0" w:color="auto"/>
                <w:bottom w:val="none" w:sz="0" w:space="0" w:color="auto"/>
                <w:right w:val="none" w:sz="0" w:space="0" w:color="auto"/>
              </w:divBdr>
            </w:div>
            <w:div w:id="915091650">
              <w:marLeft w:val="0"/>
              <w:marRight w:val="0"/>
              <w:marTop w:val="0"/>
              <w:marBottom w:val="0"/>
              <w:divBdr>
                <w:top w:val="none" w:sz="0" w:space="0" w:color="auto"/>
                <w:left w:val="none" w:sz="0" w:space="0" w:color="auto"/>
                <w:bottom w:val="none" w:sz="0" w:space="0" w:color="auto"/>
                <w:right w:val="none" w:sz="0" w:space="0" w:color="auto"/>
              </w:divBdr>
            </w:div>
            <w:div w:id="202863610">
              <w:marLeft w:val="0"/>
              <w:marRight w:val="0"/>
              <w:marTop w:val="0"/>
              <w:marBottom w:val="0"/>
              <w:divBdr>
                <w:top w:val="none" w:sz="0" w:space="0" w:color="auto"/>
                <w:left w:val="none" w:sz="0" w:space="0" w:color="auto"/>
                <w:bottom w:val="none" w:sz="0" w:space="0" w:color="auto"/>
                <w:right w:val="none" w:sz="0" w:space="0" w:color="auto"/>
              </w:divBdr>
            </w:div>
            <w:div w:id="1880513313">
              <w:marLeft w:val="0"/>
              <w:marRight w:val="0"/>
              <w:marTop w:val="0"/>
              <w:marBottom w:val="0"/>
              <w:divBdr>
                <w:top w:val="none" w:sz="0" w:space="0" w:color="auto"/>
                <w:left w:val="none" w:sz="0" w:space="0" w:color="auto"/>
                <w:bottom w:val="none" w:sz="0" w:space="0" w:color="auto"/>
                <w:right w:val="none" w:sz="0" w:space="0" w:color="auto"/>
              </w:divBdr>
            </w:div>
            <w:div w:id="685668476">
              <w:marLeft w:val="0"/>
              <w:marRight w:val="0"/>
              <w:marTop w:val="0"/>
              <w:marBottom w:val="0"/>
              <w:divBdr>
                <w:top w:val="none" w:sz="0" w:space="0" w:color="auto"/>
                <w:left w:val="none" w:sz="0" w:space="0" w:color="auto"/>
                <w:bottom w:val="none" w:sz="0" w:space="0" w:color="auto"/>
                <w:right w:val="none" w:sz="0" w:space="0" w:color="auto"/>
              </w:divBdr>
            </w:div>
            <w:div w:id="1652949309">
              <w:marLeft w:val="0"/>
              <w:marRight w:val="0"/>
              <w:marTop w:val="0"/>
              <w:marBottom w:val="0"/>
              <w:divBdr>
                <w:top w:val="none" w:sz="0" w:space="0" w:color="auto"/>
                <w:left w:val="none" w:sz="0" w:space="0" w:color="auto"/>
                <w:bottom w:val="none" w:sz="0" w:space="0" w:color="auto"/>
                <w:right w:val="none" w:sz="0" w:space="0" w:color="auto"/>
              </w:divBdr>
            </w:div>
            <w:div w:id="156382743">
              <w:marLeft w:val="0"/>
              <w:marRight w:val="0"/>
              <w:marTop w:val="0"/>
              <w:marBottom w:val="0"/>
              <w:divBdr>
                <w:top w:val="none" w:sz="0" w:space="0" w:color="auto"/>
                <w:left w:val="none" w:sz="0" w:space="0" w:color="auto"/>
                <w:bottom w:val="none" w:sz="0" w:space="0" w:color="auto"/>
                <w:right w:val="none" w:sz="0" w:space="0" w:color="auto"/>
              </w:divBdr>
            </w:div>
            <w:div w:id="631718034">
              <w:marLeft w:val="0"/>
              <w:marRight w:val="0"/>
              <w:marTop w:val="0"/>
              <w:marBottom w:val="0"/>
              <w:divBdr>
                <w:top w:val="none" w:sz="0" w:space="0" w:color="auto"/>
                <w:left w:val="none" w:sz="0" w:space="0" w:color="auto"/>
                <w:bottom w:val="none" w:sz="0" w:space="0" w:color="auto"/>
                <w:right w:val="none" w:sz="0" w:space="0" w:color="auto"/>
              </w:divBdr>
            </w:div>
            <w:div w:id="929922425">
              <w:marLeft w:val="0"/>
              <w:marRight w:val="0"/>
              <w:marTop w:val="0"/>
              <w:marBottom w:val="0"/>
              <w:divBdr>
                <w:top w:val="none" w:sz="0" w:space="0" w:color="auto"/>
                <w:left w:val="none" w:sz="0" w:space="0" w:color="auto"/>
                <w:bottom w:val="none" w:sz="0" w:space="0" w:color="auto"/>
                <w:right w:val="none" w:sz="0" w:space="0" w:color="auto"/>
              </w:divBdr>
            </w:div>
            <w:div w:id="733741988">
              <w:marLeft w:val="0"/>
              <w:marRight w:val="0"/>
              <w:marTop w:val="0"/>
              <w:marBottom w:val="0"/>
              <w:divBdr>
                <w:top w:val="none" w:sz="0" w:space="0" w:color="auto"/>
                <w:left w:val="none" w:sz="0" w:space="0" w:color="auto"/>
                <w:bottom w:val="none" w:sz="0" w:space="0" w:color="auto"/>
                <w:right w:val="none" w:sz="0" w:space="0" w:color="auto"/>
              </w:divBdr>
            </w:div>
            <w:div w:id="676612744">
              <w:marLeft w:val="0"/>
              <w:marRight w:val="0"/>
              <w:marTop w:val="0"/>
              <w:marBottom w:val="0"/>
              <w:divBdr>
                <w:top w:val="none" w:sz="0" w:space="0" w:color="auto"/>
                <w:left w:val="none" w:sz="0" w:space="0" w:color="auto"/>
                <w:bottom w:val="none" w:sz="0" w:space="0" w:color="auto"/>
                <w:right w:val="none" w:sz="0" w:space="0" w:color="auto"/>
              </w:divBdr>
            </w:div>
            <w:div w:id="1530294795">
              <w:marLeft w:val="0"/>
              <w:marRight w:val="0"/>
              <w:marTop w:val="0"/>
              <w:marBottom w:val="0"/>
              <w:divBdr>
                <w:top w:val="none" w:sz="0" w:space="0" w:color="auto"/>
                <w:left w:val="none" w:sz="0" w:space="0" w:color="auto"/>
                <w:bottom w:val="none" w:sz="0" w:space="0" w:color="auto"/>
                <w:right w:val="none" w:sz="0" w:space="0" w:color="auto"/>
              </w:divBdr>
            </w:div>
            <w:div w:id="1277903227">
              <w:marLeft w:val="0"/>
              <w:marRight w:val="0"/>
              <w:marTop w:val="0"/>
              <w:marBottom w:val="0"/>
              <w:divBdr>
                <w:top w:val="none" w:sz="0" w:space="0" w:color="auto"/>
                <w:left w:val="none" w:sz="0" w:space="0" w:color="auto"/>
                <w:bottom w:val="none" w:sz="0" w:space="0" w:color="auto"/>
                <w:right w:val="none" w:sz="0" w:space="0" w:color="auto"/>
              </w:divBdr>
            </w:div>
            <w:div w:id="429393642">
              <w:marLeft w:val="0"/>
              <w:marRight w:val="0"/>
              <w:marTop w:val="0"/>
              <w:marBottom w:val="0"/>
              <w:divBdr>
                <w:top w:val="none" w:sz="0" w:space="0" w:color="auto"/>
                <w:left w:val="none" w:sz="0" w:space="0" w:color="auto"/>
                <w:bottom w:val="none" w:sz="0" w:space="0" w:color="auto"/>
                <w:right w:val="none" w:sz="0" w:space="0" w:color="auto"/>
              </w:divBdr>
            </w:div>
            <w:div w:id="1370762417">
              <w:marLeft w:val="0"/>
              <w:marRight w:val="0"/>
              <w:marTop w:val="0"/>
              <w:marBottom w:val="0"/>
              <w:divBdr>
                <w:top w:val="none" w:sz="0" w:space="0" w:color="auto"/>
                <w:left w:val="none" w:sz="0" w:space="0" w:color="auto"/>
                <w:bottom w:val="none" w:sz="0" w:space="0" w:color="auto"/>
                <w:right w:val="none" w:sz="0" w:space="0" w:color="auto"/>
              </w:divBdr>
            </w:div>
            <w:div w:id="457651115">
              <w:marLeft w:val="0"/>
              <w:marRight w:val="0"/>
              <w:marTop w:val="0"/>
              <w:marBottom w:val="0"/>
              <w:divBdr>
                <w:top w:val="none" w:sz="0" w:space="0" w:color="auto"/>
                <w:left w:val="none" w:sz="0" w:space="0" w:color="auto"/>
                <w:bottom w:val="none" w:sz="0" w:space="0" w:color="auto"/>
                <w:right w:val="none" w:sz="0" w:space="0" w:color="auto"/>
              </w:divBdr>
            </w:div>
            <w:div w:id="813911307">
              <w:marLeft w:val="0"/>
              <w:marRight w:val="0"/>
              <w:marTop w:val="0"/>
              <w:marBottom w:val="0"/>
              <w:divBdr>
                <w:top w:val="none" w:sz="0" w:space="0" w:color="auto"/>
                <w:left w:val="none" w:sz="0" w:space="0" w:color="auto"/>
                <w:bottom w:val="none" w:sz="0" w:space="0" w:color="auto"/>
                <w:right w:val="none" w:sz="0" w:space="0" w:color="auto"/>
              </w:divBdr>
            </w:div>
            <w:div w:id="1137840719">
              <w:marLeft w:val="0"/>
              <w:marRight w:val="0"/>
              <w:marTop w:val="0"/>
              <w:marBottom w:val="0"/>
              <w:divBdr>
                <w:top w:val="none" w:sz="0" w:space="0" w:color="auto"/>
                <w:left w:val="none" w:sz="0" w:space="0" w:color="auto"/>
                <w:bottom w:val="none" w:sz="0" w:space="0" w:color="auto"/>
                <w:right w:val="none" w:sz="0" w:space="0" w:color="auto"/>
              </w:divBdr>
            </w:div>
            <w:div w:id="2075732186">
              <w:marLeft w:val="0"/>
              <w:marRight w:val="0"/>
              <w:marTop w:val="0"/>
              <w:marBottom w:val="0"/>
              <w:divBdr>
                <w:top w:val="none" w:sz="0" w:space="0" w:color="auto"/>
                <w:left w:val="none" w:sz="0" w:space="0" w:color="auto"/>
                <w:bottom w:val="none" w:sz="0" w:space="0" w:color="auto"/>
                <w:right w:val="none" w:sz="0" w:space="0" w:color="auto"/>
              </w:divBdr>
            </w:div>
            <w:div w:id="912742084">
              <w:marLeft w:val="0"/>
              <w:marRight w:val="0"/>
              <w:marTop w:val="0"/>
              <w:marBottom w:val="0"/>
              <w:divBdr>
                <w:top w:val="none" w:sz="0" w:space="0" w:color="auto"/>
                <w:left w:val="none" w:sz="0" w:space="0" w:color="auto"/>
                <w:bottom w:val="none" w:sz="0" w:space="0" w:color="auto"/>
                <w:right w:val="none" w:sz="0" w:space="0" w:color="auto"/>
              </w:divBdr>
            </w:div>
            <w:div w:id="947197861">
              <w:marLeft w:val="0"/>
              <w:marRight w:val="0"/>
              <w:marTop w:val="0"/>
              <w:marBottom w:val="0"/>
              <w:divBdr>
                <w:top w:val="none" w:sz="0" w:space="0" w:color="auto"/>
                <w:left w:val="none" w:sz="0" w:space="0" w:color="auto"/>
                <w:bottom w:val="none" w:sz="0" w:space="0" w:color="auto"/>
                <w:right w:val="none" w:sz="0" w:space="0" w:color="auto"/>
              </w:divBdr>
            </w:div>
            <w:div w:id="385180298">
              <w:marLeft w:val="0"/>
              <w:marRight w:val="0"/>
              <w:marTop w:val="0"/>
              <w:marBottom w:val="0"/>
              <w:divBdr>
                <w:top w:val="none" w:sz="0" w:space="0" w:color="auto"/>
                <w:left w:val="none" w:sz="0" w:space="0" w:color="auto"/>
                <w:bottom w:val="none" w:sz="0" w:space="0" w:color="auto"/>
                <w:right w:val="none" w:sz="0" w:space="0" w:color="auto"/>
              </w:divBdr>
            </w:div>
            <w:div w:id="1783182401">
              <w:marLeft w:val="0"/>
              <w:marRight w:val="0"/>
              <w:marTop w:val="0"/>
              <w:marBottom w:val="0"/>
              <w:divBdr>
                <w:top w:val="none" w:sz="0" w:space="0" w:color="auto"/>
                <w:left w:val="none" w:sz="0" w:space="0" w:color="auto"/>
                <w:bottom w:val="none" w:sz="0" w:space="0" w:color="auto"/>
                <w:right w:val="none" w:sz="0" w:space="0" w:color="auto"/>
              </w:divBdr>
            </w:div>
            <w:div w:id="1186947603">
              <w:marLeft w:val="0"/>
              <w:marRight w:val="0"/>
              <w:marTop w:val="0"/>
              <w:marBottom w:val="0"/>
              <w:divBdr>
                <w:top w:val="none" w:sz="0" w:space="0" w:color="auto"/>
                <w:left w:val="none" w:sz="0" w:space="0" w:color="auto"/>
                <w:bottom w:val="none" w:sz="0" w:space="0" w:color="auto"/>
                <w:right w:val="none" w:sz="0" w:space="0" w:color="auto"/>
              </w:divBdr>
            </w:div>
            <w:div w:id="379403849">
              <w:marLeft w:val="0"/>
              <w:marRight w:val="0"/>
              <w:marTop w:val="0"/>
              <w:marBottom w:val="0"/>
              <w:divBdr>
                <w:top w:val="none" w:sz="0" w:space="0" w:color="auto"/>
                <w:left w:val="none" w:sz="0" w:space="0" w:color="auto"/>
                <w:bottom w:val="none" w:sz="0" w:space="0" w:color="auto"/>
                <w:right w:val="none" w:sz="0" w:space="0" w:color="auto"/>
              </w:divBdr>
            </w:div>
            <w:div w:id="598872575">
              <w:marLeft w:val="0"/>
              <w:marRight w:val="0"/>
              <w:marTop w:val="0"/>
              <w:marBottom w:val="0"/>
              <w:divBdr>
                <w:top w:val="none" w:sz="0" w:space="0" w:color="auto"/>
                <w:left w:val="none" w:sz="0" w:space="0" w:color="auto"/>
                <w:bottom w:val="none" w:sz="0" w:space="0" w:color="auto"/>
                <w:right w:val="none" w:sz="0" w:space="0" w:color="auto"/>
              </w:divBdr>
            </w:div>
            <w:div w:id="1885412344">
              <w:marLeft w:val="0"/>
              <w:marRight w:val="0"/>
              <w:marTop w:val="0"/>
              <w:marBottom w:val="0"/>
              <w:divBdr>
                <w:top w:val="none" w:sz="0" w:space="0" w:color="auto"/>
                <w:left w:val="none" w:sz="0" w:space="0" w:color="auto"/>
                <w:bottom w:val="none" w:sz="0" w:space="0" w:color="auto"/>
                <w:right w:val="none" w:sz="0" w:space="0" w:color="auto"/>
              </w:divBdr>
            </w:div>
            <w:div w:id="311447109">
              <w:marLeft w:val="0"/>
              <w:marRight w:val="0"/>
              <w:marTop w:val="0"/>
              <w:marBottom w:val="0"/>
              <w:divBdr>
                <w:top w:val="none" w:sz="0" w:space="0" w:color="auto"/>
                <w:left w:val="none" w:sz="0" w:space="0" w:color="auto"/>
                <w:bottom w:val="none" w:sz="0" w:space="0" w:color="auto"/>
                <w:right w:val="none" w:sz="0" w:space="0" w:color="auto"/>
              </w:divBdr>
            </w:div>
            <w:div w:id="1017080300">
              <w:marLeft w:val="0"/>
              <w:marRight w:val="0"/>
              <w:marTop w:val="0"/>
              <w:marBottom w:val="0"/>
              <w:divBdr>
                <w:top w:val="none" w:sz="0" w:space="0" w:color="auto"/>
                <w:left w:val="none" w:sz="0" w:space="0" w:color="auto"/>
                <w:bottom w:val="none" w:sz="0" w:space="0" w:color="auto"/>
                <w:right w:val="none" w:sz="0" w:space="0" w:color="auto"/>
              </w:divBdr>
            </w:div>
            <w:div w:id="401607145">
              <w:marLeft w:val="0"/>
              <w:marRight w:val="0"/>
              <w:marTop w:val="0"/>
              <w:marBottom w:val="0"/>
              <w:divBdr>
                <w:top w:val="none" w:sz="0" w:space="0" w:color="auto"/>
                <w:left w:val="none" w:sz="0" w:space="0" w:color="auto"/>
                <w:bottom w:val="none" w:sz="0" w:space="0" w:color="auto"/>
                <w:right w:val="none" w:sz="0" w:space="0" w:color="auto"/>
              </w:divBdr>
            </w:div>
            <w:div w:id="1020156738">
              <w:marLeft w:val="0"/>
              <w:marRight w:val="0"/>
              <w:marTop w:val="0"/>
              <w:marBottom w:val="0"/>
              <w:divBdr>
                <w:top w:val="none" w:sz="0" w:space="0" w:color="auto"/>
                <w:left w:val="none" w:sz="0" w:space="0" w:color="auto"/>
                <w:bottom w:val="none" w:sz="0" w:space="0" w:color="auto"/>
                <w:right w:val="none" w:sz="0" w:space="0" w:color="auto"/>
              </w:divBdr>
            </w:div>
            <w:div w:id="583298199">
              <w:marLeft w:val="0"/>
              <w:marRight w:val="0"/>
              <w:marTop w:val="0"/>
              <w:marBottom w:val="0"/>
              <w:divBdr>
                <w:top w:val="none" w:sz="0" w:space="0" w:color="auto"/>
                <w:left w:val="none" w:sz="0" w:space="0" w:color="auto"/>
                <w:bottom w:val="none" w:sz="0" w:space="0" w:color="auto"/>
                <w:right w:val="none" w:sz="0" w:space="0" w:color="auto"/>
              </w:divBdr>
            </w:div>
            <w:div w:id="2146005659">
              <w:marLeft w:val="0"/>
              <w:marRight w:val="0"/>
              <w:marTop w:val="0"/>
              <w:marBottom w:val="0"/>
              <w:divBdr>
                <w:top w:val="none" w:sz="0" w:space="0" w:color="auto"/>
                <w:left w:val="none" w:sz="0" w:space="0" w:color="auto"/>
                <w:bottom w:val="none" w:sz="0" w:space="0" w:color="auto"/>
                <w:right w:val="none" w:sz="0" w:space="0" w:color="auto"/>
              </w:divBdr>
            </w:div>
            <w:div w:id="1367607582">
              <w:marLeft w:val="0"/>
              <w:marRight w:val="0"/>
              <w:marTop w:val="0"/>
              <w:marBottom w:val="0"/>
              <w:divBdr>
                <w:top w:val="none" w:sz="0" w:space="0" w:color="auto"/>
                <w:left w:val="none" w:sz="0" w:space="0" w:color="auto"/>
                <w:bottom w:val="none" w:sz="0" w:space="0" w:color="auto"/>
                <w:right w:val="none" w:sz="0" w:space="0" w:color="auto"/>
              </w:divBdr>
            </w:div>
            <w:div w:id="1185827179">
              <w:marLeft w:val="0"/>
              <w:marRight w:val="0"/>
              <w:marTop w:val="0"/>
              <w:marBottom w:val="0"/>
              <w:divBdr>
                <w:top w:val="none" w:sz="0" w:space="0" w:color="auto"/>
                <w:left w:val="none" w:sz="0" w:space="0" w:color="auto"/>
                <w:bottom w:val="none" w:sz="0" w:space="0" w:color="auto"/>
                <w:right w:val="none" w:sz="0" w:space="0" w:color="auto"/>
              </w:divBdr>
            </w:div>
            <w:div w:id="728459539">
              <w:marLeft w:val="0"/>
              <w:marRight w:val="0"/>
              <w:marTop w:val="0"/>
              <w:marBottom w:val="0"/>
              <w:divBdr>
                <w:top w:val="none" w:sz="0" w:space="0" w:color="auto"/>
                <w:left w:val="none" w:sz="0" w:space="0" w:color="auto"/>
                <w:bottom w:val="none" w:sz="0" w:space="0" w:color="auto"/>
                <w:right w:val="none" w:sz="0" w:space="0" w:color="auto"/>
              </w:divBdr>
            </w:div>
            <w:div w:id="811404936">
              <w:marLeft w:val="0"/>
              <w:marRight w:val="0"/>
              <w:marTop w:val="0"/>
              <w:marBottom w:val="0"/>
              <w:divBdr>
                <w:top w:val="none" w:sz="0" w:space="0" w:color="auto"/>
                <w:left w:val="none" w:sz="0" w:space="0" w:color="auto"/>
                <w:bottom w:val="none" w:sz="0" w:space="0" w:color="auto"/>
                <w:right w:val="none" w:sz="0" w:space="0" w:color="auto"/>
              </w:divBdr>
            </w:div>
            <w:div w:id="1949921356">
              <w:marLeft w:val="0"/>
              <w:marRight w:val="0"/>
              <w:marTop w:val="0"/>
              <w:marBottom w:val="0"/>
              <w:divBdr>
                <w:top w:val="none" w:sz="0" w:space="0" w:color="auto"/>
                <w:left w:val="none" w:sz="0" w:space="0" w:color="auto"/>
                <w:bottom w:val="none" w:sz="0" w:space="0" w:color="auto"/>
                <w:right w:val="none" w:sz="0" w:space="0" w:color="auto"/>
              </w:divBdr>
            </w:div>
            <w:div w:id="916476724">
              <w:marLeft w:val="0"/>
              <w:marRight w:val="0"/>
              <w:marTop w:val="0"/>
              <w:marBottom w:val="0"/>
              <w:divBdr>
                <w:top w:val="none" w:sz="0" w:space="0" w:color="auto"/>
                <w:left w:val="none" w:sz="0" w:space="0" w:color="auto"/>
                <w:bottom w:val="none" w:sz="0" w:space="0" w:color="auto"/>
                <w:right w:val="none" w:sz="0" w:space="0" w:color="auto"/>
              </w:divBdr>
            </w:div>
            <w:div w:id="614672927">
              <w:marLeft w:val="0"/>
              <w:marRight w:val="0"/>
              <w:marTop w:val="0"/>
              <w:marBottom w:val="0"/>
              <w:divBdr>
                <w:top w:val="none" w:sz="0" w:space="0" w:color="auto"/>
                <w:left w:val="none" w:sz="0" w:space="0" w:color="auto"/>
                <w:bottom w:val="none" w:sz="0" w:space="0" w:color="auto"/>
                <w:right w:val="none" w:sz="0" w:space="0" w:color="auto"/>
              </w:divBdr>
            </w:div>
            <w:div w:id="23945893">
              <w:marLeft w:val="0"/>
              <w:marRight w:val="0"/>
              <w:marTop w:val="0"/>
              <w:marBottom w:val="0"/>
              <w:divBdr>
                <w:top w:val="none" w:sz="0" w:space="0" w:color="auto"/>
                <w:left w:val="none" w:sz="0" w:space="0" w:color="auto"/>
                <w:bottom w:val="none" w:sz="0" w:space="0" w:color="auto"/>
                <w:right w:val="none" w:sz="0" w:space="0" w:color="auto"/>
              </w:divBdr>
            </w:div>
            <w:div w:id="1922711148">
              <w:marLeft w:val="0"/>
              <w:marRight w:val="0"/>
              <w:marTop w:val="0"/>
              <w:marBottom w:val="0"/>
              <w:divBdr>
                <w:top w:val="none" w:sz="0" w:space="0" w:color="auto"/>
                <w:left w:val="none" w:sz="0" w:space="0" w:color="auto"/>
                <w:bottom w:val="none" w:sz="0" w:space="0" w:color="auto"/>
                <w:right w:val="none" w:sz="0" w:space="0" w:color="auto"/>
              </w:divBdr>
            </w:div>
            <w:div w:id="1043944352">
              <w:marLeft w:val="0"/>
              <w:marRight w:val="0"/>
              <w:marTop w:val="0"/>
              <w:marBottom w:val="0"/>
              <w:divBdr>
                <w:top w:val="none" w:sz="0" w:space="0" w:color="auto"/>
                <w:left w:val="none" w:sz="0" w:space="0" w:color="auto"/>
                <w:bottom w:val="none" w:sz="0" w:space="0" w:color="auto"/>
                <w:right w:val="none" w:sz="0" w:space="0" w:color="auto"/>
              </w:divBdr>
            </w:div>
            <w:div w:id="1216501802">
              <w:marLeft w:val="0"/>
              <w:marRight w:val="0"/>
              <w:marTop w:val="0"/>
              <w:marBottom w:val="0"/>
              <w:divBdr>
                <w:top w:val="none" w:sz="0" w:space="0" w:color="auto"/>
                <w:left w:val="none" w:sz="0" w:space="0" w:color="auto"/>
                <w:bottom w:val="none" w:sz="0" w:space="0" w:color="auto"/>
                <w:right w:val="none" w:sz="0" w:space="0" w:color="auto"/>
              </w:divBdr>
            </w:div>
            <w:div w:id="1409108461">
              <w:marLeft w:val="0"/>
              <w:marRight w:val="0"/>
              <w:marTop w:val="0"/>
              <w:marBottom w:val="0"/>
              <w:divBdr>
                <w:top w:val="none" w:sz="0" w:space="0" w:color="auto"/>
                <w:left w:val="none" w:sz="0" w:space="0" w:color="auto"/>
                <w:bottom w:val="none" w:sz="0" w:space="0" w:color="auto"/>
                <w:right w:val="none" w:sz="0" w:space="0" w:color="auto"/>
              </w:divBdr>
            </w:div>
            <w:div w:id="828055444">
              <w:marLeft w:val="0"/>
              <w:marRight w:val="0"/>
              <w:marTop w:val="0"/>
              <w:marBottom w:val="0"/>
              <w:divBdr>
                <w:top w:val="none" w:sz="0" w:space="0" w:color="auto"/>
                <w:left w:val="none" w:sz="0" w:space="0" w:color="auto"/>
                <w:bottom w:val="none" w:sz="0" w:space="0" w:color="auto"/>
                <w:right w:val="none" w:sz="0" w:space="0" w:color="auto"/>
              </w:divBdr>
            </w:div>
            <w:div w:id="102851195">
              <w:marLeft w:val="0"/>
              <w:marRight w:val="0"/>
              <w:marTop w:val="0"/>
              <w:marBottom w:val="0"/>
              <w:divBdr>
                <w:top w:val="none" w:sz="0" w:space="0" w:color="auto"/>
                <w:left w:val="none" w:sz="0" w:space="0" w:color="auto"/>
                <w:bottom w:val="none" w:sz="0" w:space="0" w:color="auto"/>
                <w:right w:val="none" w:sz="0" w:space="0" w:color="auto"/>
              </w:divBdr>
            </w:div>
            <w:div w:id="848907589">
              <w:marLeft w:val="0"/>
              <w:marRight w:val="0"/>
              <w:marTop w:val="0"/>
              <w:marBottom w:val="0"/>
              <w:divBdr>
                <w:top w:val="none" w:sz="0" w:space="0" w:color="auto"/>
                <w:left w:val="none" w:sz="0" w:space="0" w:color="auto"/>
                <w:bottom w:val="none" w:sz="0" w:space="0" w:color="auto"/>
                <w:right w:val="none" w:sz="0" w:space="0" w:color="auto"/>
              </w:divBdr>
            </w:div>
            <w:div w:id="1959411100">
              <w:marLeft w:val="0"/>
              <w:marRight w:val="0"/>
              <w:marTop w:val="0"/>
              <w:marBottom w:val="0"/>
              <w:divBdr>
                <w:top w:val="none" w:sz="0" w:space="0" w:color="auto"/>
                <w:left w:val="none" w:sz="0" w:space="0" w:color="auto"/>
                <w:bottom w:val="none" w:sz="0" w:space="0" w:color="auto"/>
                <w:right w:val="none" w:sz="0" w:space="0" w:color="auto"/>
              </w:divBdr>
            </w:div>
            <w:div w:id="922451327">
              <w:marLeft w:val="0"/>
              <w:marRight w:val="0"/>
              <w:marTop w:val="0"/>
              <w:marBottom w:val="0"/>
              <w:divBdr>
                <w:top w:val="none" w:sz="0" w:space="0" w:color="auto"/>
                <w:left w:val="none" w:sz="0" w:space="0" w:color="auto"/>
                <w:bottom w:val="none" w:sz="0" w:space="0" w:color="auto"/>
                <w:right w:val="none" w:sz="0" w:space="0" w:color="auto"/>
              </w:divBdr>
            </w:div>
            <w:div w:id="233009841">
              <w:marLeft w:val="0"/>
              <w:marRight w:val="0"/>
              <w:marTop w:val="0"/>
              <w:marBottom w:val="0"/>
              <w:divBdr>
                <w:top w:val="none" w:sz="0" w:space="0" w:color="auto"/>
                <w:left w:val="none" w:sz="0" w:space="0" w:color="auto"/>
                <w:bottom w:val="none" w:sz="0" w:space="0" w:color="auto"/>
                <w:right w:val="none" w:sz="0" w:space="0" w:color="auto"/>
              </w:divBdr>
            </w:div>
            <w:div w:id="755131743">
              <w:marLeft w:val="0"/>
              <w:marRight w:val="0"/>
              <w:marTop w:val="0"/>
              <w:marBottom w:val="0"/>
              <w:divBdr>
                <w:top w:val="none" w:sz="0" w:space="0" w:color="auto"/>
                <w:left w:val="none" w:sz="0" w:space="0" w:color="auto"/>
                <w:bottom w:val="none" w:sz="0" w:space="0" w:color="auto"/>
                <w:right w:val="none" w:sz="0" w:space="0" w:color="auto"/>
              </w:divBdr>
            </w:div>
            <w:div w:id="250358205">
              <w:marLeft w:val="0"/>
              <w:marRight w:val="0"/>
              <w:marTop w:val="0"/>
              <w:marBottom w:val="0"/>
              <w:divBdr>
                <w:top w:val="none" w:sz="0" w:space="0" w:color="auto"/>
                <w:left w:val="none" w:sz="0" w:space="0" w:color="auto"/>
                <w:bottom w:val="none" w:sz="0" w:space="0" w:color="auto"/>
                <w:right w:val="none" w:sz="0" w:space="0" w:color="auto"/>
              </w:divBdr>
            </w:div>
            <w:div w:id="1133330542">
              <w:marLeft w:val="0"/>
              <w:marRight w:val="0"/>
              <w:marTop w:val="0"/>
              <w:marBottom w:val="0"/>
              <w:divBdr>
                <w:top w:val="none" w:sz="0" w:space="0" w:color="auto"/>
                <w:left w:val="none" w:sz="0" w:space="0" w:color="auto"/>
                <w:bottom w:val="none" w:sz="0" w:space="0" w:color="auto"/>
                <w:right w:val="none" w:sz="0" w:space="0" w:color="auto"/>
              </w:divBdr>
            </w:div>
            <w:div w:id="1488129441">
              <w:marLeft w:val="0"/>
              <w:marRight w:val="0"/>
              <w:marTop w:val="0"/>
              <w:marBottom w:val="0"/>
              <w:divBdr>
                <w:top w:val="none" w:sz="0" w:space="0" w:color="auto"/>
                <w:left w:val="none" w:sz="0" w:space="0" w:color="auto"/>
                <w:bottom w:val="none" w:sz="0" w:space="0" w:color="auto"/>
                <w:right w:val="none" w:sz="0" w:space="0" w:color="auto"/>
              </w:divBdr>
            </w:div>
            <w:div w:id="1844776894">
              <w:marLeft w:val="0"/>
              <w:marRight w:val="0"/>
              <w:marTop w:val="0"/>
              <w:marBottom w:val="0"/>
              <w:divBdr>
                <w:top w:val="none" w:sz="0" w:space="0" w:color="auto"/>
                <w:left w:val="none" w:sz="0" w:space="0" w:color="auto"/>
                <w:bottom w:val="none" w:sz="0" w:space="0" w:color="auto"/>
                <w:right w:val="none" w:sz="0" w:space="0" w:color="auto"/>
              </w:divBdr>
            </w:div>
            <w:div w:id="2034065860">
              <w:marLeft w:val="0"/>
              <w:marRight w:val="0"/>
              <w:marTop w:val="0"/>
              <w:marBottom w:val="0"/>
              <w:divBdr>
                <w:top w:val="none" w:sz="0" w:space="0" w:color="auto"/>
                <w:left w:val="none" w:sz="0" w:space="0" w:color="auto"/>
                <w:bottom w:val="none" w:sz="0" w:space="0" w:color="auto"/>
                <w:right w:val="none" w:sz="0" w:space="0" w:color="auto"/>
              </w:divBdr>
            </w:div>
            <w:div w:id="951934278">
              <w:marLeft w:val="0"/>
              <w:marRight w:val="0"/>
              <w:marTop w:val="0"/>
              <w:marBottom w:val="0"/>
              <w:divBdr>
                <w:top w:val="none" w:sz="0" w:space="0" w:color="auto"/>
                <w:left w:val="none" w:sz="0" w:space="0" w:color="auto"/>
                <w:bottom w:val="none" w:sz="0" w:space="0" w:color="auto"/>
                <w:right w:val="none" w:sz="0" w:space="0" w:color="auto"/>
              </w:divBdr>
            </w:div>
            <w:div w:id="1747724885">
              <w:marLeft w:val="0"/>
              <w:marRight w:val="0"/>
              <w:marTop w:val="0"/>
              <w:marBottom w:val="0"/>
              <w:divBdr>
                <w:top w:val="none" w:sz="0" w:space="0" w:color="auto"/>
                <w:left w:val="none" w:sz="0" w:space="0" w:color="auto"/>
                <w:bottom w:val="none" w:sz="0" w:space="0" w:color="auto"/>
                <w:right w:val="none" w:sz="0" w:space="0" w:color="auto"/>
              </w:divBdr>
            </w:div>
            <w:div w:id="502552920">
              <w:marLeft w:val="0"/>
              <w:marRight w:val="0"/>
              <w:marTop w:val="0"/>
              <w:marBottom w:val="0"/>
              <w:divBdr>
                <w:top w:val="none" w:sz="0" w:space="0" w:color="auto"/>
                <w:left w:val="none" w:sz="0" w:space="0" w:color="auto"/>
                <w:bottom w:val="none" w:sz="0" w:space="0" w:color="auto"/>
                <w:right w:val="none" w:sz="0" w:space="0" w:color="auto"/>
              </w:divBdr>
            </w:div>
            <w:div w:id="658581023">
              <w:marLeft w:val="0"/>
              <w:marRight w:val="0"/>
              <w:marTop w:val="0"/>
              <w:marBottom w:val="0"/>
              <w:divBdr>
                <w:top w:val="none" w:sz="0" w:space="0" w:color="auto"/>
                <w:left w:val="none" w:sz="0" w:space="0" w:color="auto"/>
                <w:bottom w:val="none" w:sz="0" w:space="0" w:color="auto"/>
                <w:right w:val="none" w:sz="0" w:space="0" w:color="auto"/>
              </w:divBdr>
            </w:div>
            <w:div w:id="413432452">
              <w:marLeft w:val="0"/>
              <w:marRight w:val="0"/>
              <w:marTop w:val="0"/>
              <w:marBottom w:val="0"/>
              <w:divBdr>
                <w:top w:val="none" w:sz="0" w:space="0" w:color="auto"/>
                <w:left w:val="none" w:sz="0" w:space="0" w:color="auto"/>
                <w:bottom w:val="none" w:sz="0" w:space="0" w:color="auto"/>
                <w:right w:val="none" w:sz="0" w:space="0" w:color="auto"/>
              </w:divBdr>
            </w:div>
            <w:div w:id="1330988261">
              <w:marLeft w:val="0"/>
              <w:marRight w:val="0"/>
              <w:marTop w:val="0"/>
              <w:marBottom w:val="0"/>
              <w:divBdr>
                <w:top w:val="none" w:sz="0" w:space="0" w:color="auto"/>
                <w:left w:val="none" w:sz="0" w:space="0" w:color="auto"/>
                <w:bottom w:val="none" w:sz="0" w:space="0" w:color="auto"/>
                <w:right w:val="none" w:sz="0" w:space="0" w:color="auto"/>
              </w:divBdr>
            </w:div>
            <w:div w:id="571047371">
              <w:marLeft w:val="0"/>
              <w:marRight w:val="0"/>
              <w:marTop w:val="0"/>
              <w:marBottom w:val="0"/>
              <w:divBdr>
                <w:top w:val="none" w:sz="0" w:space="0" w:color="auto"/>
                <w:left w:val="none" w:sz="0" w:space="0" w:color="auto"/>
                <w:bottom w:val="none" w:sz="0" w:space="0" w:color="auto"/>
                <w:right w:val="none" w:sz="0" w:space="0" w:color="auto"/>
              </w:divBdr>
            </w:div>
            <w:div w:id="127213919">
              <w:marLeft w:val="0"/>
              <w:marRight w:val="0"/>
              <w:marTop w:val="0"/>
              <w:marBottom w:val="0"/>
              <w:divBdr>
                <w:top w:val="none" w:sz="0" w:space="0" w:color="auto"/>
                <w:left w:val="none" w:sz="0" w:space="0" w:color="auto"/>
                <w:bottom w:val="none" w:sz="0" w:space="0" w:color="auto"/>
                <w:right w:val="none" w:sz="0" w:space="0" w:color="auto"/>
              </w:divBdr>
            </w:div>
            <w:div w:id="1025980719">
              <w:marLeft w:val="0"/>
              <w:marRight w:val="0"/>
              <w:marTop w:val="0"/>
              <w:marBottom w:val="0"/>
              <w:divBdr>
                <w:top w:val="none" w:sz="0" w:space="0" w:color="auto"/>
                <w:left w:val="none" w:sz="0" w:space="0" w:color="auto"/>
                <w:bottom w:val="none" w:sz="0" w:space="0" w:color="auto"/>
                <w:right w:val="none" w:sz="0" w:space="0" w:color="auto"/>
              </w:divBdr>
            </w:div>
            <w:div w:id="1415935959">
              <w:marLeft w:val="0"/>
              <w:marRight w:val="0"/>
              <w:marTop w:val="0"/>
              <w:marBottom w:val="0"/>
              <w:divBdr>
                <w:top w:val="none" w:sz="0" w:space="0" w:color="auto"/>
                <w:left w:val="none" w:sz="0" w:space="0" w:color="auto"/>
                <w:bottom w:val="none" w:sz="0" w:space="0" w:color="auto"/>
                <w:right w:val="none" w:sz="0" w:space="0" w:color="auto"/>
              </w:divBdr>
            </w:div>
            <w:div w:id="523135634">
              <w:marLeft w:val="0"/>
              <w:marRight w:val="0"/>
              <w:marTop w:val="0"/>
              <w:marBottom w:val="0"/>
              <w:divBdr>
                <w:top w:val="none" w:sz="0" w:space="0" w:color="auto"/>
                <w:left w:val="none" w:sz="0" w:space="0" w:color="auto"/>
                <w:bottom w:val="none" w:sz="0" w:space="0" w:color="auto"/>
                <w:right w:val="none" w:sz="0" w:space="0" w:color="auto"/>
              </w:divBdr>
            </w:div>
            <w:div w:id="6450392">
              <w:marLeft w:val="0"/>
              <w:marRight w:val="0"/>
              <w:marTop w:val="0"/>
              <w:marBottom w:val="0"/>
              <w:divBdr>
                <w:top w:val="none" w:sz="0" w:space="0" w:color="auto"/>
                <w:left w:val="none" w:sz="0" w:space="0" w:color="auto"/>
                <w:bottom w:val="none" w:sz="0" w:space="0" w:color="auto"/>
                <w:right w:val="none" w:sz="0" w:space="0" w:color="auto"/>
              </w:divBdr>
            </w:div>
            <w:div w:id="1245603331">
              <w:marLeft w:val="0"/>
              <w:marRight w:val="0"/>
              <w:marTop w:val="0"/>
              <w:marBottom w:val="0"/>
              <w:divBdr>
                <w:top w:val="none" w:sz="0" w:space="0" w:color="auto"/>
                <w:left w:val="none" w:sz="0" w:space="0" w:color="auto"/>
                <w:bottom w:val="none" w:sz="0" w:space="0" w:color="auto"/>
                <w:right w:val="none" w:sz="0" w:space="0" w:color="auto"/>
              </w:divBdr>
            </w:div>
            <w:div w:id="645549037">
              <w:marLeft w:val="0"/>
              <w:marRight w:val="0"/>
              <w:marTop w:val="0"/>
              <w:marBottom w:val="0"/>
              <w:divBdr>
                <w:top w:val="none" w:sz="0" w:space="0" w:color="auto"/>
                <w:left w:val="none" w:sz="0" w:space="0" w:color="auto"/>
                <w:bottom w:val="none" w:sz="0" w:space="0" w:color="auto"/>
                <w:right w:val="none" w:sz="0" w:space="0" w:color="auto"/>
              </w:divBdr>
            </w:div>
            <w:div w:id="1939560708">
              <w:marLeft w:val="0"/>
              <w:marRight w:val="0"/>
              <w:marTop w:val="0"/>
              <w:marBottom w:val="0"/>
              <w:divBdr>
                <w:top w:val="none" w:sz="0" w:space="0" w:color="auto"/>
                <w:left w:val="none" w:sz="0" w:space="0" w:color="auto"/>
                <w:bottom w:val="none" w:sz="0" w:space="0" w:color="auto"/>
                <w:right w:val="none" w:sz="0" w:space="0" w:color="auto"/>
              </w:divBdr>
            </w:div>
            <w:div w:id="73628563">
              <w:marLeft w:val="0"/>
              <w:marRight w:val="0"/>
              <w:marTop w:val="0"/>
              <w:marBottom w:val="0"/>
              <w:divBdr>
                <w:top w:val="none" w:sz="0" w:space="0" w:color="auto"/>
                <w:left w:val="none" w:sz="0" w:space="0" w:color="auto"/>
                <w:bottom w:val="none" w:sz="0" w:space="0" w:color="auto"/>
                <w:right w:val="none" w:sz="0" w:space="0" w:color="auto"/>
              </w:divBdr>
            </w:div>
            <w:div w:id="1464226868">
              <w:marLeft w:val="0"/>
              <w:marRight w:val="0"/>
              <w:marTop w:val="0"/>
              <w:marBottom w:val="0"/>
              <w:divBdr>
                <w:top w:val="none" w:sz="0" w:space="0" w:color="auto"/>
                <w:left w:val="none" w:sz="0" w:space="0" w:color="auto"/>
                <w:bottom w:val="none" w:sz="0" w:space="0" w:color="auto"/>
                <w:right w:val="none" w:sz="0" w:space="0" w:color="auto"/>
              </w:divBdr>
            </w:div>
            <w:div w:id="1557203580">
              <w:marLeft w:val="0"/>
              <w:marRight w:val="0"/>
              <w:marTop w:val="0"/>
              <w:marBottom w:val="0"/>
              <w:divBdr>
                <w:top w:val="none" w:sz="0" w:space="0" w:color="auto"/>
                <w:left w:val="none" w:sz="0" w:space="0" w:color="auto"/>
                <w:bottom w:val="none" w:sz="0" w:space="0" w:color="auto"/>
                <w:right w:val="none" w:sz="0" w:space="0" w:color="auto"/>
              </w:divBdr>
            </w:div>
            <w:div w:id="801263516">
              <w:marLeft w:val="0"/>
              <w:marRight w:val="0"/>
              <w:marTop w:val="0"/>
              <w:marBottom w:val="0"/>
              <w:divBdr>
                <w:top w:val="none" w:sz="0" w:space="0" w:color="auto"/>
                <w:left w:val="none" w:sz="0" w:space="0" w:color="auto"/>
                <w:bottom w:val="none" w:sz="0" w:space="0" w:color="auto"/>
                <w:right w:val="none" w:sz="0" w:space="0" w:color="auto"/>
              </w:divBdr>
            </w:div>
            <w:div w:id="966668160">
              <w:marLeft w:val="0"/>
              <w:marRight w:val="0"/>
              <w:marTop w:val="0"/>
              <w:marBottom w:val="0"/>
              <w:divBdr>
                <w:top w:val="none" w:sz="0" w:space="0" w:color="auto"/>
                <w:left w:val="none" w:sz="0" w:space="0" w:color="auto"/>
                <w:bottom w:val="none" w:sz="0" w:space="0" w:color="auto"/>
                <w:right w:val="none" w:sz="0" w:space="0" w:color="auto"/>
              </w:divBdr>
            </w:div>
            <w:div w:id="1189181150">
              <w:marLeft w:val="0"/>
              <w:marRight w:val="0"/>
              <w:marTop w:val="0"/>
              <w:marBottom w:val="0"/>
              <w:divBdr>
                <w:top w:val="none" w:sz="0" w:space="0" w:color="auto"/>
                <w:left w:val="none" w:sz="0" w:space="0" w:color="auto"/>
                <w:bottom w:val="none" w:sz="0" w:space="0" w:color="auto"/>
                <w:right w:val="none" w:sz="0" w:space="0" w:color="auto"/>
              </w:divBdr>
            </w:div>
            <w:div w:id="1438452779">
              <w:marLeft w:val="0"/>
              <w:marRight w:val="0"/>
              <w:marTop w:val="0"/>
              <w:marBottom w:val="0"/>
              <w:divBdr>
                <w:top w:val="none" w:sz="0" w:space="0" w:color="auto"/>
                <w:left w:val="none" w:sz="0" w:space="0" w:color="auto"/>
                <w:bottom w:val="none" w:sz="0" w:space="0" w:color="auto"/>
                <w:right w:val="none" w:sz="0" w:space="0" w:color="auto"/>
              </w:divBdr>
            </w:div>
            <w:div w:id="1400667329">
              <w:marLeft w:val="0"/>
              <w:marRight w:val="0"/>
              <w:marTop w:val="0"/>
              <w:marBottom w:val="0"/>
              <w:divBdr>
                <w:top w:val="none" w:sz="0" w:space="0" w:color="auto"/>
                <w:left w:val="none" w:sz="0" w:space="0" w:color="auto"/>
                <w:bottom w:val="none" w:sz="0" w:space="0" w:color="auto"/>
                <w:right w:val="none" w:sz="0" w:space="0" w:color="auto"/>
              </w:divBdr>
            </w:div>
            <w:div w:id="863517924">
              <w:marLeft w:val="0"/>
              <w:marRight w:val="0"/>
              <w:marTop w:val="0"/>
              <w:marBottom w:val="0"/>
              <w:divBdr>
                <w:top w:val="none" w:sz="0" w:space="0" w:color="auto"/>
                <w:left w:val="none" w:sz="0" w:space="0" w:color="auto"/>
                <w:bottom w:val="none" w:sz="0" w:space="0" w:color="auto"/>
                <w:right w:val="none" w:sz="0" w:space="0" w:color="auto"/>
              </w:divBdr>
            </w:div>
            <w:div w:id="364864307">
              <w:marLeft w:val="0"/>
              <w:marRight w:val="0"/>
              <w:marTop w:val="0"/>
              <w:marBottom w:val="0"/>
              <w:divBdr>
                <w:top w:val="none" w:sz="0" w:space="0" w:color="auto"/>
                <w:left w:val="none" w:sz="0" w:space="0" w:color="auto"/>
                <w:bottom w:val="none" w:sz="0" w:space="0" w:color="auto"/>
                <w:right w:val="none" w:sz="0" w:space="0" w:color="auto"/>
              </w:divBdr>
            </w:div>
            <w:div w:id="1014301821">
              <w:marLeft w:val="0"/>
              <w:marRight w:val="0"/>
              <w:marTop w:val="0"/>
              <w:marBottom w:val="0"/>
              <w:divBdr>
                <w:top w:val="none" w:sz="0" w:space="0" w:color="auto"/>
                <w:left w:val="none" w:sz="0" w:space="0" w:color="auto"/>
                <w:bottom w:val="none" w:sz="0" w:space="0" w:color="auto"/>
                <w:right w:val="none" w:sz="0" w:space="0" w:color="auto"/>
              </w:divBdr>
            </w:div>
            <w:div w:id="878006040">
              <w:marLeft w:val="0"/>
              <w:marRight w:val="0"/>
              <w:marTop w:val="0"/>
              <w:marBottom w:val="0"/>
              <w:divBdr>
                <w:top w:val="none" w:sz="0" w:space="0" w:color="auto"/>
                <w:left w:val="none" w:sz="0" w:space="0" w:color="auto"/>
                <w:bottom w:val="none" w:sz="0" w:space="0" w:color="auto"/>
                <w:right w:val="none" w:sz="0" w:space="0" w:color="auto"/>
              </w:divBdr>
            </w:div>
            <w:div w:id="1491940357">
              <w:marLeft w:val="0"/>
              <w:marRight w:val="0"/>
              <w:marTop w:val="0"/>
              <w:marBottom w:val="0"/>
              <w:divBdr>
                <w:top w:val="none" w:sz="0" w:space="0" w:color="auto"/>
                <w:left w:val="none" w:sz="0" w:space="0" w:color="auto"/>
                <w:bottom w:val="none" w:sz="0" w:space="0" w:color="auto"/>
                <w:right w:val="none" w:sz="0" w:space="0" w:color="auto"/>
              </w:divBdr>
            </w:div>
            <w:div w:id="1129586392">
              <w:marLeft w:val="0"/>
              <w:marRight w:val="0"/>
              <w:marTop w:val="0"/>
              <w:marBottom w:val="0"/>
              <w:divBdr>
                <w:top w:val="none" w:sz="0" w:space="0" w:color="auto"/>
                <w:left w:val="none" w:sz="0" w:space="0" w:color="auto"/>
                <w:bottom w:val="none" w:sz="0" w:space="0" w:color="auto"/>
                <w:right w:val="none" w:sz="0" w:space="0" w:color="auto"/>
              </w:divBdr>
            </w:div>
            <w:div w:id="1698316398">
              <w:marLeft w:val="0"/>
              <w:marRight w:val="0"/>
              <w:marTop w:val="0"/>
              <w:marBottom w:val="0"/>
              <w:divBdr>
                <w:top w:val="none" w:sz="0" w:space="0" w:color="auto"/>
                <w:left w:val="none" w:sz="0" w:space="0" w:color="auto"/>
                <w:bottom w:val="none" w:sz="0" w:space="0" w:color="auto"/>
                <w:right w:val="none" w:sz="0" w:space="0" w:color="auto"/>
              </w:divBdr>
            </w:div>
            <w:div w:id="1640259009">
              <w:marLeft w:val="0"/>
              <w:marRight w:val="0"/>
              <w:marTop w:val="0"/>
              <w:marBottom w:val="0"/>
              <w:divBdr>
                <w:top w:val="none" w:sz="0" w:space="0" w:color="auto"/>
                <w:left w:val="none" w:sz="0" w:space="0" w:color="auto"/>
                <w:bottom w:val="none" w:sz="0" w:space="0" w:color="auto"/>
                <w:right w:val="none" w:sz="0" w:space="0" w:color="auto"/>
              </w:divBdr>
            </w:div>
            <w:div w:id="1564096080">
              <w:marLeft w:val="0"/>
              <w:marRight w:val="0"/>
              <w:marTop w:val="0"/>
              <w:marBottom w:val="0"/>
              <w:divBdr>
                <w:top w:val="none" w:sz="0" w:space="0" w:color="auto"/>
                <w:left w:val="none" w:sz="0" w:space="0" w:color="auto"/>
                <w:bottom w:val="none" w:sz="0" w:space="0" w:color="auto"/>
                <w:right w:val="none" w:sz="0" w:space="0" w:color="auto"/>
              </w:divBdr>
            </w:div>
            <w:div w:id="1079138674">
              <w:marLeft w:val="0"/>
              <w:marRight w:val="0"/>
              <w:marTop w:val="0"/>
              <w:marBottom w:val="0"/>
              <w:divBdr>
                <w:top w:val="none" w:sz="0" w:space="0" w:color="auto"/>
                <w:left w:val="none" w:sz="0" w:space="0" w:color="auto"/>
                <w:bottom w:val="none" w:sz="0" w:space="0" w:color="auto"/>
                <w:right w:val="none" w:sz="0" w:space="0" w:color="auto"/>
              </w:divBdr>
            </w:div>
            <w:div w:id="2139568237">
              <w:marLeft w:val="0"/>
              <w:marRight w:val="0"/>
              <w:marTop w:val="0"/>
              <w:marBottom w:val="0"/>
              <w:divBdr>
                <w:top w:val="none" w:sz="0" w:space="0" w:color="auto"/>
                <w:left w:val="none" w:sz="0" w:space="0" w:color="auto"/>
                <w:bottom w:val="none" w:sz="0" w:space="0" w:color="auto"/>
                <w:right w:val="none" w:sz="0" w:space="0" w:color="auto"/>
              </w:divBdr>
            </w:div>
            <w:div w:id="994456500">
              <w:marLeft w:val="0"/>
              <w:marRight w:val="0"/>
              <w:marTop w:val="0"/>
              <w:marBottom w:val="0"/>
              <w:divBdr>
                <w:top w:val="none" w:sz="0" w:space="0" w:color="auto"/>
                <w:left w:val="none" w:sz="0" w:space="0" w:color="auto"/>
                <w:bottom w:val="none" w:sz="0" w:space="0" w:color="auto"/>
                <w:right w:val="none" w:sz="0" w:space="0" w:color="auto"/>
              </w:divBdr>
            </w:div>
            <w:div w:id="94400220">
              <w:marLeft w:val="0"/>
              <w:marRight w:val="0"/>
              <w:marTop w:val="0"/>
              <w:marBottom w:val="0"/>
              <w:divBdr>
                <w:top w:val="none" w:sz="0" w:space="0" w:color="auto"/>
                <w:left w:val="none" w:sz="0" w:space="0" w:color="auto"/>
                <w:bottom w:val="none" w:sz="0" w:space="0" w:color="auto"/>
                <w:right w:val="none" w:sz="0" w:space="0" w:color="auto"/>
              </w:divBdr>
            </w:div>
            <w:div w:id="572666507">
              <w:marLeft w:val="0"/>
              <w:marRight w:val="0"/>
              <w:marTop w:val="0"/>
              <w:marBottom w:val="0"/>
              <w:divBdr>
                <w:top w:val="none" w:sz="0" w:space="0" w:color="auto"/>
                <w:left w:val="none" w:sz="0" w:space="0" w:color="auto"/>
                <w:bottom w:val="none" w:sz="0" w:space="0" w:color="auto"/>
                <w:right w:val="none" w:sz="0" w:space="0" w:color="auto"/>
              </w:divBdr>
            </w:div>
            <w:div w:id="625769462">
              <w:marLeft w:val="0"/>
              <w:marRight w:val="0"/>
              <w:marTop w:val="0"/>
              <w:marBottom w:val="0"/>
              <w:divBdr>
                <w:top w:val="none" w:sz="0" w:space="0" w:color="auto"/>
                <w:left w:val="none" w:sz="0" w:space="0" w:color="auto"/>
                <w:bottom w:val="none" w:sz="0" w:space="0" w:color="auto"/>
                <w:right w:val="none" w:sz="0" w:space="0" w:color="auto"/>
              </w:divBdr>
            </w:div>
            <w:div w:id="1234387209">
              <w:marLeft w:val="0"/>
              <w:marRight w:val="0"/>
              <w:marTop w:val="0"/>
              <w:marBottom w:val="0"/>
              <w:divBdr>
                <w:top w:val="none" w:sz="0" w:space="0" w:color="auto"/>
                <w:left w:val="none" w:sz="0" w:space="0" w:color="auto"/>
                <w:bottom w:val="none" w:sz="0" w:space="0" w:color="auto"/>
                <w:right w:val="none" w:sz="0" w:space="0" w:color="auto"/>
              </w:divBdr>
            </w:div>
            <w:div w:id="119308208">
              <w:marLeft w:val="0"/>
              <w:marRight w:val="0"/>
              <w:marTop w:val="0"/>
              <w:marBottom w:val="0"/>
              <w:divBdr>
                <w:top w:val="none" w:sz="0" w:space="0" w:color="auto"/>
                <w:left w:val="none" w:sz="0" w:space="0" w:color="auto"/>
                <w:bottom w:val="none" w:sz="0" w:space="0" w:color="auto"/>
                <w:right w:val="none" w:sz="0" w:space="0" w:color="auto"/>
              </w:divBdr>
            </w:div>
            <w:div w:id="962614643">
              <w:marLeft w:val="0"/>
              <w:marRight w:val="0"/>
              <w:marTop w:val="0"/>
              <w:marBottom w:val="0"/>
              <w:divBdr>
                <w:top w:val="none" w:sz="0" w:space="0" w:color="auto"/>
                <w:left w:val="none" w:sz="0" w:space="0" w:color="auto"/>
                <w:bottom w:val="none" w:sz="0" w:space="0" w:color="auto"/>
                <w:right w:val="none" w:sz="0" w:space="0" w:color="auto"/>
              </w:divBdr>
            </w:div>
            <w:div w:id="924655716">
              <w:marLeft w:val="0"/>
              <w:marRight w:val="0"/>
              <w:marTop w:val="0"/>
              <w:marBottom w:val="0"/>
              <w:divBdr>
                <w:top w:val="none" w:sz="0" w:space="0" w:color="auto"/>
                <w:left w:val="none" w:sz="0" w:space="0" w:color="auto"/>
                <w:bottom w:val="none" w:sz="0" w:space="0" w:color="auto"/>
                <w:right w:val="none" w:sz="0" w:space="0" w:color="auto"/>
              </w:divBdr>
            </w:div>
            <w:div w:id="835269661">
              <w:marLeft w:val="0"/>
              <w:marRight w:val="0"/>
              <w:marTop w:val="0"/>
              <w:marBottom w:val="0"/>
              <w:divBdr>
                <w:top w:val="none" w:sz="0" w:space="0" w:color="auto"/>
                <w:left w:val="none" w:sz="0" w:space="0" w:color="auto"/>
                <w:bottom w:val="none" w:sz="0" w:space="0" w:color="auto"/>
                <w:right w:val="none" w:sz="0" w:space="0" w:color="auto"/>
              </w:divBdr>
            </w:div>
            <w:div w:id="1203403350">
              <w:marLeft w:val="0"/>
              <w:marRight w:val="0"/>
              <w:marTop w:val="0"/>
              <w:marBottom w:val="0"/>
              <w:divBdr>
                <w:top w:val="none" w:sz="0" w:space="0" w:color="auto"/>
                <w:left w:val="none" w:sz="0" w:space="0" w:color="auto"/>
                <w:bottom w:val="none" w:sz="0" w:space="0" w:color="auto"/>
                <w:right w:val="none" w:sz="0" w:space="0" w:color="auto"/>
              </w:divBdr>
            </w:div>
            <w:div w:id="1930843147">
              <w:marLeft w:val="0"/>
              <w:marRight w:val="0"/>
              <w:marTop w:val="0"/>
              <w:marBottom w:val="0"/>
              <w:divBdr>
                <w:top w:val="none" w:sz="0" w:space="0" w:color="auto"/>
                <w:left w:val="none" w:sz="0" w:space="0" w:color="auto"/>
                <w:bottom w:val="none" w:sz="0" w:space="0" w:color="auto"/>
                <w:right w:val="none" w:sz="0" w:space="0" w:color="auto"/>
              </w:divBdr>
            </w:div>
            <w:div w:id="1375815368">
              <w:marLeft w:val="0"/>
              <w:marRight w:val="0"/>
              <w:marTop w:val="0"/>
              <w:marBottom w:val="0"/>
              <w:divBdr>
                <w:top w:val="none" w:sz="0" w:space="0" w:color="auto"/>
                <w:left w:val="none" w:sz="0" w:space="0" w:color="auto"/>
                <w:bottom w:val="none" w:sz="0" w:space="0" w:color="auto"/>
                <w:right w:val="none" w:sz="0" w:space="0" w:color="auto"/>
              </w:divBdr>
            </w:div>
            <w:div w:id="231622326">
              <w:marLeft w:val="0"/>
              <w:marRight w:val="0"/>
              <w:marTop w:val="0"/>
              <w:marBottom w:val="0"/>
              <w:divBdr>
                <w:top w:val="none" w:sz="0" w:space="0" w:color="auto"/>
                <w:left w:val="none" w:sz="0" w:space="0" w:color="auto"/>
                <w:bottom w:val="none" w:sz="0" w:space="0" w:color="auto"/>
                <w:right w:val="none" w:sz="0" w:space="0" w:color="auto"/>
              </w:divBdr>
            </w:div>
            <w:div w:id="1047293836">
              <w:marLeft w:val="0"/>
              <w:marRight w:val="0"/>
              <w:marTop w:val="0"/>
              <w:marBottom w:val="0"/>
              <w:divBdr>
                <w:top w:val="none" w:sz="0" w:space="0" w:color="auto"/>
                <w:left w:val="none" w:sz="0" w:space="0" w:color="auto"/>
                <w:bottom w:val="none" w:sz="0" w:space="0" w:color="auto"/>
                <w:right w:val="none" w:sz="0" w:space="0" w:color="auto"/>
              </w:divBdr>
            </w:div>
            <w:div w:id="2112890727">
              <w:marLeft w:val="0"/>
              <w:marRight w:val="0"/>
              <w:marTop w:val="0"/>
              <w:marBottom w:val="0"/>
              <w:divBdr>
                <w:top w:val="none" w:sz="0" w:space="0" w:color="auto"/>
                <w:left w:val="none" w:sz="0" w:space="0" w:color="auto"/>
                <w:bottom w:val="none" w:sz="0" w:space="0" w:color="auto"/>
                <w:right w:val="none" w:sz="0" w:space="0" w:color="auto"/>
              </w:divBdr>
            </w:div>
            <w:div w:id="474493817">
              <w:marLeft w:val="0"/>
              <w:marRight w:val="0"/>
              <w:marTop w:val="0"/>
              <w:marBottom w:val="0"/>
              <w:divBdr>
                <w:top w:val="none" w:sz="0" w:space="0" w:color="auto"/>
                <w:left w:val="none" w:sz="0" w:space="0" w:color="auto"/>
                <w:bottom w:val="none" w:sz="0" w:space="0" w:color="auto"/>
                <w:right w:val="none" w:sz="0" w:space="0" w:color="auto"/>
              </w:divBdr>
            </w:div>
            <w:div w:id="1166021555">
              <w:marLeft w:val="0"/>
              <w:marRight w:val="0"/>
              <w:marTop w:val="0"/>
              <w:marBottom w:val="0"/>
              <w:divBdr>
                <w:top w:val="none" w:sz="0" w:space="0" w:color="auto"/>
                <w:left w:val="none" w:sz="0" w:space="0" w:color="auto"/>
                <w:bottom w:val="none" w:sz="0" w:space="0" w:color="auto"/>
                <w:right w:val="none" w:sz="0" w:space="0" w:color="auto"/>
              </w:divBdr>
            </w:div>
            <w:div w:id="919945888">
              <w:marLeft w:val="0"/>
              <w:marRight w:val="0"/>
              <w:marTop w:val="0"/>
              <w:marBottom w:val="0"/>
              <w:divBdr>
                <w:top w:val="none" w:sz="0" w:space="0" w:color="auto"/>
                <w:left w:val="none" w:sz="0" w:space="0" w:color="auto"/>
                <w:bottom w:val="none" w:sz="0" w:space="0" w:color="auto"/>
                <w:right w:val="none" w:sz="0" w:space="0" w:color="auto"/>
              </w:divBdr>
            </w:div>
            <w:div w:id="181286989">
              <w:marLeft w:val="0"/>
              <w:marRight w:val="0"/>
              <w:marTop w:val="0"/>
              <w:marBottom w:val="0"/>
              <w:divBdr>
                <w:top w:val="none" w:sz="0" w:space="0" w:color="auto"/>
                <w:left w:val="none" w:sz="0" w:space="0" w:color="auto"/>
                <w:bottom w:val="none" w:sz="0" w:space="0" w:color="auto"/>
                <w:right w:val="none" w:sz="0" w:space="0" w:color="auto"/>
              </w:divBdr>
            </w:div>
            <w:div w:id="1919367808">
              <w:marLeft w:val="0"/>
              <w:marRight w:val="0"/>
              <w:marTop w:val="0"/>
              <w:marBottom w:val="0"/>
              <w:divBdr>
                <w:top w:val="none" w:sz="0" w:space="0" w:color="auto"/>
                <w:left w:val="none" w:sz="0" w:space="0" w:color="auto"/>
                <w:bottom w:val="none" w:sz="0" w:space="0" w:color="auto"/>
                <w:right w:val="none" w:sz="0" w:space="0" w:color="auto"/>
              </w:divBdr>
            </w:div>
            <w:div w:id="1660379016">
              <w:marLeft w:val="0"/>
              <w:marRight w:val="0"/>
              <w:marTop w:val="0"/>
              <w:marBottom w:val="0"/>
              <w:divBdr>
                <w:top w:val="none" w:sz="0" w:space="0" w:color="auto"/>
                <w:left w:val="none" w:sz="0" w:space="0" w:color="auto"/>
                <w:bottom w:val="none" w:sz="0" w:space="0" w:color="auto"/>
                <w:right w:val="none" w:sz="0" w:space="0" w:color="auto"/>
              </w:divBdr>
            </w:div>
            <w:div w:id="267785843">
              <w:marLeft w:val="0"/>
              <w:marRight w:val="0"/>
              <w:marTop w:val="0"/>
              <w:marBottom w:val="0"/>
              <w:divBdr>
                <w:top w:val="none" w:sz="0" w:space="0" w:color="auto"/>
                <w:left w:val="none" w:sz="0" w:space="0" w:color="auto"/>
                <w:bottom w:val="none" w:sz="0" w:space="0" w:color="auto"/>
                <w:right w:val="none" w:sz="0" w:space="0" w:color="auto"/>
              </w:divBdr>
            </w:div>
            <w:div w:id="1163618016">
              <w:marLeft w:val="0"/>
              <w:marRight w:val="0"/>
              <w:marTop w:val="0"/>
              <w:marBottom w:val="0"/>
              <w:divBdr>
                <w:top w:val="none" w:sz="0" w:space="0" w:color="auto"/>
                <w:left w:val="none" w:sz="0" w:space="0" w:color="auto"/>
                <w:bottom w:val="none" w:sz="0" w:space="0" w:color="auto"/>
                <w:right w:val="none" w:sz="0" w:space="0" w:color="auto"/>
              </w:divBdr>
            </w:div>
            <w:div w:id="1116022423">
              <w:marLeft w:val="0"/>
              <w:marRight w:val="0"/>
              <w:marTop w:val="0"/>
              <w:marBottom w:val="0"/>
              <w:divBdr>
                <w:top w:val="none" w:sz="0" w:space="0" w:color="auto"/>
                <w:left w:val="none" w:sz="0" w:space="0" w:color="auto"/>
                <w:bottom w:val="none" w:sz="0" w:space="0" w:color="auto"/>
                <w:right w:val="none" w:sz="0" w:space="0" w:color="auto"/>
              </w:divBdr>
            </w:div>
            <w:div w:id="2002079072">
              <w:marLeft w:val="0"/>
              <w:marRight w:val="0"/>
              <w:marTop w:val="0"/>
              <w:marBottom w:val="0"/>
              <w:divBdr>
                <w:top w:val="none" w:sz="0" w:space="0" w:color="auto"/>
                <w:left w:val="none" w:sz="0" w:space="0" w:color="auto"/>
                <w:bottom w:val="none" w:sz="0" w:space="0" w:color="auto"/>
                <w:right w:val="none" w:sz="0" w:space="0" w:color="auto"/>
              </w:divBdr>
            </w:div>
            <w:div w:id="228151315">
              <w:marLeft w:val="0"/>
              <w:marRight w:val="0"/>
              <w:marTop w:val="0"/>
              <w:marBottom w:val="0"/>
              <w:divBdr>
                <w:top w:val="none" w:sz="0" w:space="0" w:color="auto"/>
                <w:left w:val="none" w:sz="0" w:space="0" w:color="auto"/>
                <w:bottom w:val="none" w:sz="0" w:space="0" w:color="auto"/>
                <w:right w:val="none" w:sz="0" w:space="0" w:color="auto"/>
              </w:divBdr>
            </w:div>
            <w:div w:id="250551867">
              <w:marLeft w:val="0"/>
              <w:marRight w:val="0"/>
              <w:marTop w:val="0"/>
              <w:marBottom w:val="0"/>
              <w:divBdr>
                <w:top w:val="none" w:sz="0" w:space="0" w:color="auto"/>
                <w:left w:val="none" w:sz="0" w:space="0" w:color="auto"/>
                <w:bottom w:val="none" w:sz="0" w:space="0" w:color="auto"/>
                <w:right w:val="none" w:sz="0" w:space="0" w:color="auto"/>
              </w:divBdr>
            </w:div>
            <w:div w:id="1043215025">
              <w:marLeft w:val="0"/>
              <w:marRight w:val="0"/>
              <w:marTop w:val="0"/>
              <w:marBottom w:val="0"/>
              <w:divBdr>
                <w:top w:val="none" w:sz="0" w:space="0" w:color="auto"/>
                <w:left w:val="none" w:sz="0" w:space="0" w:color="auto"/>
                <w:bottom w:val="none" w:sz="0" w:space="0" w:color="auto"/>
                <w:right w:val="none" w:sz="0" w:space="0" w:color="auto"/>
              </w:divBdr>
            </w:div>
            <w:div w:id="1228035411">
              <w:marLeft w:val="0"/>
              <w:marRight w:val="0"/>
              <w:marTop w:val="0"/>
              <w:marBottom w:val="0"/>
              <w:divBdr>
                <w:top w:val="none" w:sz="0" w:space="0" w:color="auto"/>
                <w:left w:val="none" w:sz="0" w:space="0" w:color="auto"/>
                <w:bottom w:val="none" w:sz="0" w:space="0" w:color="auto"/>
                <w:right w:val="none" w:sz="0" w:space="0" w:color="auto"/>
              </w:divBdr>
            </w:div>
            <w:div w:id="1900818131">
              <w:marLeft w:val="0"/>
              <w:marRight w:val="0"/>
              <w:marTop w:val="0"/>
              <w:marBottom w:val="0"/>
              <w:divBdr>
                <w:top w:val="none" w:sz="0" w:space="0" w:color="auto"/>
                <w:left w:val="none" w:sz="0" w:space="0" w:color="auto"/>
                <w:bottom w:val="none" w:sz="0" w:space="0" w:color="auto"/>
                <w:right w:val="none" w:sz="0" w:space="0" w:color="auto"/>
              </w:divBdr>
            </w:div>
            <w:div w:id="2088260289">
              <w:marLeft w:val="0"/>
              <w:marRight w:val="0"/>
              <w:marTop w:val="0"/>
              <w:marBottom w:val="0"/>
              <w:divBdr>
                <w:top w:val="none" w:sz="0" w:space="0" w:color="auto"/>
                <w:left w:val="none" w:sz="0" w:space="0" w:color="auto"/>
                <w:bottom w:val="none" w:sz="0" w:space="0" w:color="auto"/>
                <w:right w:val="none" w:sz="0" w:space="0" w:color="auto"/>
              </w:divBdr>
            </w:div>
            <w:div w:id="1616256872">
              <w:marLeft w:val="0"/>
              <w:marRight w:val="0"/>
              <w:marTop w:val="0"/>
              <w:marBottom w:val="0"/>
              <w:divBdr>
                <w:top w:val="none" w:sz="0" w:space="0" w:color="auto"/>
                <w:left w:val="none" w:sz="0" w:space="0" w:color="auto"/>
                <w:bottom w:val="none" w:sz="0" w:space="0" w:color="auto"/>
                <w:right w:val="none" w:sz="0" w:space="0" w:color="auto"/>
              </w:divBdr>
            </w:div>
            <w:div w:id="1890191486">
              <w:marLeft w:val="0"/>
              <w:marRight w:val="0"/>
              <w:marTop w:val="0"/>
              <w:marBottom w:val="0"/>
              <w:divBdr>
                <w:top w:val="none" w:sz="0" w:space="0" w:color="auto"/>
                <w:left w:val="none" w:sz="0" w:space="0" w:color="auto"/>
                <w:bottom w:val="none" w:sz="0" w:space="0" w:color="auto"/>
                <w:right w:val="none" w:sz="0" w:space="0" w:color="auto"/>
              </w:divBdr>
            </w:div>
            <w:div w:id="1112287097">
              <w:marLeft w:val="0"/>
              <w:marRight w:val="0"/>
              <w:marTop w:val="0"/>
              <w:marBottom w:val="0"/>
              <w:divBdr>
                <w:top w:val="none" w:sz="0" w:space="0" w:color="auto"/>
                <w:left w:val="none" w:sz="0" w:space="0" w:color="auto"/>
                <w:bottom w:val="none" w:sz="0" w:space="0" w:color="auto"/>
                <w:right w:val="none" w:sz="0" w:space="0" w:color="auto"/>
              </w:divBdr>
            </w:div>
            <w:div w:id="1795979071">
              <w:marLeft w:val="0"/>
              <w:marRight w:val="0"/>
              <w:marTop w:val="0"/>
              <w:marBottom w:val="0"/>
              <w:divBdr>
                <w:top w:val="none" w:sz="0" w:space="0" w:color="auto"/>
                <w:left w:val="none" w:sz="0" w:space="0" w:color="auto"/>
                <w:bottom w:val="none" w:sz="0" w:space="0" w:color="auto"/>
                <w:right w:val="none" w:sz="0" w:space="0" w:color="auto"/>
              </w:divBdr>
            </w:div>
            <w:div w:id="1731465204">
              <w:marLeft w:val="0"/>
              <w:marRight w:val="0"/>
              <w:marTop w:val="0"/>
              <w:marBottom w:val="0"/>
              <w:divBdr>
                <w:top w:val="none" w:sz="0" w:space="0" w:color="auto"/>
                <w:left w:val="none" w:sz="0" w:space="0" w:color="auto"/>
                <w:bottom w:val="none" w:sz="0" w:space="0" w:color="auto"/>
                <w:right w:val="none" w:sz="0" w:space="0" w:color="auto"/>
              </w:divBdr>
            </w:div>
            <w:div w:id="551504850">
              <w:marLeft w:val="0"/>
              <w:marRight w:val="0"/>
              <w:marTop w:val="0"/>
              <w:marBottom w:val="0"/>
              <w:divBdr>
                <w:top w:val="none" w:sz="0" w:space="0" w:color="auto"/>
                <w:left w:val="none" w:sz="0" w:space="0" w:color="auto"/>
                <w:bottom w:val="none" w:sz="0" w:space="0" w:color="auto"/>
                <w:right w:val="none" w:sz="0" w:space="0" w:color="auto"/>
              </w:divBdr>
            </w:div>
            <w:div w:id="1338733463">
              <w:marLeft w:val="0"/>
              <w:marRight w:val="0"/>
              <w:marTop w:val="0"/>
              <w:marBottom w:val="0"/>
              <w:divBdr>
                <w:top w:val="none" w:sz="0" w:space="0" w:color="auto"/>
                <w:left w:val="none" w:sz="0" w:space="0" w:color="auto"/>
                <w:bottom w:val="none" w:sz="0" w:space="0" w:color="auto"/>
                <w:right w:val="none" w:sz="0" w:space="0" w:color="auto"/>
              </w:divBdr>
            </w:div>
            <w:div w:id="201089428">
              <w:marLeft w:val="0"/>
              <w:marRight w:val="0"/>
              <w:marTop w:val="0"/>
              <w:marBottom w:val="0"/>
              <w:divBdr>
                <w:top w:val="none" w:sz="0" w:space="0" w:color="auto"/>
                <w:left w:val="none" w:sz="0" w:space="0" w:color="auto"/>
                <w:bottom w:val="none" w:sz="0" w:space="0" w:color="auto"/>
                <w:right w:val="none" w:sz="0" w:space="0" w:color="auto"/>
              </w:divBdr>
            </w:div>
            <w:div w:id="2146044932">
              <w:marLeft w:val="0"/>
              <w:marRight w:val="0"/>
              <w:marTop w:val="0"/>
              <w:marBottom w:val="0"/>
              <w:divBdr>
                <w:top w:val="none" w:sz="0" w:space="0" w:color="auto"/>
                <w:left w:val="none" w:sz="0" w:space="0" w:color="auto"/>
                <w:bottom w:val="none" w:sz="0" w:space="0" w:color="auto"/>
                <w:right w:val="none" w:sz="0" w:space="0" w:color="auto"/>
              </w:divBdr>
            </w:div>
            <w:div w:id="260338380">
              <w:marLeft w:val="0"/>
              <w:marRight w:val="0"/>
              <w:marTop w:val="0"/>
              <w:marBottom w:val="0"/>
              <w:divBdr>
                <w:top w:val="none" w:sz="0" w:space="0" w:color="auto"/>
                <w:left w:val="none" w:sz="0" w:space="0" w:color="auto"/>
                <w:bottom w:val="none" w:sz="0" w:space="0" w:color="auto"/>
                <w:right w:val="none" w:sz="0" w:space="0" w:color="auto"/>
              </w:divBdr>
            </w:div>
            <w:div w:id="867455192">
              <w:marLeft w:val="0"/>
              <w:marRight w:val="0"/>
              <w:marTop w:val="0"/>
              <w:marBottom w:val="0"/>
              <w:divBdr>
                <w:top w:val="none" w:sz="0" w:space="0" w:color="auto"/>
                <w:left w:val="none" w:sz="0" w:space="0" w:color="auto"/>
                <w:bottom w:val="none" w:sz="0" w:space="0" w:color="auto"/>
                <w:right w:val="none" w:sz="0" w:space="0" w:color="auto"/>
              </w:divBdr>
            </w:div>
            <w:div w:id="71395869">
              <w:marLeft w:val="0"/>
              <w:marRight w:val="0"/>
              <w:marTop w:val="0"/>
              <w:marBottom w:val="0"/>
              <w:divBdr>
                <w:top w:val="none" w:sz="0" w:space="0" w:color="auto"/>
                <w:left w:val="none" w:sz="0" w:space="0" w:color="auto"/>
                <w:bottom w:val="none" w:sz="0" w:space="0" w:color="auto"/>
                <w:right w:val="none" w:sz="0" w:space="0" w:color="auto"/>
              </w:divBdr>
            </w:div>
            <w:div w:id="182204889">
              <w:marLeft w:val="0"/>
              <w:marRight w:val="0"/>
              <w:marTop w:val="0"/>
              <w:marBottom w:val="0"/>
              <w:divBdr>
                <w:top w:val="none" w:sz="0" w:space="0" w:color="auto"/>
                <w:left w:val="none" w:sz="0" w:space="0" w:color="auto"/>
                <w:bottom w:val="none" w:sz="0" w:space="0" w:color="auto"/>
                <w:right w:val="none" w:sz="0" w:space="0" w:color="auto"/>
              </w:divBdr>
            </w:div>
            <w:div w:id="1422796568">
              <w:marLeft w:val="0"/>
              <w:marRight w:val="0"/>
              <w:marTop w:val="0"/>
              <w:marBottom w:val="0"/>
              <w:divBdr>
                <w:top w:val="none" w:sz="0" w:space="0" w:color="auto"/>
                <w:left w:val="none" w:sz="0" w:space="0" w:color="auto"/>
                <w:bottom w:val="none" w:sz="0" w:space="0" w:color="auto"/>
                <w:right w:val="none" w:sz="0" w:space="0" w:color="auto"/>
              </w:divBdr>
            </w:div>
            <w:div w:id="1206260237">
              <w:marLeft w:val="0"/>
              <w:marRight w:val="0"/>
              <w:marTop w:val="0"/>
              <w:marBottom w:val="0"/>
              <w:divBdr>
                <w:top w:val="none" w:sz="0" w:space="0" w:color="auto"/>
                <w:left w:val="none" w:sz="0" w:space="0" w:color="auto"/>
                <w:bottom w:val="none" w:sz="0" w:space="0" w:color="auto"/>
                <w:right w:val="none" w:sz="0" w:space="0" w:color="auto"/>
              </w:divBdr>
            </w:div>
            <w:div w:id="290018074">
              <w:marLeft w:val="0"/>
              <w:marRight w:val="0"/>
              <w:marTop w:val="0"/>
              <w:marBottom w:val="0"/>
              <w:divBdr>
                <w:top w:val="none" w:sz="0" w:space="0" w:color="auto"/>
                <w:left w:val="none" w:sz="0" w:space="0" w:color="auto"/>
                <w:bottom w:val="none" w:sz="0" w:space="0" w:color="auto"/>
                <w:right w:val="none" w:sz="0" w:space="0" w:color="auto"/>
              </w:divBdr>
            </w:div>
            <w:div w:id="612708851">
              <w:marLeft w:val="0"/>
              <w:marRight w:val="0"/>
              <w:marTop w:val="0"/>
              <w:marBottom w:val="0"/>
              <w:divBdr>
                <w:top w:val="none" w:sz="0" w:space="0" w:color="auto"/>
                <w:left w:val="none" w:sz="0" w:space="0" w:color="auto"/>
                <w:bottom w:val="none" w:sz="0" w:space="0" w:color="auto"/>
                <w:right w:val="none" w:sz="0" w:space="0" w:color="auto"/>
              </w:divBdr>
            </w:div>
            <w:div w:id="1555120686">
              <w:marLeft w:val="0"/>
              <w:marRight w:val="0"/>
              <w:marTop w:val="0"/>
              <w:marBottom w:val="0"/>
              <w:divBdr>
                <w:top w:val="none" w:sz="0" w:space="0" w:color="auto"/>
                <w:left w:val="none" w:sz="0" w:space="0" w:color="auto"/>
                <w:bottom w:val="none" w:sz="0" w:space="0" w:color="auto"/>
                <w:right w:val="none" w:sz="0" w:space="0" w:color="auto"/>
              </w:divBdr>
            </w:div>
            <w:div w:id="85469910">
              <w:marLeft w:val="0"/>
              <w:marRight w:val="0"/>
              <w:marTop w:val="0"/>
              <w:marBottom w:val="0"/>
              <w:divBdr>
                <w:top w:val="none" w:sz="0" w:space="0" w:color="auto"/>
                <w:left w:val="none" w:sz="0" w:space="0" w:color="auto"/>
                <w:bottom w:val="none" w:sz="0" w:space="0" w:color="auto"/>
                <w:right w:val="none" w:sz="0" w:space="0" w:color="auto"/>
              </w:divBdr>
            </w:div>
            <w:div w:id="1641766446">
              <w:marLeft w:val="0"/>
              <w:marRight w:val="0"/>
              <w:marTop w:val="0"/>
              <w:marBottom w:val="0"/>
              <w:divBdr>
                <w:top w:val="none" w:sz="0" w:space="0" w:color="auto"/>
                <w:left w:val="none" w:sz="0" w:space="0" w:color="auto"/>
                <w:bottom w:val="none" w:sz="0" w:space="0" w:color="auto"/>
                <w:right w:val="none" w:sz="0" w:space="0" w:color="auto"/>
              </w:divBdr>
            </w:div>
            <w:div w:id="8710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28884">
      <w:marLeft w:val="0"/>
      <w:marRight w:val="0"/>
      <w:marTop w:val="0"/>
      <w:marBottom w:val="0"/>
      <w:divBdr>
        <w:top w:val="none" w:sz="0" w:space="0" w:color="auto"/>
        <w:left w:val="none" w:sz="0" w:space="0" w:color="auto"/>
        <w:bottom w:val="none" w:sz="0" w:space="0" w:color="auto"/>
        <w:right w:val="none" w:sz="0" w:space="0" w:color="auto"/>
      </w:divBdr>
      <w:divsChild>
        <w:div w:id="1012295208">
          <w:marLeft w:val="0"/>
          <w:marRight w:val="0"/>
          <w:marTop w:val="0"/>
          <w:marBottom w:val="0"/>
          <w:divBdr>
            <w:top w:val="none" w:sz="0" w:space="0" w:color="auto"/>
            <w:left w:val="none" w:sz="0" w:space="0" w:color="auto"/>
            <w:bottom w:val="none" w:sz="0" w:space="0" w:color="auto"/>
            <w:right w:val="none" w:sz="0" w:space="0" w:color="auto"/>
          </w:divBdr>
        </w:div>
      </w:divsChild>
    </w:div>
    <w:div w:id="683482788">
      <w:bodyDiv w:val="1"/>
      <w:marLeft w:val="0"/>
      <w:marRight w:val="0"/>
      <w:marTop w:val="0"/>
      <w:marBottom w:val="0"/>
      <w:divBdr>
        <w:top w:val="none" w:sz="0" w:space="0" w:color="auto"/>
        <w:left w:val="none" w:sz="0" w:space="0" w:color="auto"/>
        <w:bottom w:val="none" w:sz="0" w:space="0" w:color="auto"/>
        <w:right w:val="none" w:sz="0" w:space="0" w:color="auto"/>
      </w:divBdr>
    </w:div>
    <w:div w:id="685132524">
      <w:marLeft w:val="0"/>
      <w:marRight w:val="0"/>
      <w:marTop w:val="0"/>
      <w:marBottom w:val="0"/>
      <w:divBdr>
        <w:top w:val="none" w:sz="0" w:space="0" w:color="auto"/>
        <w:left w:val="none" w:sz="0" w:space="0" w:color="auto"/>
        <w:bottom w:val="none" w:sz="0" w:space="0" w:color="auto"/>
        <w:right w:val="none" w:sz="0" w:space="0" w:color="auto"/>
      </w:divBdr>
      <w:divsChild>
        <w:div w:id="290985496">
          <w:marLeft w:val="0"/>
          <w:marRight w:val="0"/>
          <w:marTop w:val="0"/>
          <w:marBottom w:val="0"/>
          <w:divBdr>
            <w:top w:val="none" w:sz="0" w:space="0" w:color="auto"/>
            <w:left w:val="none" w:sz="0" w:space="0" w:color="auto"/>
            <w:bottom w:val="none" w:sz="0" w:space="0" w:color="auto"/>
            <w:right w:val="none" w:sz="0" w:space="0" w:color="auto"/>
          </w:divBdr>
        </w:div>
      </w:divsChild>
    </w:div>
    <w:div w:id="685905592">
      <w:bodyDiv w:val="1"/>
      <w:marLeft w:val="0"/>
      <w:marRight w:val="0"/>
      <w:marTop w:val="0"/>
      <w:marBottom w:val="0"/>
      <w:divBdr>
        <w:top w:val="none" w:sz="0" w:space="0" w:color="auto"/>
        <w:left w:val="none" w:sz="0" w:space="0" w:color="auto"/>
        <w:bottom w:val="none" w:sz="0" w:space="0" w:color="auto"/>
        <w:right w:val="none" w:sz="0" w:space="0" w:color="auto"/>
      </w:divBdr>
      <w:divsChild>
        <w:div w:id="2008359843">
          <w:marLeft w:val="0"/>
          <w:marRight w:val="0"/>
          <w:marTop w:val="0"/>
          <w:marBottom w:val="0"/>
          <w:divBdr>
            <w:top w:val="none" w:sz="0" w:space="0" w:color="auto"/>
            <w:left w:val="none" w:sz="0" w:space="0" w:color="auto"/>
            <w:bottom w:val="none" w:sz="0" w:space="0" w:color="auto"/>
            <w:right w:val="none" w:sz="0" w:space="0" w:color="auto"/>
          </w:divBdr>
          <w:divsChild>
            <w:div w:id="1519542475">
              <w:marLeft w:val="0"/>
              <w:marRight w:val="0"/>
              <w:marTop w:val="0"/>
              <w:marBottom w:val="0"/>
              <w:divBdr>
                <w:top w:val="none" w:sz="0" w:space="0" w:color="auto"/>
                <w:left w:val="none" w:sz="0" w:space="0" w:color="auto"/>
                <w:bottom w:val="none" w:sz="0" w:space="0" w:color="auto"/>
                <w:right w:val="none" w:sz="0" w:space="0" w:color="auto"/>
              </w:divBdr>
            </w:div>
            <w:div w:id="1798257082">
              <w:marLeft w:val="0"/>
              <w:marRight w:val="0"/>
              <w:marTop w:val="0"/>
              <w:marBottom w:val="0"/>
              <w:divBdr>
                <w:top w:val="none" w:sz="0" w:space="0" w:color="auto"/>
                <w:left w:val="none" w:sz="0" w:space="0" w:color="auto"/>
                <w:bottom w:val="none" w:sz="0" w:space="0" w:color="auto"/>
                <w:right w:val="none" w:sz="0" w:space="0" w:color="auto"/>
              </w:divBdr>
            </w:div>
            <w:div w:id="447312098">
              <w:marLeft w:val="0"/>
              <w:marRight w:val="0"/>
              <w:marTop w:val="0"/>
              <w:marBottom w:val="0"/>
              <w:divBdr>
                <w:top w:val="none" w:sz="0" w:space="0" w:color="auto"/>
                <w:left w:val="none" w:sz="0" w:space="0" w:color="auto"/>
                <w:bottom w:val="none" w:sz="0" w:space="0" w:color="auto"/>
                <w:right w:val="none" w:sz="0" w:space="0" w:color="auto"/>
              </w:divBdr>
            </w:div>
            <w:div w:id="1053431650">
              <w:marLeft w:val="0"/>
              <w:marRight w:val="0"/>
              <w:marTop w:val="0"/>
              <w:marBottom w:val="0"/>
              <w:divBdr>
                <w:top w:val="none" w:sz="0" w:space="0" w:color="auto"/>
                <w:left w:val="none" w:sz="0" w:space="0" w:color="auto"/>
                <w:bottom w:val="none" w:sz="0" w:space="0" w:color="auto"/>
                <w:right w:val="none" w:sz="0" w:space="0" w:color="auto"/>
              </w:divBdr>
            </w:div>
            <w:div w:id="549879639">
              <w:marLeft w:val="0"/>
              <w:marRight w:val="0"/>
              <w:marTop w:val="0"/>
              <w:marBottom w:val="0"/>
              <w:divBdr>
                <w:top w:val="none" w:sz="0" w:space="0" w:color="auto"/>
                <w:left w:val="none" w:sz="0" w:space="0" w:color="auto"/>
                <w:bottom w:val="none" w:sz="0" w:space="0" w:color="auto"/>
                <w:right w:val="none" w:sz="0" w:space="0" w:color="auto"/>
              </w:divBdr>
            </w:div>
            <w:div w:id="1305159502">
              <w:marLeft w:val="0"/>
              <w:marRight w:val="0"/>
              <w:marTop w:val="0"/>
              <w:marBottom w:val="0"/>
              <w:divBdr>
                <w:top w:val="none" w:sz="0" w:space="0" w:color="auto"/>
                <w:left w:val="none" w:sz="0" w:space="0" w:color="auto"/>
                <w:bottom w:val="none" w:sz="0" w:space="0" w:color="auto"/>
                <w:right w:val="none" w:sz="0" w:space="0" w:color="auto"/>
              </w:divBdr>
            </w:div>
            <w:div w:id="1936133165">
              <w:marLeft w:val="0"/>
              <w:marRight w:val="0"/>
              <w:marTop w:val="0"/>
              <w:marBottom w:val="0"/>
              <w:divBdr>
                <w:top w:val="none" w:sz="0" w:space="0" w:color="auto"/>
                <w:left w:val="none" w:sz="0" w:space="0" w:color="auto"/>
                <w:bottom w:val="none" w:sz="0" w:space="0" w:color="auto"/>
                <w:right w:val="none" w:sz="0" w:space="0" w:color="auto"/>
              </w:divBdr>
            </w:div>
            <w:div w:id="739451336">
              <w:marLeft w:val="0"/>
              <w:marRight w:val="0"/>
              <w:marTop w:val="0"/>
              <w:marBottom w:val="0"/>
              <w:divBdr>
                <w:top w:val="none" w:sz="0" w:space="0" w:color="auto"/>
                <w:left w:val="none" w:sz="0" w:space="0" w:color="auto"/>
                <w:bottom w:val="none" w:sz="0" w:space="0" w:color="auto"/>
                <w:right w:val="none" w:sz="0" w:space="0" w:color="auto"/>
              </w:divBdr>
            </w:div>
            <w:div w:id="326523359">
              <w:marLeft w:val="0"/>
              <w:marRight w:val="0"/>
              <w:marTop w:val="0"/>
              <w:marBottom w:val="0"/>
              <w:divBdr>
                <w:top w:val="none" w:sz="0" w:space="0" w:color="auto"/>
                <w:left w:val="none" w:sz="0" w:space="0" w:color="auto"/>
                <w:bottom w:val="none" w:sz="0" w:space="0" w:color="auto"/>
                <w:right w:val="none" w:sz="0" w:space="0" w:color="auto"/>
              </w:divBdr>
            </w:div>
            <w:div w:id="1813212868">
              <w:marLeft w:val="0"/>
              <w:marRight w:val="0"/>
              <w:marTop w:val="0"/>
              <w:marBottom w:val="0"/>
              <w:divBdr>
                <w:top w:val="none" w:sz="0" w:space="0" w:color="auto"/>
                <w:left w:val="none" w:sz="0" w:space="0" w:color="auto"/>
                <w:bottom w:val="none" w:sz="0" w:space="0" w:color="auto"/>
                <w:right w:val="none" w:sz="0" w:space="0" w:color="auto"/>
              </w:divBdr>
            </w:div>
            <w:div w:id="2093820191">
              <w:marLeft w:val="0"/>
              <w:marRight w:val="0"/>
              <w:marTop w:val="0"/>
              <w:marBottom w:val="0"/>
              <w:divBdr>
                <w:top w:val="none" w:sz="0" w:space="0" w:color="auto"/>
                <w:left w:val="none" w:sz="0" w:space="0" w:color="auto"/>
                <w:bottom w:val="none" w:sz="0" w:space="0" w:color="auto"/>
                <w:right w:val="none" w:sz="0" w:space="0" w:color="auto"/>
              </w:divBdr>
            </w:div>
            <w:div w:id="243074526">
              <w:marLeft w:val="0"/>
              <w:marRight w:val="0"/>
              <w:marTop w:val="0"/>
              <w:marBottom w:val="0"/>
              <w:divBdr>
                <w:top w:val="none" w:sz="0" w:space="0" w:color="auto"/>
                <w:left w:val="none" w:sz="0" w:space="0" w:color="auto"/>
                <w:bottom w:val="none" w:sz="0" w:space="0" w:color="auto"/>
                <w:right w:val="none" w:sz="0" w:space="0" w:color="auto"/>
              </w:divBdr>
            </w:div>
            <w:div w:id="469858495">
              <w:marLeft w:val="0"/>
              <w:marRight w:val="0"/>
              <w:marTop w:val="0"/>
              <w:marBottom w:val="0"/>
              <w:divBdr>
                <w:top w:val="none" w:sz="0" w:space="0" w:color="auto"/>
                <w:left w:val="none" w:sz="0" w:space="0" w:color="auto"/>
                <w:bottom w:val="none" w:sz="0" w:space="0" w:color="auto"/>
                <w:right w:val="none" w:sz="0" w:space="0" w:color="auto"/>
              </w:divBdr>
            </w:div>
            <w:div w:id="1496384547">
              <w:marLeft w:val="0"/>
              <w:marRight w:val="0"/>
              <w:marTop w:val="0"/>
              <w:marBottom w:val="0"/>
              <w:divBdr>
                <w:top w:val="none" w:sz="0" w:space="0" w:color="auto"/>
                <w:left w:val="none" w:sz="0" w:space="0" w:color="auto"/>
                <w:bottom w:val="none" w:sz="0" w:space="0" w:color="auto"/>
                <w:right w:val="none" w:sz="0" w:space="0" w:color="auto"/>
              </w:divBdr>
            </w:div>
            <w:div w:id="760876769">
              <w:marLeft w:val="0"/>
              <w:marRight w:val="0"/>
              <w:marTop w:val="0"/>
              <w:marBottom w:val="0"/>
              <w:divBdr>
                <w:top w:val="none" w:sz="0" w:space="0" w:color="auto"/>
                <w:left w:val="none" w:sz="0" w:space="0" w:color="auto"/>
                <w:bottom w:val="none" w:sz="0" w:space="0" w:color="auto"/>
                <w:right w:val="none" w:sz="0" w:space="0" w:color="auto"/>
              </w:divBdr>
            </w:div>
            <w:div w:id="1237595682">
              <w:marLeft w:val="0"/>
              <w:marRight w:val="0"/>
              <w:marTop w:val="0"/>
              <w:marBottom w:val="0"/>
              <w:divBdr>
                <w:top w:val="none" w:sz="0" w:space="0" w:color="auto"/>
                <w:left w:val="none" w:sz="0" w:space="0" w:color="auto"/>
                <w:bottom w:val="none" w:sz="0" w:space="0" w:color="auto"/>
                <w:right w:val="none" w:sz="0" w:space="0" w:color="auto"/>
              </w:divBdr>
            </w:div>
            <w:div w:id="1606109391">
              <w:marLeft w:val="0"/>
              <w:marRight w:val="0"/>
              <w:marTop w:val="0"/>
              <w:marBottom w:val="0"/>
              <w:divBdr>
                <w:top w:val="none" w:sz="0" w:space="0" w:color="auto"/>
                <w:left w:val="none" w:sz="0" w:space="0" w:color="auto"/>
                <w:bottom w:val="none" w:sz="0" w:space="0" w:color="auto"/>
                <w:right w:val="none" w:sz="0" w:space="0" w:color="auto"/>
              </w:divBdr>
            </w:div>
            <w:div w:id="1295982344">
              <w:marLeft w:val="0"/>
              <w:marRight w:val="0"/>
              <w:marTop w:val="0"/>
              <w:marBottom w:val="0"/>
              <w:divBdr>
                <w:top w:val="none" w:sz="0" w:space="0" w:color="auto"/>
                <w:left w:val="none" w:sz="0" w:space="0" w:color="auto"/>
                <w:bottom w:val="none" w:sz="0" w:space="0" w:color="auto"/>
                <w:right w:val="none" w:sz="0" w:space="0" w:color="auto"/>
              </w:divBdr>
            </w:div>
            <w:div w:id="133835519">
              <w:marLeft w:val="0"/>
              <w:marRight w:val="0"/>
              <w:marTop w:val="0"/>
              <w:marBottom w:val="0"/>
              <w:divBdr>
                <w:top w:val="none" w:sz="0" w:space="0" w:color="auto"/>
                <w:left w:val="none" w:sz="0" w:space="0" w:color="auto"/>
                <w:bottom w:val="none" w:sz="0" w:space="0" w:color="auto"/>
                <w:right w:val="none" w:sz="0" w:space="0" w:color="auto"/>
              </w:divBdr>
            </w:div>
            <w:div w:id="115105125">
              <w:marLeft w:val="0"/>
              <w:marRight w:val="0"/>
              <w:marTop w:val="0"/>
              <w:marBottom w:val="0"/>
              <w:divBdr>
                <w:top w:val="none" w:sz="0" w:space="0" w:color="auto"/>
                <w:left w:val="none" w:sz="0" w:space="0" w:color="auto"/>
                <w:bottom w:val="none" w:sz="0" w:space="0" w:color="auto"/>
                <w:right w:val="none" w:sz="0" w:space="0" w:color="auto"/>
              </w:divBdr>
            </w:div>
            <w:div w:id="34434417">
              <w:marLeft w:val="0"/>
              <w:marRight w:val="0"/>
              <w:marTop w:val="0"/>
              <w:marBottom w:val="0"/>
              <w:divBdr>
                <w:top w:val="none" w:sz="0" w:space="0" w:color="auto"/>
                <w:left w:val="none" w:sz="0" w:space="0" w:color="auto"/>
                <w:bottom w:val="none" w:sz="0" w:space="0" w:color="auto"/>
                <w:right w:val="none" w:sz="0" w:space="0" w:color="auto"/>
              </w:divBdr>
            </w:div>
            <w:div w:id="565385040">
              <w:marLeft w:val="0"/>
              <w:marRight w:val="0"/>
              <w:marTop w:val="0"/>
              <w:marBottom w:val="0"/>
              <w:divBdr>
                <w:top w:val="none" w:sz="0" w:space="0" w:color="auto"/>
                <w:left w:val="none" w:sz="0" w:space="0" w:color="auto"/>
                <w:bottom w:val="none" w:sz="0" w:space="0" w:color="auto"/>
                <w:right w:val="none" w:sz="0" w:space="0" w:color="auto"/>
              </w:divBdr>
            </w:div>
            <w:div w:id="1429426681">
              <w:marLeft w:val="0"/>
              <w:marRight w:val="0"/>
              <w:marTop w:val="0"/>
              <w:marBottom w:val="0"/>
              <w:divBdr>
                <w:top w:val="none" w:sz="0" w:space="0" w:color="auto"/>
                <w:left w:val="none" w:sz="0" w:space="0" w:color="auto"/>
                <w:bottom w:val="none" w:sz="0" w:space="0" w:color="auto"/>
                <w:right w:val="none" w:sz="0" w:space="0" w:color="auto"/>
              </w:divBdr>
            </w:div>
            <w:div w:id="1605651045">
              <w:marLeft w:val="0"/>
              <w:marRight w:val="0"/>
              <w:marTop w:val="0"/>
              <w:marBottom w:val="0"/>
              <w:divBdr>
                <w:top w:val="none" w:sz="0" w:space="0" w:color="auto"/>
                <w:left w:val="none" w:sz="0" w:space="0" w:color="auto"/>
                <w:bottom w:val="none" w:sz="0" w:space="0" w:color="auto"/>
                <w:right w:val="none" w:sz="0" w:space="0" w:color="auto"/>
              </w:divBdr>
            </w:div>
            <w:div w:id="475954949">
              <w:marLeft w:val="0"/>
              <w:marRight w:val="0"/>
              <w:marTop w:val="0"/>
              <w:marBottom w:val="0"/>
              <w:divBdr>
                <w:top w:val="none" w:sz="0" w:space="0" w:color="auto"/>
                <w:left w:val="none" w:sz="0" w:space="0" w:color="auto"/>
                <w:bottom w:val="none" w:sz="0" w:space="0" w:color="auto"/>
                <w:right w:val="none" w:sz="0" w:space="0" w:color="auto"/>
              </w:divBdr>
            </w:div>
            <w:div w:id="592400262">
              <w:marLeft w:val="0"/>
              <w:marRight w:val="0"/>
              <w:marTop w:val="0"/>
              <w:marBottom w:val="0"/>
              <w:divBdr>
                <w:top w:val="none" w:sz="0" w:space="0" w:color="auto"/>
                <w:left w:val="none" w:sz="0" w:space="0" w:color="auto"/>
                <w:bottom w:val="none" w:sz="0" w:space="0" w:color="auto"/>
                <w:right w:val="none" w:sz="0" w:space="0" w:color="auto"/>
              </w:divBdr>
            </w:div>
            <w:div w:id="2028486569">
              <w:marLeft w:val="0"/>
              <w:marRight w:val="0"/>
              <w:marTop w:val="0"/>
              <w:marBottom w:val="0"/>
              <w:divBdr>
                <w:top w:val="none" w:sz="0" w:space="0" w:color="auto"/>
                <w:left w:val="none" w:sz="0" w:space="0" w:color="auto"/>
                <w:bottom w:val="none" w:sz="0" w:space="0" w:color="auto"/>
                <w:right w:val="none" w:sz="0" w:space="0" w:color="auto"/>
              </w:divBdr>
            </w:div>
            <w:div w:id="1371763586">
              <w:marLeft w:val="0"/>
              <w:marRight w:val="0"/>
              <w:marTop w:val="0"/>
              <w:marBottom w:val="0"/>
              <w:divBdr>
                <w:top w:val="none" w:sz="0" w:space="0" w:color="auto"/>
                <w:left w:val="none" w:sz="0" w:space="0" w:color="auto"/>
                <w:bottom w:val="none" w:sz="0" w:space="0" w:color="auto"/>
                <w:right w:val="none" w:sz="0" w:space="0" w:color="auto"/>
              </w:divBdr>
            </w:div>
            <w:div w:id="1745059509">
              <w:marLeft w:val="0"/>
              <w:marRight w:val="0"/>
              <w:marTop w:val="0"/>
              <w:marBottom w:val="0"/>
              <w:divBdr>
                <w:top w:val="none" w:sz="0" w:space="0" w:color="auto"/>
                <w:left w:val="none" w:sz="0" w:space="0" w:color="auto"/>
                <w:bottom w:val="none" w:sz="0" w:space="0" w:color="auto"/>
                <w:right w:val="none" w:sz="0" w:space="0" w:color="auto"/>
              </w:divBdr>
            </w:div>
            <w:div w:id="176237913">
              <w:marLeft w:val="0"/>
              <w:marRight w:val="0"/>
              <w:marTop w:val="0"/>
              <w:marBottom w:val="0"/>
              <w:divBdr>
                <w:top w:val="none" w:sz="0" w:space="0" w:color="auto"/>
                <w:left w:val="none" w:sz="0" w:space="0" w:color="auto"/>
                <w:bottom w:val="none" w:sz="0" w:space="0" w:color="auto"/>
                <w:right w:val="none" w:sz="0" w:space="0" w:color="auto"/>
              </w:divBdr>
            </w:div>
            <w:div w:id="834683681">
              <w:marLeft w:val="0"/>
              <w:marRight w:val="0"/>
              <w:marTop w:val="0"/>
              <w:marBottom w:val="0"/>
              <w:divBdr>
                <w:top w:val="none" w:sz="0" w:space="0" w:color="auto"/>
                <w:left w:val="none" w:sz="0" w:space="0" w:color="auto"/>
                <w:bottom w:val="none" w:sz="0" w:space="0" w:color="auto"/>
                <w:right w:val="none" w:sz="0" w:space="0" w:color="auto"/>
              </w:divBdr>
            </w:div>
            <w:div w:id="1617056915">
              <w:marLeft w:val="0"/>
              <w:marRight w:val="0"/>
              <w:marTop w:val="0"/>
              <w:marBottom w:val="0"/>
              <w:divBdr>
                <w:top w:val="none" w:sz="0" w:space="0" w:color="auto"/>
                <w:left w:val="none" w:sz="0" w:space="0" w:color="auto"/>
                <w:bottom w:val="none" w:sz="0" w:space="0" w:color="auto"/>
                <w:right w:val="none" w:sz="0" w:space="0" w:color="auto"/>
              </w:divBdr>
            </w:div>
            <w:div w:id="730929952">
              <w:marLeft w:val="0"/>
              <w:marRight w:val="0"/>
              <w:marTop w:val="0"/>
              <w:marBottom w:val="0"/>
              <w:divBdr>
                <w:top w:val="none" w:sz="0" w:space="0" w:color="auto"/>
                <w:left w:val="none" w:sz="0" w:space="0" w:color="auto"/>
                <w:bottom w:val="none" w:sz="0" w:space="0" w:color="auto"/>
                <w:right w:val="none" w:sz="0" w:space="0" w:color="auto"/>
              </w:divBdr>
            </w:div>
            <w:div w:id="1017921858">
              <w:marLeft w:val="0"/>
              <w:marRight w:val="0"/>
              <w:marTop w:val="0"/>
              <w:marBottom w:val="0"/>
              <w:divBdr>
                <w:top w:val="none" w:sz="0" w:space="0" w:color="auto"/>
                <w:left w:val="none" w:sz="0" w:space="0" w:color="auto"/>
                <w:bottom w:val="none" w:sz="0" w:space="0" w:color="auto"/>
                <w:right w:val="none" w:sz="0" w:space="0" w:color="auto"/>
              </w:divBdr>
            </w:div>
            <w:div w:id="369113352">
              <w:marLeft w:val="0"/>
              <w:marRight w:val="0"/>
              <w:marTop w:val="0"/>
              <w:marBottom w:val="0"/>
              <w:divBdr>
                <w:top w:val="none" w:sz="0" w:space="0" w:color="auto"/>
                <w:left w:val="none" w:sz="0" w:space="0" w:color="auto"/>
                <w:bottom w:val="none" w:sz="0" w:space="0" w:color="auto"/>
                <w:right w:val="none" w:sz="0" w:space="0" w:color="auto"/>
              </w:divBdr>
            </w:div>
            <w:div w:id="1881622787">
              <w:marLeft w:val="0"/>
              <w:marRight w:val="0"/>
              <w:marTop w:val="0"/>
              <w:marBottom w:val="0"/>
              <w:divBdr>
                <w:top w:val="none" w:sz="0" w:space="0" w:color="auto"/>
                <w:left w:val="none" w:sz="0" w:space="0" w:color="auto"/>
                <w:bottom w:val="none" w:sz="0" w:space="0" w:color="auto"/>
                <w:right w:val="none" w:sz="0" w:space="0" w:color="auto"/>
              </w:divBdr>
            </w:div>
            <w:div w:id="146744668">
              <w:marLeft w:val="0"/>
              <w:marRight w:val="0"/>
              <w:marTop w:val="0"/>
              <w:marBottom w:val="0"/>
              <w:divBdr>
                <w:top w:val="none" w:sz="0" w:space="0" w:color="auto"/>
                <w:left w:val="none" w:sz="0" w:space="0" w:color="auto"/>
                <w:bottom w:val="none" w:sz="0" w:space="0" w:color="auto"/>
                <w:right w:val="none" w:sz="0" w:space="0" w:color="auto"/>
              </w:divBdr>
            </w:div>
            <w:div w:id="1340618377">
              <w:marLeft w:val="0"/>
              <w:marRight w:val="0"/>
              <w:marTop w:val="0"/>
              <w:marBottom w:val="0"/>
              <w:divBdr>
                <w:top w:val="none" w:sz="0" w:space="0" w:color="auto"/>
                <w:left w:val="none" w:sz="0" w:space="0" w:color="auto"/>
                <w:bottom w:val="none" w:sz="0" w:space="0" w:color="auto"/>
                <w:right w:val="none" w:sz="0" w:space="0" w:color="auto"/>
              </w:divBdr>
            </w:div>
            <w:div w:id="944196233">
              <w:marLeft w:val="0"/>
              <w:marRight w:val="0"/>
              <w:marTop w:val="0"/>
              <w:marBottom w:val="0"/>
              <w:divBdr>
                <w:top w:val="none" w:sz="0" w:space="0" w:color="auto"/>
                <w:left w:val="none" w:sz="0" w:space="0" w:color="auto"/>
                <w:bottom w:val="none" w:sz="0" w:space="0" w:color="auto"/>
                <w:right w:val="none" w:sz="0" w:space="0" w:color="auto"/>
              </w:divBdr>
            </w:div>
            <w:div w:id="106000214">
              <w:marLeft w:val="0"/>
              <w:marRight w:val="0"/>
              <w:marTop w:val="0"/>
              <w:marBottom w:val="0"/>
              <w:divBdr>
                <w:top w:val="none" w:sz="0" w:space="0" w:color="auto"/>
                <w:left w:val="none" w:sz="0" w:space="0" w:color="auto"/>
                <w:bottom w:val="none" w:sz="0" w:space="0" w:color="auto"/>
                <w:right w:val="none" w:sz="0" w:space="0" w:color="auto"/>
              </w:divBdr>
            </w:div>
            <w:div w:id="1478377980">
              <w:marLeft w:val="0"/>
              <w:marRight w:val="0"/>
              <w:marTop w:val="0"/>
              <w:marBottom w:val="0"/>
              <w:divBdr>
                <w:top w:val="none" w:sz="0" w:space="0" w:color="auto"/>
                <w:left w:val="none" w:sz="0" w:space="0" w:color="auto"/>
                <w:bottom w:val="none" w:sz="0" w:space="0" w:color="auto"/>
                <w:right w:val="none" w:sz="0" w:space="0" w:color="auto"/>
              </w:divBdr>
            </w:div>
            <w:div w:id="1840734388">
              <w:marLeft w:val="0"/>
              <w:marRight w:val="0"/>
              <w:marTop w:val="0"/>
              <w:marBottom w:val="0"/>
              <w:divBdr>
                <w:top w:val="none" w:sz="0" w:space="0" w:color="auto"/>
                <w:left w:val="none" w:sz="0" w:space="0" w:color="auto"/>
                <w:bottom w:val="none" w:sz="0" w:space="0" w:color="auto"/>
                <w:right w:val="none" w:sz="0" w:space="0" w:color="auto"/>
              </w:divBdr>
            </w:div>
            <w:div w:id="152337760">
              <w:marLeft w:val="0"/>
              <w:marRight w:val="0"/>
              <w:marTop w:val="0"/>
              <w:marBottom w:val="0"/>
              <w:divBdr>
                <w:top w:val="none" w:sz="0" w:space="0" w:color="auto"/>
                <w:left w:val="none" w:sz="0" w:space="0" w:color="auto"/>
                <w:bottom w:val="none" w:sz="0" w:space="0" w:color="auto"/>
                <w:right w:val="none" w:sz="0" w:space="0" w:color="auto"/>
              </w:divBdr>
            </w:div>
            <w:div w:id="1776444415">
              <w:marLeft w:val="0"/>
              <w:marRight w:val="0"/>
              <w:marTop w:val="0"/>
              <w:marBottom w:val="0"/>
              <w:divBdr>
                <w:top w:val="none" w:sz="0" w:space="0" w:color="auto"/>
                <w:left w:val="none" w:sz="0" w:space="0" w:color="auto"/>
                <w:bottom w:val="none" w:sz="0" w:space="0" w:color="auto"/>
                <w:right w:val="none" w:sz="0" w:space="0" w:color="auto"/>
              </w:divBdr>
            </w:div>
            <w:div w:id="1150177349">
              <w:marLeft w:val="0"/>
              <w:marRight w:val="0"/>
              <w:marTop w:val="0"/>
              <w:marBottom w:val="0"/>
              <w:divBdr>
                <w:top w:val="none" w:sz="0" w:space="0" w:color="auto"/>
                <w:left w:val="none" w:sz="0" w:space="0" w:color="auto"/>
                <w:bottom w:val="none" w:sz="0" w:space="0" w:color="auto"/>
                <w:right w:val="none" w:sz="0" w:space="0" w:color="auto"/>
              </w:divBdr>
            </w:div>
            <w:div w:id="195116641">
              <w:marLeft w:val="0"/>
              <w:marRight w:val="0"/>
              <w:marTop w:val="0"/>
              <w:marBottom w:val="0"/>
              <w:divBdr>
                <w:top w:val="none" w:sz="0" w:space="0" w:color="auto"/>
                <w:left w:val="none" w:sz="0" w:space="0" w:color="auto"/>
                <w:bottom w:val="none" w:sz="0" w:space="0" w:color="auto"/>
                <w:right w:val="none" w:sz="0" w:space="0" w:color="auto"/>
              </w:divBdr>
            </w:div>
            <w:div w:id="398331271">
              <w:marLeft w:val="0"/>
              <w:marRight w:val="0"/>
              <w:marTop w:val="0"/>
              <w:marBottom w:val="0"/>
              <w:divBdr>
                <w:top w:val="none" w:sz="0" w:space="0" w:color="auto"/>
                <w:left w:val="none" w:sz="0" w:space="0" w:color="auto"/>
                <w:bottom w:val="none" w:sz="0" w:space="0" w:color="auto"/>
                <w:right w:val="none" w:sz="0" w:space="0" w:color="auto"/>
              </w:divBdr>
            </w:div>
            <w:div w:id="184680740">
              <w:marLeft w:val="0"/>
              <w:marRight w:val="0"/>
              <w:marTop w:val="0"/>
              <w:marBottom w:val="0"/>
              <w:divBdr>
                <w:top w:val="none" w:sz="0" w:space="0" w:color="auto"/>
                <w:left w:val="none" w:sz="0" w:space="0" w:color="auto"/>
                <w:bottom w:val="none" w:sz="0" w:space="0" w:color="auto"/>
                <w:right w:val="none" w:sz="0" w:space="0" w:color="auto"/>
              </w:divBdr>
            </w:div>
            <w:div w:id="1043017717">
              <w:marLeft w:val="0"/>
              <w:marRight w:val="0"/>
              <w:marTop w:val="0"/>
              <w:marBottom w:val="0"/>
              <w:divBdr>
                <w:top w:val="none" w:sz="0" w:space="0" w:color="auto"/>
                <w:left w:val="none" w:sz="0" w:space="0" w:color="auto"/>
                <w:bottom w:val="none" w:sz="0" w:space="0" w:color="auto"/>
                <w:right w:val="none" w:sz="0" w:space="0" w:color="auto"/>
              </w:divBdr>
            </w:div>
            <w:div w:id="1476095598">
              <w:marLeft w:val="0"/>
              <w:marRight w:val="0"/>
              <w:marTop w:val="0"/>
              <w:marBottom w:val="0"/>
              <w:divBdr>
                <w:top w:val="none" w:sz="0" w:space="0" w:color="auto"/>
                <w:left w:val="none" w:sz="0" w:space="0" w:color="auto"/>
                <w:bottom w:val="none" w:sz="0" w:space="0" w:color="auto"/>
                <w:right w:val="none" w:sz="0" w:space="0" w:color="auto"/>
              </w:divBdr>
            </w:div>
            <w:div w:id="247692853">
              <w:marLeft w:val="0"/>
              <w:marRight w:val="0"/>
              <w:marTop w:val="0"/>
              <w:marBottom w:val="0"/>
              <w:divBdr>
                <w:top w:val="none" w:sz="0" w:space="0" w:color="auto"/>
                <w:left w:val="none" w:sz="0" w:space="0" w:color="auto"/>
                <w:bottom w:val="none" w:sz="0" w:space="0" w:color="auto"/>
                <w:right w:val="none" w:sz="0" w:space="0" w:color="auto"/>
              </w:divBdr>
            </w:div>
            <w:div w:id="1994211390">
              <w:marLeft w:val="0"/>
              <w:marRight w:val="0"/>
              <w:marTop w:val="0"/>
              <w:marBottom w:val="0"/>
              <w:divBdr>
                <w:top w:val="none" w:sz="0" w:space="0" w:color="auto"/>
                <w:left w:val="none" w:sz="0" w:space="0" w:color="auto"/>
                <w:bottom w:val="none" w:sz="0" w:space="0" w:color="auto"/>
                <w:right w:val="none" w:sz="0" w:space="0" w:color="auto"/>
              </w:divBdr>
            </w:div>
            <w:div w:id="506751863">
              <w:marLeft w:val="0"/>
              <w:marRight w:val="0"/>
              <w:marTop w:val="0"/>
              <w:marBottom w:val="0"/>
              <w:divBdr>
                <w:top w:val="none" w:sz="0" w:space="0" w:color="auto"/>
                <w:left w:val="none" w:sz="0" w:space="0" w:color="auto"/>
                <w:bottom w:val="none" w:sz="0" w:space="0" w:color="auto"/>
                <w:right w:val="none" w:sz="0" w:space="0" w:color="auto"/>
              </w:divBdr>
            </w:div>
            <w:div w:id="1425150215">
              <w:marLeft w:val="0"/>
              <w:marRight w:val="0"/>
              <w:marTop w:val="0"/>
              <w:marBottom w:val="0"/>
              <w:divBdr>
                <w:top w:val="none" w:sz="0" w:space="0" w:color="auto"/>
                <w:left w:val="none" w:sz="0" w:space="0" w:color="auto"/>
                <w:bottom w:val="none" w:sz="0" w:space="0" w:color="auto"/>
                <w:right w:val="none" w:sz="0" w:space="0" w:color="auto"/>
              </w:divBdr>
            </w:div>
            <w:div w:id="1160266340">
              <w:marLeft w:val="0"/>
              <w:marRight w:val="0"/>
              <w:marTop w:val="0"/>
              <w:marBottom w:val="0"/>
              <w:divBdr>
                <w:top w:val="none" w:sz="0" w:space="0" w:color="auto"/>
                <w:left w:val="none" w:sz="0" w:space="0" w:color="auto"/>
                <w:bottom w:val="none" w:sz="0" w:space="0" w:color="auto"/>
                <w:right w:val="none" w:sz="0" w:space="0" w:color="auto"/>
              </w:divBdr>
            </w:div>
            <w:div w:id="2127833">
              <w:marLeft w:val="0"/>
              <w:marRight w:val="0"/>
              <w:marTop w:val="0"/>
              <w:marBottom w:val="0"/>
              <w:divBdr>
                <w:top w:val="none" w:sz="0" w:space="0" w:color="auto"/>
                <w:left w:val="none" w:sz="0" w:space="0" w:color="auto"/>
                <w:bottom w:val="none" w:sz="0" w:space="0" w:color="auto"/>
                <w:right w:val="none" w:sz="0" w:space="0" w:color="auto"/>
              </w:divBdr>
            </w:div>
            <w:div w:id="1644776032">
              <w:marLeft w:val="0"/>
              <w:marRight w:val="0"/>
              <w:marTop w:val="0"/>
              <w:marBottom w:val="0"/>
              <w:divBdr>
                <w:top w:val="none" w:sz="0" w:space="0" w:color="auto"/>
                <w:left w:val="none" w:sz="0" w:space="0" w:color="auto"/>
                <w:bottom w:val="none" w:sz="0" w:space="0" w:color="auto"/>
                <w:right w:val="none" w:sz="0" w:space="0" w:color="auto"/>
              </w:divBdr>
            </w:div>
            <w:div w:id="1638072838">
              <w:marLeft w:val="0"/>
              <w:marRight w:val="0"/>
              <w:marTop w:val="0"/>
              <w:marBottom w:val="0"/>
              <w:divBdr>
                <w:top w:val="none" w:sz="0" w:space="0" w:color="auto"/>
                <w:left w:val="none" w:sz="0" w:space="0" w:color="auto"/>
                <w:bottom w:val="none" w:sz="0" w:space="0" w:color="auto"/>
                <w:right w:val="none" w:sz="0" w:space="0" w:color="auto"/>
              </w:divBdr>
            </w:div>
            <w:div w:id="362052133">
              <w:marLeft w:val="0"/>
              <w:marRight w:val="0"/>
              <w:marTop w:val="0"/>
              <w:marBottom w:val="0"/>
              <w:divBdr>
                <w:top w:val="none" w:sz="0" w:space="0" w:color="auto"/>
                <w:left w:val="none" w:sz="0" w:space="0" w:color="auto"/>
                <w:bottom w:val="none" w:sz="0" w:space="0" w:color="auto"/>
                <w:right w:val="none" w:sz="0" w:space="0" w:color="auto"/>
              </w:divBdr>
            </w:div>
            <w:div w:id="274337001">
              <w:marLeft w:val="0"/>
              <w:marRight w:val="0"/>
              <w:marTop w:val="0"/>
              <w:marBottom w:val="0"/>
              <w:divBdr>
                <w:top w:val="none" w:sz="0" w:space="0" w:color="auto"/>
                <w:left w:val="none" w:sz="0" w:space="0" w:color="auto"/>
                <w:bottom w:val="none" w:sz="0" w:space="0" w:color="auto"/>
                <w:right w:val="none" w:sz="0" w:space="0" w:color="auto"/>
              </w:divBdr>
            </w:div>
            <w:div w:id="1517814992">
              <w:marLeft w:val="0"/>
              <w:marRight w:val="0"/>
              <w:marTop w:val="0"/>
              <w:marBottom w:val="0"/>
              <w:divBdr>
                <w:top w:val="none" w:sz="0" w:space="0" w:color="auto"/>
                <w:left w:val="none" w:sz="0" w:space="0" w:color="auto"/>
                <w:bottom w:val="none" w:sz="0" w:space="0" w:color="auto"/>
                <w:right w:val="none" w:sz="0" w:space="0" w:color="auto"/>
              </w:divBdr>
            </w:div>
            <w:div w:id="579367153">
              <w:marLeft w:val="0"/>
              <w:marRight w:val="0"/>
              <w:marTop w:val="0"/>
              <w:marBottom w:val="0"/>
              <w:divBdr>
                <w:top w:val="none" w:sz="0" w:space="0" w:color="auto"/>
                <w:left w:val="none" w:sz="0" w:space="0" w:color="auto"/>
                <w:bottom w:val="none" w:sz="0" w:space="0" w:color="auto"/>
                <w:right w:val="none" w:sz="0" w:space="0" w:color="auto"/>
              </w:divBdr>
            </w:div>
            <w:div w:id="1952736503">
              <w:marLeft w:val="0"/>
              <w:marRight w:val="0"/>
              <w:marTop w:val="0"/>
              <w:marBottom w:val="0"/>
              <w:divBdr>
                <w:top w:val="none" w:sz="0" w:space="0" w:color="auto"/>
                <w:left w:val="none" w:sz="0" w:space="0" w:color="auto"/>
                <w:bottom w:val="none" w:sz="0" w:space="0" w:color="auto"/>
                <w:right w:val="none" w:sz="0" w:space="0" w:color="auto"/>
              </w:divBdr>
            </w:div>
            <w:div w:id="140509339">
              <w:marLeft w:val="0"/>
              <w:marRight w:val="0"/>
              <w:marTop w:val="0"/>
              <w:marBottom w:val="0"/>
              <w:divBdr>
                <w:top w:val="none" w:sz="0" w:space="0" w:color="auto"/>
                <w:left w:val="none" w:sz="0" w:space="0" w:color="auto"/>
                <w:bottom w:val="none" w:sz="0" w:space="0" w:color="auto"/>
                <w:right w:val="none" w:sz="0" w:space="0" w:color="auto"/>
              </w:divBdr>
            </w:div>
            <w:div w:id="1181355170">
              <w:marLeft w:val="0"/>
              <w:marRight w:val="0"/>
              <w:marTop w:val="0"/>
              <w:marBottom w:val="0"/>
              <w:divBdr>
                <w:top w:val="none" w:sz="0" w:space="0" w:color="auto"/>
                <w:left w:val="none" w:sz="0" w:space="0" w:color="auto"/>
                <w:bottom w:val="none" w:sz="0" w:space="0" w:color="auto"/>
                <w:right w:val="none" w:sz="0" w:space="0" w:color="auto"/>
              </w:divBdr>
            </w:div>
            <w:div w:id="1059675001">
              <w:marLeft w:val="0"/>
              <w:marRight w:val="0"/>
              <w:marTop w:val="0"/>
              <w:marBottom w:val="0"/>
              <w:divBdr>
                <w:top w:val="none" w:sz="0" w:space="0" w:color="auto"/>
                <w:left w:val="none" w:sz="0" w:space="0" w:color="auto"/>
                <w:bottom w:val="none" w:sz="0" w:space="0" w:color="auto"/>
                <w:right w:val="none" w:sz="0" w:space="0" w:color="auto"/>
              </w:divBdr>
            </w:div>
            <w:div w:id="1387222436">
              <w:marLeft w:val="0"/>
              <w:marRight w:val="0"/>
              <w:marTop w:val="0"/>
              <w:marBottom w:val="0"/>
              <w:divBdr>
                <w:top w:val="none" w:sz="0" w:space="0" w:color="auto"/>
                <w:left w:val="none" w:sz="0" w:space="0" w:color="auto"/>
                <w:bottom w:val="none" w:sz="0" w:space="0" w:color="auto"/>
                <w:right w:val="none" w:sz="0" w:space="0" w:color="auto"/>
              </w:divBdr>
            </w:div>
            <w:div w:id="285814773">
              <w:marLeft w:val="0"/>
              <w:marRight w:val="0"/>
              <w:marTop w:val="0"/>
              <w:marBottom w:val="0"/>
              <w:divBdr>
                <w:top w:val="none" w:sz="0" w:space="0" w:color="auto"/>
                <w:left w:val="none" w:sz="0" w:space="0" w:color="auto"/>
                <w:bottom w:val="none" w:sz="0" w:space="0" w:color="auto"/>
                <w:right w:val="none" w:sz="0" w:space="0" w:color="auto"/>
              </w:divBdr>
            </w:div>
            <w:div w:id="1676759176">
              <w:marLeft w:val="0"/>
              <w:marRight w:val="0"/>
              <w:marTop w:val="0"/>
              <w:marBottom w:val="0"/>
              <w:divBdr>
                <w:top w:val="none" w:sz="0" w:space="0" w:color="auto"/>
                <w:left w:val="none" w:sz="0" w:space="0" w:color="auto"/>
                <w:bottom w:val="none" w:sz="0" w:space="0" w:color="auto"/>
                <w:right w:val="none" w:sz="0" w:space="0" w:color="auto"/>
              </w:divBdr>
            </w:div>
            <w:div w:id="315184347">
              <w:marLeft w:val="0"/>
              <w:marRight w:val="0"/>
              <w:marTop w:val="0"/>
              <w:marBottom w:val="0"/>
              <w:divBdr>
                <w:top w:val="none" w:sz="0" w:space="0" w:color="auto"/>
                <w:left w:val="none" w:sz="0" w:space="0" w:color="auto"/>
                <w:bottom w:val="none" w:sz="0" w:space="0" w:color="auto"/>
                <w:right w:val="none" w:sz="0" w:space="0" w:color="auto"/>
              </w:divBdr>
            </w:div>
            <w:div w:id="140931120">
              <w:marLeft w:val="0"/>
              <w:marRight w:val="0"/>
              <w:marTop w:val="0"/>
              <w:marBottom w:val="0"/>
              <w:divBdr>
                <w:top w:val="none" w:sz="0" w:space="0" w:color="auto"/>
                <w:left w:val="none" w:sz="0" w:space="0" w:color="auto"/>
                <w:bottom w:val="none" w:sz="0" w:space="0" w:color="auto"/>
                <w:right w:val="none" w:sz="0" w:space="0" w:color="auto"/>
              </w:divBdr>
            </w:div>
            <w:div w:id="136074426">
              <w:marLeft w:val="0"/>
              <w:marRight w:val="0"/>
              <w:marTop w:val="0"/>
              <w:marBottom w:val="0"/>
              <w:divBdr>
                <w:top w:val="none" w:sz="0" w:space="0" w:color="auto"/>
                <w:left w:val="none" w:sz="0" w:space="0" w:color="auto"/>
                <w:bottom w:val="none" w:sz="0" w:space="0" w:color="auto"/>
                <w:right w:val="none" w:sz="0" w:space="0" w:color="auto"/>
              </w:divBdr>
            </w:div>
            <w:div w:id="1953395058">
              <w:marLeft w:val="0"/>
              <w:marRight w:val="0"/>
              <w:marTop w:val="0"/>
              <w:marBottom w:val="0"/>
              <w:divBdr>
                <w:top w:val="none" w:sz="0" w:space="0" w:color="auto"/>
                <w:left w:val="none" w:sz="0" w:space="0" w:color="auto"/>
                <w:bottom w:val="none" w:sz="0" w:space="0" w:color="auto"/>
                <w:right w:val="none" w:sz="0" w:space="0" w:color="auto"/>
              </w:divBdr>
            </w:div>
            <w:div w:id="1295409600">
              <w:marLeft w:val="0"/>
              <w:marRight w:val="0"/>
              <w:marTop w:val="0"/>
              <w:marBottom w:val="0"/>
              <w:divBdr>
                <w:top w:val="none" w:sz="0" w:space="0" w:color="auto"/>
                <w:left w:val="none" w:sz="0" w:space="0" w:color="auto"/>
                <w:bottom w:val="none" w:sz="0" w:space="0" w:color="auto"/>
                <w:right w:val="none" w:sz="0" w:space="0" w:color="auto"/>
              </w:divBdr>
            </w:div>
            <w:div w:id="784927405">
              <w:marLeft w:val="0"/>
              <w:marRight w:val="0"/>
              <w:marTop w:val="0"/>
              <w:marBottom w:val="0"/>
              <w:divBdr>
                <w:top w:val="none" w:sz="0" w:space="0" w:color="auto"/>
                <w:left w:val="none" w:sz="0" w:space="0" w:color="auto"/>
                <w:bottom w:val="none" w:sz="0" w:space="0" w:color="auto"/>
                <w:right w:val="none" w:sz="0" w:space="0" w:color="auto"/>
              </w:divBdr>
            </w:div>
            <w:div w:id="486241564">
              <w:marLeft w:val="0"/>
              <w:marRight w:val="0"/>
              <w:marTop w:val="0"/>
              <w:marBottom w:val="0"/>
              <w:divBdr>
                <w:top w:val="none" w:sz="0" w:space="0" w:color="auto"/>
                <w:left w:val="none" w:sz="0" w:space="0" w:color="auto"/>
                <w:bottom w:val="none" w:sz="0" w:space="0" w:color="auto"/>
                <w:right w:val="none" w:sz="0" w:space="0" w:color="auto"/>
              </w:divBdr>
            </w:div>
            <w:div w:id="1534421721">
              <w:marLeft w:val="0"/>
              <w:marRight w:val="0"/>
              <w:marTop w:val="0"/>
              <w:marBottom w:val="0"/>
              <w:divBdr>
                <w:top w:val="none" w:sz="0" w:space="0" w:color="auto"/>
                <w:left w:val="none" w:sz="0" w:space="0" w:color="auto"/>
                <w:bottom w:val="none" w:sz="0" w:space="0" w:color="auto"/>
                <w:right w:val="none" w:sz="0" w:space="0" w:color="auto"/>
              </w:divBdr>
            </w:div>
            <w:div w:id="1072318059">
              <w:marLeft w:val="0"/>
              <w:marRight w:val="0"/>
              <w:marTop w:val="0"/>
              <w:marBottom w:val="0"/>
              <w:divBdr>
                <w:top w:val="none" w:sz="0" w:space="0" w:color="auto"/>
                <w:left w:val="none" w:sz="0" w:space="0" w:color="auto"/>
                <w:bottom w:val="none" w:sz="0" w:space="0" w:color="auto"/>
                <w:right w:val="none" w:sz="0" w:space="0" w:color="auto"/>
              </w:divBdr>
            </w:div>
            <w:div w:id="169293192">
              <w:marLeft w:val="0"/>
              <w:marRight w:val="0"/>
              <w:marTop w:val="0"/>
              <w:marBottom w:val="0"/>
              <w:divBdr>
                <w:top w:val="none" w:sz="0" w:space="0" w:color="auto"/>
                <w:left w:val="none" w:sz="0" w:space="0" w:color="auto"/>
                <w:bottom w:val="none" w:sz="0" w:space="0" w:color="auto"/>
                <w:right w:val="none" w:sz="0" w:space="0" w:color="auto"/>
              </w:divBdr>
            </w:div>
            <w:div w:id="762648641">
              <w:marLeft w:val="0"/>
              <w:marRight w:val="0"/>
              <w:marTop w:val="0"/>
              <w:marBottom w:val="0"/>
              <w:divBdr>
                <w:top w:val="none" w:sz="0" w:space="0" w:color="auto"/>
                <w:left w:val="none" w:sz="0" w:space="0" w:color="auto"/>
                <w:bottom w:val="none" w:sz="0" w:space="0" w:color="auto"/>
                <w:right w:val="none" w:sz="0" w:space="0" w:color="auto"/>
              </w:divBdr>
            </w:div>
            <w:div w:id="2052798894">
              <w:marLeft w:val="0"/>
              <w:marRight w:val="0"/>
              <w:marTop w:val="0"/>
              <w:marBottom w:val="0"/>
              <w:divBdr>
                <w:top w:val="none" w:sz="0" w:space="0" w:color="auto"/>
                <w:left w:val="none" w:sz="0" w:space="0" w:color="auto"/>
                <w:bottom w:val="none" w:sz="0" w:space="0" w:color="auto"/>
                <w:right w:val="none" w:sz="0" w:space="0" w:color="auto"/>
              </w:divBdr>
            </w:div>
            <w:div w:id="1682514855">
              <w:marLeft w:val="0"/>
              <w:marRight w:val="0"/>
              <w:marTop w:val="0"/>
              <w:marBottom w:val="0"/>
              <w:divBdr>
                <w:top w:val="none" w:sz="0" w:space="0" w:color="auto"/>
                <w:left w:val="none" w:sz="0" w:space="0" w:color="auto"/>
                <w:bottom w:val="none" w:sz="0" w:space="0" w:color="auto"/>
                <w:right w:val="none" w:sz="0" w:space="0" w:color="auto"/>
              </w:divBdr>
            </w:div>
            <w:div w:id="1545679135">
              <w:marLeft w:val="0"/>
              <w:marRight w:val="0"/>
              <w:marTop w:val="0"/>
              <w:marBottom w:val="0"/>
              <w:divBdr>
                <w:top w:val="none" w:sz="0" w:space="0" w:color="auto"/>
                <w:left w:val="none" w:sz="0" w:space="0" w:color="auto"/>
                <w:bottom w:val="none" w:sz="0" w:space="0" w:color="auto"/>
                <w:right w:val="none" w:sz="0" w:space="0" w:color="auto"/>
              </w:divBdr>
            </w:div>
            <w:div w:id="91904459">
              <w:marLeft w:val="0"/>
              <w:marRight w:val="0"/>
              <w:marTop w:val="0"/>
              <w:marBottom w:val="0"/>
              <w:divBdr>
                <w:top w:val="none" w:sz="0" w:space="0" w:color="auto"/>
                <w:left w:val="none" w:sz="0" w:space="0" w:color="auto"/>
                <w:bottom w:val="none" w:sz="0" w:space="0" w:color="auto"/>
                <w:right w:val="none" w:sz="0" w:space="0" w:color="auto"/>
              </w:divBdr>
            </w:div>
            <w:div w:id="1878394548">
              <w:marLeft w:val="0"/>
              <w:marRight w:val="0"/>
              <w:marTop w:val="0"/>
              <w:marBottom w:val="0"/>
              <w:divBdr>
                <w:top w:val="none" w:sz="0" w:space="0" w:color="auto"/>
                <w:left w:val="none" w:sz="0" w:space="0" w:color="auto"/>
                <w:bottom w:val="none" w:sz="0" w:space="0" w:color="auto"/>
                <w:right w:val="none" w:sz="0" w:space="0" w:color="auto"/>
              </w:divBdr>
            </w:div>
            <w:div w:id="701366790">
              <w:marLeft w:val="0"/>
              <w:marRight w:val="0"/>
              <w:marTop w:val="0"/>
              <w:marBottom w:val="0"/>
              <w:divBdr>
                <w:top w:val="none" w:sz="0" w:space="0" w:color="auto"/>
                <w:left w:val="none" w:sz="0" w:space="0" w:color="auto"/>
                <w:bottom w:val="none" w:sz="0" w:space="0" w:color="auto"/>
                <w:right w:val="none" w:sz="0" w:space="0" w:color="auto"/>
              </w:divBdr>
            </w:div>
            <w:div w:id="597637101">
              <w:marLeft w:val="0"/>
              <w:marRight w:val="0"/>
              <w:marTop w:val="0"/>
              <w:marBottom w:val="0"/>
              <w:divBdr>
                <w:top w:val="none" w:sz="0" w:space="0" w:color="auto"/>
                <w:left w:val="none" w:sz="0" w:space="0" w:color="auto"/>
                <w:bottom w:val="none" w:sz="0" w:space="0" w:color="auto"/>
                <w:right w:val="none" w:sz="0" w:space="0" w:color="auto"/>
              </w:divBdr>
            </w:div>
            <w:div w:id="415319768">
              <w:marLeft w:val="0"/>
              <w:marRight w:val="0"/>
              <w:marTop w:val="0"/>
              <w:marBottom w:val="0"/>
              <w:divBdr>
                <w:top w:val="none" w:sz="0" w:space="0" w:color="auto"/>
                <w:left w:val="none" w:sz="0" w:space="0" w:color="auto"/>
                <w:bottom w:val="none" w:sz="0" w:space="0" w:color="auto"/>
                <w:right w:val="none" w:sz="0" w:space="0" w:color="auto"/>
              </w:divBdr>
            </w:div>
            <w:div w:id="1783525654">
              <w:marLeft w:val="0"/>
              <w:marRight w:val="0"/>
              <w:marTop w:val="0"/>
              <w:marBottom w:val="0"/>
              <w:divBdr>
                <w:top w:val="none" w:sz="0" w:space="0" w:color="auto"/>
                <w:left w:val="none" w:sz="0" w:space="0" w:color="auto"/>
                <w:bottom w:val="none" w:sz="0" w:space="0" w:color="auto"/>
                <w:right w:val="none" w:sz="0" w:space="0" w:color="auto"/>
              </w:divBdr>
            </w:div>
            <w:div w:id="280116289">
              <w:marLeft w:val="0"/>
              <w:marRight w:val="0"/>
              <w:marTop w:val="0"/>
              <w:marBottom w:val="0"/>
              <w:divBdr>
                <w:top w:val="none" w:sz="0" w:space="0" w:color="auto"/>
                <w:left w:val="none" w:sz="0" w:space="0" w:color="auto"/>
                <w:bottom w:val="none" w:sz="0" w:space="0" w:color="auto"/>
                <w:right w:val="none" w:sz="0" w:space="0" w:color="auto"/>
              </w:divBdr>
            </w:div>
            <w:div w:id="562911150">
              <w:marLeft w:val="0"/>
              <w:marRight w:val="0"/>
              <w:marTop w:val="0"/>
              <w:marBottom w:val="0"/>
              <w:divBdr>
                <w:top w:val="none" w:sz="0" w:space="0" w:color="auto"/>
                <w:left w:val="none" w:sz="0" w:space="0" w:color="auto"/>
                <w:bottom w:val="none" w:sz="0" w:space="0" w:color="auto"/>
                <w:right w:val="none" w:sz="0" w:space="0" w:color="auto"/>
              </w:divBdr>
            </w:div>
            <w:div w:id="1543207911">
              <w:marLeft w:val="0"/>
              <w:marRight w:val="0"/>
              <w:marTop w:val="0"/>
              <w:marBottom w:val="0"/>
              <w:divBdr>
                <w:top w:val="none" w:sz="0" w:space="0" w:color="auto"/>
                <w:left w:val="none" w:sz="0" w:space="0" w:color="auto"/>
                <w:bottom w:val="none" w:sz="0" w:space="0" w:color="auto"/>
                <w:right w:val="none" w:sz="0" w:space="0" w:color="auto"/>
              </w:divBdr>
            </w:div>
            <w:div w:id="14308744">
              <w:marLeft w:val="0"/>
              <w:marRight w:val="0"/>
              <w:marTop w:val="0"/>
              <w:marBottom w:val="0"/>
              <w:divBdr>
                <w:top w:val="none" w:sz="0" w:space="0" w:color="auto"/>
                <w:left w:val="none" w:sz="0" w:space="0" w:color="auto"/>
                <w:bottom w:val="none" w:sz="0" w:space="0" w:color="auto"/>
                <w:right w:val="none" w:sz="0" w:space="0" w:color="auto"/>
              </w:divBdr>
            </w:div>
            <w:div w:id="1864317341">
              <w:marLeft w:val="0"/>
              <w:marRight w:val="0"/>
              <w:marTop w:val="0"/>
              <w:marBottom w:val="0"/>
              <w:divBdr>
                <w:top w:val="none" w:sz="0" w:space="0" w:color="auto"/>
                <w:left w:val="none" w:sz="0" w:space="0" w:color="auto"/>
                <w:bottom w:val="none" w:sz="0" w:space="0" w:color="auto"/>
                <w:right w:val="none" w:sz="0" w:space="0" w:color="auto"/>
              </w:divBdr>
            </w:div>
            <w:div w:id="1209151558">
              <w:marLeft w:val="0"/>
              <w:marRight w:val="0"/>
              <w:marTop w:val="0"/>
              <w:marBottom w:val="0"/>
              <w:divBdr>
                <w:top w:val="none" w:sz="0" w:space="0" w:color="auto"/>
                <w:left w:val="none" w:sz="0" w:space="0" w:color="auto"/>
                <w:bottom w:val="none" w:sz="0" w:space="0" w:color="auto"/>
                <w:right w:val="none" w:sz="0" w:space="0" w:color="auto"/>
              </w:divBdr>
            </w:div>
            <w:div w:id="270092179">
              <w:marLeft w:val="0"/>
              <w:marRight w:val="0"/>
              <w:marTop w:val="0"/>
              <w:marBottom w:val="0"/>
              <w:divBdr>
                <w:top w:val="none" w:sz="0" w:space="0" w:color="auto"/>
                <w:left w:val="none" w:sz="0" w:space="0" w:color="auto"/>
                <w:bottom w:val="none" w:sz="0" w:space="0" w:color="auto"/>
                <w:right w:val="none" w:sz="0" w:space="0" w:color="auto"/>
              </w:divBdr>
            </w:div>
            <w:div w:id="1738086170">
              <w:marLeft w:val="0"/>
              <w:marRight w:val="0"/>
              <w:marTop w:val="0"/>
              <w:marBottom w:val="0"/>
              <w:divBdr>
                <w:top w:val="none" w:sz="0" w:space="0" w:color="auto"/>
                <w:left w:val="none" w:sz="0" w:space="0" w:color="auto"/>
                <w:bottom w:val="none" w:sz="0" w:space="0" w:color="auto"/>
                <w:right w:val="none" w:sz="0" w:space="0" w:color="auto"/>
              </w:divBdr>
            </w:div>
            <w:div w:id="1074283786">
              <w:marLeft w:val="0"/>
              <w:marRight w:val="0"/>
              <w:marTop w:val="0"/>
              <w:marBottom w:val="0"/>
              <w:divBdr>
                <w:top w:val="none" w:sz="0" w:space="0" w:color="auto"/>
                <w:left w:val="none" w:sz="0" w:space="0" w:color="auto"/>
                <w:bottom w:val="none" w:sz="0" w:space="0" w:color="auto"/>
                <w:right w:val="none" w:sz="0" w:space="0" w:color="auto"/>
              </w:divBdr>
            </w:div>
            <w:div w:id="963078674">
              <w:marLeft w:val="0"/>
              <w:marRight w:val="0"/>
              <w:marTop w:val="0"/>
              <w:marBottom w:val="0"/>
              <w:divBdr>
                <w:top w:val="none" w:sz="0" w:space="0" w:color="auto"/>
                <w:left w:val="none" w:sz="0" w:space="0" w:color="auto"/>
                <w:bottom w:val="none" w:sz="0" w:space="0" w:color="auto"/>
                <w:right w:val="none" w:sz="0" w:space="0" w:color="auto"/>
              </w:divBdr>
            </w:div>
            <w:div w:id="1657415496">
              <w:marLeft w:val="0"/>
              <w:marRight w:val="0"/>
              <w:marTop w:val="0"/>
              <w:marBottom w:val="0"/>
              <w:divBdr>
                <w:top w:val="none" w:sz="0" w:space="0" w:color="auto"/>
                <w:left w:val="none" w:sz="0" w:space="0" w:color="auto"/>
                <w:bottom w:val="none" w:sz="0" w:space="0" w:color="auto"/>
                <w:right w:val="none" w:sz="0" w:space="0" w:color="auto"/>
              </w:divBdr>
            </w:div>
            <w:div w:id="469513">
              <w:marLeft w:val="0"/>
              <w:marRight w:val="0"/>
              <w:marTop w:val="0"/>
              <w:marBottom w:val="0"/>
              <w:divBdr>
                <w:top w:val="none" w:sz="0" w:space="0" w:color="auto"/>
                <w:left w:val="none" w:sz="0" w:space="0" w:color="auto"/>
                <w:bottom w:val="none" w:sz="0" w:space="0" w:color="auto"/>
                <w:right w:val="none" w:sz="0" w:space="0" w:color="auto"/>
              </w:divBdr>
            </w:div>
            <w:div w:id="638195612">
              <w:marLeft w:val="0"/>
              <w:marRight w:val="0"/>
              <w:marTop w:val="0"/>
              <w:marBottom w:val="0"/>
              <w:divBdr>
                <w:top w:val="none" w:sz="0" w:space="0" w:color="auto"/>
                <w:left w:val="none" w:sz="0" w:space="0" w:color="auto"/>
                <w:bottom w:val="none" w:sz="0" w:space="0" w:color="auto"/>
                <w:right w:val="none" w:sz="0" w:space="0" w:color="auto"/>
              </w:divBdr>
            </w:div>
            <w:div w:id="974487190">
              <w:marLeft w:val="0"/>
              <w:marRight w:val="0"/>
              <w:marTop w:val="0"/>
              <w:marBottom w:val="0"/>
              <w:divBdr>
                <w:top w:val="none" w:sz="0" w:space="0" w:color="auto"/>
                <w:left w:val="none" w:sz="0" w:space="0" w:color="auto"/>
                <w:bottom w:val="none" w:sz="0" w:space="0" w:color="auto"/>
                <w:right w:val="none" w:sz="0" w:space="0" w:color="auto"/>
              </w:divBdr>
            </w:div>
            <w:div w:id="1783645616">
              <w:marLeft w:val="0"/>
              <w:marRight w:val="0"/>
              <w:marTop w:val="0"/>
              <w:marBottom w:val="0"/>
              <w:divBdr>
                <w:top w:val="none" w:sz="0" w:space="0" w:color="auto"/>
                <w:left w:val="none" w:sz="0" w:space="0" w:color="auto"/>
                <w:bottom w:val="none" w:sz="0" w:space="0" w:color="auto"/>
                <w:right w:val="none" w:sz="0" w:space="0" w:color="auto"/>
              </w:divBdr>
            </w:div>
            <w:div w:id="306905845">
              <w:marLeft w:val="0"/>
              <w:marRight w:val="0"/>
              <w:marTop w:val="0"/>
              <w:marBottom w:val="0"/>
              <w:divBdr>
                <w:top w:val="none" w:sz="0" w:space="0" w:color="auto"/>
                <w:left w:val="none" w:sz="0" w:space="0" w:color="auto"/>
                <w:bottom w:val="none" w:sz="0" w:space="0" w:color="auto"/>
                <w:right w:val="none" w:sz="0" w:space="0" w:color="auto"/>
              </w:divBdr>
            </w:div>
            <w:div w:id="209996373">
              <w:marLeft w:val="0"/>
              <w:marRight w:val="0"/>
              <w:marTop w:val="0"/>
              <w:marBottom w:val="0"/>
              <w:divBdr>
                <w:top w:val="none" w:sz="0" w:space="0" w:color="auto"/>
                <w:left w:val="none" w:sz="0" w:space="0" w:color="auto"/>
                <w:bottom w:val="none" w:sz="0" w:space="0" w:color="auto"/>
                <w:right w:val="none" w:sz="0" w:space="0" w:color="auto"/>
              </w:divBdr>
            </w:div>
            <w:div w:id="850071812">
              <w:marLeft w:val="0"/>
              <w:marRight w:val="0"/>
              <w:marTop w:val="0"/>
              <w:marBottom w:val="0"/>
              <w:divBdr>
                <w:top w:val="none" w:sz="0" w:space="0" w:color="auto"/>
                <w:left w:val="none" w:sz="0" w:space="0" w:color="auto"/>
                <w:bottom w:val="none" w:sz="0" w:space="0" w:color="auto"/>
                <w:right w:val="none" w:sz="0" w:space="0" w:color="auto"/>
              </w:divBdr>
            </w:div>
            <w:div w:id="1414475693">
              <w:marLeft w:val="0"/>
              <w:marRight w:val="0"/>
              <w:marTop w:val="0"/>
              <w:marBottom w:val="0"/>
              <w:divBdr>
                <w:top w:val="none" w:sz="0" w:space="0" w:color="auto"/>
                <w:left w:val="none" w:sz="0" w:space="0" w:color="auto"/>
                <w:bottom w:val="none" w:sz="0" w:space="0" w:color="auto"/>
                <w:right w:val="none" w:sz="0" w:space="0" w:color="auto"/>
              </w:divBdr>
            </w:div>
            <w:div w:id="77332793">
              <w:marLeft w:val="0"/>
              <w:marRight w:val="0"/>
              <w:marTop w:val="0"/>
              <w:marBottom w:val="0"/>
              <w:divBdr>
                <w:top w:val="none" w:sz="0" w:space="0" w:color="auto"/>
                <w:left w:val="none" w:sz="0" w:space="0" w:color="auto"/>
                <w:bottom w:val="none" w:sz="0" w:space="0" w:color="auto"/>
                <w:right w:val="none" w:sz="0" w:space="0" w:color="auto"/>
              </w:divBdr>
            </w:div>
            <w:div w:id="1617636637">
              <w:marLeft w:val="0"/>
              <w:marRight w:val="0"/>
              <w:marTop w:val="0"/>
              <w:marBottom w:val="0"/>
              <w:divBdr>
                <w:top w:val="none" w:sz="0" w:space="0" w:color="auto"/>
                <w:left w:val="none" w:sz="0" w:space="0" w:color="auto"/>
                <w:bottom w:val="none" w:sz="0" w:space="0" w:color="auto"/>
                <w:right w:val="none" w:sz="0" w:space="0" w:color="auto"/>
              </w:divBdr>
            </w:div>
            <w:div w:id="953098393">
              <w:marLeft w:val="0"/>
              <w:marRight w:val="0"/>
              <w:marTop w:val="0"/>
              <w:marBottom w:val="0"/>
              <w:divBdr>
                <w:top w:val="none" w:sz="0" w:space="0" w:color="auto"/>
                <w:left w:val="none" w:sz="0" w:space="0" w:color="auto"/>
                <w:bottom w:val="none" w:sz="0" w:space="0" w:color="auto"/>
                <w:right w:val="none" w:sz="0" w:space="0" w:color="auto"/>
              </w:divBdr>
            </w:div>
            <w:div w:id="448012461">
              <w:marLeft w:val="0"/>
              <w:marRight w:val="0"/>
              <w:marTop w:val="0"/>
              <w:marBottom w:val="0"/>
              <w:divBdr>
                <w:top w:val="none" w:sz="0" w:space="0" w:color="auto"/>
                <w:left w:val="none" w:sz="0" w:space="0" w:color="auto"/>
                <w:bottom w:val="none" w:sz="0" w:space="0" w:color="auto"/>
                <w:right w:val="none" w:sz="0" w:space="0" w:color="auto"/>
              </w:divBdr>
            </w:div>
            <w:div w:id="802499459">
              <w:marLeft w:val="0"/>
              <w:marRight w:val="0"/>
              <w:marTop w:val="0"/>
              <w:marBottom w:val="0"/>
              <w:divBdr>
                <w:top w:val="none" w:sz="0" w:space="0" w:color="auto"/>
                <w:left w:val="none" w:sz="0" w:space="0" w:color="auto"/>
                <w:bottom w:val="none" w:sz="0" w:space="0" w:color="auto"/>
                <w:right w:val="none" w:sz="0" w:space="0" w:color="auto"/>
              </w:divBdr>
            </w:div>
            <w:div w:id="1491017438">
              <w:marLeft w:val="0"/>
              <w:marRight w:val="0"/>
              <w:marTop w:val="0"/>
              <w:marBottom w:val="0"/>
              <w:divBdr>
                <w:top w:val="none" w:sz="0" w:space="0" w:color="auto"/>
                <w:left w:val="none" w:sz="0" w:space="0" w:color="auto"/>
                <w:bottom w:val="none" w:sz="0" w:space="0" w:color="auto"/>
                <w:right w:val="none" w:sz="0" w:space="0" w:color="auto"/>
              </w:divBdr>
            </w:div>
            <w:div w:id="681973495">
              <w:marLeft w:val="0"/>
              <w:marRight w:val="0"/>
              <w:marTop w:val="0"/>
              <w:marBottom w:val="0"/>
              <w:divBdr>
                <w:top w:val="none" w:sz="0" w:space="0" w:color="auto"/>
                <w:left w:val="none" w:sz="0" w:space="0" w:color="auto"/>
                <w:bottom w:val="none" w:sz="0" w:space="0" w:color="auto"/>
                <w:right w:val="none" w:sz="0" w:space="0" w:color="auto"/>
              </w:divBdr>
            </w:div>
            <w:div w:id="536092065">
              <w:marLeft w:val="0"/>
              <w:marRight w:val="0"/>
              <w:marTop w:val="0"/>
              <w:marBottom w:val="0"/>
              <w:divBdr>
                <w:top w:val="none" w:sz="0" w:space="0" w:color="auto"/>
                <w:left w:val="none" w:sz="0" w:space="0" w:color="auto"/>
                <w:bottom w:val="none" w:sz="0" w:space="0" w:color="auto"/>
                <w:right w:val="none" w:sz="0" w:space="0" w:color="auto"/>
              </w:divBdr>
            </w:div>
            <w:div w:id="1064839883">
              <w:marLeft w:val="0"/>
              <w:marRight w:val="0"/>
              <w:marTop w:val="0"/>
              <w:marBottom w:val="0"/>
              <w:divBdr>
                <w:top w:val="none" w:sz="0" w:space="0" w:color="auto"/>
                <w:left w:val="none" w:sz="0" w:space="0" w:color="auto"/>
                <w:bottom w:val="none" w:sz="0" w:space="0" w:color="auto"/>
                <w:right w:val="none" w:sz="0" w:space="0" w:color="auto"/>
              </w:divBdr>
            </w:div>
            <w:div w:id="814954503">
              <w:marLeft w:val="0"/>
              <w:marRight w:val="0"/>
              <w:marTop w:val="0"/>
              <w:marBottom w:val="0"/>
              <w:divBdr>
                <w:top w:val="none" w:sz="0" w:space="0" w:color="auto"/>
                <w:left w:val="none" w:sz="0" w:space="0" w:color="auto"/>
                <w:bottom w:val="none" w:sz="0" w:space="0" w:color="auto"/>
                <w:right w:val="none" w:sz="0" w:space="0" w:color="auto"/>
              </w:divBdr>
            </w:div>
            <w:div w:id="118227674">
              <w:marLeft w:val="0"/>
              <w:marRight w:val="0"/>
              <w:marTop w:val="0"/>
              <w:marBottom w:val="0"/>
              <w:divBdr>
                <w:top w:val="none" w:sz="0" w:space="0" w:color="auto"/>
                <w:left w:val="none" w:sz="0" w:space="0" w:color="auto"/>
                <w:bottom w:val="none" w:sz="0" w:space="0" w:color="auto"/>
                <w:right w:val="none" w:sz="0" w:space="0" w:color="auto"/>
              </w:divBdr>
            </w:div>
            <w:div w:id="2022274095">
              <w:marLeft w:val="0"/>
              <w:marRight w:val="0"/>
              <w:marTop w:val="0"/>
              <w:marBottom w:val="0"/>
              <w:divBdr>
                <w:top w:val="none" w:sz="0" w:space="0" w:color="auto"/>
                <w:left w:val="none" w:sz="0" w:space="0" w:color="auto"/>
                <w:bottom w:val="none" w:sz="0" w:space="0" w:color="auto"/>
                <w:right w:val="none" w:sz="0" w:space="0" w:color="auto"/>
              </w:divBdr>
            </w:div>
            <w:div w:id="1257597613">
              <w:marLeft w:val="0"/>
              <w:marRight w:val="0"/>
              <w:marTop w:val="0"/>
              <w:marBottom w:val="0"/>
              <w:divBdr>
                <w:top w:val="none" w:sz="0" w:space="0" w:color="auto"/>
                <w:left w:val="none" w:sz="0" w:space="0" w:color="auto"/>
                <w:bottom w:val="none" w:sz="0" w:space="0" w:color="auto"/>
                <w:right w:val="none" w:sz="0" w:space="0" w:color="auto"/>
              </w:divBdr>
            </w:div>
            <w:div w:id="660735662">
              <w:marLeft w:val="0"/>
              <w:marRight w:val="0"/>
              <w:marTop w:val="0"/>
              <w:marBottom w:val="0"/>
              <w:divBdr>
                <w:top w:val="none" w:sz="0" w:space="0" w:color="auto"/>
                <w:left w:val="none" w:sz="0" w:space="0" w:color="auto"/>
                <w:bottom w:val="none" w:sz="0" w:space="0" w:color="auto"/>
                <w:right w:val="none" w:sz="0" w:space="0" w:color="auto"/>
              </w:divBdr>
            </w:div>
            <w:div w:id="1167601034">
              <w:marLeft w:val="0"/>
              <w:marRight w:val="0"/>
              <w:marTop w:val="0"/>
              <w:marBottom w:val="0"/>
              <w:divBdr>
                <w:top w:val="none" w:sz="0" w:space="0" w:color="auto"/>
                <w:left w:val="none" w:sz="0" w:space="0" w:color="auto"/>
                <w:bottom w:val="none" w:sz="0" w:space="0" w:color="auto"/>
                <w:right w:val="none" w:sz="0" w:space="0" w:color="auto"/>
              </w:divBdr>
            </w:div>
            <w:div w:id="616645735">
              <w:marLeft w:val="0"/>
              <w:marRight w:val="0"/>
              <w:marTop w:val="0"/>
              <w:marBottom w:val="0"/>
              <w:divBdr>
                <w:top w:val="none" w:sz="0" w:space="0" w:color="auto"/>
                <w:left w:val="none" w:sz="0" w:space="0" w:color="auto"/>
                <w:bottom w:val="none" w:sz="0" w:space="0" w:color="auto"/>
                <w:right w:val="none" w:sz="0" w:space="0" w:color="auto"/>
              </w:divBdr>
            </w:div>
            <w:div w:id="1001398246">
              <w:marLeft w:val="0"/>
              <w:marRight w:val="0"/>
              <w:marTop w:val="0"/>
              <w:marBottom w:val="0"/>
              <w:divBdr>
                <w:top w:val="none" w:sz="0" w:space="0" w:color="auto"/>
                <w:left w:val="none" w:sz="0" w:space="0" w:color="auto"/>
                <w:bottom w:val="none" w:sz="0" w:space="0" w:color="auto"/>
                <w:right w:val="none" w:sz="0" w:space="0" w:color="auto"/>
              </w:divBdr>
            </w:div>
            <w:div w:id="1256673285">
              <w:marLeft w:val="0"/>
              <w:marRight w:val="0"/>
              <w:marTop w:val="0"/>
              <w:marBottom w:val="0"/>
              <w:divBdr>
                <w:top w:val="none" w:sz="0" w:space="0" w:color="auto"/>
                <w:left w:val="none" w:sz="0" w:space="0" w:color="auto"/>
                <w:bottom w:val="none" w:sz="0" w:space="0" w:color="auto"/>
                <w:right w:val="none" w:sz="0" w:space="0" w:color="auto"/>
              </w:divBdr>
            </w:div>
            <w:div w:id="1682320493">
              <w:marLeft w:val="0"/>
              <w:marRight w:val="0"/>
              <w:marTop w:val="0"/>
              <w:marBottom w:val="0"/>
              <w:divBdr>
                <w:top w:val="none" w:sz="0" w:space="0" w:color="auto"/>
                <w:left w:val="none" w:sz="0" w:space="0" w:color="auto"/>
                <w:bottom w:val="none" w:sz="0" w:space="0" w:color="auto"/>
                <w:right w:val="none" w:sz="0" w:space="0" w:color="auto"/>
              </w:divBdr>
            </w:div>
            <w:div w:id="2042170283">
              <w:marLeft w:val="0"/>
              <w:marRight w:val="0"/>
              <w:marTop w:val="0"/>
              <w:marBottom w:val="0"/>
              <w:divBdr>
                <w:top w:val="none" w:sz="0" w:space="0" w:color="auto"/>
                <w:left w:val="none" w:sz="0" w:space="0" w:color="auto"/>
                <w:bottom w:val="none" w:sz="0" w:space="0" w:color="auto"/>
                <w:right w:val="none" w:sz="0" w:space="0" w:color="auto"/>
              </w:divBdr>
            </w:div>
            <w:div w:id="714502442">
              <w:marLeft w:val="0"/>
              <w:marRight w:val="0"/>
              <w:marTop w:val="0"/>
              <w:marBottom w:val="0"/>
              <w:divBdr>
                <w:top w:val="none" w:sz="0" w:space="0" w:color="auto"/>
                <w:left w:val="none" w:sz="0" w:space="0" w:color="auto"/>
                <w:bottom w:val="none" w:sz="0" w:space="0" w:color="auto"/>
                <w:right w:val="none" w:sz="0" w:space="0" w:color="auto"/>
              </w:divBdr>
            </w:div>
            <w:div w:id="225576593">
              <w:marLeft w:val="0"/>
              <w:marRight w:val="0"/>
              <w:marTop w:val="0"/>
              <w:marBottom w:val="0"/>
              <w:divBdr>
                <w:top w:val="none" w:sz="0" w:space="0" w:color="auto"/>
                <w:left w:val="none" w:sz="0" w:space="0" w:color="auto"/>
                <w:bottom w:val="none" w:sz="0" w:space="0" w:color="auto"/>
                <w:right w:val="none" w:sz="0" w:space="0" w:color="auto"/>
              </w:divBdr>
            </w:div>
            <w:div w:id="10499403">
              <w:marLeft w:val="0"/>
              <w:marRight w:val="0"/>
              <w:marTop w:val="0"/>
              <w:marBottom w:val="0"/>
              <w:divBdr>
                <w:top w:val="none" w:sz="0" w:space="0" w:color="auto"/>
                <w:left w:val="none" w:sz="0" w:space="0" w:color="auto"/>
                <w:bottom w:val="none" w:sz="0" w:space="0" w:color="auto"/>
                <w:right w:val="none" w:sz="0" w:space="0" w:color="auto"/>
              </w:divBdr>
            </w:div>
            <w:div w:id="413555210">
              <w:marLeft w:val="0"/>
              <w:marRight w:val="0"/>
              <w:marTop w:val="0"/>
              <w:marBottom w:val="0"/>
              <w:divBdr>
                <w:top w:val="none" w:sz="0" w:space="0" w:color="auto"/>
                <w:left w:val="none" w:sz="0" w:space="0" w:color="auto"/>
                <w:bottom w:val="none" w:sz="0" w:space="0" w:color="auto"/>
                <w:right w:val="none" w:sz="0" w:space="0" w:color="auto"/>
              </w:divBdr>
            </w:div>
            <w:div w:id="1645281724">
              <w:marLeft w:val="0"/>
              <w:marRight w:val="0"/>
              <w:marTop w:val="0"/>
              <w:marBottom w:val="0"/>
              <w:divBdr>
                <w:top w:val="none" w:sz="0" w:space="0" w:color="auto"/>
                <w:left w:val="none" w:sz="0" w:space="0" w:color="auto"/>
                <w:bottom w:val="none" w:sz="0" w:space="0" w:color="auto"/>
                <w:right w:val="none" w:sz="0" w:space="0" w:color="auto"/>
              </w:divBdr>
            </w:div>
            <w:div w:id="319966878">
              <w:marLeft w:val="0"/>
              <w:marRight w:val="0"/>
              <w:marTop w:val="0"/>
              <w:marBottom w:val="0"/>
              <w:divBdr>
                <w:top w:val="none" w:sz="0" w:space="0" w:color="auto"/>
                <w:left w:val="none" w:sz="0" w:space="0" w:color="auto"/>
                <w:bottom w:val="none" w:sz="0" w:space="0" w:color="auto"/>
                <w:right w:val="none" w:sz="0" w:space="0" w:color="auto"/>
              </w:divBdr>
            </w:div>
            <w:div w:id="523205591">
              <w:marLeft w:val="0"/>
              <w:marRight w:val="0"/>
              <w:marTop w:val="0"/>
              <w:marBottom w:val="0"/>
              <w:divBdr>
                <w:top w:val="none" w:sz="0" w:space="0" w:color="auto"/>
                <w:left w:val="none" w:sz="0" w:space="0" w:color="auto"/>
                <w:bottom w:val="none" w:sz="0" w:space="0" w:color="auto"/>
                <w:right w:val="none" w:sz="0" w:space="0" w:color="auto"/>
              </w:divBdr>
            </w:div>
            <w:div w:id="138377112">
              <w:marLeft w:val="0"/>
              <w:marRight w:val="0"/>
              <w:marTop w:val="0"/>
              <w:marBottom w:val="0"/>
              <w:divBdr>
                <w:top w:val="none" w:sz="0" w:space="0" w:color="auto"/>
                <w:left w:val="none" w:sz="0" w:space="0" w:color="auto"/>
                <w:bottom w:val="none" w:sz="0" w:space="0" w:color="auto"/>
                <w:right w:val="none" w:sz="0" w:space="0" w:color="auto"/>
              </w:divBdr>
            </w:div>
            <w:div w:id="650140440">
              <w:marLeft w:val="0"/>
              <w:marRight w:val="0"/>
              <w:marTop w:val="0"/>
              <w:marBottom w:val="0"/>
              <w:divBdr>
                <w:top w:val="none" w:sz="0" w:space="0" w:color="auto"/>
                <w:left w:val="none" w:sz="0" w:space="0" w:color="auto"/>
                <w:bottom w:val="none" w:sz="0" w:space="0" w:color="auto"/>
                <w:right w:val="none" w:sz="0" w:space="0" w:color="auto"/>
              </w:divBdr>
            </w:div>
            <w:div w:id="962540020">
              <w:marLeft w:val="0"/>
              <w:marRight w:val="0"/>
              <w:marTop w:val="0"/>
              <w:marBottom w:val="0"/>
              <w:divBdr>
                <w:top w:val="none" w:sz="0" w:space="0" w:color="auto"/>
                <w:left w:val="none" w:sz="0" w:space="0" w:color="auto"/>
                <w:bottom w:val="none" w:sz="0" w:space="0" w:color="auto"/>
                <w:right w:val="none" w:sz="0" w:space="0" w:color="auto"/>
              </w:divBdr>
            </w:div>
            <w:div w:id="70663770">
              <w:marLeft w:val="0"/>
              <w:marRight w:val="0"/>
              <w:marTop w:val="0"/>
              <w:marBottom w:val="0"/>
              <w:divBdr>
                <w:top w:val="none" w:sz="0" w:space="0" w:color="auto"/>
                <w:left w:val="none" w:sz="0" w:space="0" w:color="auto"/>
                <w:bottom w:val="none" w:sz="0" w:space="0" w:color="auto"/>
                <w:right w:val="none" w:sz="0" w:space="0" w:color="auto"/>
              </w:divBdr>
            </w:div>
            <w:div w:id="474682950">
              <w:marLeft w:val="0"/>
              <w:marRight w:val="0"/>
              <w:marTop w:val="0"/>
              <w:marBottom w:val="0"/>
              <w:divBdr>
                <w:top w:val="none" w:sz="0" w:space="0" w:color="auto"/>
                <w:left w:val="none" w:sz="0" w:space="0" w:color="auto"/>
                <w:bottom w:val="none" w:sz="0" w:space="0" w:color="auto"/>
                <w:right w:val="none" w:sz="0" w:space="0" w:color="auto"/>
              </w:divBdr>
            </w:div>
            <w:div w:id="376707883">
              <w:marLeft w:val="0"/>
              <w:marRight w:val="0"/>
              <w:marTop w:val="0"/>
              <w:marBottom w:val="0"/>
              <w:divBdr>
                <w:top w:val="none" w:sz="0" w:space="0" w:color="auto"/>
                <w:left w:val="none" w:sz="0" w:space="0" w:color="auto"/>
                <w:bottom w:val="none" w:sz="0" w:space="0" w:color="auto"/>
                <w:right w:val="none" w:sz="0" w:space="0" w:color="auto"/>
              </w:divBdr>
            </w:div>
            <w:div w:id="1622344540">
              <w:marLeft w:val="0"/>
              <w:marRight w:val="0"/>
              <w:marTop w:val="0"/>
              <w:marBottom w:val="0"/>
              <w:divBdr>
                <w:top w:val="none" w:sz="0" w:space="0" w:color="auto"/>
                <w:left w:val="none" w:sz="0" w:space="0" w:color="auto"/>
                <w:bottom w:val="none" w:sz="0" w:space="0" w:color="auto"/>
                <w:right w:val="none" w:sz="0" w:space="0" w:color="auto"/>
              </w:divBdr>
            </w:div>
            <w:div w:id="1739866044">
              <w:marLeft w:val="0"/>
              <w:marRight w:val="0"/>
              <w:marTop w:val="0"/>
              <w:marBottom w:val="0"/>
              <w:divBdr>
                <w:top w:val="none" w:sz="0" w:space="0" w:color="auto"/>
                <w:left w:val="none" w:sz="0" w:space="0" w:color="auto"/>
                <w:bottom w:val="none" w:sz="0" w:space="0" w:color="auto"/>
                <w:right w:val="none" w:sz="0" w:space="0" w:color="auto"/>
              </w:divBdr>
            </w:div>
            <w:div w:id="940533213">
              <w:marLeft w:val="0"/>
              <w:marRight w:val="0"/>
              <w:marTop w:val="0"/>
              <w:marBottom w:val="0"/>
              <w:divBdr>
                <w:top w:val="none" w:sz="0" w:space="0" w:color="auto"/>
                <w:left w:val="none" w:sz="0" w:space="0" w:color="auto"/>
                <w:bottom w:val="none" w:sz="0" w:space="0" w:color="auto"/>
                <w:right w:val="none" w:sz="0" w:space="0" w:color="auto"/>
              </w:divBdr>
            </w:div>
            <w:div w:id="1902015797">
              <w:marLeft w:val="0"/>
              <w:marRight w:val="0"/>
              <w:marTop w:val="0"/>
              <w:marBottom w:val="0"/>
              <w:divBdr>
                <w:top w:val="none" w:sz="0" w:space="0" w:color="auto"/>
                <w:left w:val="none" w:sz="0" w:space="0" w:color="auto"/>
                <w:bottom w:val="none" w:sz="0" w:space="0" w:color="auto"/>
                <w:right w:val="none" w:sz="0" w:space="0" w:color="auto"/>
              </w:divBdr>
            </w:div>
            <w:div w:id="365718401">
              <w:marLeft w:val="0"/>
              <w:marRight w:val="0"/>
              <w:marTop w:val="0"/>
              <w:marBottom w:val="0"/>
              <w:divBdr>
                <w:top w:val="none" w:sz="0" w:space="0" w:color="auto"/>
                <w:left w:val="none" w:sz="0" w:space="0" w:color="auto"/>
                <w:bottom w:val="none" w:sz="0" w:space="0" w:color="auto"/>
                <w:right w:val="none" w:sz="0" w:space="0" w:color="auto"/>
              </w:divBdr>
            </w:div>
            <w:div w:id="1632246141">
              <w:marLeft w:val="0"/>
              <w:marRight w:val="0"/>
              <w:marTop w:val="0"/>
              <w:marBottom w:val="0"/>
              <w:divBdr>
                <w:top w:val="none" w:sz="0" w:space="0" w:color="auto"/>
                <w:left w:val="none" w:sz="0" w:space="0" w:color="auto"/>
                <w:bottom w:val="none" w:sz="0" w:space="0" w:color="auto"/>
                <w:right w:val="none" w:sz="0" w:space="0" w:color="auto"/>
              </w:divBdr>
            </w:div>
            <w:div w:id="1314992403">
              <w:marLeft w:val="0"/>
              <w:marRight w:val="0"/>
              <w:marTop w:val="0"/>
              <w:marBottom w:val="0"/>
              <w:divBdr>
                <w:top w:val="none" w:sz="0" w:space="0" w:color="auto"/>
                <w:left w:val="none" w:sz="0" w:space="0" w:color="auto"/>
                <w:bottom w:val="none" w:sz="0" w:space="0" w:color="auto"/>
                <w:right w:val="none" w:sz="0" w:space="0" w:color="auto"/>
              </w:divBdr>
            </w:div>
            <w:div w:id="1288006770">
              <w:marLeft w:val="0"/>
              <w:marRight w:val="0"/>
              <w:marTop w:val="0"/>
              <w:marBottom w:val="0"/>
              <w:divBdr>
                <w:top w:val="none" w:sz="0" w:space="0" w:color="auto"/>
                <w:left w:val="none" w:sz="0" w:space="0" w:color="auto"/>
                <w:bottom w:val="none" w:sz="0" w:space="0" w:color="auto"/>
                <w:right w:val="none" w:sz="0" w:space="0" w:color="auto"/>
              </w:divBdr>
            </w:div>
            <w:div w:id="1948537196">
              <w:marLeft w:val="0"/>
              <w:marRight w:val="0"/>
              <w:marTop w:val="0"/>
              <w:marBottom w:val="0"/>
              <w:divBdr>
                <w:top w:val="none" w:sz="0" w:space="0" w:color="auto"/>
                <w:left w:val="none" w:sz="0" w:space="0" w:color="auto"/>
                <w:bottom w:val="none" w:sz="0" w:space="0" w:color="auto"/>
                <w:right w:val="none" w:sz="0" w:space="0" w:color="auto"/>
              </w:divBdr>
            </w:div>
            <w:div w:id="1326397635">
              <w:marLeft w:val="0"/>
              <w:marRight w:val="0"/>
              <w:marTop w:val="0"/>
              <w:marBottom w:val="0"/>
              <w:divBdr>
                <w:top w:val="none" w:sz="0" w:space="0" w:color="auto"/>
                <w:left w:val="none" w:sz="0" w:space="0" w:color="auto"/>
                <w:bottom w:val="none" w:sz="0" w:space="0" w:color="auto"/>
                <w:right w:val="none" w:sz="0" w:space="0" w:color="auto"/>
              </w:divBdr>
            </w:div>
            <w:div w:id="902957510">
              <w:marLeft w:val="0"/>
              <w:marRight w:val="0"/>
              <w:marTop w:val="0"/>
              <w:marBottom w:val="0"/>
              <w:divBdr>
                <w:top w:val="none" w:sz="0" w:space="0" w:color="auto"/>
                <w:left w:val="none" w:sz="0" w:space="0" w:color="auto"/>
                <w:bottom w:val="none" w:sz="0" w:space="0" w:color="auto"/>
                <w:right w:val="none" w:sz="0" w:space="0" w:color="auto"/>
              </w:divBdr>
            </w:div>
            <w:div w:id="2013020125">
              <w:marLeft w:val="0"/>
              <w:marRight w:val="0"/>
              <w:marTop w:val="0"/>
              <w:marBottom w:val="0"/>
              <w:divBdr>
                <w:top w:val="none" w:sz="0" w:space="0" w:color="auto"/>
                <w:left w:val="none" w:sz="0" w:space="0" w:color="auto"/>
                <w:bottom w:val="none" w:sz="0" w:space="0" w:color="auto"/>
                <w:right w:val="none" w:sz="0" w:space="0" w:color="auto"/>
              </w:divBdr>
            </w:div>
            <w:div w:id="321811015">
              <w:marLeft w:val="0"/>
              <w:marRight w:val="0"/>
              <w:marTop w:val="0"/>
              <w:marBottom w:val="0"/>
              <w:divBdr>
                <w:top w:val="none" w:sz="0" w:space="0" w:color="auto"/>
                <w:left w:val="none" w:sz="0" w:space="0" w:color="auto"/>
                <w:bottom w:val="none" w:sz="0" w:space="0" w:color="auto"/>
                <w:right w:val="none" w:sz="0" w:space="0" w:color="auto"/>
              </w:divBdr>
            </w:div>
            <w:div w:id="1217929302">
              <w:marLeft w:val="0"/>
              <w:marRight w:val="0"/>
              <w:marTop w:val="0"/>
              <w:marBottom w:val="0"/>
              <w:divBdr>
                <w:top w:val="none" w:sz="0" w:space="0" w:color="auto"/>
                <w:left w:val="none" w:sz="0" w:space="0" w:color="auto"/>
                <w:bottom w:val="none" w:sz="0" w:space="0" w:color="auto"/>
                <w:right w:val="none" w:sz="0" w:space="0" w:color="auto"/>
              </w:divBdr>
            </w:div>
            <w:div w:id="173884495">
              <w:marLeft w:val="0"/>
              <w:marRight w:val="0"/>
              <w:marTop w:val="0"/>
              <w:marBottom w:val="0"/>
              <w:divBdr>
                <w:top w:val="none" w:sz="0" w:space="0" w:color="auto"/>
                <w:left w:val="none" w:sz="0" w:space="0" w:color="auto"/>
                <w:bottom w:val="none" w:sz="0" w:space="0" w:color="auto"/>
                <w:right w:val="none" w:sz="0" w:space="0" w:color="auto"/>
              </w:divBdr>
            </w:div>
            <w:div w:id="929242726">
              <w:marLeft w:val="0"/>
              <w:marRight w:val="0"/>
              <w:marTop w:val="0"/>
              <w:marBottom w:val="0"/>
              <w:divBdr>
                <w:top w:val="none" w:sz="0" w:space="0" w:color="auto"/>
                <w:left w:val="none" w:sz="0" w:space="0" w:color="auto"/>
                <w:bottom w:val="none" w:sz="0" w:space="0" w:color="auto"/>
                <w:right w:val="none" w:sz="0" w:space="0" w:color="auto"/>
              </w:divBdr>
            </w:div>
            <w:div w:id="1309018383">
              <w:marLeft w:val="0"/>
              <w:marRight w:val="0"/>
              <w:marTop w:val="0"/>
              <w:marBottom w:val="0"/>
              <w:divBdr>
                <w:top w:val="none" w:sz="0" w:space="0" w:color="auto"/>
                <w:left w:val="none" w:sz="0" w:space="0" w:color="auto"/>
                <w:bottom w:val="none" w:sz="0" w:space="0" w:color="auto"/>
                <w:right w:val="none" w:sz="0" w:space="0" w:color="auto"/>
              </w:divBdr>
            </w:div>
            <w:div w:id="253520039">
              <w:marLeft w:val="0"/>
              <w:marRight w:val="0"/>
              <w:marTop w:val="0"/>
              <w:marBottom w:val="0"/>
              <w:divBdr>
                <w:top w:val="none" w:sz="0" w:space="0" w:color="auto"/>
                <w:left w:val="none" w:sz="0" w:space="0" w:color="auto"/>
                <w:bottom w:val="none" w:sz="0" w:space="0" w:color="auto"/>
                <w:right w:val="none" w:sz="0" w:space="0" w:color="auto"/>
              </w:divBdr>
            </w:div>
            <w:div w:id="1899244417">
              <w:marLeft w:val="0"/>
              <w:marRight w:val="0"/>
              <w:marTop w:val="0"/>
              <w:marBottom w:val="0"/>
              <w:divBdr>
                <w:top w:val="none" w:sz="0" w:space="0" w:color="auto"/>
                <w:left w:val="none" w:sz="0" w:space="0" w:color="auto"/>
                <w:bottom w:val="none" w:sz="0" w:space="0" w:color="auto"/>
                <w:right w:val="none" w:sz="0" w:space="0" w:color="auto"/>
              </w:divBdr>
            </w:div>
            <w:div w:id="209072605">
              <w:marLeft w:val="0"/>
              <w:marRight w:val="0"/>
              <w:marTop w:val="0"/>
              <w:marBottom w:val="0"/>
              <w:divBdr>
                <w:top w:val="none" w:sz="0" w:space="0" w:color="auto"/>
                <w:left w:val="none" w:sz="0" w:space="0" w:color="auto"/>
                <w:bottom w:val="none" w:sz="0" w:space="0" w:color="auto"/>
                <w:right w:val="none" w:sz="0" w:space="0" w:color="auto"/>
              </w:divBdr>
            </w:div>
            <w:div w:id="1932276689">
              <w:marLeft w:val="0"/>
              <w:marRight w:val="0"/>
              <w:marTop w:val="0"/>
              <w:marBottom w:val="0"/>
              <w:divBdr>
                <w:top w:val="none" w:sz="0" w:space="0" w:color="auto"/>
                <w:left w:val="none" w:sz="0" w:space="0" w:color="auto"/>
                <w:bottom w:val="none" w:sz="0" w:space="0" w:color="auto"/>
                <w:right w:val="none" w:sz="0" w:space="0" w:color="auto"/>
              </w:divBdr>
            </w:div>
            <w:div w:id="1943298907">
              <w:marLeft w:val="0"/>
              <w:marRight w:val="0"/>
              <w:marTop w:val="0"/>
              <w:marBottom w:val="0"/>
              <w:divBdr>
                <w:top w:val="none" w:sz="0" w:space="0" w:color="auto"/>
                <w:left w:val="none" w:sz="0" w:space="0" w:color="auto"/>
                <w:bottom w:val="none" w:sz="0" w:space="0" w:color="auto"/>
                <w:right w:val="none" w:sz="0" w:space="0" w:color="auto"/>
              </w:divBdr>
            </w:div>
            <w:div w:id="1205143176">
              <w:marLeft w:val="0"/>
              <w:marRight w:val="0"/>
              <w:marTop w:val="0"/>
              <w:marBottom w:val="0"/>
              <w:divBdr>
                <w:top w:val="none" w:sz="0" w:space="0" w:color="auto"/>
                <w:left w:val="none" w:sz="0" w:space="0" w:color="auto"/>
                <w:bottom w:val="none" w:sz="0" w:space="0" w:color="auto"/>
                <w:right w:val="none" w:sz="0" w:space="0" w:color="auto"/>
              </w:divBdr>
            </w:div>
            <w:div w:id="730495923">
              <w:marLeft w:val="0"/>
              <w:marRight w:val="0"/>
              <w:marTop w:val="0"/>
              <w:marBottom w:val="0"/>
              <w:divBdr>
                <w:top w:val="none" w:sz="0" w:space="0" w:color="auto"/>
                <w:left w:val="none" w:sz="0" w:space="0" w:color="auto"/>
                <w:bottom w:val="none" w:sz="0" w:space="0" w:color="auto"/>
                <w:right w:val="none" w:sz="0" w:space="0" w:color="auto"/>
              </w:divBdr>
            </w:div>
            <w:div w:id="1056779542">
              <w:marLeft w:val="0"/>
              <w:marRight w:val="0"/>
              <w:marTop w:val="0"/>
              <w:marBottom w:val="0"/>
              <w:divBdr>
                <w:top w:val="none" w:sz="0" w:space="0" w:color="auto"/>
                <w:left w:val="none" w:sz="0" w:space="0" w:color="auto"/>
                <w:bottom w:val="none" w:sz="0" w:space="0" w:color="auto"/>
                <w:right w:val="none" w:sz="0" w:space="0" w:color="auto"/>
              </w:divBdr>
            </w:div>
            <w:div w:id="889389452">
              <w:marLeft w:val="0"/>
              <w:marRight w:val="0"/>
              <w:marTop w:val="0"/>
              <w:marBottom w:val="0"/>
              <w:divBdr>
                <w:top w:val="none" w:sz="0" w:space="0" w:color="auto"/>
                <w:left w:val="none" w:sz="0" w:space="0" w:color="auto"/>
                <w:bottom w:val="none" w:sz="0" w:space="0" w:color="auto"/>
                <w:right w:val="none" w:sz="0" w:space="0" w:color="auto"/>
              </w:divBdr>
            </w:div>
            <w:div w:id="1722437554">
              <w:marLeft w:val="0"/>
              <w:marRight w:val="0"/>
              <w:marTop w:val="0"/>
              <w:marBottom w:val="0"/>
              <w:divBdr>
                <w:top w:val="none" w:sz="0" w:space="0" w:color="auto"/>
                <w:left w:val="none" w:sz="0" w:space="0" w:color="auto"/>
                <w:bottom w:val="none" w:sz="0" w:space="0" w:color="auto"/>
                <w:right w:val="none" w:sz="0" w:space="0" w:color="auto"/>
              </w:divBdr>
            </w:div>
            <w:div w:id="209729186">
              <w:marLeft w:val="0"/>
              <w:marRight w:val="0"/>
              <w:marTop w:val="0"/>
              <w:marBottom w:val="0"/>
              <w:divBdr>
                <w:top w:val="none" w:sz="0" w:space="0" w:color="auto"/>
                <w:left w:val="none" w:sz="0" w:space="0" w:color="auto"/>
                <w:bottom w:val="none" w:sz="0" w:space="0" w:color="auto"/>
                <w:right w:val="none" w:sz="0" w:space="0" w:color="auto"/>
              </w:divBdr>
            </w:div>
            <w:div w:id="2073499440">
              <w:marLeft w:val="0"/>
              <w:marRight w:val="0"/>
              <w:marTop w:val="0"/>
              <w:marBottom w:val="0"/>
              <w:divBdr>
                <w:top w:val="none" w:sz="0" w:space="0" w:color="auto"/>
                <w:left w:val="none" w:sz="0" w:space="0" w:color="auto"/>
                <w:bottom w:val="none" w:sz="0" w:space="0" w:color="auto"/>
                <w:right w:val="none" w:sz="0" w:space="0" w:color="auto"/>
              </w:divBdr>
            </w:div>
            <w:div w:id="256717469">
              <w:marLeft w:val="0"/>
              <w:marRight w:val="0"/>
              <w:marTop w:val="0"/>
              <w:marBottom w:val="0"/>
              <w:divBdr>
                <w:top w:val="none" w:sz="0" w:space="0" w:color="auto"/>
                <w:left w:val="none" w:sz="0" w:space="0" w:color="auto"/>
                <w:bottom w:val="none" w:sz="0" w:space="0" w:color="auto"/>
                <w:right w:val="none" w:sz="0" w:space="0" w:color="auto"/>
              </w:divBdr>
            </w:div>
            <w:div w:id="1134637058">
              <w:marLeft w:val="0"/>
              <w:marRight w:val="0"/>
              <w:marTop w:val="0"/>
              <w:marBottom w:val="0"/>
              <w:divBdr>
                <w:top w:val="none" w:sz="0" w:space="0" w:color="auto"/>
                <w:left w:val="none" w:sz="0" w:space="0" w:color="auto"/>
                <w:bottom w:val="none" w:sz="0" w:space="0" w:color="auto"/>
                <w:right w:val="none" w:sz="0" w:space="0" w:color="auto"/>
              </w:divBdr>
            </w:div>
            <w:div w:id="1354770003">
              <w:marLeft w:val="0"/>
              <w:marRight w:val="0"/>
              <w:marTop w:val="0"/>
              <w:marBottom w:val="0"/>
              <w:divBdr>
                <w:top w:val="none" w:sz="0" w:space="0" w:color="auto"/>
                <w:left w:val="none" w:sz="0" w:space="0" w:color="auto"/>
                <w:bottom w:val="none" w:sz="0" w:space="0" w:color="auto"/>
                <w:right w:val="none" w:sz="0" w:space="0" w:color="auto"/>
              </w:divBdr>
            </w:div>
            <w:div w:id="1348756147">
              <w:marLeft w:val="0"/>
              <w:marRight w:val="0"/>
              <w:marTop w:val="0"/>
              <w:marBottom w:val="0"/>
              <w:divBdr>
                <w:top w:val="none" w:sz="0" w:space="0" w:color="auto"/>
                <w:left w:val="none" w:sz="0" w:space="0" w:color="auto"/>
                <w:bottom w:val="none" w:sz="0" w:space="0" w:color="auto"/>
                <w:right w:val="none" w:sz="0" w:space="0" w:color="auto"/>
              </w:divBdr>
            </w:div>
            <w:div w:id="160895580">
              <w:marLeft w:val="0"/>
              <w:marRight w:val="0"/>
              <w:marTop w:val="0"/>
              <w:marBottom w:val="0"/>
              <w:divBdr>
                <w:top w:val="none" w:sz="0" w:space="0" w:color="auto"/>
                <w:left w:val="none" w:sz="0" w:space="0" w:color="auto"/>
                <w:bottom w:val="none" w:sz="0" w:space="0" w:color="auto"/>
                <w:right w:val="none" w:sz="0" w:space="0" w:color="auto"/>
              </w:divBdr>
            </w:div>
            <w:div w:id="1768042910">
              <w:marLeft w:val="0"/>
              <w:marRight w:val="0"/>
              <w:marTop w:val="0"/>
              <w:marBottom w:val="0"/>
              <w:divBdr>
                <w:top w:val="none" w:sz="0" w:space="0" w:color="auto"/>
                <w:left w:val="none" w:sz="0" w:space="0" w:color="auto"/>
                <w:bottom w:val="none" w:sz="0" w:space="0" w:color="auto"/>
                <w:right w:val="none" w:sz="0" w:space="0" w:color="auto"/>
              </w:divBdr>
            </w:div>
            <w:div w:id="596015315">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916287170">
              <w:marLeft w:val="0"/>
              <w:marRight w:val="0"/>
              <w:marTop w:val="0"/>
              <w:marBottom w:val="0"/>
              <w:divBdr>
                <w:top w:val="none" w:sz="0" w:space="0" w:color="auto"/>
                <w:left w:val="none" w:sz="0" w:space="0" w:color="auto"/>
                <w:bottom w:val="none" w:sz="0" w:space="0" w:color="auto"/>
                <w:right w:val="none" w:sz="0" w:space="0" w:color="auto"/>
              </w:divBdr>
            </w:div>
            <w:div w:id="638535540">
              <w:marLeft w:val="0"/>
              <w:marRight w:val="0"/>
              <w:marTop w:val="0"/>
              <w:marBottom w:val="0"/>
              <w:divBdr>
                <w:top w:val="none" w:sz="0" w:space="0" w:color="auto"/>
                <w:left w:val="none" w:sz="0" w:space="0" w:color="auto"/>
                <w:bottom w:val="none" w:sz="0" w:space="0" w:color="auto"/>
                <w:right w:val="none" w:sz="0" w:space="0" w:color="auto"/>
              </w:divBdr>
            </w:div>
            <w:div w:id="1147358020">
              <w:marLeft w:val="0"/>
              <w:marRight w:val="0"/>
              <w:marTop w:val="0"/>
              <w:marBottom w:val="0"/>
              <w:divBdr>
                <w:top w:val="none" w:sz="0" w:space="0" w:color="auto"/>
                <w:left w:val="none" w:sz="0" w:space="0" w:color="auto"/>
                <w:bottom w:val="none" w:sz="0" w:space="0" w:color="auto"/>
                <w:right w:val="none" w:sz="0" w:space="0" w:color="auto"/>
              </w:divBdr>
            </w:div>
            <w:div w:id="2093886962">
              <w:marLeft w:val="0"/>
              <w:marRight w:val="0"/>
              <w:marTop w:val="0"/>
              <w:marBottom w:val="0"/>
              <w:divBdr>
                <w:top w:val="none" w:sz="0" w:space="0" w:color="auto"/>
                <w:left w:val="none" w:sz="0" w:space="0" w:color="auto"/>
                <w:bottom w:val="none" w:sz="0" w:space="0" w:color="auto"/>
                <w:right w:val="none" w:sz="0" w:space="0" w:color="auto"/>
              </w:divBdr>
            </w:div>
            <w:div w:id="755438763">
              <w:marLeft w:val="0"/>
              <w:marRight w:val="0"/>
              <w:marTop w:val="0"/>
              <w:marBottom w:val="0"/>
              <w:divBdr>
                <w:top w:val="none" w:sz="0" w:space="0" w:color="auto"/>
                <w:left w:val="none" w:sz="0" w:space="0" w:color="auto"/>
                <w:bottom w:val="none" w:sz="0" w:space="0" w:color="auto"/>
                <w:right w:val="none" w:sz="0" w:space="0" w:color="auto"/>
              </w:divBdr>
            </w:div>
            <w:div w:id="18095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3337">
      <w:marLeft w:val="0"/>
      <w:marRight w:val="0"/>
      <w:marTop w:val="0"/>
      <w:marBottom w:val="0"/>
      <w:divBdr>
        <w:top w:val="none" w:sz="0" w:space="0" w:color="auto"/>
        <w:left w:val="none" w:sz="0" w:space="0" w:color="auto"/>
        <w:bottom w:val="none" w:sz="0" w:space="0" w:color="auto"/>
        <w:right w:val="none" w:sz="0" w:space="0" w:color="auto"/>
      </w:divBdr>
      <w:divsChild>
        <w:div w:id="269704380">
          <w:marLeft w:val="0"/>
          <w:marRight w:val="0"/>
          <w:marTop w:val="0"/>
          <w:marBottom w:val="0"/>
          <w:divBdr>
            <w:top w:val="none" w:sz="0" w:space="0" w:color="auto"/>
            <w:left w:val="none" w:sz="0" w:space="0" w:color="auto"/>
            <w:bottom w:val="none" w:sz="0" w:space="0" w:color="auto"/>
            <w:right w:val="none" w:sz="0" w:space="0" w:color="auto"/>
          </w:divBdr>
        </w:div>
      </w:divsChild>
    </w:div>
    <w:div w:id="707145451">
      <w:marLeft w:val="0"/>
      <w:marRight w:val="0"/>
      <w:marTop w:val="0"/>
      <w:marBottom w:val="0"/>
      <w:divBdr>
        <w:top w:val="none" w:sz="0" w:space="0" w:color="auto"/>
        <w:left w:val="none" w:sz="0" w:space="0" w:color="auto"/>
        <w:bottom w:val="none" w:sz="0" w:space="0" w:color="auto"/>
        <w:right w:val="none" w:sz="0" w:space="0" w:color="auto"/>
      </w:divBdr>
      <w:divsChild>
        <w:div w:id="306017436">
          <w:marLeft w:val="0"/>
          <w:marRight w:val="0"/>
          <w:marTop w:val="0"/>
          <w:marBottom w:val="0"/>
          <w:divBdr>
            <w:top w:val="none" w:sz="0" w:space="0" w:color="auto"/>
            <w:left w:val="none" w:sz="0" w:space="0" w:color="auto"/>
            <w:bottom w:val="none" w:sz="0" w:space="0" w:color="auto"/>
            <w:right w:val="none" w:sz="0" w:space="0" w:color="auto"/>
          </w:divBdr>
        </w:div>
      </w:divsChild>
    </w:div>
    <w:div w:id="709768594">
      <w:bodyDiv w:val="1"/>
      <w:marLeft w:val="0"/>
      <w:marRight w:val="0"/>
      <w:marTop w:val="0"/>
      <w:marBottom w:val="0"/>
      <w:divBdr>
        <w:top w:val="none" w:sz="0" w:space="0" w:color="auto"/>
        <w:left w:val="none" w:sz="0" w:space="0" w:color="auto"/>
        <w:bottom w:val="none" w:sz="0" w:space="0" w:color="auto"/>
        <w:right w:val="none" w:sz="0" w:space="0" w:color="auto"/>
      </w:divBdr>
    </w:div>
    <w:div w:id="709914777">
      <w:marLeft w:val="0"/>
      <w:marRight w:val="0"/>
      <w:marTop w:val="0"/>
      <w:marBottom w:val="0"/>
      <w:divBdr>
        <w:top w:val="none" w:sz="0" w:space="0" w:color="auto"/>
        <w:left w:val="none" w:sz="0" w:space="0" w:color="auto"/>
        <w:bottom w:val="none" w:sz="0" w:space="0" w:color="auto"/>
        <w:right w:val="none" w:sz="0" w:space="0" w:color="auto"/>
      </w:divBdr>
      <w:divsChild>
        <w:div w:id="520970324">
          <w:marLeft w:val="0"/>
          <w:marRight w:val="0"/>
          <w:marTop w:val="0"/>
          <w:marBottom w:val="0"/>
          <w:divBdr>
            <w:top w:val="none" w:sz="0" w:space="0" w:color="auto"/>
            <w:left w:val="none" w:sz="0" w:space="0" w:color="auto"/>
            <w:bottom w:val="none" w:sz="0" w:space="0" w:color="auto"/>
            <w:right w:val="none" w:sz="0" w:space="0" w:color="auto"/>
          </w:divBdr>
        </w:div>
      </w:divsChild>
    </w:div>
    <w:div w:id="710228985">
      <w:bodyDiv w:val="1"/>
      <w:marLeft w:val="0"/>
      <w:marRight w:val="0"/>
      <w:marTop w:val="0"/>
      <w:marBottom w:val="0"/>
      <w:divBdr>
        <w:top w:val="none" w:sz="0" w:space="0" w:color="auto"/>
        <w:left w:val="none" w:sz="0" w:space="0" w:color="auto"/>
        <w:bottom w:val="none" w:sz="0" w:space="0" w:color="auto"/>
        <w:right w:val="none" w:sz="0" w:space="0" w:color="auto"/>
      </w:divBdr>
    </w:div>
    <w:div w:id="713696116">
      <w:marLeft w:val="0"/>
      <w:marRight w:val="0"/>
      <w:marTop w:val="0"/>
      <w:marBottom w:val="0"/>
      <w:divBdr>
        <w:top w:val="none" w:sz="0" w:space="0" w:color="auto"/>
        <w:left w:val="none" w:sz="0" w:space="0" w:color="auto"/>
        <w:bottom w:val="none" w:sz="0" w:space="0" w:color="auto"/>
        <w:right w:val="none" w:sz="0" w:space="0" w:color="auto"/>
      </w:divBdr>
      <w:divsChild>
        <w:div w:id="1914701138">
          <w:marLeft w:val="0"/>
          <w:marRight w:val="0"/>
          <w:marTop w:val="0"/>
          <w:marBottom w:val="0"/>
          <w:divBdr>
            <w:top w:val="none" w:sz="0" w:space="0" w:color="auto"/>
            <w:left w:val="none" w:sz="0" w:space="0" w:color="auto"/>
            <w:bottom w:val="none" w:sz="0" w:space="0" w:color="auto"/>
            <w:right w:val="none" w:sz="0" w:space="0" w:color="auto"/>
          </w:divBdr>
        </w:div>
      </w:divsChild>
    </w:div>
    <w:div w:id="716782813">
      <w:marLeft w:val="0"/>
      <w:marRight w:val="0"/>
      <w:marTop w:val="0"/>
      <w:marBottom w:val="0"/>
      <w:divBdr>
        <w:top w:val="none" w:sz="0" w:space="0" w:color="auto"/>
        <w:left w:val="none" w:sz="0" w:space="0" w:color="auto"/>
        <w:bottom w:val="none" w:sz="0" w:space="0" w:color="auto"/>
        <w:right w:val="none" w:sz="0" w:space="0" w:color="auto"/>
      </w:divBdr>
      <w:divsChild>
        <w:div w:id="1940408309">
          <w:marLeft w:val="0"/>
          <w:marRight w:val="0"/>
          <w:marTop w:val="0"/>
          <w:marBottom w:val="0"/>
          <w:divBdr>
            <w:top w:val="none" w:sz="0" w:space="0" w:color="auto"/>
            <w:left w:val="none" w:sz="0" w:space="0" w:color="auto"/>
            <w:bottom w:val="none" w:sz="0" w:space="0" w:color="auto"/>
            <w:right w:val="none" w:sz="0" w:space="0" w:color="auto"/>
          </w:divBdr>
        </w:div>
      </w:divsChild>
    </w:div>
    <w:div w:id="726681211">
      <w:marLeft w:val="0"/>
      <w:marRight w:val="0"/>
      <w:marTop w:val="0"/>
      <w:marBottom w:val="0"/>
      <w:divBdr>
        <w:top w:val="none" w:sz="0" w:space="0" w:color="auto"/>
        <w:left w:val="none" w:sz="0" w:space="0" w:color="auto"/>
        <w:bottom w:val="none" w:sz="0" w:space="0" w:color="auto"/>
        <w:right w:val="none" w:sz="0" w:space="0" w:color="auto"/>
      </w:divBdr>
      <w:divsChild>
        <w:div w:id="7175698">
          <w:marLeft w:val="0"/>
          <w:marRight w:val="0"/>
          <w:marTop w:val="0"/>
          <w:marBottom w:val="0"/>
          <w:divBdr>
            <w:top w:val="none" w:sz="0" w:space="0" w:color="auto"/>
            <w:left w:val="none" w:sz="0" w:space="0" w:color="auto"/>
            <w:bottom w:val="none" w:sz="0" w:space="0" w:color="auto"/>
            <w:right w:val="none" w:sz="0" w:space="0" w:color="auto"/>
          </w:divBdr>
        </w:div>
      </w:divsChild>
    </w:div>
    <w:div w:id="726759929">
      <w:marLeft w:val="0"/>
      <w:marRight w:val="0"/>
      <w:marTop w:val="0"/>
      <w:marBottom w:val="0"/>
      <w:divBdr>
        <w:top w:val="none" w:sz="0" w:space="0" w:color="auto"/>
        <w:left w:val="none" w:sz="0" w:space="0" w:color="auto"/>
        <w:bottom w:val="none" w:sz="0" w:space="0" w:color="auto"/>
        <w:right w:val="none" w:sz="0" w:space="0" w:color="auto"/>
      </w:divBdr>
      <w:divsChild>
        <w:div w:id="1259144090">
          <w:marLeft w:val="0"/>
          <w:marRight w:val="0"/>
          <w:marTop w:val="0"/>
          <w:marBottom w:val="0"/>
          <w:divBdr>
            <w:top w:val="none" w:sz="0" w:space="0" w:color="auto"/>
            <w:left w:val="none" w:sz="0" w:space="0" w:color="auto"/>
            <w:bottom w:val="none" w:sz="0" w:space="0" w:color="auto"/>
            <w:right w:val="none" w:sz="0" w:space="0" w:color="auto"/>
          </w:divBdr>
        </w:div>
      </w:divsChild>
    </w:div>
    <w:div w:id="730888821">
      <w:marLeft w:val="0"/>
      <w:marRight w:val="0"/>
      <w:marTop w:val="0"/>
      <w:marBottom w:val="0"/>
      <w:divBdr>
        <w:top w:val="none" w:sz="0" w:space="0" w:color="auto"/>
        <w:left w:val="none" w:sz="0" w:space="0" w:color="auto"/>
        <w:bottom w:val="none" w:sz="0" w:space="0" w:color="auto"/>
        <w:right w:val="none" w:sz="0" w:space="0" w:color="auto"/>
      </w:divBdr>
      <w:divsChild>
        <w:div w:id="510098809">
          <w:marLeft w:val="0"/>
          <w:marRight w:val="0"/>
          <w:marTop w:val="0"/>
          <w:marBottom w:val="0"/>
          <w:divBdr>
            <w:top w:val="none" w:sz="0" w:space="0" w:color="auto"/>
            <w:left w:val="none" w:sz="0" w:space="0" w:color="auto"/>
            <w:bottom w:val="none" w:sz="0" w:space="0" w:color="auto"/>
            <w:right w:val="none" w:sz="0" w:space="0" w:color="auto"/>
          </w:divBdr>
        </w:div>
      </w:divsChild>
    </w:div>
    <w:div w:id="731200296">
      <w:bodyDiv w:val="1"/>
      <w:marLeft w:val="0"/>
      <w:marRight w:val="0"/>
      <w:marTop w:val="0"/>
      <w:marBottom w:val="0"/>
      <w:divBdr>
        <w:top w:val="none" w:sz="0" w:space="0" w:color="auto"/>
        <w:left w:val="none" w:sz="0" w:space="0" w:color="auto"/>
        <w:bottom w:val="none" w:sz="0" w:space="0" w:color="auto"/>
        <w:right w:val="none" w:sz="0" w:space="0" w:color="auto"/>
      </w:divBdr>
    </w:div>
    <w:div w:id="733117568">
      <w:marLeft w:val="0"/>
      <w:marRight w:val="0"/>
      <w:marTop w:val="0"/>
      <w:marBottom w:val="0"/>
      <w:divBdr>
        <w:top w:val="none" w:sz="0" w:space="0" w:color="auto"/>
        <w:left w:val="none" w:sz="0" w:space="0" w:color="auto"/>
        <w:bottom w:val="none" w:sz="0" w:space="0" w:color="auto"/>
        <w:right w:val="none" w:sz="0" w:space="0" w:color="auto"/>
      </w:divBdr>
      <w:divsChild>
        <w:div w:id="1456174453">
          <w:marLeft w:val="0"/>
          <w:marRight w:val="0"/>
          <w:marTop w:val="0"/>
          <w:marBottom w:val="0"/>
          <w:divBdr>
            <w:top w:val="none" w:sz="0" w:space="0" w:color="auto"/>
            <w:left w:val="none" w:sz="0" w:space="0" w:color="auto"/>
            <w:bottom w:val="none" w:sz="0" w:space="0" w:color="auto"/>
            <w:right w:val="none" w:sz="0" w:space="0" w:color="auto"/>
          </w:divBdr>
        </w:div>
      </w:divsChild>
    </w:div>
    <w:div w:id="738987651">
      <w:marLeft w:val="0"/>
      <w:marRight w:val="0"/>
      <w:marTop w:val="0"/>
      <w:marBottom w:val="0"/>
      <w:divBdr>
        <w:top w:val="none" w:sz="0" w:space="0" w:color="auto"/>
        <w:left w:val="none" w:sz="0" w:space="0" w:color="auto"/>
        <w:bottom w:val="none" w:sz="0" w:space="0" w:color="auto"/>
        <w:right w:val="none" w:sz="0" w:space="0" w:color="auto"/>
      </w:divBdr>
      <w:divsChild>
        <w:div w:id="924145768">
          <w:marLeft w:val="0"/>
          <w:marRight w:val="0"/>
          <w:marTop w:val="0"/>
          <w:marBottom w:val="0"/>
          <w:divBdr>
            <w:top w:val="none" w:sz="0" w:space="0" w:color="auto"/>
            <w:left w:val="none" w:sz="0" w:space="0" w:color="auto"/>
            <w:bottom w:val="none" w:sz="0" w:space="0" w:color="auto"/>
            <w:right w:val="none" w:sz="0" w:space="0" w:color="auto"/>
          </w:divBdr>
        </w:div>
      </w:divsChild>
    </w:div>
    <w:div w:id="741025051">
      <w:marLeft w:val="0"/>
      <w:marRight w:val="0"/>
      <w:marTop w:val="0"/>
      <w:marBottom w:val="0"/>
      <w:divBdr>
        <w:top w:val="none" w:sz="0" w:space="0" w:color="auto"/>
        <w:left w:val="none" w:sz="0" w:space="0" w:color="auto"/>
        <w:bottom w:val="none" w:sz="0" w:space="0" w:color="auto"/>
        <w:right w:val="none" w:sz="0" w:space="0" w:color="auto"/>
      </w:divBdr>
      <w:divsChild>
        <w:div w:id="567888198">
          <w:marLeft w:val="0"/>
          <w:marRight w:val="0"/>
          <w:marTop w:val="0"/>
          <w:marBottom w:val="0"/>
          <w:divBdr>
            <w:top w:val="none" w:sz="0" w:space="0" w:color="auto"/>
            <w:left w:val="none" w:sz="0" w:space="0" w:color="auto"/>
            <w:bottom w:val="none" w:sz="0" w:space="0" w:color="auto"/>
            <w:right w:val="none" w:sz="0" w:space="0" w:color="auto"/>
          </w:divBdr>
        </w:div>
      </w:divsChild>
    </w:div>
    <w:div w:id="743524369">
      <w:marLeft w:val="0"/>
      <w:marRight w:val="0"/>
      <w:marTop w:val="0"/>
      <w:marBottom w:val="0"/>
      <w:divBdr>
        <w:top w:val="none" w:sz="0" w:space="0" w:color="auto"/>
        <w:left w:val="none" w:sz="0" w:space="0" w:color="auto"/>
        <w:bottom w:val="none" w:sz="0" w:space="0" w:color="auto"/>
        <w:right w:val="none" w:sz="0" w:space="0" w:color="auto"/>
      </w:divBdr>
      <w:divsChild>
        <w:div w:id="1584606372">
          <w:marLeft w:val="0"/>
          <w:marRight w:val="0"/>
          <w:marTop w:val="0"/>
          <w:marBottom w:val="0"/>
          <w:divBdr>
            <w:top w:val="none" w:sz="0" w:space="0" w:color="auto"/>
            <w:left w:val="none" w:sz="0" w:space="0" w:color="auto"/>
            <w:bottom w:val="none" w:sz="0" w:space="0" w:color="auto"/>
            <w:right w:val="none" w:sz="0" w:space="0" w:color="auto"/>
          </w:divBdr>
        </w:div>
      </w:divsChild>
    </w:div>
    <w:div w:id="745566209">
      <w:marLeft w:val="0"/>
      <w:marRight w:val="0"/>
      <w:marTop w:val="0"/>
      <w:marBottom w:val="0"/>
      <w:divBdr>
        <w:top w:val="none" w:sz="0" w:space="0" w:color="auto"/>
        <w:left w:val="none" w:sz="0" w:space="0" w:color="auto"/>
        <w:bottom w:val="none" w:sz="0" w:space="0" w:color="auto"/>
        <w:right w:val="none" w:sz="0" w:space="0" w:color="auto"/>
      </w:divBdr>
      <w:divsChild>
        <w:div w:id="2066096492">
          <w:marLeft w:val="0"/>
          <w:marRight w:val="0"/>
          <w:marTop w:val="0"/>
          <w:marBottom w:val="0"/>
          <w:divBdr>
            <w:top w:val="none" w:sz="0" w:space="0" w:color="auto"/>
            <w:left w:val="none" w:sz="0" w:space="0" w:color="auto"/>
            <w:bottom w:val="none" w:sz="0" w:space="0" w:color="auto"/>
            <w:right w:val="none" w:sz="0" w:space="0" w:color="auto"/>
          </w:divBdr>
        </w:div>
      </w:divsChild>
    </w:div>
    <w:div w:id="751047959">
      <w:marLeft w:val="0"/>
      <w:marRight w:val="0"/>
      <w:marTop w:val="0"/>
      <w:marBottom w:val="0"/>
      <w:divBdr>
        <w:top w:val="none" w:sz="0" w:space="0" w:color="auto"/>
        <w:left w:val="none" w:sz="0" w:space="0" w:color="auto"/>
        <w:bottom w:val="none" w:sz="0" w:space="0" w:color="auto"/>
        <w:right w:val="none" w:sz="0" w:space="0" w:color="auto"/>
      </w:divBdr>
      <w:divsChild>
        <w:div w:id="719937510">
          <w:marLeft w:val="0"/>
          <w:marRight w:val="0"/>
          <w:marTop w:val="0"/>
          <w:marBottom w:val="0"/>
          <w:divBdr>
            <w:top w:val="none" w:sz="0" w:space="0" w:color="auto"/>
            <w:left w:val="none" w:sz="0" w:space="0" w:color="auto"/>
            <w:bottom w:val="none" w:sz="0" w:space="0" w:color="auto"/>
            <w:right w:val="none" w:sz="0" w:space="0" w:color="auto"/>
          </w:divBdr>
        </w:div>
      </w:divsChild>
    </w:div>
    <w:div w:id="751242054">
      <w:marLeft w:val="0"/>
      <w:marRight w:val="0"/>
      <w:marTop w:val="0"/>
      <w:marBottom w:val="0"/>
      <w:divBdr>
        <w:top w:val="none" w:sz="0" w:space="0" w:color="auto"/>
        <w:left w:val="none" w:sz="0" w:space="0" w:color="auto"/>
        <w:bottom w:val="none" w:sz="0" w:space="0" w:color="auto"/>
        <w:right w:val="none" w:sz="0" w:space="0" w:color="auto"/>
      </w:divBdr>
      <w:divsChild>
        <w:div w:id="626668489">
          <w:marLeft w:val="0"/>
          <w:marRight w:val="0"/>
          <w:marTop w:val="0"/>
          <w:marBottom w:val="0"/>
          <w:divBdr>
            <w:top w:val="none" w:sz="0" w:space="0" w:color="auto"/>
            <w:left w:val="none" w:sz="0" w:space="0" w:color="auto"/>
            <w:bottom w:val="none" w:sz="0" w:space="0" w:color="auto"/>
            <w:right w:val="none" w:sz="0" w:space="0" w:color="auto"/>
          </w:divBdr>
        </w:div>
      </w:divsChild>
    </w:div>
    <w:div w:id="755322358">
      <w:marLeft w:val="0"/>
      <w:marRight w:val="0"/>
      <w:marTop w:val="0"/>
      <w:marBottom w:val="0"/>
      <w:divBdr>
        <w:top w:val="none" w:sz="0" w:space="0" w:color="auto"/>
        <w:left w:val="none" w:sz="0" w:space="0" w:color="auto"/>
        <w:bottom w:val="none" w:sz="0" w:space="0" w:color="auto"/>
        <w:right w:val="none" w:sz="0" w:space="0" w:color="auto"/>
      </w:divBdr>
      <w:divsChild>
        <w:div w:id="1981155900">
          <w:marLeft w:val="0"/>
          <w:marRight w:val="0"/>
          <w:marTop w:val="0"/>
          <w:marBottom w:val="0"/>
          <w:divBdr>
            <w:top w:val="none" w:sz="0" w:space="0" w:color="auto"/>
            <w:left w:val="none" w:sz="0" w:space="0" w:color="auto"/>
            <w:bottom w:val="none" w:sz="0" w:space="0" w:color="auto"/>
            <w:right w:val="none" w:sz="0" w:space="0" w:color="auto"/>
          </w:divBdr>
        </w:div>
      </w:divsChild>
    </w:div>
    <w:div w:id="757167386">
      <w:marLeft w:val="0"/>
      <w:marRight w:val="0"/>
      <w:marTop w:val="0"/>
      <w:marBottom w:val="0"/>
      <w:divBdr>
        <w:top w:val="none" w:sz="0" w:space="0" w:color="auto"/>
        <w:left w:val="none" w:sz="0" w:space="0" w:color="auto"/>
        <w:bottom w:val="none" w:sz="0" w:space="0" w:color="auto"/>
        <w:right w:val="none" w:sz="0" w:space="0" w:color="auto"/>
      </w:divBdr>
      <w:divsChild>
        <w:div w:id="434832002">
          <w:marLeft w:val="0"/>
          <w:marRight w:val="0"/>
          <w:marTop w:val="0"/>
          <w:marBottom w:val="0"/>
          <w:divBdr>
            <w:top w:val="none" w:sz="0" w:space="0" w:color="auto"/>
            <w:left w:val="none" w:sz="0" w:space="0" w:color="auto"/>
            <w:bottom w:val="none" w:sz="0" w:space="0" w:color="auto"/>
            <w:right w:val="none" w:sz="0" w:space="0" w:color="auto"/>
          </w:divBdr>
        </w:div>
      </w:divsChild>
    </w:div>
    <w:div w:id="757412372">
      <w:bodyDiv w:val="1"/>
      <w:marLeft w:val="0"/>
      <w:marRight w:val="0"/>
      <w:marTop w:val="0"/>
      <w:marBottom w:val="0"/>
      <w:divBdr>
        <w:top w:val="none" w:sz="0" w:space="0" w:color="auto"/>
        <w:left w:val="none" w:sz="0" w:space="0" w:color="auto"/>
        <w:bottom w:val="none" w:sz="0" w:space="0" w:color="auto"/>
        <w:right w:val="none" w:sz="0" w:space="0" w:color="auto"/>
      </w:divBdr>
    </w:div>
    <w:div w:id="763576513">
      <w:marLeft w:val="0"/>
      <w:marRight w:val="0"/>
      <w:marTop w:val="0"/>
      <w:marBottom w:val="0"/>
      <w:divBdr>
        <w:top w:val="none" w:sz="0" w:space="0" w:color="auto"/>
        <w:left w:val="none" w:sz="0" w:space="0" w:color="auto"/>
        <w:bottom w:val="none" w:sz="0" w:space="0" w:color="auto"/>
        <w:right w:val="none" w:sz="0" w:space="0" w:color="auto"/>
      </w:divBdr>
      <w:divsChild>
        <w:div w:id="1954053997">
          <w:marLeft w:val="0"/>
          <w:marRight w:val="0"/>
          <w:marTop w:val="0"/>
          <w:marBottom w:val="0"/>
          <w:divBdr>
            <w:top w:val="none" w:sz="0" w:space="0" w:color="auto"/>
            <w:left w:val="none" w:sz="0" w:space="0" w:color="auto"/>
            <w:bottom w:val="none" w:sz="0" w:space="0" w:color="auto"/>
            <w:right w:val="none" w:sz="0" w:space="0" w:color="auto"/>
          </w:divBdr>
        </w:div>
      </w:divsChild>
    </w:div>
    <w:div w:id="764379123">
      <w:bodyDiv w:val="1"/>
      <w:marLeft w:val="0"/>
      <w:marRight w:val="0"/>
      <w:marTop w:val="0"/>
      <w:marBottom w:val="0"/>
      <w:divBdr>
        <w:top w:val="none" w:sz="0" w:space="0" w:color="auto"/>
        <w:left w:val="none" w:sz="0" w:space="0" w:color="auto"/>
        <w:bottom w:val="none" w:sz="0" w:space="0" w:color="auto"/>
        <w:right w:val="none" w:sz="0" w:space="0" w:color="auto"/>
      </w:divBdr>
    </w:div>
    <w:div w:id="774134209">
      <w:bodyDiv w:val="1"/>
      <w:marLeft w:val="0"/>
      <w:marRight w:val="0"/>
      <w:marTop w:val="0"/>
      <w:marBottom w:val="0"/>
      <w:divBdr>
        <w:top w:val="none" w:sz="0" w:space="0" w:color="auto"/>
        <w:left w:val="none" w:sz="0" w:space="0" w:color="auto"/>
        <w:bottom w:val="none" w:sz="0" w:space="0" w:color="auto"/>
        <w:right w:val="none" w:sz="0" w:space="0" w:color="auto"/>
      </w:divBdr>
    </w:div>
    <w:div w:id="774324431">
      <w:marLeft w:val="0"/>
      <w:marRight w:val="0"/>
      <w:marTop w:val="0"/>
      <w:marBottom w:val="0"/>
      <w:divBdr>
        <w:top w:val="none" w:sz="0" w:space="0" w:color="auto"/>
        <w:left w:val="none" w:sz="0" w:space="0" w:color="auto"/>
        <w:bottom w:val="none" w:sz="0" w:space="0" w:color="auto"/>
        <w:right w:val="none" w:sz="0" w:space="0" w:color="auto"/>
      </w:divBdr>
      <w:divsChild>
        <w:div w:id="1949042910">
          <w:marLeft w:val="0"/>
          <w:marRight w:val="0"/>
          <w:marTop w:val="0"/>
          <w:marBottom w:val="0"/>
          <w:divBdr>
            <w:top w:val="none" w:sz="0" w:space="0" w:color="auto"/>
            <w:left w:val="none" w:sz="0" w:space="0" w:color="auto"/>
            <w:bottom w:val="none" w:sz="0" w:space="0" w:color="auto"/>
            <w:right w:val="none" w:sz="0" w:space="0" w:color="auto"/>
          </w:divBdr>
        </w:div>
      </w:divsChild>
    </w:div>
    <w:div w:id="775249599">
      <w:bodyDiv w:val="1"/>
      <w:marLeft w:val="0"/>
      <w:marRight w:val="0"/>
      <w:marTop w:val="0"/>
      <w:marBottom w:val="0"/>
      <w:divBdr>
        <w:top w:val="none" w:sz="0" w:space="0" w:color="auto"/>
        <w:left w:val="none" w:sz="0" w:space="0" w:color="auto"/>
        <w:bottom w:val="none" w:sz="0" w:space="0" w:color="auto"/>
        <w:right w:val="none" w:sz="0" w:space="0" w:color="auto"/>
      </w:divBdr>
    </w:div>
    <w:div w:id="776945870">
      <w:marLeft w:val="0"/>
      <w:marRight w:val="0"/>
      <w:marTop w:val="0"/>
      <w:marBottom w:val="0"/>
      <w:divBdr>
        <w:top w:val="none" w:sz="0" w:space="0" w:color="auto"/>
        <w:left w:val="none" w:sz="0" w:space="0" w:color="auto"/>
        <w:bottom w:val="none" w:sz="0" w:space="0" w:color="auto"/>
        <w:right w:val="none" w:sz="0" w:space="0" w:color="auto"/>
      </w:divBdr>
      <w:divsChild>
        <w:div w:id="666177248">
          <w:marLeft w:val="0"/>
          <w:marRight w:val="0"/>
          <w:marTop w:val="0"/>
          <w:marBottom w:val="0"/>
          <w:divBdr>
            <w:top w:val="none" w:sz="0" w:space="0" w:color="auto"/>
            <w:left w:val="none" w:sz="0" w:space="0" w:color="auto"/>
            <w:bottom w:val="none" w:sz="0" w:space="0" w:color="auto"/>
            <w:right w:val="none" w:sz="0" w:space="0" w:color="auto"/>
          </w:divBdr>
        </w:div>
      </w:divsChild>
    </w:div>
    <w:div w:id="777412085">
      <w:marLeft w:val="0"/>
      <w:marRight w:val="0"/>
      <w:marTop w:val="0"/>
      <w:marBottom w:val="0"/>
      <w:divBdr>
        <w:top w:val="none" w:sz="0" w:space="0" w:color="auto"/>
        <w:left w:val="none" w:sz="0" w:space="0" w:color="auto"/>
        <w:bottom w:val="none" w:sz="0" w:space="0" w:color="auto"/>
        <w:right w:val="none" w:sz="0" w:space="0" w:color="auto"/>
      </w:divBdr>
      <w:divsChild>
        <w:div w:id="306908422">
          <w:marLeft w:val="0"/>
          <w:marRight w:val="0"/>
          <w:marTop w:val="0"/>
          <w:marBottom w:val="0"/>
          <w:divBdr>
            <w:top w:val="none" w:sz="0" w:space="0" w:color="auto"/>
            <w:left w:val="none" w:sz="0" w:space="0" w:color="auto"/>
            <w:bottom w:val="none" w:sz="0" w:space="0" w:color="auto"/>
            <w:right w:val="none" w:sz="0" w:space="0" w:color="auto"/>
          </w:divBdr>
        </w:div>
      </w:divsChild>
    </w:div>
    <w:div w:id="778528116">
      <w:marLeft w:val="0"/>
      <w:marRight w:val="0"/>
      <w:marTop w:val="0"/>
      <w:marBottom w:val="0"/>
      <w:divBdr>
        <w:top w:val="none" w:sz="0" w:space="0" w:color="auto"/>
        <w:left w:val="none" w:sz="0" w:space="0" w:color="auto"/>
        <w:bottom w:val="none" w:sz="0" w:space="0" w:color="auto"/>
        <w:right w:val="none" w:sz="0" w:space="0" w:color="auto"/>
      </w:divBdr>
      <w:divsChild>
        <w:div w:id="2051147547">
          <w:marLeft w:val="0"/>
          <w:marRight w:val="0"/>
          <w:marTop w:val="0"/>
          <w:marBottom w:val="0"/>
          <w:divBdr>
            <w:top w:val="none" w:sz="0" w:space="0" w:color="auto"/>
            <w:left w:val="none" w:sz="0" w:space="0" w:color="auto"/>
            <w:bottom w:val="none" w:sz="0" w:space="0" w:color="auto"/>
            <w:right w:val="none" w:sz="0" w:space="0" w:color="auto"/>
          </w:divBdr>
        </w:div>
      </w:divsChild>
    </w:div>
    <w:div w:id="784081543">
      <w:marLeft w:val="0"/>
      <w:marRight w:val="0"/>
      <w:marTop w:val="0"/>
      <w:marBottom w:val="0"/>
      <w:divBdr>
        <w:top w:val="none" w:sz="0" w:space="0" w:color="auto"/>
        <w:left w:val="none" w:sz="0" w:space="0" w:color="auto"/>
        <w:bottom w:val="none" w:sz="0" w:space="0" w:color="auto"/>
        <w:right w:val="none" w:sz="0" w:space="0" w:color="auto"/>
      </w:divBdr>
      <w:divsChild>
        <w:div w:id="122970610">
          <w:marLeft w:val="0"/>
          <w:marRight w:val="0"/>
          <w:marTop w:val="0"/>
          <w:marBottom w:val="0"/>
          <w:divBdr>
            <w:top w:val="none" w:sz="0" w:space="0" w:color="auto"/>
            <w:left w:val="none" w:sz="0" w:space="0" w:color="auto"/>
            <w:bottom w:val="none" w:sz="0" w:space="0" w:color="auto"/>
            <w:right w:val="none" w:sz="0" w:space="0" w:color="auto"/>
          </w:divBdr>
        </w:div>
      </w:divsChild>
    </w:div>
    <w:div w:id="784814553">
      <w:marLeft w:val="0"/>
      <w:marRight w:val="0"/>
      <w:marTop w:val="0"/>
      <w:marBottom w:val="0"/>
      <w:divBdr>
        <w:top w:val="none" w:sz="0" w:space="0" w:color="auto"/>
        <w:left w:val="none" w:sz="0" w:space="0" w:color="auto"/>
        <w:bottom w:val="none" w:sz="0" w:space="0" w:color="auto"/>
        <w:right w:val="none" w:sz="0" w:space="0" w:color="auto"/>
      </w:divBdr>
      <w:divsChild>
        <w:div w:id="1446189396">
          <w:marLeft w:val="0"/>
          <w:marRight w:val="0"/>
          <w:marTop w:val="0"/>
          <w:marBottom w:val="0"/>
          <w:divBdr>
            <w:top w:val="none" w:sz="0" w:space="0" w:color="auto"/>
            <w:left w:val="none" w:sz="0" w:space="0" w:color="auto"/>
            <w:bottom w:val="none" w:sz="0" w:space="0" w:color="auto"/>
            <w:right w:val="none" w:sz="0" w:space="0" w:color="auto"/>
          </w:divBdr>
        </w:div>
      </w:divsChild>
    </w:div>
    <w:div w:id="786891720">
      <w:marLeft w:val="0"/>
      <w:marRight w:val="0"/>
      <w:marTop w:val="0"/>
      <w:marBottom w:val="0"/>
      <w:divBdr>
        <w:top w:val="none" w:sz="0" w:space="0" w:color="auto"/>
        <w:left w:val="none" w:sz="0" w:space="0" w:color="auto"/>
        <w:bottom w:val="none" w:sz="0" w:space="0" w:color="auto"/>
        <w:right w:val="none" w:sz="0" w:space="0" w:color="auto"/>
      </w:divBdr>
      <w:divsChild>
        <w:div w:id="1232811500">
          <w:marLeft w:val="0"/>
          <w:marRight w:val="0"/>
          <w:marTop w:val="0"/>
          <w:marBottom w:val="0"/>
          <w:divBdr>
            <w:top w:val="none" w:sz="0" w:space="0" w:color="auto"/>
            <w:left w:val="none" w:sz="0" w:space="0" w:color="auto"/>
            <w:bottom w:val="none" w:sz="0" w:space="0" w:color="auto"/>
            <w:right w:val="none" w:sz="0" w:space="0" w:color="auto"/>
          </w:divBdr>
        </w:div>
      </w:divsChild>
    </w:div>
    <w:div w:id="788546113">
      <w:marLeft w:val="0"/>
      <w:marRight w:val="150"/>
      <w:marTop w:val="0"/>
      <w:marBottom w:val="0"/>
      <w:divBdr>
        <w:top w:val="none" w:sz="0" w:space="0" w:color="auto"/>
        <w:left w:val="none" w:sz="0" w:space="0" w:color="auto"/>
        <w:bottom w:val="none" w:sz="0" w:space="0" w:color="auto"/>
        <w:right w:val="none" w:sz="0" w:space="0" w:color="auto"/>
      </w:divBdr>
      <w:divsChild>
        <w:div w:id="958023329">
          <w:marLeft w:val="0"/>
          <w:marRight w:val="150"/>
          <w:marTop w:val="0"/>
          <w:marBottom w:val="0"/>
          <w:divBdr>
            <w:top w:val="none" w:sz="0" w:space="0" w:color="auto"/>
            <w:left w:val="none" w:sz="0" w:space="0" w:color="auto"/>
            <w:bottom w:val="none" w:sz="0" w:space="0" w:color="auto"/>
            <w:right w:val="none" w:sz="0" w:space="0" w:color="auto"/>
          </w:divBdr>
        </w:div>
      </w:divsChild>
    </w:div>
    <w:div w:id="791363175">
      <w:bodyDiv w:val="1"/>
      <w:marLeft w:val="0"/>
      <w:marRight w:val="0"/>
      <w:marTop w:val="0"/>
      <w:marBottom w:val="0"/>
      <w:divBdr>
        <w:top w:val="none" w:sz="0" w:space="0" w:color="auto"/>
        <w:left w:val="none" w:sz="0" w:space="0" w:color="auto"/>
        <w:bottom w:val="none" w:sz="0" w:space="0" w:color="auto"/>
        <w:right w:val="none" w:sz="0" w:space="0" w:color="auto"/>
      </w:divBdr>
    </w:div>
    <w:div w:id="792405425">
      <w:marLeft w:val="0"/>
      <w:marRight w:val="0"/>
      <w:marTop w:val="0"/>
      <w:marBottom w:val="0"/>
      <w:divBdr>
        <w:top w:val="none" w:sz="0" w:space="0" w:color="auto"/>
        <w:left w:val="none" w:sz="0" w:space="0" w:color="auto"/>
        <w:bottom w:val="none" w:sz="0" w:space="0" w:color="auto"/>
        <w:right w:val="none" w:sz="0" w:space="0" w:color="auto"/>
      </w:divBdr>
      <w:divsChild>
        <w:div w:id="608782993">
          <w:marLeft w:val="0"/>
          <w:marRight w:val="0"/>
          <w:marTop w:val="0"/>
          <w:marBottom w:val="0"/>
          <w:divBdr>
            <w:top w:val="none" w:sz="0" w:space="0" w:color="auto"/>
            <w:left w:val="none" w:sz="0" w:space="0" w:color="auto"/>
            <w:bottom w:val="none" w:sz="0" w:space="0" w:color="auto"/>
            <w:right w:val="none" w:sz="0" w:space="0" w:color="auto"/>
          </w:divBdr>
        </w:div>
      </w:divsChild>
    </w:div>
    <w:div w:id="792595204">
      <w:bodyDiv w:val="1"/>
      <w:marLeft w:val="0"/>
      <w:marRight w:val="0"/>
      <w:marTop w:val="0"/>
      <w:marBottom w:val="0"/>
      <w:divBdr>
        <w:top w:val="none" w:sz="0" w:space="0" w:color="auto"/>
        <w:left w:val="none" w:sz="0" w:space="0" w:color="auto"/>
        <w:bottom w:val="none" w:sz="0" w:space="0" w:color="auto"/>
        <w:right w:val="none" w:sz="0" w:space="0" w:color="auto"/>
      </w:divBdr>
    </w:div>
    <w:div w:id="792674060">
      <w:marLeft w:val="0"/>
      <w:marRight w:val="0"/>
      <w:marTop w:val="0"/>
      <w:marBottom w:val="0"/>
      <w:divBdr>
        <w:top w:val="none" w:sz="0" w:space="0" w:color="auto"/>
        <w:left w:val="none" w:sz="0" w:space="0" w:color="auto"/>
        <w:bottom w:val="none" w:sz="0" w:space="0" w:color="auto"/>
        <w:right w:val="none" w:sz="0" w:space="0" w:color="auto"/>
      </w:divBdr>
      <w:divsChild>
        <w:div w:id="1120226150">
          <w:marLeft w:val="0"/>
          <w:marRight w:val="0"/>
          <w:marTop w:val="0"/>
          <w:marBottom w:val="0"/>
          <w:divBdr>
            <w:top w:val="none" w:sz="0" w:space="0" w:color="auto"/>
            <w:left w:val="none" w:sz="0" w:space="0" w:color="auto"/>
            <w:bottom w:val="none" w:sz="0" w:space="0" w:color="auto"/>
            <w:right w:val="none" w:sz="0" w:space="0" w:color="auto"/>
          </w:divBdr>
        </w:div>
      </w:divsChild>
    </w:div>
    <w:div w:id="794376119">
      <w:bodyDiv w:val="1"/>
      <w:marLeft w:val="0"/>
      <w:marRight w:val="0"/>
      <w:marTop w:val="0"/>
      <w:marBottom w:val="0"/>
      <w:divBdr>
        <w:top w:val="none" w:sz="0" w:space="0" w:color="auto"/>
        <w:left w:val="none" w:sz="0" w:space="0" w:color="auto"/>
        <w:bottom w:val="none" w:sz="0" w:space="0" w:color="auto"/>
        <w:right w:val="none" w:sz="0" w:space="0" w:color="auto"/>
      </w:divBdr>
    </w:div>
    <w:div w:id="795224594">
      <w:bodyDiv w:val="1"/>
      <w:marLeft w:val="0"/>
      <w:marRight w:val="0"/>
      <w:marTop w:val="0"/>
      <w:marBottom w:val="0"/>
      <w:divBdr>
        <w:top w:val="none" w:sz="0" w:space="0" w:color="auto"/>
        <w:left w:val="none" w:sz="0" w:space="0" w:color="auto"/>
        <w:bottom w:val="none" w:sz="0" w:space="0" w:color="auto"/>
        <w:right w:val="none" w:sz="0" w:space="0" w:color="auto"/>
      </w:divBdr>
    </w:div>
    <w:div w:id="796721901">
      <w:marLeft w:val="0"/>
      <w:marRight w:val="0"/>
      <w:marTop w:val="0"/>
      <w:marBottom w:val="0"/>
      <w:divBdr>
        <w:top w:val="none" w:sz="0" w:space="0" w:color="auto"/>
        <w:left w:val="none" w:sz="0" w:space="0" w:color="auto"/>
        <w:bottom w:val="none" w:sz="0" w:space="0" w:color="auto"/>
        <w:right w:val="none" w:sz="0" w:space="0" w:color="auto"/>
      </w:divBdr>
      <w:divsChild>
        <w:div w:id="104812054">
          <w:marLeft w:val="0"/>
          <w:marRight w:val="0"/>
          <w:marTop w:val="0"/>
          <w:marBottom w:val="0"/>
          <w:divBdr>
            <w:top w:val="none" w:sz="0" w:space="0" w:color="auto"/>
            <w:left w:val="none" w:sz="0" w:space="0" w:color="auto"/>
            <w:bottom w:val="none" w:sz="0" w:space="0" w:color="auto"/>
            <w:right w:val="none" w:sz="0" w:space="0" w:color="auto"/>
          </w:divBdr>
        </w:div>
      </w:divsChild>
    </w:div>
    <w:div w:id="807867194">
      <w:bodyDiv w:val="1"/>
      <w:marLeft w:val="0"/>
      <w:marRight w:val="0"/>
      <w:marTop w:val="0"/>
      <w:marBottom w:val="0"/>
      <w:divBdr>
        <w:top w:val="none" w:sz="0" w:space="0" w:color="auto"/>
        <w:left w:val="none" w:sz="0" w:space="0" w:color="auto"/>
        <w:bottom w:val="none" w:sz="0" w:space="0" w:color="auto"/>
        <w:right w:val="none" w:sz="0" w:space="0" w:color="auto"/>
      </w:divBdr>
    </w:div>
    <w:div w:id="808744526">
      <w:bodyDiv w:val="1"/>
      <w:marLeft w:val="0"/>
      <w:marRight w:val="0"/>
      <w:marTop w:val="0"/>
      <w:marBottom w:val="0"/>
      <w:divBdr>
        <w:top w:val="none" w:sz="0" w:space="0" w:color="auto"/>
        <w:left w:val="none" w:sz="0" w:space="0" w:color="auto"/>
        <w:bottom w:val="none" w:sz="0" w:space="0" w:color="auto"/>
        <w:right w:val="none" w:sz="0" w:space="0" w:color="auto"/>
      </w:divBdr>
      <w:divsChild>
        <w:div w:id="1709334352">
          <w:marLeft w:val="0"/>
          <w:marRight w:val="0"/>
          <w:marTop w:val="0"/>
          <w:marBottom w:val="0"/>
          <w:divBdr>
            <w:top w:val="none" w:sz="0" w:space="0" w:color="auto"/>
            <w:left w:val="none" w:sz="0" w:space="0" w:color="auto"/>
            <w:bottom w:val="none" w:sz="0" w:space="0" w:color="auto"/>
            <w:right w:val="none" w:sz="0" w:space="0" w:color="auto"/>
          </w:divBdr>
          <w:divsChild>
            <w:div w:id="1528984370">
              <w:marLeft w:val="0"/>
              <w:marRight w:val="0"/>
              <w:marTop w:val="0"/>
              <w:marBottom w:val="0"/>
              <w:divBdr>
                <w:top w:val="none" w:sz="0" w:space="0" w:color="auto"/>
                <w:left w:val="none" w:sz="0" w:space="0" w:color="auto"/>
                <w:bottom w:val="none" w:sz="0" w:space="0" w:color="auto"/>
                <w:right w:val="none" w:sz="0" w:space="0" w:color="auto"/>
              </w:divBdr>
            </w:div>
            <w:div w:id="1799645051">
              <w:marLeft w:val="0"/>
              <w:marRight w:val="0"/>
              <w:marTop w:val="0"/>
              <w:marBottom w:val="0"/>
              <w:divBdr>
                <w:top w:val="none" w:sz="0" w:space="0" w:color="auto"/>
                <w:left w:val="none" w:sz="0" w:space="0" w:color="auto"/>
                <w:bottom w:val="none" w:sz="0" w:space="0" w:color="auto"/>
                <w:right w:val="none" w:sz="0" w:space="0" w:color="auto"/>
              </w:divBdr>
            </w:div>
            <w:div w:id="1984313468">
              <w:marLeft w:val="0"/>
              <w:marRight w:val="0"/>
              <w:marTop w:val="0"/>
              <w:marBottom w:val="0"/>
              <w:divBdr>
                <w:top w:val="none" w:sz="0" w:space="0" w:color="auto"/>
                <w:left w:val="none" w:sz="0" w:space="0" w:color="auto"/>
                <w:bottom w:val="none" w:sz="0" w:space="0" w:color="auto"/>
                <w:right w:val="none" w:sz="0" w:space="0" w:color="auto"/>
              </w:divBdr>
            </w:div>
            <w:div w:id="2026595131">
              <w:marLeft w:val="0"/>
              <w:marRight w:val="0"/>
              <w:marTop w:val="0"/>
              <w:marBottom w:val="0"/>
              <w:divBdr>
                <w:top w:val="none" w:sz="0" w:space="0" w:color="auto"/>
                <w:left w:val="none" w:sz="0" w:space="0" w:color="auto"/>
                <w:bottom w:val="none" w:sz="0" w:space="0" w:color="auto"/>
                <w:right w:val="none" w:sz="0" w:space="0" w:color="auto"/>
              </w:divBdr>
            </w:div>
            <w:div w:id="2080901039">
              <w:marLeft w:val="0"/>
              <w:marRight w:val="0"/>
              <w:marTop w:val="0"/>
              <w:marBottom w:val="0"/>
              <w:divBdr>
                <w:top w:val="none" w:sz="0" w:space="0" w:color="auto"/>
                <w:left w:val="none" w:sz="0" w:space="0" w:color="auto"/>
                <w:bottom w:val="none" w:sz="0" w:space="0" w:color="auto"/>
                <w:right w:val="none" w:sz="0" w:space="0" w:color="auto"/>
              </w:divBdr>
            </w:div>
            <w:div w:id="1301694964">
              <w:marLeft w:val="0"/>
              <w:marRight w:val="0"/>
              <w:marTop w:val="0"/>
              <w:marBottom w:val="0"/>
              <w:divBdr>
                <w:top w:val="none" w:sz="0" w:space="0" w:color="auto"/>
                <w:left w:val="none" w:sz="0" w:space="0" w:color="auto"/>
                <w:bottom w:val="none" w:sz="0" w:space="0" w:color="auto"/>
                <w:right w:val="none" w:sz="0" w:space="0" w:color="auto"/>
              </w:divBdr>
            </w:div>
            <w:div w:id="872424085">
              <w:marLeft w:val="0"/>
              <w:marRight w:val="0"/>
              <w:marTop w:val="0"/>
              <w:marBottom w:val="0"/>
              <w:divBdr>
                <w:top w:val="none" w:sz="0" w:space="0" w:color="auto"/>
                <w:left w:val="none" w:sz="0" w:space="0" w:color="auto"/>
                <w:bottom w:val="none" w:sz="0" w:space="0" w:color="auto"/>
                <w:right w:val="none" w:sz="0" w:space="0" w:color="auto"/>
              </w:divBdr>
            </w:div>
            <w:div w:id="807015789">
              <w:marLeft w:val="0"/>
              <w:marRight w:val="0"/>
              <w:marTop w:val="0"/>
              <w:marBottom w:val="0"/>
              <w:divBdr>
                <w:top w:val="none" w:sz="0" w:space="0" w:color="auto"/>
                <w:left w:val="none" w:sz="0" w:space="0" w:color="auto"/>
                <w:bottom w:val="none" w:sz="0" w:space="0" w:color="auto"/>
                <w:right w:val="none" w:sz="0" w:space="0" w:color="auto"/>
              </w:divBdr>
            </w:div>
            <w:div w:id="193932422">
              <w:marLeft w:val="0"/>
              <w:marRight w:val="0"/>
              <w:marTop w:val="0"/>
              <w:marBottom w:val="0"/>
              <w:divBdr>
                <w:top w:val="none" w:sz="0" w:space="0" w:color="auto"/>
                <w:left w:val="none" w:sz="0" w:space="0" w:color="auto"/>
                <w:bottom w:val="none" w:sz="0" w:space="0" w:color="auto"/>
                <w:right w:val="none" w:sz="0" w:space="0" w:color="auto"/>
              </w:divBdr>
            </w:div>
            <w:div w:id="441728762">
              <w:marLeft w:val="0"/>
              <w:marRight w:val="0"/>
              <w:marTop w:val="0"/>
              <w:marBottom w:val="0"/>
              <w:divBdr>
                <w:top w:val="none" w:sz="0" w:space="0" w:color="auto"/>
                <w:left w:val="none" w:sz="0" w:space="0" w:color="auto"/>
                <w:bottom w:val="none" w:sz="0" w:space="0" w:color="auto"/>
                <w:right w:val="none" w:sz="0" w:space="0" w:color="auto"/>
              </w:divBdr>
            </w:div>
            <w:div w:id="521943689">
              <w:marLeft w:val="0"/>
              <w:marRight w:val="0"/>
              <w:marTop w:val="0"/>
              <w:marBottom w:val="0"/>
              <w:divBdr>
                <w:top w:val="none" w:sz="0" w:space="0" w:color="auto"/>
                <w:left w:val="none" w:sz="0" w:space="0" w:color="auto"/>
                <w:bottom w:val="none" w:sz="0" w:space="0" w:color="auto"/>
                <w:right w:val="none" w:sz="0" w:space="0" w:color="auto"/>
              </w:divBdr>
            </w:div>
            <w:div w:id="686565568">
              <w:marLeft w:val="0"/>
              <w:marRight w:val="0"/>
              <w:marTop w:val="0"/>
              <w:marBottom w:val="0"/>
              <w:divBdr>
                <w:top w:val="none" w:sz="0" w:space="0" w:color="auto"/>
                <w:left w:val="none" w:sz="0" w:space="0" w:color="auto"/>
                <w:bottom w:val="none" w:sz="0" w:space="0" w:color="auto"/>
                <w:right w:val="none" w:sz="0" w:space="0" w:color="auto"/>
              </w:divBdr>
            </w:div>
            <w:div w:id="1884708323">
              <w:marLeft w:val="0"/>
              <w:marRight w:val="0"/>
              <w:marTop w:val="0"/>
              <w:marBottom w:val="0"/>
              <w:divBdr>
                <w:top w:val="none" w:sz="0" w:space="0" w:color="auto"/>
                <w:left w:val="none" w:sz="0" w:space="0" w:color="auto"/>
                <w:bottom w:val="none" w:sz="0" w:space="0" w:color="auto"/>
                <w:right w:val="none" w:sz="0" w:space="0" w:color="auto"/>
              </w:divBdr>
            </w:div>
            <w:div w:id="1609695856">
              <w:marLeft w:val="0"/>
              <w:marRight w:val="0"/>
              <w:marTop w:val="0"/>
              <w:marBottom w:val="0"/>
              <w:divBdr>
                <w:top w:val="none" w:sz="0" w:space="0" w:color="auto"/>
                <w:left w:val="none" w:sz="0" w:space="0" w:color="auto"/>
                <w:bottom w:val="none" w:sz="0" w:space="0" w:color="auto"/>
                <w:right w:val="none" w:sz="0" w:space="0" w:color="auto"/>
              </w:divBdr>
            </w:div>
            <w:div w:id="167909923">
              <w:marLeft w:val="0"/>
              <w:marRight w:val="0"/>
              <w:marTop w:val="0"/>
              <w:marBottom w:val="0"/>
              <w:divBdr>
                <w:top w:val="none" w:sz="0" w:space="0" w:color="auto"/>
                <w:left w:val="none" w:sz="0" w:space="0" w:color="auto"/>
                <w:bottom w:val="none" w:sz="0" w:space="0" w:color="auto"/>
                <w:right w:val="none" w:sz="0" w:space="0" w:color="auto"/>
              </w:divBdr>
            </w:div>
            <w:div w:id="1354260454">
              <w:marLeft w:val="0"/>
              <w:marRight w:val="0"/>
              <w:marTop w:val="0"/>
              <w:marBottom w:val="0"/>
              <w:divBdr>
                <w:top w:val="none" w:sz="0" w:space="0" w:color="auto"/>
                <w:left w:val="none" w:sz="0" w:space="0" w:color="auto"/>
                <w:bottom w:val="none" w:sz="0" w:space="0" w:color="auto"/>
                <w:right w:val="none" w:sz="0" w:space="0" w:color="auto"/>
              </w:divBdr>
            </w:div>
            <w:div w:id="225148582">
              <w:marLeft w:val="0"/>
              <w:marRight w:val="0"/>
              <w:marTop w:val="0"/>
              <w:marBottom w:val="0"/>
              <w:divBdr>
                <w:top w:val="none" w:sz="0" w:space="0" w:color="auto"/>
                <w:left w:val="none" w:sz="0" w:space="0" w:color="auto"/>
                <w:bottom w:val="none" w:sz="0" w:space="0" w:color="auto"/>
                <w:right w:val="none" w:sz="0" w:space="0" w:color="auto"/>
              </w:divBdr>
            </w:div>
            <w:div w:id="1679886720">
              <w:marLeft w:val="0"/>
              <w:marRight w:val="0"/>
              <w:marTop w:val="0"/>
              <w:marBottom w:val="0"/>
              <w:divBdr>
                <w:top w:val="none" w:sz="0" w:space="0" w:color="auto"/>
                <w:left w:val="none" w:sz="0" w:space="0" w:color="auto"/>
                <w:bottom w:val="none" w:sz="0" w:space="0" w:color="auto"/>
                <w:right w:val="none" w:sz="0" w:space="0" w:color="auto"/>
              </w:divBdr>
            </w:div>
            <w:div w:id="152189170">
              <w:marLeft w:val="0"/>
              <w:marRight w:val="0"/>
              <w:marTop w:val="0"/>
              <w:marBottom w:val="0"/>
              <w:divBdr>
                <w:top w:val="none" w:sz="0" w:space="0" w:color="auto"/>
                <w:left w:val="none" w:sz="0" w:space="0" w:color="auto"/>
                <w:bottom w:val="none" w:sz="0" w:space="0" w:color="auto"/>
                <w:right w:val="none" w:sz="0" w:space="0" w:color="auto"/>
              </w:divBdr>
            </w:div>
            <w:div w:id="975986370">
              <w:marLeft w:val="0"/>
              <w:marRight w:val="0"/>
              <w:marTop w:val="0"/>
              <w:marBottom w:val="0"/>
              <w:divBdr>
                <w:top w:val="none" w:sz="0" w:space="0" w:color="auto"/>
                <w:left w:val="none" w:sz="0" w:space="0" w:color="auto"/>
                <w:bottom w:val="none" w:sz="0" w:space="0" w:color="auto"/>
                <w:right w:val="none" w:sz="0" w:space="0" w:color="auto"/>
              </w:divBdr>
            </w:div>
            <w:div w:id="12651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166">
      <w:marLeft w:val="0"/>
      <w:marRight w:val="0"/>
      <w:marTop w:val="0"/>
      <w:marBottom w:val="0"/>
      <w:divBdr>
        <w:top w:val="none" w:sz="0" w:space="0" w:color="auto"/>
        <w:left w:val="none" w:sz="0" w:space="0" w:color="auto"/>
        <w:bottom w:val="none" w:sz="0" w:space="0" w:color="auto"/>
        <w:right w:val="none" w:sz="0" w:space="0" w:color="auto"/>
      </w:divBdr>
      <w:divsChild>
        <w:div w:id="356934614">
          <w:marLeft w:val="0"/>
          <w:marRight w:val="0"/>
          <w:marTop w:val="0"/>
          <w:marBottom w:val="0"/>
          <w:divBdr>
            <w:top w:val="none" w:sz="0" w:space="0" w:color="auto"/>
            <w:left w:val="none" w:sz="0" w:space="0" w:color="auto"/>
            <w:bottom w:val="none" w:sz="0" w:space="0" w:color="auto"/>
            <w:right w:val="none" w:sz="0" w:space="0" w:color="auto"/>
          </w:divBdr>
        </w:div>
      </w:divsChild>
    </w:div>
    <w:div w:id="809980406">
      <w:marLeft w:val="0"/>
      <w:marRight w:val="0"/>
      <w:marTop w:val="0"/>
      <w:marBottom w:val="0"/>
      <w:divBdr>
        <w:top w:val="none" w:sz="0" w:space="0" w:color="auto"/>
        <w:left w:val="none" w:sz="0" w:space="0" w:color="auto"/>
        <w:bottom w:val="none" w:sz="0" w:space="0" w:color="auto"/>
        <w:right w:val="none" w:sz="0" w:space="0" w:color="auto"/>
      </w:divBdr>
      <w:divsChild>
        <w:div w:id="2024160465">
          <w:marLeft w:val="0"/>
          <w:marRight w:val="0"/>
          <w:marTop w:val="0"/>
          <w:marBottom w:val="0"/>
          <w:divBdr>
            <w:top w:val="none" w:sz="0" w:space="0" w:color="auto"/>
            <w:left w:val="none" w:sz="0" w:space="0" w:color="auto"/>
            <w:bottom w:val="none" w:sz="0" w:space="0" w:color="auto"/>
            <w:right w:val="none" w:sz="0" w:space="0" w:color="auto"/>
          </w:divBdr>
        </w:div>
      </w:divsChild>
    </w:div>
    <w:div w:id="810368930">
      <w:marLeft w:val="0"/>
      <w:marRight w:val="0"/>
      <w:marTop w:val="0"/>
      <w:marBottom w:val="0"/>
      <w:divBdr>
        <w:top w:val="none" w:sz="0" w:space="0" w:color="auto"/>
        <w:left w:val="none" w:sz="0" w:space="0" w:color="auto"/>
        <w:bottom w:val="none" w:sz="0" w:space="0" w:color="auto"/>
        <w:right w:val="none" w:sz="0" w:space="0" w:color="auto"/>
      </w:divBdr>
      <w:divsChild>
        <w:div w:id="665743382">
          <w:marLeft w:val="0"/>
          <w:marRight w:val="0"/>
          <w:marTop w:val="0"/>
          <w:marBottom w:val="0"/>
          <w:divBdr>
            <w:top w:val="none" w:sz="0" w:space="0" w:color="auto"/>
            <w:left w:val="none" w:sz="0" w:space="0" w:color="auto"/>
            <w:bottom w:val="none" w:sz="0" w:space="0" w:color="auto"/>
            <w:right w:val="none" w:sz="0" w:space="0" w:color="auto"/>
          </w:divBdr>
        </w:div>
      </w:divsChild>
    </w:div>
    <w:div w:id="815298904">
      <w:bodyDiv w:val="1"/>
      <w:marLeft w:val="0"/>
      <w:marRight w:val="0"/>
      <w:marTop w:val="0"/>
      <w:marBottom w:val="0"/>
      <w:divBdr>
        <w:top w:val="none" w:sz="0" w:space="0" w:color="auto"/>
        <w:left w:val="none" w:sz="0" w:space="0" w:color="auto"/>
        <w:bottom w:val="none" w:sz="0" w:space="0" w:color="auto"/>
        <w:right w:val="none" w:sz="0" w:space="0" w:color="auto"/>
      </w:divBdr>
    </w:div>
    <w:div w:id="816262331">
      <w:marLeft w:val="0"/>
      <w:marRight w:val="0"/>
      <w:marTop w:val="0"/>
      <w:marBottom w:val="0"/>
      <w:divBdr>
        <w:top w:val="none" w:sz="0" w:space="0" w:color="auto"/>
        <w:left w:val="none" w:sz="0" w:space="0" w:color="auto"/>
        <w:bottom w:val="none" w:sz="0" w:space="0" w:color="auto"/>
        <w:right w:val="none" w:sz="0" w:space="0" w:color="auto"/>
      </w:divBdr>
      <w:divsChild>
        <w:div w:id="543908472">
          <w:marLeft w:val="0"/>
          <w:marRight w:val="0"/>
          <w:marTop w:val="0"/>
          <w:marBottom w:val="0"/>
          <w:divBdr>
            <w:top w:val="none" w:sz="0" w:space="0" w:color="auto"/>
            <w:left w:val="none" w:sz="0" w:space="0" w:color="auto"/>
            <w:bottom w:val="none" w:sz="0" w:space="0" w:color="auto"/>
            <w:right w:val="none" w:sz="0" w:space="0" w:color="auto"/>
          </w:divBdr>
        </w:div>
      </w:divsChild>
    </w:div>
    <w:div w:id="817769778">
      <w:marLeft w:val="0"/>
      <w:marRight w:val="0"/>
      <w:marTop w:val="0"/>
      <w:marBottom w:val="0"/>
      <w:divBdr>
        <w:top w:val="none" w:sz="0" w:space="0" w:color="auto"/>
        <w:left w:val="none" w:sz="0" w:space="0" w:color="auto"/>
        <w:bottom w:val="none" w:sz="0" w:space="0" w:color="auto"/>
        <w:right w:val="none" w:sz="0" w:space="0" w:color="auto"/>
      </w:divBdr>
      <w:divsChild>
        <w:div w:id="1672946865">
          <w:marLeft w:val="0"/>
          <w:marRight w:val="0"/>
          <w:marTop w:val="0"/>
          <w:marBottom w:val="0"/>
          <w:divBdr>
            <w:top w:val="none" w:sz="0" w:space="0" w:color="auto"/>
            <w:left w:val="none" w:sz="0" w:space="0" w:color="auto"/>
            <w:bottom w:val="none" w:sz="0" w:space="0" w:color="auto"/>
            <w:right w:val="none" w:sz="0" w:space="0" w:color="auto"/>
          </w:divBdr>
        </w:div>
      </w:divsChild>
    </w:div>
    <w:div w:id="817964359">
      <w:bodyDiv w:val="1"/>
      <w:marLeft w:val="0"/>
      <w:marRight w:val="0"/>
      <w:marTop w:val="0"/>
      <w:marBottom w:val="0"/>
      <w:divBdr>
        <w:top w:val="none" w:sz="0" w:space="0" w:color="auto"/>
        <w:left w:val="none" w:sz="0" w:space="0" w:color="auto"/>
        <w:bottom w:val="none" w:sz="0" w:space="0" w:color="auto"/>
        <w:right w:val="none" w:sz="0" w:space="0" w:color="auto"/>
      </w:divBdr>
    </w:div>
    <w:div w:id="818614900">
      <w:bodyDiv w:val="1"/>
      <w:marLeft w:val="0"/>
      <w:marRight w:val="0"/>
      <w:marTop w:val="0"/>
      <w:marBottom w:val="0"/>
      <w:divBdr>
        <w:top w:val="none" w:sz="0" w:space="0" w:color="auto"/>
        <w:left w:val="none" w:sz="0" w:space="0" w:color="auto"/>
        <w:bottom w:val="none" w:sz="0" w:space="0" w:color="auto"/>
        <w:right w:val="none" w:sz="0" w:space="0" w:color="auto"/>
      </w:divBdr>
    </w:div>
    <w:div w:id="823473073">
      <w:marLeft w:val="0"/>
      <w:marRight w:val="0"/>
      <w:marTop w:val="0"/>
      <w:marBottom w:val="0"/>
      <w:divBdr>
        <w:top w:val="none" w:sz="0" w:space="0" w:color="auto"/>
        <w:left w:val="none" w:sz="0" w:space="0" w:color="auto"/>
        <w:bottom w:val="none" w:sz="0" w:space="0" w:color="auto"/>
        <w:right w:val="none" w:sz="0" w:space="0" w:color="auto"/>
      </w:divBdr>
      <w:divsChild>
        <w:div w:id="527959088">
          <w:marLeft w:val="0"/>
          <w:marRight w:val="0"/>
          <w:marTop w:val="0"/>
          <w:marBottom w:val="0"/>
          <w:divBdr>
            <w:top w:val="none" w:sz="0" w:space="0" w:color="auto"/>
            <w:left w:val="none" w:sz="0" w:space="0" w:color="auto"/>
            <w:bottom w:val="none" w:sz="0" w:space="0" w:color="auto"/>
            <w:right w:val="none" w:sz="0" w:space="0" w:color="auto"/>
          </w:divBdr>
        </w:div>
      </w:divsChild>
    </w:div>
    <w:div w:id="824127294">
      <w:marLeft w:val="0"/>
      <w:marRight w:val="0"/>
      <w:marTop w:val="0"/>
      <w:marBottom w:val="0"/>
      <w:divBdr>
        <w:top w:val="none" w:sz="0" w:space="0" w:color="auto"/>
        <w:left w:val="none" w:sz="0" w:space="0" w:color="auto"/>
        <w:bottom w:val="none" w:sz="0" w:space="0" w:color="auto"/>
        <w:right w:val="none" w:sz="0" w:space="0" w:color="auto"/>
      </w:divBdr>
      <w:divsChild>
        <w:div w:id="1907647923">
          <w:marLeft w:val="0"/>
          <w:marRight w:val="0"/>
          <w:marTop w:val="0"/>
          <w:marBottom w:val="0"/>
          <w:divBdr>
            <w:top w:val="none" w:sz="0" w:space="0" w:color="auto"/>
            <w:left w:val="none" w:sz="0" w:space="0" w:color="auto"/>
            <w:bottom w:val="none" w:sz="0" w:space="0" w:color="auto"/>
            <w:right w:val="none" w:sz="0" w:space="0" w:color="auto"/>
          </w:divBdr>
        </w:div>
      </w:divsChild>
    </w:div>
    <w:div w:id="824782916">
      <w:marLeft w:val="0"/>
      <w:marRight w:val="0"/>
      <w:marTop w:val="0"/>
      <w:marBottom w:val="0"/>
      <w:divBdr>
        <w:top w:val="none" w:sz="0" w:space="0" w:color="auto"/>
        <w:left w:val="none" w:sz="0" w:space="0" w:color="auto"/>
        <w:bottom w:val="none" w:sz="0" w:space="0" w:color="auto"/>
        <w:right w:val="none" w:sz="0" w:space="0" w:color="auto"/>
      </w:divBdr>
      <w:divsChild>
        <w:div w:id="1786995590">
          <w:marLeft w:val="0"/>
          <w:marRight w:val="0"/>
          <w:marTop w:val="0"/>
          <w:marBottom w:val="0"/>
          <w:divBdr>
            <w:top w:val="none" w:sz="0" w:space="0" w:color="auto"/>
            <w:left w:val="none" w:sz="0" w:space="0" w:color="auto"/>
            <w:bottom w:val="none" w:sz="0" w:space="0" w:color="auto"/>
            <w:right w:val="none" w:sz="0" w:space="0" w:color="auto"/>
          </w:divBdr>
        </w:div>
      </w:divsChild>
    </w:div>
    <w:div w:id="829062641">
      <w:bodyDiv w:val="1"/>
      <w:marLeft w:val="0"/>
      <w:marRight w:val="0"/>
      <w:marTop w:val="0"/>
      <w:marBottom w:val="0"/>
      <w:divBdr>
        <w:top w:val="none" w:sz="0" w:space="0" w:color="auto"/>
        <w:left w:val="none" w:sz="0" w:space="0" w:color="auto"/>
        <w:bottom w:val="none" w:sz="0" w:space="0" w:color="auto"/>
        <w:right w:val="none" w:sz="0" w:space="0" w:color="auto"/>
      </w:divBdr>
    </w:div>
    <w:div w:id="831798309">
      <w:marLeft w:val="0"/>
      <w:marRight w:val="0"/>
      <w:marTop w:val="0"/>
      <w:marBottom w:val="0"/>
      <w:divBdr>
        <w:top w:val="none" w:sz="0" w:space="0" w:color="auto"/>
        <w:left w:val="none" w:sz="0" w:space="0" w:color="auto"/>
        <w:bottom w:val="none" w:sz="0" w:space="0" w:color="auto"/>
        <w:right w:val="none" w:sz="0" w:space="0" w:color="auto"/>
      </w:divBdr>
      <w:divsChild>
        <w:div w:id="719279818">
          <w:marLeft w:val="0"/>
          <w:marRight w:val="0"/>
          <w:marTop w:val="0"/>
          <w:marBottom w:val="0"/>
          <w:divBdr>
            <w:top w:val="none" w:sz="0" w:space="0" w:color="auto"/>
            <w:left w:val="none" w:sz="0" w:space="0" w:color="auto"/>
            <w:bottom w:val="none" w:sz="0" w:space="0" w:color="auto"/>
            <w:right w:val="none" w:sz="0" w:space="0" w:color="auto"/>
          </w:divBdr>
        </w:div>
      </w:divsChild>
    </w:div>
    <w:div w:id="832839388">
      <w:bodyDiv w:val="1"/>
      <w:marLeft w:val="0"/>
      <w:marRight w:val="0"/>
      <w:marTop w:val="0"/>
      <w:marBottom w:val="0"/>
      <w:divBdr>
        <w:top w:val="none" w:sz="0" w:space="0" w:color="auto"/>
        <w:left w:val="none" w:sz="0" w:space="0" w:color="auto"/>
        <w:bottom w:val="none" w:sz="0" w:space="0" w:color="auto"/>
        <w:right w:val="none" w:sz="0" w:space="0" w:color="auto"/>
      </w:divBdr>
    </w:div>
    <w:div w:id="836070978">
      <w:marLeft w:val="0"/>
      <w:marRight w:val="0"/>
      <w:marTop w:val="0"/>
      <w:marBottom w:val="0"/>
      <w:divBdr>
        <w:top w:val="none" w:sz="0" w:space="0" w:color="auto"/>
        <w:left w:val="none" w:sz="0" w:space="0" w:color="auto"/>
        <w:bottom w:val="none" w:sz="0" w:space="0" w:color="auto"/>
        <w:right w:val="none" w:sz="0" w:space="0" w:color="auto"/>
      </w:divBdr>
      <w:divsChild>
        <w:div w:id="1570573137">
          <w:marLeft w:val="0"/>
          <w:marRight w:val="0"/>
          <w:marTop w:val="0"/>
          <w:marBottom w:val="0"/>
          <w:divBdr>
            <w:top w:val="none" w:sz="0" w:space="0" w:color="auto"/>
            <w:left w:val="none" w:sz="0" w:space="0" w:color="auto"/>
            <w:bottom w:val="none" w:sz="0" w:space="0" w:color="auto"/>
            <w:right w:val="none" w:sz="0" w:space="0" w:color="auto"/>
          </w:divBdr>
        </w:div>
      </w:divsChild>
    </w:div>
    <w:div w:id="836506631">
      <w:bodyDiv w:val="1"/>
      <w:marLeft w:val="0"/>
      <w:marRight w:val="0"/>
      <w:marTop w:val="0"/>
      <w:marBottom w:val="0"/>
      <w:divBdr>
        <w:top w:val="none" w:sz="0" w:space="0" w:color="auto"/>
        <w:left w:val="none" w:sz="0" w:space="0" w:color="auto"/>
        <w:bottom w:val="none" w:sz="0" w:space="0" w:color="auto"/>
        <w:right w:val="none" w:sz="0" w:space="0" w:color="auto"/>
      </w:divBdr>
    </w:div>
    <w:div w:id="837304164">
      <w:bodyDiv w:val="1"/>
      <w:marLeft w:val="0"/>
      <w:marRight w:val="0"/>
      <w:marTop w:val="0"/>
      <w:marBottom w:val="0"/>
      <w:divBdr>
        <w:top w:val="none" w:sz="0" w:space="0" w:color="auto"/>
        <w:left w:val="none" w:sz="0" w:space="0" w:color="auto"/>
        <w:bottom w:val="none" w:sz="0" w:space="0" w:color="auto"/>
        <w:right w:val="none" w:sz="0" w:space="0" w:color="auto"/>
      </w:divBdr>
    </w:div>
    <w:div w:id="838157475">
      <w:bodyDiv w:val="1"/>
      <w:marLeft w:val="0"/>
      <w:marRight w:val="0"/>
      <w:marTop w:val="0"/>
      <w:marBottom w:val="0"/>
      <w:divBdr>
        <w:top w:val="none" w:sz="0" w:space="0" w:color="auto"/>
        <w:left w:val="none" w:sz="0" w:space="0" w:color="auto"/>
        <w:bottom w:val="none" w:sz="0" w:space="0" w:color="auto"/>
        <w:right w:val="none" w:sz="0" w:space="0" w:color="auto"/>
      </w:divBdr>
    </w:div>
    <w:div w:id="839664987">
      <w:bodyDiv w:val="1"/>
      <w:marLeft w:val="0"/>
      <w:marRight w:val="0"/>
      <w:marTop w:val="0"/>
      <w:marBottom w:val="0"/>
      <w:divBdr>
        <w:top w:val="none" w:sz="0" w:space="0" w:color="auto"/>
        <w:left w:val="none" w:sz="0" w:space="0" w:color="auto"/>
        <w:bottom w:val="none" w:sz="0" w:space="0" w:color="auto"/>
        <w:right w:val="none" w:sz="0" w:space="0" w:color="auto"/>
      </w:divBdr>
      <w:divsChild>
        <w:div w:id="674504197">
          <w:marLeft w:val="0"/>
          <w:marRight w:val="0"/>
          <w:marTop w:val="0"/>
          <w:marBottom w:val="0"/>
          <w:divBdr>
            <w:top w:val="none" w:sz="0" w:space="0" w:color="auto"/>
            <w:left w:val="none" w:sz="0" w:space="0" w:color="auto"/>
            <w:bottom w:val="none" w:sz="0" w:space="0" w:color="auto"/>
            <w:right w:val="none" w:sz="0" w:space="0" w:color="auto"/>
          </w:divBdr>
          <w:divsChild>
            <w:div w:id="1454253948">
              <w:marLeft w:val="0"/>
              <w:marRight w:val="0"/>
              <w:marTop w:val="0"/>
              <w:marBottom w:val="0"/>
              <w:divBdr>
                <w:top w:val="none" w:sz="0" w:space="0" w:color="auto"/>
                <w:left w:val="none" w:sz="0" w:space="0" w:color="auto"/>
                <w:bottom w:val="none" w:sz="0" w:space="0" w:color="auto"/>
                <w:right w:val="none" w:sz="0" w:space="0" w:color="auto"/>
              </w:divBdr>
            </w:div>
            <w:div w:id="1141312010">
              <w:marLeft w:val="0"/>
              <w:marRight w:val="0"/>
              <w:marTop w:val="0"/>
              <w:marBottom w:val="0"/>
              <w:divBdr>
                <w:top w:val="none" w:sz="0" w:space="0" w:color="auto"/>
                <w:left w:val="none" w:sz="0" w:space="0" w:color="auto"/>
                <w:bottom w:val="none" w:sz="0" w:space="0" w:color="auto"/>
                <w:right w:val="none" w:sz="0" w:space="0" w:color="auto"/>
              </w:divBdr>
            </w:div>
            <w:div w:id="858203069">
              <w:marLeft w:val="0"/>
              <w:marRight w:val="0"/>
              <w:marTop w:val="0"/>
              <w:marBottom w:val="0"/>
              <w:divBdr>
                <w:top w:val="none" w:sz="0" w:space="0" w:color="auto"/>
                <w:left w:val="none" w:sz="0" w:space="0" w:color="auto"/>
                <w:bottom w:val="none" w:sz="0" w:space="0" w:color="auto"/>
                <w:right w:val="none" w:sz="0" w:space="0" w:color="auto"/>
              </w:divBdr>
            </w:div>
            <w:div w:id="244849146">
              <w:marLeft w:val="0"/>
              <w:marRight w:val="0"/>
              <w:marTop w:val="0"/>
              <w:marBottom w:val="0"/>
              <w:divBdr>
                <w:top w:val="none" w:sz="0" w:space="0" w:color="auto"/>
                <w:left w:val="none" w:sz="0" w:space="0" w:color="auto"/>
                <w:bottom w:val="none" w:sz="0" w:space="0" w:color="auto"/>
                <w:right w:val="none" w:sz="0" w:space="0" w:color="auto"/>
              </w:divBdr>
            </w:div>
            <w:div w:id="447362002">
              <w:marLeft w:val="0"/>
              <w:marRight w:val="0"/>
              <w:marTop w:val="0"/>
              <w:marBottom w:val="0"/>
              <w:divBdr>
                <w:top w:val="none" w:sz="0" w:space="0" w:color="auto"/>
                <w:left w:val="none" w:sz="0" w:space="0" w:color="auto"/>
                <w:bottom w:val="none" w:sz="0" w:space="0" w:color="auto"/>
                <w:right w:val="none" w:sz="0" w:space="0" w:color="auto"/>
              </w:divBdr>
            </w:div>
            <w:div w:id="488912856">
              <w:marLeft w:val="0"/>
              <w:marRight w:val="0"/>
              <w:marTop w:val="0"/>
              <w:marBottom w:val="0"/>
              <w:divBdr>
                <w:top w:val="none" w:sz="0" w:space="0" w:color="auto"/>
                <w:left w:val="none" w:sz="0" w:space="0" w:color="auto"/>
                <w:bottom w:val="none" w:sz="0" w:space="0" w:color="auto"/>
                <w:right w:val="none" w:sz="0" w:space="0" w:color="auto"/>
              </w:divBdr>
            </w:div>
            <w:div w:id="1615363483">
              <w:marLeft w:val="0"/>
              <w:marRight w:val="0"/>
              <w:marTop w:val="0"/>
              <w:marBottom w:val="0"/>
              <w:divBdr>
                <w:top w:val="none" w:sz="0" w:space="0" w:color="auto"/>
                <w:left w:val="none" w:sz="0" w:space="0" w:color="auto"/>
                <w:bottom w:val="none" w:sz="0" w:space="0" w:color="auto"/>
                <w:right w:val="none" w:sz="0" w:space="0" w:color="auto"/>
              </w:divBdr>
            </w:div>
            <w:div w:id="1501237866">
              <w:marLeft w:val="0"/>
              <w:marRight w:val="0"/>
              <w:marTop w:val="0"/>
              <w:marBottom w:val="0"/>
              <w:divBdr>
                <w:top w:val="none" w:sz="0" w:space="0" w:color="auto"/>
                <w:left w:val="none" w:sz="0" w:space="0" w:color="auto"/>
                <w:bottom w:val="none" w:sz="0" w:space="0" w:color="auto"/>
                <w:right w:val="none" w:sz="0" w:space="0" w:color="auto"/>
              </w:divBdr>
            </w:div>
            <w:div w:id="2082829317">
              <w:marLeft w:val="0"/>
              <w:marRight w:val="0"/>
              <w:marTop w:val="0"/>
              <w:marBottom w:val="0"/>
              <w:divBdr>
                <w:top w:val="none" w:sz="0" w:space="0" w:color="auto"/>
                <w:left w:val="none" w:sz="0" w:space="0" w:color="auto"/>
                <w:bottom w:val="none" w:sz="0" w:space="0" w:color="auto"/>
                <w:right w:val="none" w:sz="0" w:space="0" w:color="auto"/>
              </w:divBdr>
            </w:div>
            <w:div w:id="76286797">
              <w:marLeft w:val="0"/>
              <w:marRight w:val="0"/>
              <w:marTop w:val="0"/>
              <w:marBottom w:val="0"/>
              <w:divBdr>
                <w:top w:val="none" w:sz="0" w:space="0" w:color="auto"/>
                <w:left w:val="none" w:sz="0" w:space="0" w:color="auto"/>
                <w:bottom w:val="none" w:sz="0" w:space="0" w:color="auto"/>
                <w:right w:val="none" w:sz="0" w:space="0" w:color="auto"/>
              </w:divBdr>
            </w:div>
            <w:div w:id="413478989">
              <w:marLeft w:val="0"/>
              <w:marRight w:val="0"/>
              <w:marTop w:val="0"/>
              <w:marBottom w:val="0"/>
              <w:divBdr>
                <w:top w:val="none" w:sz="0" w:space="0" w:color="auto"/>
                <w:left w:val="none" w:sz="0" w:space="0" w:color="auto"/>
                <w:bottom w:val="none" w:sz="0" w:space="0" w:color="auto"/>
                <w:right w:val="none" w:sz="0" w:space="0" w:color="auto"/>
              </w:divBdr>
            </w:div>
            <w:div w:id="174853036">
              <w:marLeft w:val="0"/>
              <w:marRight w:val="0"/>
              <w:marTop w:val="0"/>
              <w:marBottom w:val="0"/>
              <w:divBdr>
                <w:top w:val="none" w:sz="0" w:space="0" w:color="auto"/>
                <w:left w:val="none" w:sz="0" w:space="0" w:color="auto"/>
                <w:bottom w:val="none" w:sz="0" w:space="0" w:color="auto"/>
                <w:right w:val="none" w:sz="0" w:space="0" w:color="auto"/>
              </w:divBdr>
            </w:div>
            <w:div w:id="1089934566">
              <w:marLeft w:val="0"/>
              <w:marRight w:val="0"/>
              <w:marTop w:val="0"/>
              <w:marBottom w:val="0"/>
              <w:divBdr>
                <w:top w:val="none" w:sz="0" w:space="0" w:color="auto"/>
                <w:left w:val="none" w:sz="0" w:space="0" w:color="auto"/>
                <w:bottom w:val="none" w:sz="0" w:space="0" w:color="auto"/>
                <w:right w:val="none" w:sz="0" w:space="0" w:color="auto"/>
              </w:divBdr>
            </w:div>
            <w:div w:id="1483349878">
              <w:marLeft w:val="0"/>
              <w:marRight w:val="0"/>
              <w:marTop w:val="0"/>
              <w:marBottom w:val="0"/>
              <w:divBdr>
                <w:top w:val="none" w:sz="0" w:space="0" w:color="auto"/>
                <w:left w:val="none" w:sz="0" w:space="0" w:color="auto"/>
                <w:bottom w:val="none" w:sz="0" w:space="0" w:color="auto"/>
                <w:right w:val="none" w:sz="0" w:space="0" w:color="auto"/>
              </w:divBdr>
            </w:div>
            <w:div w:id="34473254">
              <w:marLeft w:val="0"/>
              <w:marRight w:val="0"/>
              <w:marTop w:val="0"/>
              <w:marBottom w:val="0"/>
              <w:divBdr>
                <w:top w:val="none" w:sz="0" w:space="0" w:color="auto"/>
                <w:left w:val="none" w:sz="0" w:space="0" w:color="auto"/>
                <w:bottom w:val="none" w:sz="0" w:space="0" w:color="auto"/>
                <w:right w:val="none" w:sz="0" w:space="0" w:color="auto"/>
              </w:divBdr>
            </w:div>
            <w:div w:id="144054681">
              <w:marLeft w:val="0"/>
              <w:marRight w:val="0"/>
              <w:marTop w:val="0"/>
              <w:marBottom w:val="0"/>
              <w:divBdr>
                <w:top w:val="none" w:sz="0" w:space="0" w:color="auto"/>
                <w:left w:val="none" w:sz="0" w:space="0" w:color="auto"/>
                <w:bottom w:val="none" w:sz="0" w:space="0" w:color="auto"/>
                <w:right w:val="none" w:sz="0" w:space="0" w:color="auto"/>
              </w:divBdr>
            </w:div>
            <w:div w:id="567955533">
              <w:marLeft w:val="0"/>
              <w:marRight w:val="0"/>
              <w:marTop w:val="0"/>
              <w:marBottom w:val="0"/>
              <w:divBdr>
                <w:top w:val="none" w:sz="0" w:space="0" w:color="auto"/>
                <w:left w:val="none" w:sz="0" w:space="0" w:color="auto"/>
                <w:bottom w:val="none" w:sz="0" w:space="0" w:color="auto"/>
                <w:right w:val="none" w:sz="0" w:space="0" w:color="auto"/>
              </w:divBdr>
            </w:div>
            <w:div w:id="908073286">
              <w:marLeft w:val="0"/>
              <w:marRight w:val="0"/>
              <w:marTop w:val="0"/>
              <w:marBottom w:val="0"/>
              <w:divBdr>
                <w:top w:val="none" w:sz="0" w:space="0" w:color="auto"/>
                <w:left w:val="none" w:sz="0" w:space="0" w:color="auto"/>
                <w:bottom w:val="none" w:sz="0" w:space="0" w:color="auto"/>
                <w:right w:val="none" w:sz="0" w:space="0" w:color="auto"/>
              </w:divBdr>
            </w:div>
            <w:div w:id="653949940">
              <w:marLeft w:val="0"/>
              <w:marRight w:val="0"/>
              <w:marTop w:val="0"/>
              <w:marBottom w:val="0"/>
              <w:divBdr>
                <w:top w:val="none" w:sz="0" w:space="0" w:color="auto"/>
                <w:left w:val="none" w:sz="0" w:space="0" w:color="auto"/>
                <w:bottom w:val="none" w:sz="0" w:space="0" w:color="auto"/>
                <w:right w:val="none" w:sz="0" w:space="0" w:color="auto"/>
              </w:divBdr>
            </w:div>
            <w:div w:id="2008366542">
              <w:marLeft w:val="0"/>
              <w:marRight w:val="0"/>
              <w:marTop w:val="0"/>
              <w:marBottom w:val="0"/>
              <w:divBdr>
                <w:top w:val="none" w:sz="0" w:space="0" w:color="auto"/>
                <w:left w:val="none" w:sz="0" w:space="0" w:color="auto"/>
                <w:bottom w:val="none" w:sz="0" w:space="0" w:color="auto"/>
                <w:right w:val="none" w:sz="0" w:space="0" w:color="auto"/>
              </w:divBdr>
            </w:div>
            <w:div w:id="620915426">
              <w:marLeft w:val="0"/>
              <w:marRight w:val="0"/>
              <w:marTop w:val="0"/>
              <w:marBottom w:val="0"/>
              <w:divBdr>
                <w:top w:val="none" w:sz="0" w:space="0" w:color="auto"/>
                <w:left w:val="none" w:sz="0" w:space="0" w:color="auto"/>
                <w:bottom w:val="none" w:sz="0" w:space="0" w:color="auto"/>
                <w:right w:val="none" w:sz="0" w:space="0" w:color="auto"/>
              </w:divBdr>
            </w:div>
            <w:div w:id="293751969">
              <w:marLeft w:val="0"/>
              <w:marRight w:val="0"/>
              <w:marTop w:val="0"/>
              <w:marBottom w:val="0"/>
              <w:divBdr>
                <w:top w:val="none" w:sz="0" w:space="0" w:color="auto"/>
                <w:left w:val="none" w:sz="0" w:space="0" w:color="auto"/>
                <w:bottom w:val="none" w:sz="0" w:space="0" w:color="auto"/>
                <w:right w:val="none" w:sz="0" w:space="0" w:color="auto"/>
              </w:divBdr>
            </w:div>
            <w:div w:id="1514487615">
              <w:marLeft w:val="0"/>
              <w:marRight w:val="0"/>
              <w:marTop w:val="0"/>
              <w:marBottom w:val="0"/>
              <w:divBdr>
                <w:top w:val="none" w:sz="0" w:space="0" w:color="auto"/>
                <w:left w:val="none" w:sz="0" w:space="0" w:color="auto"/>
                <w:bottom w:val="none" w:sz="0" w:space="0" w:color="auto"/>
                <w:right w:val="none" w:sz="0" w:space="0" w:color="auto"/>
              </w:divBdr>
            </w:div>
            <w:div w:id="1730298353">
              <w:marLeft w:val="0"/>
              <w:marRight w:val="0"/>
              <w:marTop w:val="0"/>
              <w:marBottom w:val="0"/>
              <w:divBdr>
                <w:top w:val="none" w:sz="0" w:space="0" w:color="auto"/>
                <w:left w:val="none" w:sz="0" w:space="0" w:color="auto"/>
                <w:bottom w:val="none" w:sz="0" w:space="0" w:color="auto"/>
                <w:right w:val="none" w:sz="0" w:space="0" w:color="auto"/>
              </w:divBdr>
            </w:div>
            <w:div w:id="1550411694">
              <w:marLeft w:val="0"/>
              <w:marRight w:val="0"/>
              <w:marTop w:val="0"/>
              <w:marBottom w:val="0"/>
              <w:divBdr>
                <w:top w:val="none" w:sz="0" w:space="0" w:color="auto"/>
                <w:left w:val="none" w:sz="0" w:space="0" w:color="auto"/>
                <w:bottom w:val="none" w:sz="0" w:space="0" w:color="auto"/>
                <w:right w:val="none" w:sz="0" w:space="0" w:color="auto"/>
              </w:divBdr>
            </w:div>
            <w:div w:id="383020649">
              <w:marLeft w:val="0"/>
              <w:marRight w:val="0"/>
              <w:marTop w:val="0"/>
              <w:marBottom w:val="0"/>
              <w:divBdr>
                <w:top w:val="none" w:sz="0" w:space="0" w:color="auto"/>
                <w:left w:val="none" w:sz="0" w:space="0" w:color="auto"/>
                <w:bottom w:val="none" w:sz="0" w:space="0" w:color="auto"/>
                <w:right w:val="none" w:sz="0" w:space="0" w:color="auto"/>
              </w:divBdr>
            </w:div>
            <w:div w:id="1486623189">
              <w:marLeft w:val="0"/>
              <w:marRight w:val="0"/>
              <w:marTop w:val="0"/>
              <w:marBottom w:val="0"/>
              <w:divBdr>
                <w:top w:val="none" w:sz="0" w:space="0" w:color="auto"/>
                <w:left w:val="none" w:sz="0" w:space="0" w:color="auto"/>
                <w:bottom w:val="none" w:sz="0" w:space="0" w:color="auto"/>
                <w:right w:val="none" w:sz="0" w:space="0" w:color="auto"/>
              </w:divBdr>
            </w:div>
            <w:div w:id="717975625">
              <w:marLeft w:val="0"/>
              <w:marRight w:val="0"/>
              <w:marTop w:val="0"/>
              <w:marBottom w:val="0"/>
              <w:divBdr>
                <w:top w:val="none" w:sz="0" w:space="0" w:color="auto"/>
                <w:left w:val="none" w:sz="0" w:space="0" w:color="auto"/>
                <w:bottom w:val="none" w:sz="0" w:space="0" w:color="auto"/>
                <w:right w:val="none" w:sz="0" w:space="0" w:color="auto"/>
              </w:divBdr>
            </w:div>
            <w:div w:id="1409230297">
              <w:marLeft w:val="0"/>
              <w:marRight w:val="0"/>
              <w:marTop w:val="0"/>
              <w:marBottom w:val="0"/>
              <w:divBdr>
                <w:top w:val="none" w:sz="0" w:space="0" w:color="auto"/>
                <w:left w:val="none" w:sz="0" w:space="0" w:color="auto"/>
                <w:bottom w:val="none" w:sz="0" w:space="0" w:color="auto"/>
                <w:right w:val="none" w:sz="0" w:space="0" w:color="auto"/>
              </w:divBdr>
            </w:div>
            <w:div w:id="1984962407">
              <w:marLeft w:val="0"/>
              <w:marRight w:val="0"/>
              <w:marTop w:val="0"/>
              <w:marBottom w:val="0"/>
              <w:divBdr>
                <w:top w:val="none" w:sz="0" w:space="0" w:color="auto"/>
                <w:left w:val="none" w:sz="0" w:space="0" w:color="auto"/>
                <w:bottom w:val="none" w:sz="0" w:space="0" w:color="auto"/>
                <w:right w:val="none" w:sz="0" w:space="0" w:color="auto"/>
              </w:divBdr>
            </w:div>
            <w:div w:id="1364283072">
              <w:marLeft w:val="0"/>
              <w:marRight w:val="0"/>
              <w:marTop w:val="0"/>
              <w:marBottom w:val="0"/>
              <w:divBdr>
                <w:top w:val="none" w:sz="0" w:space="0" w:color="auto"/>
                <w:left w:val="none" w:sz="0" w:space="0" w:color="auto"/>
                <w:bottom w:val="none" w:sz="0" w:space="0" w:color="auto"/>
                <w:right w:val="none" w:sz="0" w:space="0" w:color="auto"/>
              </w:divBdr>
            </w:div>
            <w:div w:id="707338587">
              <w:marLeft w:val="0"/>
              <w:marRight w:val="0"/>
              <w:marTop w:val="0"/>
              <w:marBottom w:val="0"/>
              <w:divBdr>
                <w:top w:val="none" w:sz="0" w:space="0" w:color="auto"/>
                <w:left w:val="none" w:sz="0" w:space="0" w:color="auto"/>
                <w:bottom w:val="none" w:sz="0" w:space="0" w:color="auto"/>
                <w:right w:val="none" w:sz="0" w:space="0" w:color="auto"/>
              </w:divBdr>
            </w:div>
            <w:div w:id="1004863645">
              <w:marLeft w:val="0"/>
              <w:marRight w:val="0"/>
              <w:marTop w:val="0"/>
              <w:marBottom w:val="0"/>
              <w:divBdr>
                <w:top w:val="none" w:sz="0" w:space="0" w:color="auto"/>
                <w:left w:val="none" w:sz="0" w:space="0" w:color="auto"/>
                <w:bottom w:val="none" w:sz="0" w:space="0" w:color="auto"/>
                <w:right w:val="none" w:sz="0" w:space="0" w:color="auto"/>
              </w:divBdr>
            </w:div>
            <w:div w:id="93400421">
              <w:marLeft w:val="0"/>
              <w:marRight w:val="0"/>
              <w:marTop w:val="0"/>
              <w:marBottom w:val="0"/>
              <w:divBdr>
                <w:top w:val="none" w:sz="0" w:space="0" w:color="auto"/>
                <w:left w:val="none" w:sz="0" w:space="0" w:color="auto"/>
                <w:bottom w:val="none" w:sz="0" w:space="0" w:color="auto"/>
                <w:right w:val="none" w:sz="0" w:space="0" w:color="auto"/>
              </w:divBdr>
            </w:div>
            <w:div w:id="255865489">
              <w:marLeft w:val="0"/>
              <w:marRight w:val="0"/>
              <w:marTop w:val="0"/>
              <w:marBottom w:val="0"/>
              <w:divBdr>
                <w:top w:val="none" w:sz="0" w:space="0" w:color="auto"/>
                <w:left w:val="none" w:sz="0" w:space="0" w:color="auto"/>
                <w:bottom w:val="none" w:sz="0" w:space="0" w:color="auto"/>
                <w:right w:val="none" w:sz="0" w:space="0" w:color="auto"/>
              </w:divBdr>
            </w:div>
            <w:div w:id="225651402">
              <w:marLeft w:val="0"/>
              <w:marRight w:val="0"/>
              <w:marTop w:val="0"/>
              <w:marBottom w:val="0"/>
              <w:divBdr>
                <w:top w:val="none" w:sz="0" w:space="0" w:color="auto"/>
                <w:left w:val="none" w:sz="0" w:space="0" w:color="auto"/>
                <w:bottom w:val="none" w:sz="0" w:space="0" w:color="auto"/>
                <w:right w:val="none" w:sz="0" w:space="0" w:color="auto"/>
              </w:divBdr>
            </w:div>
            <w:div w:id="603927859">
              <w:marLeft w:val="0"/>
              <w:marRight w:val="0"/>
              <w:marTop w:val="0"/>
              <w:marBottom w:val="0"/>
              <w:divBdr>
                <w:top w:val="none" w:sz="0" w:space="0" w:color="auto"/>
                <w:left w:val="none" w:sz="0" w:space="0" w:color="auto"/>
                <w:bottom w:val="none" w:sz="0" w:space="0" w:color="auto"/>
                <w:right w:val="none" w:sz="0" w:space="0" w:color="auto"/>
              </w:divBdr>
            </w:div>
            <w:div w:id="1851216005">
              <w:marLeft w:val="0"/>
              <w:marRight w:val="0"/>
              <w:marTop w:val="0"/>
              <w:marBottom w:val="0"/>
              <w:divBdr>
                <w:top w:val="none" w:sz="0" w:space="0" w:color="auto"/>
                <w:left w:val="none" w:sz="0" w:space="0" w:color="auto"/>
                <w:bottom w:val="none" w:sz="0" w:space="0" w:color="auto"/>
                <w:right w:val="none" w:sz="0" w:space="0" w:color="auto"/>
              </w:divBdr>
            </w:div>
            <w:div w:id="698511339">
              <w:marLeft w:val="0"/>
              <w:marRight w:val="0"/>
              <w:marTop w:val="0"/>
              <w:marBottom w:val="0"/>
              <w:divBdr>
                <w:top w:val="none" w:sz="0" w:space="0" w:color="auto"/>
                <w:left w:val="none" w:sz="0" w:space="0" w:color="auto"/>
                <w:bottom w:val="none" w:sz="0" w:space="0" w:color="auto"/>
                <w:right w:val="none" w:sz="0" w:space="0" w:color="auto"/>
              </w:divBdr>
            </w:div>
            <w:div w:id="610474855">
              <w:marLeft w:val="0"/>
              <w:marRight w:val="0"/>
              <w:marTop w:val="0"/>
              <w:marBottom w:val="0"/>
              <w:divBdr>
                <w:top w:val="none" w:sz="0" w:space="0" w:color="auto"/>
                <w:left w:val="none" w:sz="0" w:space="0" w:color="auto"/>
                <w:bottom w:val="none" w:sz="0" w:space="0" w:color="auto"/>
                <w:right w:val="none" w:sz="0" w:space="0" w:color="auto"/>
              </w:divBdr>
            </w:div>
            <w:div w:id="1497575870">
              <w:marLeft w:val="0"/>
              <w:marRight w:val="0"/>
              <w:marTop w:val="0"/>
              <w:marBottom w:val="0"/>
              <w:divBdr>
                <w:top w:val="none" w:sz="0" w:space="0" w:color="auto"/>
                <w:left w:val="none" w:sz="0" w:space="0" w:color="auto"/>
                <w:bottom w:val="none" w:sz="0" w:space="0" w:color="auto"/>
                <w:right w:val="none" w:sz="0" w:space="0" w:color="auto"/>
              </w:divBdr>
            </w:div>
            <w:div w:id="1451820683">
              <w:marLeft w:val="0"/>
              <w:marRight w:val="0"/>
              <w:marTop w:val="0"/>
              <w:marBottom w:val="0"/>
              <w:divBdr>
                <w:top w:val="none" w:sz="0" w:space="0" w:color="auto"/>
                <w:left w:val="none" w:sz="0" w:space="0" w:color="auto"/>
                <w:bottom w:val="none" w:sz="0" w:space="0" w:color="auto"/>
                <w:right w:val="none" w:sz="0" w:space="0" w:color="auto"/>
              </w:divBdr>
            </w:div>
            <w:div w:id="190726950">
              <w:marLeft w:val="0"/>
              <w:marRight w:val="0"/>
              <w:marTop w:val="0"/>
              <w:marBottom w:val="0"/>
              <w:divBdr>
                <w:top w:val="none" w:sz="0" w:space="0" w:color="auto"/>
                <w:left w:val="none" w:sz="0" w:space="0" w:color="auto"/>
                <w:bottom w:val="none" w:sz="0" w:space="0" w:color="auto"/>
                <w:right w:val="none" w:sz="0" w:space="0" w:color="auto"/>
              </w:divBdr>
            </w:div>
            <w:div w:id="709308821">
              <w:marLeft w:val="0"/>
              <w:marRight w:val="0"/>
              <w:marTop w:val="0"/>
              <w:marBottom w:val="0"/>
              <w:divBdr>
                <w:top w:val="none" w:sz="0" w:space="0" w:color="auto"/>
                <w:left w:val="none" w:sz="0" w:space="0" w:color="auto"/>
                <w:bottom w:val="none" w:sz="0" w:space="0" w:color="auto"/>
                <w:right w:val="none" w:sz="0" w:space="0" w:color="auto"/>
              </w:divBdr>
            </w:div>
            <w:div w:id="1176118547">
              <w:marLeft w:val="0"/>
              <w:marRight w:val="0"/>
              <w:marTop w:val="0"/>
              <w:marBottom w:val="0"/>
              <w:divBdr>
                <w:top w:val="none" w:sz="0" w:space="0" w:color="auto"/>
                <w:left w:val="none" w:sz="0" w:space="0" w:color="auto"/>
                <w:bottom w:val="none" w:sz="0" w:space="0" w:color="auto"/>
                <w:right w:val="none" w:sz="0" w:space="0" w:color="auto"/>
              </w:divBdr>
            </w:div>
            <w:div w:id="1857235406">
              <w:marLeft w:val="0"/>
              <w:marRight w:val="0"/>
              <w:marTop w:val="0"/>
              <w:marBottom w:val="0"/>
              <w:divBdr>
                <w:top w:val="none" w:sz="0" w:space="0" w:color="auto"/>
                <w:left w:val="none" w:sz="0" w:space="0" w:color="auto"/>
                <w:bottom w:val="none" w:sz="0" w:space="0" w:color="auto"/>
                <w:right w:val="none" w:sz="0" w:space="0" w:color="auto"/>
              </w:divBdr>
            </w:div>
            <w:div w:id="1587037702">
              <w:marLeft w:val="0"/>
              <w:marRight w:val="0"/>
              <w:marTop w:val="0"/>
              <w:marBottom w:val="0"/>
              <w:divBdr>
                <w:top w:val="none" w:sz="0" w:space="0" w:color="auto"/>
                <w:left w:val="none" w:sz="0" w:space="0" w:color="auto"/>
                <w:bottom w:val="none" w:sz="0" w:space="0" w:color="auto"/>
                <w:right w:val="none" w:sz="0" w:space="0" w:color="auto"/>
              </w:divBdr>
            </w:div>
            <w:div w:id="1727214580">
              <w:marLeft w:val="0"/>
              <w:marRight w:val="0"/>
              <w:marTop w:val="0"/>
              <w:marBottom w:val="0"/>
              <w:divBdr>
                <w:top w:val="none" w:sz="0" w:space="0" w:color="auto"/>
                <w:left w:val="none" w:sz="0" w:space="0" w:color="auto"/>
                <w:bottom w:val="none" w:sz="0" w:space="0" w:color="auto"/>
                <w:right w:val="none" w:sz="0" w:space="0" w:color="auto"/>
              </w:divBdr>
            </w:div>
            <w:div w:id="531963292">
              <w:marLeft w:val="0"/>
              <w:marRight w:val="0"/>
              <w:marTop w:val="0"/>
              <w:marBottom w:val="0"/>
              <w:divBdr>
                <w:top w:val="none" w:sz="0" w:space="0" w:color="auto"/>
                <w:left w:val="none" w:sz="0" w:space="0" w:color="auto"/>
                <w:bottom w:val="none" w:sz="0" w:space="0" w:color="auto"/>
                <w:right w:val="none" w:sz="0" w:space="0" w:color="auto"/>
              </w:divBdr>
            </w:div>
            <w:div w:id="1917276092">
              <w:marLeft w:val="0"/>
              <w:marRight w:val="0"/>
              <w:marTop w:val="0"/>
              <w:marBottom w:val="0"/>
              <w:divBdr>
                <w:top w:val="none" w:sz="0" w:space="0" w:color="auto"/>
                <w:left w:val="none" w:sz="0" w:space="0" w:color="auto"/>
                <w:bottom w:val="none" w:sz="0" w:space="0" w:color="auto"/>
                <w:right w:val="none" w:sz="0" w:space="0" w:color="auto"/>
              </w:divBdr>
            </w:div>
            <w:div w:id="1900092132">
              <w:marLeft w:val="0"/>
              <w:marRight w:val="0"/>
              <w:marTop w:val="0"/>
              <w:marBottom w:val="0"/>
              <w:divBdr>
                <w:top w:val="none" w:sz="0" w:space="0" w:color="auto"/>
                <w:left w:val="none" w:sz="0" w:space="0" w:color="auto"/>
                <w:bottom w:val="none" w:sz="0" w:space="0" w:color="auto"/>
                <w:right w:val="none" w:sz="0" w:space="0" w:color="auto"/>
              </w:divBdr>
            </w:div>
            <w:div w:id="831483244">
              <w:marLeft w:val="0"/>
              <w:marRight w:val="0"/>
              <w:marTop w:val="0"/>
              <w:marBottom w:val="0"/>
              <w:divBdr>
                <w:top w:val="none" w:sz="0" w:space="0" w:color="auto"/>
                <w:left w:val="none" w:sz="0" w:space="0" w:color="auto"/>
                <w:bottom w:val="none" w:sz="0" w:space="0" w:color="auto"/>
                <w:right w:val="none" w:sz="0" w:space="0" w:color="auto"/>
              </w:divBdr>
            </w:div>
            <w:div w:id="1806897611">
              <w:marLeft w:val="0"/>
              <w:marRight w:val="0"/>
              <w:marTop w:val="0"/>
              <w:marBottom w:val="0"/>
              <w:divBdr>
                <w:top w:val="none" w:sz="0" w:space="0" w:color="auto"/>
                <w:left w:val="none" w:sz="0" w:space="0" w:color="auto"/>
                <w:bottom w:val="none" w:sz="0" w:space="0" w:color="auto"/>
                <w:right w:val="none" w:sz="0" w:space="0" w:color="auto"/>
              </w:divBdr>
            </w:div>
            <w:div w:id="532886745">
              <w:marLeft w:val="0"/>
              <w:marRight w:val="0"/>
              <w:marTop w:val="0"/>
              <w:marBottom w:val="0"/>
              <w:divBdr>
                <w:top w:val="none" w:sz="0" w:space="0" w:color="auto"/>
                <w:left w:val="none" w:sz="0" w:space="0" w:color="auto"/>
                <w:bottom w:val="none" w:sz="0" w:space="0" w:color="auto"/>
                <w:right w:val="none" w:sz="0" w:space="0" w:color="auto"/>
              </w:divBdr>
            </w:div>
            <w:div w:id="1984187879">
              <w:marLeft w:val="0"/>
              <w:marRight w:val="0"/>
              <w:marTop w:val="0"/>
              <w:marBottom w:val="0"/>
              <w:divBdr>
                <w:top w:val="none" w:sz="0" w:space="0" w:color="auto"/>
                <w:left w:val="none" w:sz="0" w:space="0" w:color="auto"/>
                <w:bottom w:val="none" w:sz="0" w:space="0" w:color="auto"/>
                <w:right w:val="none" w:sz="0" w:space="0" w:color="auto"/>
              </w:divBdr>
            </w:div>
            <w:div w:id="1035348673">
              <w:marLeft w:val="0"/>
              <w:marRight w:val="0"/>
              <w:marTop w:val="0"/>
              <w:marBottom w:val="0"/>
              <w:divBdr>
                <w:top w:val="none" w:sz="0" w:space="0" w:color="auto"/>
                <w:left w:val="none" w:sz="0" w:space="0" w:color="auto"/>
                <w:bottom w:val="none" w:sz="0" w:space="0" w:color="auto"/>
                <w:right w:val="none" w:sz="0" w:space="0" w:color="auto"/>
              </w:divBdr>
            </w:div>
            <w:div w:id="1101879194">
              <w:marLeft w:val="0"/>
              <w:marRight w:val="0"/>
              <w:marTop w:val="0"/>
              <w:marBottom w:val="0"/>
              <w:divBdr>
                <w:top w:val="none" w:sz="0" w:space="0" w:color="auto"/>
                <w:left w:val="none" w:sz="0" w:space="0" w:color="auto"/>
                <w:bottom w:val="none" w:sz="0" w:space="0" w:color="auto"/>
                <w:right w:val="none" w:sz="0" w:space="0" w:color="auto"/>
              </w:divBdr>
            </w:div>
            <w:div w:id="1122188185">
              <w:marLeft w:val="0"/>
              <w:marRight w:val="0"/>
              <w:marTop w:val="0"/>
              <w:marBottom w:val="0"/>
              <w:divBdr>
                <w:top w:val="none" w:sz="0" w:space="0" w:color="auto"/>
                <w:left w:val="none" w:sz="0" w:space="0" w:color="auto"/>
                <w:bottom w:val="none" w:sz="0" w:space="0" w:color="auto"/>
                <w:right w:val="none" w:sz="0" w:space="0" w:color="auto"/>
              </w:divBdr>
            </w:div>
            <w:div w:id="1936864638">
              <w:marLeft w:val="0"/>
              <w:marRight w:val="0"/>
              <w:marTop w:val="0"/>
              <w:marBottom w:val="0"/>
              <w:divBdr>
                <w:top w:val="none" w:sz="0" w:space="0" w:color="auto"/>
                <w:left w:val="none" w:sz="0" w:space="0" w:color="auto"/>
                <w:bottom w:val="none" w:sz="0" w:space="0" w:color="auto"/>
                <w:right w:val="none" w:sz="0" w:space="0" w:color="auto"/>
              </w:divBdr>
            </w:div>
            <w:div w:id="1255475200">
              <w:marLeft w:val="0"/>
              <w:marRight w:val="0"/>
              <w:marTop w:val="0"/>
              <w:marBottom w:val="0"/>
              <w:divBdr>
                <w:top w:val="none" w:sz="0" w:space="0" w:color="auto"/>
                <w:left w:val="none" w:sz="0" w:space="0" w:color="auto"/>
                <w:bottom w:val="none" w:sz="0" w:space="0" w:color="auto"/>
                <w:right w:val="none" w:sz="0" w:space="0" w:color="auto"/>
              </w:divBdr>
            </w:div>
            <w:div w:id="1959292124">
              <w:marLeft w:val="0"/>
              <w:marRight w:val="0"/>
              <w:marTop w:val="0"/>
              <w:marBottom w:val="0"/>
              <w:divBdr>
                <w:top w:val="none" w:sz="0" w:space="0" w:color="auto"/>
                <w:left w:val="none" w:sz="0" w:space="0" w:color="auto"/>
                <w:bottom w:val="none" w:sz="0" w:space="0" w:color="auto"/>
                <w:right w:val="none" w:sz="0" w:space="0" w:color="auto"/>
              </w:divBdr>
            </w:div>
            <w:div w:id="1345746192">
              <w:marLeft w:val="0"/>
              <w:marRight w:val="0"/>
              <w:marTop w:val="0"/>
              <w:marBottom w:val="0"/>
              <w:divBdr>
                <w:top w:val="none" w:sz="0" w:space="0" w:color="auto"/>
                <w:left w:val="none" w:sz="0" w:space="0" w:color="auto"/>
                <w:bottom w:val="none" w:sz="0" w:space="0" w:color="auto"/>
                <w:right w:val="none" w:sz="0" w:space="0" w:color="auto"/>
              </w:divBdr>
            </w:div>
            <w:div w:id="485165846">
              <w:marLeft w:val="0"/>
              <w:marRight w:val="0"/>
              <w:marTop w:val="0"/>
              <w:marBottom w:val="0"/>
              <w:divBdr>
                <w:top w:val="none" w:sz="0" w:space="0" w:color="auto"/>
                <w:left w:val="none" w:sz="0" w:space="0" w:color="auto"/>
                <w:bottom w:val="none" w:sz="0" w:space="0" w:color="auto"/>
                <w:right w:val="none" w:sz="0" w:space="0" w:color="auto"/>
              </w:divBdr>
            </w:div>
            <w:div w:id="1342009023">
              <w:marLeft w:val="0"/>
              <w:marRight w:val="0"/>
              <w:marTop w:val="0"/>
              <w:marBottom w:val="0"/>
              <w:divBdr>
                <w:top w:val="none" w:sz="0" w:space="0" w:color="auto"/>
                <w:left w:val="none" w:sz="0" w:space="0" w:color="auto"/>
                <w:bottom w:val="none" w:sz="0" w:space="0" w:color="auto"/>
                <w:right w:val="none" w:sz="0" w:space="0" w:color="auto"/>
              </w:divBdr>
            </w:div>
            <w:div w:id="968709857">
              <w:marLeft w:val="0"/>
              <w:marRight w:val="0"/>
              <w:marTop w:val="0"/>
              <w:marBottom w:val="0"/>
              <w:divBdr>
                <w:top w:val="none" w:sz="0" w:space="0" w:color="auto"/>
                <w:left w:val="none" w:sz="0" w:space="0" w:color="auto"/>
                <w:bottom w:val="none" w:sz="0" w:space="0" w:color="auto"/>
                <w:right w:val="none" w:sz="0" w:space="0" w:color="auto"/>
              </w:divBdr>
            </w:div>
            <w:div w:id="632951325">
              <w:marLeft w:val="0"/>
              <w:marRight w:val="0"/>
              <w:marTop w:val="0"/>
              <w:marBottom w:val="0"/>
              <w:divBdr>
                <w:top w:val="none" w:sz="0" w:space="0" w:color="auto"/>
                <w:left w:val="none" w:sz="0" w:space="0" w:color="auto"/>
                <w:bottom w:val="none" w:sz="0" w:space="0" w:color="auto"/>
                <w:right w:val="none" w:sz="0" w:space="0" w:color="auto"/>
              </w:divBdr>
            </w:div>
            <w:div w:id="1573613527">
              <w:marLeft w:val="0"/>
              <w:marRight w:val="0"/>
              <w:marTop w:val="0"/>
              <w:marBottom w:val="0"/>
              <w:divBdr>
                <w:top w:val="none" w:sz="0" w:space="0" w:color="auto"/>
                <w:left w:val="none" w:sz="0" w:space="0" w:color="auto"/>
                <w:bottom w:val="none" w:sz="0" w:space="0" w:color="auto"/>
                <w:right w:val="none" w:sz="0" w:space="0" w:color="auto"/>
              </w:divBdr>
            </w:div>
            <w:div w:id="911741211">
              <w:marLeft w:val="0"/>
              <w:marRight w:val="0"/>
              <w:marTop w:val="0"/>
              <w:marBottom w:val="0"/>
              <w:divBdr>
                <w:top w:val="none" w:sz="0" w:space="0" w:color="auto"/>
                <w:left w:val="none" w:sz="0" w:space="0" w:color="auto"/>
                <w:bottom w:val="none" w:sz="0" w:space="0" w:color="auto"/>
                <w:right w:val="none" w:sz="0" w:space="0" w:color="auto"/>
              </w:divBdr>
            </w:div>
            <w:div w:id="1027416184">
              <w:marLeft w:val="0"/>
              <w:marRight w:val="0"/>
              <w:marTop w:val="0"/>
              <w:marBottom w:val="0"/>
              <w:divBdr>
                <w:top w:val="none" w:sz="0" w:space="0" w:color="auto"/>
                <w:left w:val="none" w:sz="0" w:space="0" w:color="auto"/>
                <w:bottom w:val="none" w:sz="0" w:space="0" w:color="auto"/>
                <w:right w:val="none" w:sz="0" w:space="0" w:color="auto"/>
              </w:divBdr>
            </w:div>
            <w:div w:id="881788617">
              <w:marLeft w:val="0"/>
              <w:marRight w:val="0"/>
              <w:marTop w:val="0"/>
              <w:marBottom w:val="0"/>
              <w:divBdr>
                <w:top w:val="none" w:sz="0" w:space="0" w:color="auto"/>
                <w:left w:val="none" w:sz="0" w:space="0" w:color="auto"/>
                <w:bottom w:val="none" w:sz="0" w:space="0" w:color="auto"/>
                <w:right w:val="none" w:sz="0" w:space="0" w:color="auto"/>
              </w:divBdr>
            </w:div>
            <w:div w:id="1430128240">
              <w:marLeft w:val="0"/>
              <w:marRight w:val="0"/>
              <w:marTop w:val="0"/>
              <w:marBottom w:val="0"/>
              <w:divBdr>
                <w:top w:val="none" w:sz="0" w:space="0" w:color="auto"/>
                <w:left w:val="none" w:sz="0" w:space="0" w:color="auto"/>
                <w:bottom w:val="none" w:sz="0" w:space="0" w:color="auto"/>
                <w:right w:val="none" w:sz="0" w:space="0" w:color="auto"/>
              </w:divBdr>
            </w:div>
            <w:div w:id="1905792531">
              <w:marLeft w:val="0"/>
              <w:marRight w:val="0"/>
              <w:marTop w:val="0"/>
              <w:marBottom w:val="0"/>
              <w:divBdr>
                <w:top w:val="none" w:sz="0" w:space="0" w:color="auto"/>
                <w:left w:val="none" w:sz="0" w:space="0" w:color="auto"/>
                <w:bottom w:val="none" w:sz="0" w:space="0" w:color="auto"/>
                <w:right w:val="none" w:sz="0" w:space="0" w:color="auto"/>
              </w:divBdr>
            </w:div>
            <w:div w:id="18843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820">
      <w:marLeft w:val="0"/>
      <w:marRight w:val="0"/>
      <w:marTop w:val="0"/>
      <w:marBottom w:val="0"/>
      <w:divBdr>
        <w:top w:val="none" w:sz="0" w:space="0" w:color="auto"/>
        <w:left w:val="none" w:sz="0" w:space="0" w:color="auto"/>
        <w:bottom w:val="none" w:sz="0" w:space="0" w:color="auto"/>
        <w:right w:val="none" w:sz="0" w:space="0" w:color="auto"/>
      </w:divBdr>
      <w:divsChild>
        <w:div w:id="279342636">
          <w:marLeft w:val="0"/>
          <w:marRight w:val="0"/>
          <w:marTop w:val="0"/>
          <w:marBottom w:val="0"/>
          <w:divBdr>
            <w:top w:val="none" w:sz="0" w:space="0" w:color="auto"/>
            <w:left w:val="none" w:sz="0" w:space="0" w:color="auto"/>
            <w:bottom w:val="none" w:sz="0" w:space="0" w:color="auto"/>
            <w:right w:val="none" w:sz="0" w:space="0" w:color="auto"/>
          </w:divBdr>
        </w:div>
      </w:divsChild>
    </w:div>
    <w:div w:id="846864790">
      <w:bodyDiv w:val="1"/>
      <w:marLeft w:val="0"/>
      <w:marRight w:val="0"/>
      <w:marTop w:val="0"/>
      <w:marBottom w:val="0"/>
      <w:divBdr>
        <w:top w:val="none" w:sz="0" w:space="0" w:color="auto"/>
        <w:left w:val="none" w:sz="0" w:space="0" w:color="auto"/>
        <w:bottom w:val="none" w:sz="0" w:space="0" w:color="auto"/>
        <w:right w:val="none" w:sz="0" w:space="0" w:color="auto"/>
      </w:divBdr>
    </w:div>
    <w:div w:id="847524456">
      <w:marLeft w:val="0"/>
      <w:marRight w:val="0"/>
      <w:marTop w:val="0"/>
      <w:marBottom w:val="0"/>
      <w:divBdr>
        <w:top w:val="none" w:sz="0" w:space="0" w:color="auto"/>
        <w:left w:val="none" w:sz="0" w:space="0" w:color="auto"/>
        <w:bottom w:val="none" w:sz="0" w:space="0" w:color="auto"/>
        <w:right w:val="none" w:sz="0" w:space="0" w:color="auto"/>
      </w:divBdr>
      <w:divsChild>
        <w:div w:id="356351313">
          <w:marLeft w:val="0"/>
          <w:marRight w:val="0"/>
          <w:marTop w:val="0"/>
          <w:marBottom w:val="0"/>
          <w:divBdr>
            <w:top w:val="none" w:sz="0" w:space="0" w:color="auto"/>
            <w:left w:val="none" w:sz="0" w:space="0" w:color="auto"/>
            <w:bottom w:val="none" w:sz="0" w:space="0" w:color="auto"/>
            <w:right w:val="none" w:sz="0" w:space="0" w:color="auto"/>
          </w:divBdr>
        </w:div>
      </w:divsChild>
    </w:div>
    <w:div w:id="848758455">
      <w:marLeft w:val="0"/>
      <w:marRight w:val="0"/>
      <w:marTop w:val="0"/>
      <w:marBottom w:val="0"/>
      <w:divBdr>
        <w:top w:val="none" w:sz="0" w:space="0" w:color="auto"/>
        <w:left w:val="none" w:sz="0" w:space="0" w:color="auto"/>
        <w:bottom w:val="none" w:sz="0" w:space="0" w:color="auto"/>
        <w:right w:val="none" w:sz="0" w:space="0" w:color="auto"/>
      </w:divBdr>
      <w:divsChild>
        <w:div w:id="367605521">
          <w:marLeft w:val="0"/>
          <w:marRight w:val="0"/>
          <w:marTop w:val="0"/>
          <w:marBottom w:val="0"/>
          <w:divBdr>
            <w:top w:val="none" w:sz="0" w:space="0" w:color="auto"/>
            <w:left w:val="none" w:sz="0" w:space="0" w:color="auto"/>
            <w:bottom w:val="none" w:sz="0" w:space="0" w:color="auto"/>
            <w:right w:val="none" w:sz="0" w:space="0" w:color="auto"/>
          </w:divBdr>
        </w:div>
      </w:divsChild>
    </w:div>
    <w:div w:id="855122237">
      <w:marLeft w:val="0"/>
      <w:marRight w:val="0"/>
      <w:marTop w:val="0"/>
      <w:marBottom w:val="0"/>
      <w:divBdr>
        <w:top w:val="none" w:sz="0" w:space="0" w:color="auto"/>
        <w:left w:val="none" w:sz="0" w:space="0" w:color="auto"/>
        <w:bottom w:val="none" w:sz="0" w:space="0" w:color="auto"/>
        <w:right w:val="none" w:sz="0" w:space="0" w:color="auto"/>
      </w:divBdr>
      <w:divsChild>
        <w:div w:id="1213151167">
          <w:marLeft w:val="0"/>
          <w:marRight w:val="0"/>
          <w:marTop w:val="0"/>
          <w:marBottom w:val="0"/>
          <w:divBdr>
            <w:top w:val="none" w:sz="0" w:space="0" w:color="auto"/>
            <w:left w:val="none" w:sz="0" w:space="0" w:color="auto"/>
            <w:bottom w:val="none" w:sz="0" w:space="0" w:color="auto"/>
            <w:right w:val="none" w:sz="0" w:space="0" w:color="auto"/>
          </w:divBdr>
        </w:div>
      </w:divsChild>
    </w:div>
    <w:div w:id="859127419">
      <w:bodyDiv w:val="1"/>
      <w:marLeft w:val="0"/>
      <w:marRight w:val="0"/>
      <w:marTop w:val="0"/>
      <w:marBottom w:val="0"/>
      <w:divBdr>
        <w:top w:val="none" w:sz="0" w:space="0" w:color="auto"/>
        <w:left w:val="none" w:sz="0" w:space="0" w:color="auto"/>
        <w:bottom w:val="none" w:sz="0" w:space="0" w:color="auto"/>
        <w:right w:val="none" w:sz="0" w:space="0" w:color="auto"/>
      </w:divBdr>
    </w:div>
    <w:div w:id="861285646">
      <w:marLeft w:val="0"/>
      <w:marRight w:val="0"/>
      <w:marTop w:val="0"/>
      <w:marBottom w:val="0"/>
      <w:divBdr>
        <w:top w:val="none" w:sz="0" w:space="0" w:color="auto"/>
        <w:left w:val="none" w:sz="0" w:space="0" w:color="auto"/>
        <w:bottom w:val="none" w:sz="0" w:space="0" w:color="auto"/>
        <w:right w:val="none" w:sz="0" w:space="0" w:color="auto"/>
      </w:divBdr>
      <w:divsChild>
        <w:div w:id="129908952">
          <w:marLeft w:val="0"/>
          <w:marRight w:val="0"/>
          <w:marTop w:val="0"/>
          <w:marBottom w:val="0"/>
          <w:divBdr>
            <w:top w:val="none" w:sz="0" w:space="0" w:color="auto"/>
            <w:left w:val="none" w:sz="0" w:space="0" w:color="auto"/>
            <w:bottom w:val="none" w:sz="0" w:space="0" w:color="auto"/>
            <w:right w:val="none" w:sz="0" w:space="0" w:color="auto"/>
          </w:divBdr>
        </w:div>
      </w:divsChild>
    </w:div>
    <w:div w:id="864169958">
      <w:bodyDiv w:val="1"/>
      <w:marLeft w:val="0"/>
      <w:marRight w:val="0"/>
      <w:marTop w:val="0"/>
      <w:marBottom w:val="0"/>
      <w:divBdr>
        <w:top w:val="none" w:sz="0" w:space="0" w:color="auto"/>
        <w:left w:val="none" w:sz="0" w:space="0" w:color="auto"/>
        <w:bottom w:val="none" w:sz="0" w:space="0" w:color="auto"/>
        <w:right w:val="none" w:sz="0" w:space="0" w:color="auto"/>
      </w:divBdr>
    </w:div>
    <w:div w:id="864944413">
      <w:marLeft w:val="0"/>
      <w:marRight w:val="0"/>
      <w:marTop w:val="0"/>
      <w:marBottom w:val="0"/>
      <w:divBdr>
        <w:top w:val="none" w:sz="0" w:space="0" w:color="auto"/>
        <w:left w:val="none" w:sz="0" w:space="0" w:color="auto"/>
        <w:bottom w:val="none" w:sz="0" w:space="0" w:color="auto"/>
        <w:right w:val="none" w:sz="0" w:space="0" w:color="auto"/>
      </w:divBdr>
      <w:divsChild>
        <w:div w:id="576867818">
          <w:marLeft w:val="0"/>
          <w:marRight w:val="0"/>
          <w:marTop w:val="0"/>
          <w:marBottom w:val="0"/>
          <w:divBdr>
            <w:top w:val="none" w:sz="0" w:space="0" w:color="auto"/>
            <w:left w:val="none" w:sz="0" w:space="0" w:color="auto"/>
            <w:bottom w:val="none" w:sz="0" w:space="0" w:color="auto"/>
            <w:right w:val="none" w:sz="0" w:space="0" w:color="auto"/>
          </w:divBdr>
        </w:div>
      </w:divsChild>
    </w:div>
    <w:div w:id="867328899">
      <w:marLeft w:val="0"/>
      <w:marRight w:val="0"/>
      <w:marTop w:val="0"/>
      <w:marBottom w:val="0"/>
      <w:divBdr>
        <w:top w:val="none" w:sz="0" w:space="0" w:color="auto"/>
        <w:left w:val="none" w:sz="0" w:space="0" w:color="auto"/>
        <w:bottom w:val="none" w:sz="0" w:space="0" w:color="auto"/>
        <w:right w:val="none" w:sz="0" w:space="0" w:color="auto"/>
      </w:divBdr>
      <w:divsChild>
        <w:div w:id="760221692">
          <w:marLeft w:val="0"/>
          <w:marRight w:val="0"/>
          <w:marTop w:val="0"/>
          <w:marBottom w:val="0"/>
          <w:divBdr>
            <w:top w:val="none" w:sz="0" w:space="0" w:color="auto"/>
            <w:left w:val="none" w:sz="0" w:space="0" w:color="auto"/>
            <w:bottom w:val="none" w:sz="0" w:space="0" w:color="auto"/>
            <w:right w:val="none" w:sz="0" w:space="0" w:color="auto"/>
          </w:divBdr>
        </w:div>
      </w:divsChild>
    </w:div>
    <w:div w:id="868565429">
      <w:marLeft w:val="0"/>
      <w:marRight w:val="0"/>
      <w:marTop w:val="0"/>
      <w:marBottom w:val="0"/>
      <w:divBdr>
        <w:top w:val="none" w:sz="0" w:space="0" w:color="auto"/>
        <w:left w:val="none" w:sz="0" w:space="0" w:color="auto"/>
        <w:bottom w:val="none" w:sz="0" w:space="0" w:color="auto"/>
        <w:right w:val="none" w:sz="0" w:space="0" w:color="auto"/>
      </w:divBdr>
      <w:divsChild>
        <w:div w:id="2129541135">
          <w:marLeft w:val="0"/>
          <w:marRight w:val="0"/>
          <w:marTop w:val="0"/>
          <w:marBottom w:val="0"/>
          <w:divBdr>
            <w:top w:val="none" w:sz="0" w:space="0" w:color="auto"/>
            <w:left w:val="none" w:sz="0" w:space="0" w:color="auto"/>
            <w:bottom w:val="none" w:sz="0" w:space="0" w:color="auto"/>
            <w:right w:val="none" w:sz="0" w:space="0" w:color="auto"/>
          </w:divBdr>
        </w:div>
      </w:divsChild>
    </w:div>
    <w:div w:id="871267503">
      <w:marLeft w:val="0"/>
      <w:marRight w:val="0"/>
      <w:marTop w:val="0"/>
      <w:marBottom w:val="0"/>
      <w:divBdr>
        <w:top w:val="none" w:sz="0" w:space="0" w:color="auto"/>
        <w:left w:val="none" w:sz="0" w:space="0" w:color="auto"/>
        <w:bottom w:val="none" w:sz="0" w:space="0" w:color="auto"/>
        <w:right w:val="none" w:sz="0" w:space="0" w:color="auto"/>
      </w:divBdr>
      <w:divsChild>
        <w:div w:id="952596096">
          <w:marLeft w:val="0"/>
          <w:marRight w:val="0"/>
          <w:marTop w:val="0"/>
          <w:marBottom w:val="0"/>
          <w:divBdr>
            <w:top w:val="none" w:sz="0" w:space="0" w:color="auto"/>
            <w:left w:val="none" w:sz="0" w:space="0" w:color="auto"/>
            <w:bottom w:val="none" w:sz="0" w:space="0" w:color="auto"/>
            <w:right w:val="none" w:sz="0" w:space="0" w:color="auto"/>
          </w:divBdr>
        </w:div>
      </w:divsChild>
    </w:div>
    <w:div w:id="873885229">
      <w:bodyDiv w:val="1"/>
      <w:marLeft w:val="0"/>
      <w:marRight w:val="0"/>
      <w:marTop w:val="0"/>
      <w:marBottom w:val="0"/>
      <w:divBdr>
        <w:top w:val="none" w:sz="0" w:space="0" w:color="auto"/>
        <w:left w:val="none" w:sz="0" w:space="0" w:color="auto"/>
        <w:bottom w:val="none" w:sz="0" w:space="0" w:color="auto"/>
        <w:right w:val="none" w:sz="0" w:space="0" w:color="auto"/>
      </w:divBdr>
      <w:divsChild>
        <w:div w:id="752239341">
          <w:marLeft w:val="0"/>
          <w:marRight w:val="0"/>
          <w:marTop w:val="0"/>
          <w:marBottom w:val="0"/>
          <w:divBdr>
            <w:top w:val="none" w:sz="0" w:space="0" w:color="auto"/>
            <w:left w:val="none" w:sz="0" w:space="0" w:color="auto"/>
            <w:bottom w:val="none" w:sz="0" w:space="0" w:color="auto"/>
            <w:right w:val="none" w:sz="0" w:space="0" w:color="auto"/>
          </w:divBdr>
          <w:divsChild>
            <w:div w:id="1558931975">
              <w:marLeft w:val="0"/>
              <w:marRight w:val="0"/>
              <w:marTop w:val="0"/>
              <w:marBottom w:val="0"/>
              <w:divBdr>
                <w:top w:val="none" w:sz="0" w:space="0" w:color="auto"/>
                <w:left w:val="none" w:sz="0" w:space="0" w:color="auto"/>
                <w:bottom w:val="none" w:sz="0" w:space="0" w:color="auto"/>
                <w:right w:val="none" w:sz="0" w:space="0" w:color="auto"/>
              </w:divBdr>
              <w:divsChild>
                <w:div w:id="1556089959">
                  <w:marLeft w:val="0"/>
                  <w:marRight w:val="150"/>
                  <w:marTop w:val="0"/>
                  <w:marBottom w:val="0"/>
                  <w:divBdr>
                    <w:top w:val="none" w:sz="0" w:space="0" w:color="auto"/>
                    <w:left w:val="none" w:sz="0" w:space="0" w:color="auto"/>
                    <w:bottom w:val="none" w:sz="0" w:space="0" w:color="auto"/>
                    <w:right w:val="none" w:sz="0" w:space="0" w:color="auto"/>
                  </w:divBdr>
                  <w:divsChild>
                    <w:div w:id="2138599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57487280">
          <w:marLeft w:val="0"/>
          <w:marRight w:val="150"/>
          <w:marTop w:val="0"/>
          <w:marBottom w:val="0"/>
          <w:divBdr>
            <w:top w:val="none" w:sz="0" w:space="0" w:color="auto"/>
            <w:left w:val="none" w:sz="0" w:space="0" w:color="auto"/>
            <w:bottom w:val="none" w:sz="0" w:space="0" w:color="auto"/>
            <w:right w:val="none" w:sz="0" w:space="0" w:color="auto"/>
          </w:divBdr>
          <w:divsChild>
            <w:div w:id="4128996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74847757">
      <w:marLeft w:val="0"/>
      <w:marRight w:val="0"/>
      <w:marTop w:val="0"/>
      <w:marBottom w:val="0"/>
      <w:divBdr>
        <w:top w:val="none" w:sz="0" w:space="0" w:color="auto"/>
        <w:left w:val="none" w:sz="0" w:space="0" w:color="auto"/>
        <w:bottom w:val="none" w:sz="0" w:space="0" w:color="auto"/>
        <w:right w:val="none" w:sz="0" w:space="0" w:color="auto"/>
      </w:divBdr>
      <w:divsChild>
        <w:div w:id="285241770">
          <w:marLeft w:val="0"/>
          <w:marRight w:val="0"/>
          <w:marTop w:val="0"/>
          <w:marBottom w:val="0"/>
          <w:divBdr>
            <w:top w:val="none" w:sz="0" w:space="0" w:color="auto"/>
            <w:left w:val="none" w:sz="0" w:space="0" w:color="auto"/>
            <w:bottom w:val="none" w:sz="0" w:space="0" w:color="auto"/>
            <w:right w:val="none" w:sz="0" w:space="0" w:color="auto"/>
          </w:divBdr>
        </w:div>
      </w:divsChild>
    </w:div>
    <w:div w:id="875435333">
      <w:marLeft w:val="0"/>
      <w:marRight w:val="0"/>
      <w:marTop w:val="0"/>
      <w:marBottom w:val="0"/>
      <w:divBdr>
        <w:top w:val="none" w:sz="0" w:space="0" w:color="auto"/>
        <w:left w:val="none" w:sz="0" w:space="0" w:color="auto"/>
        <w:bottom w:val="none" w:sz="0" w:space="0" w:color="auto"/>
        <w:right w:val="none" w:sz="0" w:space="0" w:color="auto"/>
      </w:divBdr>
      <w:divsChild>
        <w:div w:id="441656701">
          <w:marLeft w:val="0"/>
          <w:marRight w:val="0"/>
          <w:marTop w:val="0"/>
          <w:marBottom w:val="0"/>
          <w:divBdr>
            <w:top w:val="none" w:sz="0" w:space="0" w:color="auto"/>
            <w:left w:val="none" w:sz="0" w:space="0" w:color="auto"/>
            <w:bottom w:val="none" w:sz="0" w:space="0" w:color="auto"/>
            <w:right w:val="none" w:sz="0" w:space="0" w:color="auto"/>
          </w:divBdr>
        </w:div>
      </w:divsChild>
    </w:div>
    <w:div w:id="876162039">
      <w:marLeft w:val="0"/>
      <w:marRight w:val="0"/>
      <w:marTop w:val="0"/>
      <w:marBottom w:val="0"/>
      <w:divBdr>
        <w:top w:val="none" w:sz="0" w:space="0" w:color="auto"/>
        <w:left w:val="none" w:sz="0" w:space="0" w:color="auto"/>
        <w:bottom w:val="none" w:sz="0" w:space="0" w:color="auto"/>
        <w:right w:val="none" w:sz="0" w:space="0" w:color="auto"/>
      </w:divBdr>
      <w:divsChild>
        <w:div w:id="1702899033">
          <w:marLeft w:val="0"/>
          <w:marRight w:val="0"/>
          <w:marTop w:val="0"/>
          <w:marBottom w:val="0"/>
          <w:divBdr>
            <w:top w:val="none" w:sz="0" w:space="0" w:color="auto"/>
            <w:left w:val="none" w:sz="0" w:space="0" w:color="auto"/>
            <w:bottom w:val="none" w:sz="0" w:space="0" w:color="auto"/>
            <w:right w:val="none" w:sz="0" w:space="0" w:color="auto"/>
          </w:divBdr>
        </w:div>
      </w:divsChild>
    </w:div>
    <w:div w:id="877470201">
      <w:marLeft w:val="0"/>
      <w:marRight w:val="0"/>
      <w:marTop w:val="0"/>
      <w:marBottom w:val="0"/>
      <w:divBdr>
        <w:top w:val="none" w:sz="0" w:space="0" w:color="auto"/>
        <w:left w:val="none" w:sz="0" w:space="0" w:color="auto"/>
        <w:bottom w:val="none" w:sz="0" w:space="0" w:color="auto"/>
        <w:right w:val="none" w:sz="0" w:space="0" w:color="auto"/>
      </w:divBdr>
      <w:divsChild>
        <w:div w:id="979657006">
          <w:marLeft w:val="0"/>
          <w:marRight w:val="0"/>
          <w:marTop w:val="0"/>
          <w:marBottom w:val="0"/>
          <w:divBdr>
            <w:top w:val="none" w:sz="0" w:space="0" w:color="auto"/>
            <w:left w:val="none" w:sz="0" w:space="0" w:color="auto"/>
            <w:bottom w:val="none" w:sz="0" w:space="0" w:color="auto"/>
            <w:right w:val="none" w:sz="0" w:space="0" w:color="auto"/>
          </w:divBdr>
        </w:div>
      </w:divsChild>
    </w:div>
    <w:div w:id="879896972">
      <w:marLeft w:val="0"/>
      <w:marRight w:val="0"/>
      <w:marTop w:val="0"/>
      <w:marBottom w:val="0"/>
      <w:divBdr>
        <w:top w:val="none" w:sz="0" w:space="0" w:color="auto"/>
        <w:left w:val="none" w:sz="0" w:space="0" w:color="auto"/>
        <w:bottom w:val="none" w:sz="0" w:space="0" w:color="auto"/>
        <w:right w:val="none" w:sz="0" w:space="0" w:color="auto"/>
      </w:divBdr>
      <w:divsChild>
        <w:div w:id="211235011">
          <w:marLeft w:val="0"/>
          <w:marRight w:val="0"/>
          <w:marTop w:val="0"/>
          <w:marBottom w:val="0"/>
          <w:divBdr>
            <w:top w:val="none" w:sz="0" w:space="0" w:color="auto"/>
            <w:left w:val="none" w:sz="0" w:space="0" w:color="auto"/>
            <w:bottom w:val="none" w:sz="0" w:space="0" w:color="auto"/>
            <w:right w:val="none" w:sz="0" w:space="0" w:color="auto"/>
          </w:divBdr>
        </w:div>
      </w:divsChild>
    </w:div>
    <w:div w:id="883253532">
      <w:bodyDiv w:val="1"/>
      <w:marLeft w:val="0"/>
      <w:marRight w:val="0"/>
      <w:marTop w:val="0"/>
      <w:marBottom w:val="0"/>
      <w:divBdr>
        <w:top w:val="none" w:sz="0" w:space="0" w:color="auto"/>
        <w:left w:val="none" w:sz="0" w:space="0" w:color="auto"/>
        <w:bottom w:val="none" w:sz="0" w:space="0" w:color="auto"/>
        <w:right w:val="none" w:sz="0" w:space="0" w:color="auto"/>
      </w:divBdr>
    </w:div>
    <w:div w:id="887108158">
      <w:marLeft w:val="0"/>
      <w:marRight w:val="0"/>
      <w:marTop w:val="0"/>
      <w:marBottom w:val="0"/>
      <w:divBdr>
        <w:top w:val="none" w:sz="0" w:space="0" w:color="auto"/>
        <w:left w:val="none" w:sz="0" w:space="0" w:color="auto"/>
        <w:bottom w:val="none" w:sz="0" w:space="0" w:color="auto"/>
        <w:right w:val="none" w:sz="0" w:space="0" w:color="auto"/>
      </w:divBdr>
      <w:divsChild>
        <w:div w:id="1644047274">
          <w:marLeft w:val="0"/>
          <w:marRight w:val="0"/>
          <w:marTop w:val="0"/>
          <w:marBottom w:val="0"/>
          <w:divBdr>
            <w:top w:val="none" w:sz="0" w:space="0" w:color="auto"/>
            <w:left w:val="none" w:sz="0" w:space="0" w:color="auto"/>
            <w:bottom w:val="none" w:sz="0" w:space="0" w:color="auto"/>
            <w:right w:val="none" w:sz="0" w:space="0" w:color="auto"/>
          </w:divBdr>
        </w:div>
      </w:divsChild>
    </w:div>
    <w:div w:id="890578986">
      <w:bodyDiv w:val="1"/>
      <w:marLeft w:val="0"/>
      <w:marRight w:val="0"/>
      <w:marTop w:val="0"/>
      <w:marBottom w:val="0"/>
      <w:divBdr>
        <w:top w:val="none" w:sz="0" w:space="0" w:color="auto"/>
        <w:left w:val="none" w:sz="0" w:space="0" w:color="auto"/>
        <w:bottom w:val="none" w:sz="0" w:space="0" w:color="auto"/>
        <w:right w:val="none" w:sz="0" w:space="0" w:color="auto"/>
      </w:divBdr>
      <w:divsChild>
        <w:div w:id="358315128">
          <w:marLeft w:val="0"/>
          <w:marRight w:val="0"/>
          <w:marTop w:val="0"/>
          <w:marBottom w:val="0"/>
          <w:divBdr>
            <w:top w:val="none" w:sz="0" w:space="0" w:color="auto"/>
            <w:left w:val="none" w:sz="0" w:space="0" w:color="auto"/>
            <w:bottom w:val="none" w:sz="0" w:space="0" w:color="auto"/>
            <w:right w:val="none" w:sz="0" w:space="0" w:color="auto"/>
          </w:divBdr>
          <w:divsChild>
            <w:div w:id="252664861">
              <w:marLeft w:val="0"/>
              <w:marRight w:val="0"/>
              <w:marTop w:val="0"/>
              <w:marBottom w:val="0"/>
              <w:divBdr>
                <w:top w:val="none" w:sz="0" w:space="0" w:color="auto"/>
                <w:left w:val="none" w:sz="0" w:space="0" w:color="auto"/>
                <w:bottom w:val="none" w:sz="0" w:space="0" w:color="auto"/>
                <w:right w:val="none" w:sz="0" w:space="0" w:color="auto"/>
              </w:divBdr>
            </w:div>
            <w:div w:id="2037610242">
              <w:marLeft w:val="0"/>
              <w:marRight w:val="0"/>
              <w:marTop w:val="0"/>
              <w:marBottom w:val="0"/>
              <w:divBdr>
                <w:top w:val="none" w:sz="0" w:space="0" w:color="auto"/>
                <w:left w:val="none" w:sz="0" w:space="0" w:color="auto"/>
                <w:bottom w:val="none" w:sz="0" w:space="0" w:color="auto"/>
                <w:right w:val="none" w:sz="0" w:space="0" w:color="auto"/>
              </w:divBdr>
            </w:div>
            <w:div w:id="972904529">
              <w:marLeft w:val="0"/>
              <w:marRight w:val="0"/>
              <w:marTop w:val="0"/>
              <w:marBottom w:val="0"/>
              <w:divBdr>
                <w:top w:val="none" w:sz="0" w:space="0" w:color="auto"/>
                <w:left w:val="none" w:sz="0" w:space="0" w:color="auto"/>
                <w:bottom w:val="none" w:sz="0" w:space="0" w:color="auto"/>
                <w:right w:val="none" w:sz="0" w:space="0" w:color="auto"/>
              </w:divBdr>
            </w:div>
            <w:div w:id="838813969">
              <w:marLeft w:val="0"/>
              <w:marRight w:val="0"/>
              <w:marTop w:val="0"/>
              <w:marBottom w:val="0"/>
              <w:divBdr>
                <w:top w:val="none" w:sz="0" w:space="0" w:color="auto"/>
                <w:left w:val="none" w:sz="0" w:space="0" w:color="auto"/>
                <w:bottom w:val="none" w:sz="0" w:space="0" w:color="auto"/>
                <w:right w:val="none" w:sz="0" w:space="0" w:color="auto"/>
              </w:divBdr>
            </w:div>
            <w:div w:id="772748600">
              <w:marLeft w:val="0"/>
              <w:marRight w:val="0"/>
              <w:marTop w:val="0"/>
              <w:marBottom w:val="0"/>
              <w:divBdr>
                <w:top w:val="none" w:sz="0" w:space="0" w:color="auto"/>
                <w:left w:val="none" w:sz="0" w:space="0" w:color="auto"/>
                <w:bottom w:val="none" w:sz="0" w:space="0" w:color="auto"/>
                <w:right w:val="none" w:sz="0" w:space="0" w:color="auto"/>
              </w:divBdr>
            </w:div>
            <w:div w:id="979964047">
              <w:marLeft w:val="0"/>
              <w:marRight w:val="0"/>
              <w:marTop w:val="0"/>
              <w:marBottom w:val="0"/>
              <w:divBdr>
                <w:top w:val="none" w:sz="0" w:space="0" w:color="auto"/>
                <w:left w:val="none" w:sz="0" w:space="0" w:color="auto"/>
                <w:bottom w:val="none" w:sz="0" w:space="0" w:color="auto"/>
                <w:right w:val="none" w:sz="0" w:space="0" w:color="auto"/>
              </w:divBdr>
            </w:div>
            <w:div w:id="972953125">
              <w:marLeft w:val="0"/>
              <w:marRight w:val="0"/>
              <w:marTop w:val="0"/>
              <w:marBottom w:val="0"/>
              <w:divBdr>
                <w:top w:val="none" w:sz="0" w:space="0" w:color="auto"/>
                <w:left w:val="none" w:sz="0" w:space="0" w:color="auto"/>
                <w:bottom w:val="none" w:sz="0" w:space="0" w:color="auto"/>
                <w:right w:val="none" w:sz="0" w:space="0" w:color="auto"/>
              </w:divBdr>
            </w:div>
            <w:div w:id="623313834">
              <w:marLeft w:val="0"/>
              <w:marRight w:val="0"/>
              <w:marTop w:val="0"/>
              <w:marBottom w:val="0"/>
              <w:divBdr>
                <w:top w:val="none" w:sz="0" w:space="0" w:color="auto"/>
                <w:left w:val="none" w:sz="0" w:space="0" w:color="auto"/>
                <w:bottom w:val="none" w:sz="0" w:space="0" w:color="auto"/>
                <w:right w:val="none" w:sz="0" w:space="0" w:color="auto"/>
              </w:divBdr>
            </w:div>
            <w:div w:id="1750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3325">
      <w:bodyDiv w:val="1"/>
      <w:marLeft w:val="0"/>
      <w:marRight w:val="0"/>
      <w:marTop w:val="0"/>
      <w:marBottom w:val="0"/>
      <w:divBdr>
        <w:top w:val="none" w:sz="0" w:space="0" w:color="auto"/>
        <w:left w:val="none" w:sz="0" w:space="0" w:color="auto"/>
        <w:bottom w:val="none" w:sz="0" w:space="0" w:color="auto"/>
        <w:right w:val="none" w:sz="0" w:space="0" w:color="auto"/>
      </w:divBdr>
    </w:div>
    <w:div w:id="891160362">
      <w:marLeft w:val="0"/>
      <w:marRight w:val="0"/>
      <w:marTop w:val="0"/>
      <w:marBottom w:val="0"/>
      <w:divBdr>
        <w:top w:val="none" w:sz="0" w:space="0" w:color="auto"/>
        <w:left w:val="none" w:sz="0" w:space="0" w:color="auto"/>
        <w:bottom w:val="none" w:sz="0" w:space="0" w:color="auto"/>
        <w:right w:val="none" w:sz="0" w:space="0" w:color="auto"/>
      </w:divBdr>
      <w:divsChild>
        <w:div w:id="751436004">
          <w:marLeft w:val="0"/>
          <w:marRight w:val="0"/>
          <w:marTop w:val="0"/>
          <w:marBottom w:val="0"/>
          <w:divBdr>
            <w:top w:val="none" w:sz="0" w:space="0" w:color="auto"/>
            <w:left w:val="none" w:sz="0" w:space="0" w:color="auto"/>
            <w:bottom w:val="none" w:sz="0" w:space="0" w:color="auto"/>
            <w:right w:val="none" w:sz="0" w:space="0" w:color="auto"/>
          </w:divBdr>
        </w:div>
      </w:divsChild>
    </w:div>
    <w:div w:id="892696273">
      <w:bodyDiv w:val="1"/>
      <w:marLeft w:val="0"/>
      <w:marRight w:val="0"/>
      <w:marTop w:val="0"/>
      <w:marBottom w:val="0"/>
      <w:divBdr>
        <w:top w:val="none" w:sz="0" w:space="0" w:color="auto"/>
        <w:left w:val="none" w:sz="0" w:space="0" w:color="auto"/>
        <w:bottom w:val="none" w:sz="0" w:space="0" w:color="auto"/>
        <w:right w:val="none" w:sz="0" w:space="0" w:color="auto"/>
      </w:divBdr>
    </w:div>
    <w:div w:id="894465864">
      <w:marLeft w:val="0"/>
      <w:marRight w:val="0"/>
      <w:marTop w:val="0"/>
      <w:marBottom w:val="0"/>
      <w:divBdr>
        <w:top w:val="none" w:sz="0" w:space="0" w:color="auto"/>
        <w:left w:val="none" w:sz="0" w:space="0" w:color="auto"/>
        <w:bottom w:val="none" w:sz="0" w:space="0" w:color="auto"/>
        <w:right w:val="none" w:sz="0" w:space="0" w:color="auto"/>
      </w:divBdr>
      <w:divsChild>
        <w:div w:id="479887187">
          <w:marLeft w:val="0"/>
          <w:marRight w:val="0"/>
          <w:marTop w:val="0"/>
          <w:marBottom w:val="0"/>
          <w:divBdr>
            <w:top w:val="none" w:sz="0" w:space="0" w:color="auto"/>
            <w:left w:val="none" w:sz="0" w:space="0" w:color="auto"/>
            <w:bottom w:val="none" w:sz="0" w:space="0" w:color="auto"/>
            <w:right w:val="none" w:sz="0" w:space="0" w:color="auto"/>
          </w:divBdr>
        </w:div>
      </w:divsChild>
    </w:div>
    <w:div w:id="895625257">
      <w:marLeft w:val="0"/>
      <w:marRight w:val="0"/>
      <w:marTop w:val="0"/>
      <w:marBottom w:val="0"/>
      <w:divBdr>
        <w:top w:val="none" w:sz="0" w:space="0" w:color="auto"/>
        <w:left w:val="none" w:sz="0" w:space="0" w:color="auto"/>
        <w:bottom w:val="none" w:sz="0" w:space="0" w:color="auto"/>
        <w:right w:val="none" w:sz="0" w:space="0" w:color="auto"/>
      </w:divBdr>
      <w:divsChild>
        <w:div w:id="140465373">
          <w:marLeft w:val="0"/>
          <w:marRight w:val="0"/>
          <w:marTop w:val="0"/>
          <w:marBottom w:val="0"/>
          <w:divBdr>
            <w:top w:val="none" w:sz="0" w:space="0" w:color="auto"/>
            <w:left w:val="none" w:sz="0" w:space="0" w:color="auto"/>
            <w:bottom w:val="none" w:sz="0" w:space="0" w:color="auto"/>
            <w:right w:val="none" w:sz="0" w:space="0" w:color="auto"/>
          </w:divBdr>
        </w:div>
      </w:divsChild>
    </w:div>
    <w:div w:id="898789407">
      <w:marLeft w:val="0"/>
      <w:marRight w:val="0"/>
      <w:marTop w:val="0"/>
      <w:marBottom w:val="0"/>
      <w:divBdr>
        <w:top w:val="none" w:sz="0" w:space="0" w:color="auto"/>
        <w:left w:val="none" w:sz="0" w:space="0" w:color="auto"/>
        <w:bottom w:val="none" w:sz="0" w:space="0" w:color="auto"/>
        <w:right w:val="none" w:sz="0" w:space="0" w:color="auto"/>
      </w:divBdr>
      <w:divsChild>
        <w:div w:id="1238203208">
          <w:marLeft w:val="0"/>
          <w:marRight w:val="0"/>
          <w:marTop w:val="0"/>
          <w:marBottom w:val="0"/>
          <w:divBdr>
            <w:top w:val="none" w:sz="0" w:space="0" w:color="auto"/>
            <w:left w:val="none" w:sz="0" w:space="0" w:color="auto"/>
            <w:bottom w:val="none" w:sz="0" w:space="0" w:color="auto"/>
            <w:right w:val="none" w:sz="0" w:space="0" w:color="auto"/>
          </w:divBdr>
        </w:div>
      </w:divsChild>
    </w:div>
    <w:div w:id="903873517">
      <w:marLeft w:val="0"/>
      <w:marRight w:val="0"/>
      <w:marTop w:val="0"/>
      <w:marBottom w:val="0"/>
      <w:divBdr>
        <w:top w:val="none" w:sz="0" w:space="0" w:color="auto"/>
        <w:left w:val="none" w:sz="0" w:space="0" w:color="auto"/>
        <w:bottom w:val="none" w:sz="0" w:space="0" w:color="auto"/>
        <w:right w:val="none" w:sz="0" w:space="0" w:color="auto"/>
      </w:divBdr>
      <w:divsChild>
        <w:div w:id="419254192">
          <w:marLeft w:val="0"/>
          <w:marRight w:val="0"/>
          <w:marTop w:val="0"/>
          <w:marBottom w:val="0"/>
          <w:divBdr>
            <w:top w:val="none" w:sz="0" w:space="0" w:color="auto"/>
            <w:left w:val="none" w:sz="0" w:space="0" w:color="auto"/>
            <w:bottom w:val="none" w:sz="0" w:space="0" w:color="auto"/>
            <w:right w:val="none" w:sz="0" w:space="0" w:color="auto"/>
          </w:divBdr>
        </w:div>
      </w:divsChild>
    </w:div>
    <w:div w:id="905265771">
      <w:marLeft w:val="0"/>
      <w:marRight w:val="0"/>
      <w:marTop w:val="0"/>
      <w:marBottom w:val="0"/>
      <w:divBdr>
        <w:top w:val="none" w:sz="0" w:space="0" w:color="auto"/>
        <w:left w:val="none" w:sz="0" w:space="0" w:color="auto"/>
        <w:bottom w:val="none" w:sz="0" w:space="0" w:color="auto"/>
        <w:right w:val="none" w:sz="0" w:space="0" w:color="auto"/>
      </w:divBdr>
      <w:divsChild>
        <w:div w:id="1052846011">
          <w:marLeft w:val="0"/>
          <w:marRight w:val="0"/>
          <w:marTop w:val="0"/>
          <w:marBottom w:val="0"/>
          <w:divBdr>
            <w:top w:val="none" w:sz="0" w:space="0" w:color="auto"/>
            <w:left w:val="none" w:sz="0" w:space="0" w:color="auto"/>
            <w:bottom w:val="none" w:sz="0" w:space="0" w:color="auto"/>
            <w:right w:val="none" w:sz="0" w:space="0" w:color="auto"/>
          </w:divBdr>
        </w:div>
      </w:divsChild>
    </w:div>
    <w:div w:id="906959643">
      <w:bodyDiv w:val="1"/>
      <w:marLeft w:val="0"/>
      <w:marRight w:val="0"/>
      <w:marTop w:val="0"/>
      <w:marBottom w:val="0"/>
      <w:divBdr>
        <w:top w:val="none" w:sz="0" w:space="0" w:color="auto"/>
        <w:left w:val="none" w:sz="0" w:space="0" w:color="auto"/>
        <w:bottom w:val="none" w:sz="0" w:space="0" w:color="auto"/>
        <w:right w:val="none" w:sz="0" w:space="0" w:color="auto"/>
      </w:divBdr>
    </w:div>
    <w:div w:id="908274588">
      <w:bodyDiv w:val="1"/>
      <w:marLeft w:val="0"/>
      <w:marRight w:val="0"/>
      <w:marTop w:val="0"/>
      <w:marBottom w:val="0"/>
      <w:divBdr>
        <w:top w:val="none" w:sz="0" w:space="0" w:color="auto"/>
        <w:left w:val="none" w:sz="0" w:space="0" w:color="auto"/>
        <w:bottom w:val="none" w:sz="0" w:space="0" w:color="auto"/>
        <w:right w:val="none" w:sz="0" w:space="0" w:color="auto"/>
      </w:divBdr>
    </w:div>
    <w:div w:id="909466211">
      <w:marLeft w:val="0"/>
      <w:marRight w:val="0"/>
      <w:marTop w:val="0"/>
      <w:marBottom w:val="0"/>
      <w:divBdr>
        <w:top w:val="none" w:sz="0" w:space="0" w:color="auto"/>
        <w:left w:val="none" w:sz="0" w:space="0" w:color="auto"/>
        <w:bottom w:val="none" w:sz="0" w:space="0" w:color="auto"/>
        <w:right w:val="none" w:sz="0" w:space="0" w:color="auto"/>
      </w:divBdr>
      <w:divsChild>
        <w:div w:id="128980885">
          <w:marLeft w:val="0"/>
          <w:marRight w:val="0"/>
          <w:marTop w:val="0"/>
          <w:marBottom w:val="0"/>
          <w:divBdr>
            <w:top w:val="none" w:sz="0" w:space="0" w:color="auto"/>
            <w:left w:val="none" w:sz="0" w:space="0" w:color="auto"/>
            <w:bottom w:val="none" w:sz="0" w:space="0" w:color="auto"/>
            <w:right w:val="none" w:sz="0" w:space="0" w:color="auto"/>
          </w:divBdr>
        </w:div>
      </w:divsChild>
    </w:div>
    <w:div w:id="911158101">
      <w:marLeft w:val="0"/>
      <w:marRight w:val="0"/>
      <w:marTop w:val="0"/>
      <w:marBottom w:val="0"/>
      <w:divBdr>
        <w:top w:val="none" w:sz="0" w:space="0" w:color="auto"/>
        <w:left w:val="none" w:sz="0" w:space="0" w:color="auto"/>
        <w:bottom w:val="none" w:sz="0" w:space="0" w:color="auto"/>
        <w:right w:val="none" w:sz="0" w:space="0" w:color="auto"/>
      </w:divBdr>
      <w:divsChild>
        <w:div w:id="1861696357">
          <w:marLeft w:val="0"/>
          <w:marRight w:val="0"/>
          <w:marTop w:val="0"/>
          <w:marBottom w:val="0"/>
          <w:divBdr>
            <w:top w:val="none" w:sz="0" w:space="0" w:color="auto"/>
            <w:left w:val="none" w:sz="0" w:space="0" w:color="auto"/>
            <w:bottom w:val="none" w:sz="0" w:space="0" w:color="auto"/>
            <w:right w:val="none" w:sz="0" w:space="0" w:color="auto"/>
          </w:divBdr>
        </w:div>
      </w:divsChild>
    </w:div>
    <w:div w:id="913390767">
      <w:marLeft w:val="0"/>
      <w:marRight w:val="0"/>
      <w:marTop w:val="0"/>
      <w:marBottom w:val="0"/>
      <w:divBdr>
        <w:top w:val="none" w:sz="0" w:space="0" w:color="auto"/>
        <w:left w:val="none" w:sz="0" w:space="0" w:color="auto"/>
        <w:bottom w:val="none" w:sz="0" w:space="0" w:color="auto"/>
        <w:right w:val="none" w:sz="0" w:space="0" w:color="auto"/>
      </w:divBdr>
      <w:divsChild>
        <w:div w:id="1505627932">
          <w:marLeft w:val="0"/>
          <w:marRight w:val="0"/>
          <w:marTop w:val="0"/>
          <w:marBottom w:val="0"/>
          <w:divBdr>
            <w:top w:val="none" w:sz="0" w:space="0" w:color="auto"/>
            <w:left w:val="none" w:sz="0" w:space="0" w:color="auto"/>
            <w:bottom w:val="none" w:sz="0" w:space="0" w:color="auto"/>
            <w:right w:val="none" w:sz="0" w:space="0" w:color="auto"/>
          </w:divBdr>
        </w:div>
      </w:divsChild>
    </w:div>
    <w:div w:id="915164994">
      <w:marLeft w:val="0"/>
      <w:marRight w:val="0"/>
      <w:marTop w:val="0"/>
      <w:marBottom w:val="0"/>
      <w:divBdr>
        <w:top w:val="none" w:sz="0" w:space="0" w:color="auto"/>
        <w:left w:val="none" w:sz="0" w:space="0" w:color="auto"/>
        <w:bottom w:val="none" w:sz="0" w:space="0" w:color="auto"/>
        <w:right w:val="none" w:sz="0" w:space="0" w:color="auto"/>
      </w:divBdr>
      <w:divsChild>
        <w:div w:id="893202997">
          <w:marLeft w:val="0"/>
          <w:marRight w:val="0"/>
          <w:marTop w:val="0"/>
          <w:marBottom w:val="0"/>
          <w:divBdr>
            <w:top w:val="none" w:sz="0" w:space="0" w:color="auto"/>
            <w:left w:val="none" w:sz="0" w:space="0" w:color="auto"/>
            <w:bottom w:val="none" w:sz="0" w:space="0" w:color="auto"/>
            <w:right w:val="none" w:sz="0" w:space="0" w:color="auto"/>
          </w:divBdr>
        </w:div>
      </w:divsChild>
    </w:div>
    <w:div w:id="917636611">
      <w:marLeft w:val="0"/>
      <w:marRight w:val="0"/>
      <w:marTop w:val="0"/>
      <w:marBottom w:val="0"/>
      <w:divBdr>
        <w:top w:val="none" w:sz="0" w:space="0" w:color="auto"/>
        <w:left w:val="none" w:sz="0" w:space="0" w:color="auto"/>
        <w:bottom w:val="none" w:sz="0" w:space="0" w:color="auto"/>
        <w:right w:val="none" w:sz="0" w:space="0" w:color="auto"/>
      </w:divBdr>
      <w:divsChild>
        <w:div w:id="1208907996">
          <w:marLeft w:val="0"/>
          <w:marRight w:val="0"/>
          <w:marTop w:val="0"/>
          <w:marBottom w:val="0"/>
          <w:divBdr>
            <w:top w:val="none" w:sz="0" w:space="0" w:color="auto"/>
            <w:left w:val="none" w:sz="0" w:space="0" w:color="auto"/>
            <w:bottom w:val="none" w:sz="0" w:space="0" w:color="auto"/>
            <w:right w:val="none" w:sz="0" w:space="0" w:color="auto"/>
          </w:divBdr>
        </w:div>
      </w:divsChild>
    </w:div>
    <w:div w:id="918171941">
      <w:marLeft w:val="0"/>
      <w:marRight w:val="0"/>
      <w:marTop w:val="0"/>
      <w:marBottom w:val="0"/>
      <w:divBdr>
        <w:top w:val="none" w:sz="0" w:space="0" w:color="auto"/>
        <w:left w:val="none" w:sz="0" w:space="0" w:color="auto"/>
        <w:bottom w:val="none" w:sz="0" w:space="0" w:color="auto"/>
        <w:right w:val="none" w:sz="0" w:space="0" w:color="auto"/>
      </w:divBdr>
      <w:divsChild>
        <w:div w:id="1624116723">
          <w:marLeft w:val="0"/>
          <w:marRight w:val="0"/>
          <w:marTop w:val="0"/>
          <w:marBottom w:val="0"/>
          <w:divBdr>
            <w:top w:val="none" w:sz="0" w:space="0" w:color="auto"/>
            <w:left w:val="none" w:sz="0" w:space="0" w:color="auto"/>
            <w:bottom w:val="none" w:sz="0" w:space="0" w:color="auto"/>
            <w:right w:val="none" w:sz="0" w:space="0" w:color="auto"/>
          </w:divBdr>
        </w:div>
      </w:divsChild>
    </w:div>
    <w:div w:id="918366806">
      <w:bodyDiv w:val="1"/>
      <w:marLeft w:val="0"/>
      <w:marRight w:val="0"/>
      <w:marTop w:val="0"/>
      <w:marBottom w:val="0"/>
      <w:divBdr>
        <w:top w:val="none" w:sz="0" w:space="0" w:color="auto"/>
        <w:left w:val="none" w:sz="0" w:space="0" w:color="auto"/>
        <w:bottom w:val="none" w:sz="0" w:space="0" w:color="auto"/>
        <w:right w:val="none" w:sz="0" w:space="0" w:color="auto"/>
      </w:divBdr>
    </w:div>
    <w:div w:id="919481208">
      <w:bodyDiv w:val="1"/>
      <w:marLeft w:val="0"/>
      <w:marRight w:val="0"/>
      <w:marTop w:val="0"/>
      <w:marBottom w:val="0"/>
      <w:divBdr>
        <w:top w:val="none" w:sz="0" w:space="0" w:color="auto"/>
        <w:left w:val="none" w:sz="0" w:space="0" w:color="auto"/>
        <w:bottom w:val="none" w:sz="0" w:space="0" w:color="auto"/>
        <w:right w:val="none" w:sz="0" w:space="0" w:color="auto"/>
      </w:divBdr>
    </w:div>
    <w:div w:id="926232485">
      <w:marLeft w:val="0"/>
      <w:marRight w:val="0"/>
      <w:marTop w:val="0"/>
      <w:marBottom w:val="0"/>
      <w:divBdr>
        <w:top w:val="none" w:sz="0" w:space="0" w:color="auto"/>
        <w:left w:val="none" w:sz="0" w:space="0" w:color="auto"/>
        <w:bottom w:val="none" w:sz="0" w:space="0" w:color="auto"/>
        <w:right w:val="none" w:sz="0" w:space="0" w:color="auto"/>
      </w:divBdr>
      <w:divsChild>
        <w:div w:id="337540065">
          <w:marLeft w:val="0"/>
          <w:marRight w:val="0"/>
          <w:marTop w:val="0"/>
          <w:marBottom w:val="0"/>
          <w:divBdr>
            <w:top w:val="none" w:sz="0" w:space="0" w:color="auto"/>
            <w:left w:val="none" w:sz="0" w:space="0" w:color="auto"/>
            <w:bottom w:val="none" w:sz="0" w:space="0" w:color="auto"/>
            <w:right w:val="none" w:sz="0" w:space="0" w:color="auto"/>
          </w:divBdr>
        </w:div>
      </w:divsChild>
    </w:div>
    <w:div w:id="927931256">
      <w:bodyDiv w:val="1"/>
      <w:marLeft w:val="0"/>
      <w:marRight w:val="0"/>
      <w:marTop w:val="0"/>
      <w:marBottom w:val="0"/>
      <w:divBdr>
        <w:top w:val="none" w:sz="0" w:space="0" w:color="auto"/>
        <w:left w:val="none" w:sz="0" w:space="0" w:color="auto"/>
        <w:bottom w:val="none" w:sz="0" w:space="0" w:color="auto"/>
        <w:right w:val="none" w:sz="0" w:space="0" w:color="auto"/>
      </w:divBdr>
    </w:div>
    <w:div w:id="929922747">
      <w:marLeft w:val="0"/>
      <w:marRight w:val="0"/>
      <w:marTop w:val="0"/>
      <w:marBottom w:val="0"/>
      <w:divBdr>
        <w:top w:val="none" w:sz="0" w:space="0" w:color="auto"/>
        <w:left w:val="none" w:sz="0" w:space="0" w:color="auto"/>
        <w:bottom w:val="none" w:sz="0" w:space="0" w:color="auto"/>
        <w:right w:val="none" w:sz="0" w:space="0" w:color="auto"/>
      </w:divBdr>
      <w:divsChild>
        <w:div w:id="2129473007">
          <w:marLeft w:val="0"/>
          <w:marRight w:val="0"/>
          <w:marTop w:val="0"/>
          <w:marBottom w:val="0"/>
          <w:divBdr>
            <w:top w:val="none" w:sz="0" w:space="0" w:color="auto"/>
            <w:left w:val="none" w:sz="0" w:space="0" w:color="auto"/>
            <w:bottom w:val="none" w:sz="0" w:space="0" w:color="auto"/>
            <w:right w:val="none" w:sz="0" w:space="0" w:color="auto"/>
          </w:divBdr>
        </w:div>
      </w:divsChild>
    </w:div>
    <w:div w:id="931284580">
      <w:marLeft w:val="0"/>
      <w:marRight w:val="0"/>
      <w:marTop w:val="0"/>
      <w:marBottom w:val="0"/>
      <w:divBdr>
        <w:top w:val="none" w:sz="0" w:space="0" w:color="auto"/>
        <w:left w:val="none" w:sz="0" w:space="0" w:color="auto"/>
        <w:bottom w:val="none" w:sz="0" w:space="0" w:color="auto"/>
        <w:right w:val="none" w:sz="0" w:space="0" w:color="auto"/>
      </w:divBdr>
      <w:divsChild>
        <w:div w:id="1272591929">
          <w:marLeft w:val="0"/>
          <w:marRight w:val="0"/>
          <w:marTop w:val="0"/>
          <w:marBottom w:val="0"/>
          <w:divBdr>
            <w:top w:val="none" w:sz="0" w:space="0" w:color="auto"/>
            <w:left w:val="none" w:sz="0" w:space="0" w:color="auto"/>
            <w:bottom w:val="none" w:sz="0" w:space="0" w:color="auto"/>
            <w:right w:val="none" w:sz="0" w:space="0" w:color="auto"/>
          </w:divBdr>
        </w:div>
      </w:divsChild>
    </w:div>
    <w:div w:id="932785209">
      <w:marLeft w:val="0"/>
      <w:marRight w:val="0"/>
      <w:marTop w:val="0"/>
      <w:marBottom w:val="0"/>
      <w:divBdr>
        <w:top w:val="none" w:sz="0" w:space="0" w:color="auto"/>
        <w:left w:val="none" w:sz="0" w:space="0" w:color="auto"/>
        <w:bottom w:val="none" w:sz="0" w:space="0" w:color="auto"/>
        <w:right w:val="none" w:sz="0" w:space="0" w:color="auto"/>
      </w:divBdr>
      <w:divsChild>
        <w:div w:id="589199246">
          <w:marLeft w:val="0"/>
          <w:marRight w:val="0"/>
          <w:marTop w:val="0"/>
          <w:marBottom w:val="0"/>
          <w:divBdr>
            <w:top w:val="none" w:sz="0" w:space="0" w:color="auto"/>
            <w:left w:val="none" w:sz="0" w:space="0" w:color="auto"/>
            <w:bottom w:val="none" w:sz="0" w:space="0" w:color="auto"/>
            <w:right w:val="none" w:sz="0" w:space="0" w:color="auto"/>
          </w:divBdr>
        </w:div>
      </w:divsChild>
    </w:div>
    <w:div w:id="933786923">
      <w:marLeft w:val="0"/>
      <w:marRight w:val="0"/>
      <w:marTop w:val="0"/>
      <w:marBottom w:val="0"/>
      <w:divBdr>
        <w:top w:val="none" w:sz="0" w:space="0" w:color="auto"/>
        <w:left w:val="none" w:sz="0" w:space="0" w:color="auto"/>
        <w:bottom w:val="none" w:sz="0" w:space="0" w:color="auto"/>
        <w:right w:val="none" w:sz="0" w:space="0" w:color="auto"/>
      </w:divBdr>
      <w:divsChild>
        <w:div w:id="760953388">
          <w:marLeft w:val="0"/>
          <w:marRight w:val="0"/>
          <w:marTop w:val="0"/>
          <w:marBottom w:val="0"/>
          <w:divBdr>
            <w:top w:val="none" w:sz="0" w:space="0" w:color="auto"/>
            <w:left w:val="none" w:sz="0" w:space="0" w:color="auto"/>
            <w:bottom w:val="none" w:sz="0" w:space="0" w:color="auto"/>
            <w:right w:val="none" w:sz="0" w:space="0" w:color="auto"/>
          </w:divBdr>
        </w:div>
      </w:divsChild>
    </w:div>
    <w:div w:id="934359138">
      <w:bodyDiv w:val="1"/>
      <w:marLeft w:val="0"/>
      <w:marRight w:val="0"/>
      <w:marTop w:val="0"/>
      <w:marBottom w:val="0"/>
      <w:divBdr>
        <w:top w:val="none" w:sz="0" w:space="0" w:color="auto"/>
        <w:left w:val="none" w:sz="0" w:space="0" w:color="auto"/>
        <w:bottom w:val="none" w:sz="0" w:space="0" w:color="auto"/>
        <w:right w:val="none" w:sz="0" w:space="0" w:color="auto"/>
      </w:divBdr>
      <w:divsChild>
        <w:div w:id="1076560776">
          <w:marLeft w:val="0"/>
          <w:marRight w:val="0"/>
          <w:marTop w:val="0"/>
          <w:marBottom w:val="0"/>
          <w:divBdr>
            <w:top w:val="none" w:sz="0" w:space="0" w:color="auto"/>
            <w:left w:val="none" w:sz="0" w:space="0" w:color="auto"/>
            <w:bottom w:val="none" w:sz="0" w:space="0" w:color="auto"/>
            <w:right w:val="none" w:sz="0" w:space="0" w:color="auto"/>
          </w:divBdr>
          <w:divsChild>
            <w:div w:id="599920029">
              <w:marLeft w:val="0"/>
              <w:marRight w:val="0"/>
              <w:marTop w:val="0"/>
              <w:marBottom w:val="0"/>
              <w:divBdr>
                <w:top w:val="none" w:sz="0" w:space="0" w:color="auto"/>
                <w:left w:val="none" w:sz="0" w:space="0" w:color="auto"/>
                <w:bottom w:val="none" w:sz="0" w:space="0" w:color="auto"/>
                <w:right w:val="none" w:sz="0" w:space="0" w:color="auto"/>
              </w:divBdr>
              <w:divsChild>
                <w:div w:id="1897275662">
                  <w:marLeft w:val="0"/>
                  <w:marRight w:val="150"/>
                  <w:marTop w:val="0"/>
                  <w:marBottom w:val="0"/>
                  <w:divBdr>
                    <w:top w:val="none" w:sz="0" w:space="0" w:color="auto"/>
                    <w:left w:val="none" w:sz="0" w:space="0" w:color="auto"/>
                    <w:bottom w:val="none" w:sz="0" w:space="0" w:color="auto"/>
                    <w:right w:val="none" w:sz="0" w:space="0" w:color="auto"/>
                  </w:divBdr>
                  <w:divsChild>
                    <w:div w:id="19414039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43855521">
          <w:marLeft w:val="0"/>
          <w:marRight w:val="150"/>
          <w:marTop w:val="0"/>
          <w:marBottom w:val="0"/>
          <w:divBdr>
            <w:top w:val="none" w:sz="0" w:space="0" w:color="auto"/>
            <w:left w:val="none" w:sz="0" w:space="0" w:color="auto"/>
            <w:bottom w:val="none" w:sz="0" w:space="0" w:color="auto"/>
            <w:right w:val="none" w:sz="0" w:space="0" w:color="auto"/>
          </w:divBdr>
          <w:divsChild>
            <w:div w:id="15168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4826299">
      <w:bodyDiv w:val="1"/>
      <w:marLeft w:val="0"/>
      <w:marRight w:val="0"/>
      <w:marTop w:val="0"/>
      <w:marBottom w:val="0"/>
      <w:divBdr>
        <w:top w:val="none" w:sz="0" w:space="0" w:color="auto"/>
        <w:left w:val="none" w:sz="0" w:space="0" w:color="auto"/>
        <w:bottom w:val="none" w:sz="0" w:space="0" w:color="auto"/>
        <w:right w:val="none" w:sz="0" w:space="0" w:color="auto"/>
      </w:divBdr>
    </w:div>
    <w:div w:id="942958031">
      <w:marLeft w:val="0"/>
      <w:marRight w:val="0"/>
      <w:marTop w:val="0"/>
      <w:marBottom w:val="0"/>
      <w:divBdr>
        <w:top w:val="none" w:sz="0" w:space="0" w:color="auto"/>
        <w:left w:val="none" w:sz="0" w:space="0" w:color="auto"/>
        <w:bottom w:val="none" w:sz="0" w:space="0" w:color="auto"/>
        <w:right w:val="none" w:sz="0" w:space="0" w:color="auto"/>
      </w:divBdr>
      <w:divsChild>
        <w:div w:id="491795955">
          <w:marLeft w:val="0"/>
          <w:marRight w:val="0"/>
          <w:marTop w:val="0"/>
          <w:marBottom w:val="0"/>
          <w:divBdr>
            <w:top w:val="none" w:sz="0" w:space="0" w:color="auto"/>
            <w:left w:val="none" w:sz="0" w:space="0" w:color="auto"/>
            <w:bottom w:val="none" w:sz="0" w:space="0" w:color="auto"/>
            <w:right w:val="none" w:sz="0" w:space="0" w:color="auto"/>
          </w:divBdr>
        </w:div>
      </w:divsChild>
    </w:div>
    <w:div w:id="953365258">
      <w:marLeft w:val="0"/>
      <w:marRight w:val="0"/>
      <w:marTop w:val="0"/>
      <w:marBottom w:val="0"/>
      <w:divBdr>
        <w:top w:val="none" w:sz="0" w:space="0" w:color="auto"/>
        <w:left w:val="none" w:sz="0" w:space="0" w:color="auto"/>
        <w:bottom w:val="none" w:sz="0" w:space="0" w:color="auto"/>
        <w:right w:val="none" w:sz="0" w:space="0" w:color="auto"/>
      </w:divBdr>
      <w:divsChild>
        <w:div w:id="5795722">
          <w:marLeft w:val="0"/>
          <w:marRight w:val="0"/>
          <w:marTop w:val="0"/>
          <w:marBottom w:val="0"/>
          <w:divBdr>
            <w:top w:val="none" w:sz="0" w:space="0" w:color="auto"/>
            <w:left w:val="none" w:sz="0" w:space="0" w:color="auto"/>
            <w:bottom w:val="none" w:sz="0" w:space="0" w:color="auto"/>
            <w:right w:val="none" w:sz="0" w:space="0" w:color="auto"/>
          </w:divBdr>
        </w:div>
      </w:divsChild>
    </w:div>
    <w:div w:id="959648669">
      <w:bodyDiv w:val="1"/>
      <w:marLeft w:val="0"/>
      <w:marRight w:val="0"/>
      <w:marTop w:val="0"/>
      <w:marBottom w:val="0"/>
      <w:divBdr>
        <w:top w:val="none" w:sz="0" w:space="0" w:color="auto"/>
        <w:left w:val="none" w:sz="0" w:space="0" w:color="auto"/>
        <w:bottom w:val="none" w:sz="0" w:space="0" w:color="auto"/>
        <w:right w:val="none" w:sz="0" w:space="0" w:color="auto"/>
      </w:divBdr>
    </w:div>
    <w:div w:id="966661566">
      <w:marLeft w:val="0"/>
      <w:marRight w:val="150"/>
      <w:marTop w:val="0"/>
      <w:marBottom w:val="0"/>
      <w:divBdr>
        <w:top w:val="none" w:sz="0" w:space="0" w:color="auto"/>
        <w:left w:val="none" w:sz="0" w:space="0" w:color="auto"/>
        <w:bottom w:val="none" w:sz="0" w:space="0" w:color="auto"/>
        <w:right w:val="none" w:sz="0" w:space="0" w:color="auto"/>
      </w:divBdr>
      <w:divsChild>
        <w:div w:id="2144224843">
          <w:marLeft w:val="0"/>
          <w:marRight w:val="150"/>
          <w:marTop w:val="0"/>
          <w:marBottom w:val="0"/>
          <w:divBdr>
            <w:top w:val="none" w:sz="0" w:space="0" w:color="auto"/>
            <w:left w:val="none" w:sz="0" w:space="0" w:color="auto"/>
            <w:bottom w:val="none" w:sz="0" w:space="0" w:color="auto"/>
            <w:right w:val="none" w:sz="0" w:space="0" w:color="auto"/>
          </w:divBdr>
        </w:div>
      </w:divsChild>
    </w:div>
    <w:div w:id="973146243">
      <w:marLeft w:val="0"/>
      <w:marRight w:val="0"/>
      <w:marTop w:val="0"/>
      <w:marBottom w:val="0"/>
      <w:divBdr>
        <w:top w:val="none" w:sz="0" w:space="0" w:color="auto"/>
        <w:left w:val="none" w:sz="0" w:space="0" w:color="auto"/>
        <w:bottom w:val="none" w:sz="0" w:space="0" w:color="auto"/>
        <w:right w:val="none" w:sz="0" w:space="0" w:color="auto"/>
      </w:divBdr>
      <w:divsChild>
        <w:div w:id="1458569441">
          <w:marLeft w:val="0"/>
          <w:marRight w:val="0"/>
          <w:marTop w:val="0"/>
          <w:marBottom w:val="0"/>
          <w:divBdr>
            <w:top w:val="none" w:sz="0" w:space="0" w:color="auto"/>
            <w:left w:val="none" w:sz="0" w:space="0" w:color="auto"/>
            <w:bottom w:val="none" w:sz="0" w:space="0" w:color="auto"/>
            <w:right w:val="none" w:sz="0" w:space="0" w:color="auto"/>
          </w:divBdr>
        </w:div>
      </w:divsChild>
    </w:div>
    <w:div w:id="981084096">
      <w:marLeft w:val="0"/>
      <w:marRight w:val="0"/>
      <w:marTop w:val="0"/>
      <w:marBottom w:val="0"/>
      <w:divBdr>
        <w:top w:val="none" w:sz="0" w:space="0" w:color="auto"/>
        <w:left w:val="none" w:sz="0" w:space="0" w:color="auto"/>
        <w:bottom w:val="none" w:sz="0" w:space="0" w:color="auto"/>
        <w:right w:val="none" w:sz="0" w:space="0" w:color="auto"/>
      </w:divBdr>
      <w:divsChild>
        <w:div w:id="2040619710">
          <w:marLeft w:val="0"/>
          <w:marRight w:val="0"/>
          <w:marTop w:val="0"/>
          <w:marBottom w:val="0"/>
          <w:divBdr>
            <w:top w:val="none" w:sz="0" w:space="0" w:color="auto"/>
            <w:left w:val="none" w:sz="0" w:space="0" w:color="auto"/>
            <w:bottom w:val="none" w:sz="0" w:space="0" w:color="auto"/>
            <w:right w:val="none" w:sz="0" w:space="0" w:color="auto"/>
          </w:divBdr>
        </w:div>
      </w:divsChild>
    </w:div>
    <w:div w:id="982001473">
      <w:marLeft w:val="0"/>
      <w:marRight w:val="0"/>
      <w:marTop w:val="0"/>
      <w:marBottom w:val="0"/>
      <w:divBdr>
        <w:top w:val="none" w:sz="0" w:space="0" w:color="auto"/>
        <w:left w:val="none" w:sz="0" w:space="0" w:color="auto"/>
        <w:bottom w:val="none" w:sz="0" w:space="0" w:color="auto"/>
        <w:right w:val="none" w:sz="0" w:space="0" w:color="auto"/>
      </w:divBdr>
      <w:divsChild>
        <w:div w:id="992948786">
          <w:marLeft w:val="0"/>
          <w:marRight w:val="0"/>
          <w:marTop w:val="0"/>
          <w:marBottom w:val="0"/>
          <w:divBdr>
            <w:top w:val="none" w:sz="0" w:space="0" w:color="auto"/>
            <w:left w:val="none" w:sz="0" w:space="0" w:color="auto"/>
            <w:bottom w:val="none" w:sz="0" w:space="0" w:color="auto"/>
            <w:right w:val="none" w:sz="0" w:space="0" w:color="auto"/>
          </w:divBdr>
        </w:div>
      </w:divsChild>
    </w:div>
    <w:div w:id="988284142">
      <w:marLeft w:val="0"/>
      <w:marRight w:val="0"/>
      <w:marTop w:val="0"/>
      <w:marBottom w:val="0"/>
      <w:divBdr>
        <w:top w:val="none" w:sz="0" w:space="0" w:color="auto"/>
        <w:left w:val="none" w:sz="0" w:space="0" w:color="auto"/>
        <w:bottom w:val="none" w:sz="0" w:space="0" w:color="auto"/>
        <w:right w:val="none" w:sz="0" w:space="0" w:color="auto"/>
      </w:divBdr>
      <w:divsChild>
        <w:div w:id="1369641737">
          <w:marLeft w:val="0"/>
          <w:marRight w:val="0"/>
          <w:marTop w:val="0"/>
          <w:marBottom w:val="0"/>
          <w:divBdr>
            <w:top w:val="none" w:sz="0" w:space="0" w:color="auto"/>
            <w:left w:val="none" w:sz="0" w:space="0" w:color="auto"/>
            <w:bottom w:val="none" w:sz="0" w:space="0" w:color="auto"/>
            <w:right w:val="none" w:sz="0" w:space="0" w:color="auto"/>
          </w:divBdr>
        </w:div>
      </w:divsChild>
    </w:div>
    <w:div w:id="988898808">
      <w:marLeft w:val="0"/>
      <w:marRight w:val="0"/>
      <w:marTop w:val="0"/>
      <w:marBottom w:val="0"/>
      <w:divBdr>
        <w:top w:val="none" w:sz="0" w:space="0" w:color="auto"/>
        <w:left w:val="none" w:sz="0" w:space="0" w:color="auto"/>
        <w:bottom w:val="none" w:sz="0" w:space="0" w:color="auto"/>
        <w:right w:val="none" w:sz="0" w:space="0" w:color="auto"/>
      </w:divBdr>
      <w:divsChild>
        <w:div w:id="1732270882">
          <w:marLeft w:val="0"/>
          <w:marRight w:val="0"/>
          <w:marTop w:val="0"/>
          <w:marBottom w:val="0"/>
          <w:divBdr>
            <w:top w:val="none" w:sz="0" w:space="0" w:color="auto"/>
            <w:left w:val="none" w:sz="0" w:space="0" w:color="auto"/>
            <w:bottom w:val="none" w:sz="0" w:space="0" w:color="auto"/>
            <w:right w:val="none" w:sz="0" w:space="0" w:color="auto"/>
          </w:divBdr>
        </w:div>
      </w:divsChild>
    </w:div>
    <w:div w:id="994577229">
      <w:marLeft w:val="0"/>
      <w:marRight w:val="0"/>
      <w:marTop w:val="0"/>
      <w:marBottom w:val="0"/>
      <w:divBdr>
        <w:top w:val="none" w:sz="0" w:space="0" w:color="auto"/>
        <w:left w:val="none" w:sz="0" w:space="0" w:color="auto"/>
        <w:bottom w:val="none" w:sz="0" w:space="0" w:color="auto"/>
        <w:right w:val="none" w:sz="0" w:space="0" w:color="auto"/>
      </w:divBdr>
      <w:divsChild>
        <w:div w:id="138620622">
          <w:marLeft w:val="0"/>
          <w:marRight w:val="0"/>
          <w:marTop w:val="0"/>
          <w:marBottom w:val="0"/>
          <w:divBdr>
            <w:top w:val="none" w:sz="0" w:space="0" w:color="auto"/>
            <w:left w:val="none" w:sz="0" w:space="0" w:color="auto"/>
            <w:bottom w:val="none" w:sz="0" w:space="0" w:color="auto"/>
            <w:right w:val="none" w:sz="0" w:space="0" w:color="auto"/>
          </w:divBdr>
        </w:div>
      </w:divsChild>
    </w:div>
    <w:div w:id="996416111">
      <w:marLeft w:val="0"/>
      <w:marRight w:val="0"/>
      <w:marTop w:val="0"/>
      <w:marBottom w:val="0"/>
      <w:divBdr>
        <w:top w:val="none" w:sz="0" w:space="0" w:color="auto"/>
        <w:left w:val="none" w:sz="0" w:space="0" w:color="auto"/>
        <w:bottom w:val="none" w:sz="0" w:space="0" w:color="auto"/>
        <w:right w:val="none" w:sz="0" w:space="0" w:color="auto"/>
      </w:divBdr>
      <w:divsChild>
        <w:div w:id="1651518131">
          <w:marLeft w:val="0"/>
          <w:marRight w:val="0"/>
          <w:marTop w:val="0"/>
          <w:marBottom w:val="0"/>
          <w:divBdr>
            <w:top w:val="none" w:sz="0" w:space="0" w:color="auto"/>
            <w:left w:val="none" w:sz="0" w:space="0" w:color="auto"/>
            <w:bottom w:val="none" w:sz="0" w:space="0" w:color="auto"/>
            <w:right w:val="none" w:sz="0" w:space="0" w:color="auto"/>
          </w:divBdr>
        </w:div>
      </w:divsChild>
    </w:div>
    <w:div w:id="997146310">
      <w:marLeft w:val="0"/>
      <w:marRight w:val="0"/>
      <w:marTop w:val="0"/>
      <w:marBottom w:val="0"/>
      <w:divBdr>
        <w:top w:val="none" w:sz="0" w:space="0" w:color="auto"/>
        <w:left w:val="none" w:sz="0" w:space="0" w:color="auto"/>
        <w:bottom w:val="none" w:sz="0" w:space="0" w:color="auto"/>
        <w:right w:val="none" w:sz="0" w:space="0" w:color="auto"/>
      </w:divBdr>
      <w:divsChild>
        <w:div w:id="1305159007">
          <w:marLeft w:val="0"/>
          <w:marRight w:val="0"/>
          <w:marTop w:val="0"/>
          <w:marBottom w:val="0"/>
          <w:divBdr>
            <w:top w:val="none" w:sz="0" w:space="0" w:color="auto"/>
            <w:left w:val="none" w:sz="0" w:space="0" w:color="auto"/>
            <w:bottom w:val="none" w:sz="0" w:space="0" w:color="auto"/>
            <w:right w:val="none" w:sz="0" w:space="0" w:color="auto"/>
          </w:divBdr>
        </w:div>
      </w:divsChild>
    </w:div>
    <w:div w:id="1001661033">
      <w:marLeft w:val="0"/>
      <w:marRight w:val="0"/>
      <w:marTop w:val="0"/>
      <w:marBottom w:val="0"/>
      <w:divBdr>
        <w:top w:val="none" w:sz="0" w:space="0" w:color="auto"/>
        <w:left w:val="none" w:sz="0" w:space="0" w:color="auto"/>
        <w:bottom w:val="none" w:sz="0" w:space="0" w:color="auto"/>
        <w:right w:val="none" w:sz="0" w:space="0" w:color="auto"/>
      </w:divBdr>
      <w:divsChild>
        <w:div w:id="1684625479">
          <w:marLeft w:val="0"/>
          <w:marRight w:val="0"/>
          <w:marTop w:val="0"/>
          <w:marBottom w:val="0"/>
          <w:divBdr>
            <w:top w:val="none" w:sz="0" w:space="0" w:color="auto"/>
            <w:left w:val="none" w:sz="0" w:space="0" w:color="auto"/>
            <w:bottom w:val="none" w:sz="0" w:space="0" w:color="auto"/>
            <w:right w:val="none" w:sz="0" w:space="0" w:color="auto"/>
          </w:divBdr>
        </w:div>
      </w:divsChild>
    </w:div>
    <w:div w:id="1008021164">
      <w:bodyDiv w:val="1"/>
      <w:marLeft w:val="0"/>
      <w:marRight w:val="0"/>
      <w:marTop w:val="0"/>
      <w:marBottom w:val="0"/>
      <w:divBdr>
        <w:top w:val="none" w:sz="0" w:space="0" w:color="auto"/>
        <w:left w:val="none" w:sz="0" w:space="0" w:color="auto"/>
        <w:bottom w:val="none" w:sz="0" w:space="0" w:color="auto"/>
        <w:right w:val="none" w:sz="0" w:space="0" w:color="auto"/>
      </w:divBdr>
    </w:div>
    <w:div w:id="1008143784">
      <w:marLeft w:val="0"/>
      <w:marRight w:val="0"/>
      <w:marTop w:val="0"/>
      <w:marBottom w:val="0"/>
      <w:divBdr>
        <w:top w:val="none" w:sz="0" w:space="0" w:color="auto"/>
        <w:left w:val="none" w:sz="0" w:space="0" w:color="auto"/>
        <w:bottom w:val="none" w:sz="0" w:space="0" w:color="auto"/>
        <w:right w:val="none" w:sz="0" w:space="0" w:color="auto"/>
      </w:divBdr>
    </w:div>
    <w:div w:id="1009867368">
      <w:bodyDiv w:val="1"/>
      <w:marLeft w:val="0"/>
      <w:marRight w:val="0"/>
      <w:marTop w:val="0"/>
      <w:marBottom w:val="0"/>
      <w:divBdr>
        <w:top w:val="none" w:sz="0" w:space="0" w:color="auto"/>
        <w:left w:val="none" w:sz="0" w:space="0" w:color="auto"/>
        <w:bottom w:val="none" w:sz="0" w:space="0" w:color="auto"/>
        <w:right w:val="none" w:sz="0" w:space="0" w:color="auto"/>
      </w:divBdr>
    </w:div>
    <w:div w:id="1017469240">
      <w:bodyDiv w:val="1"/>
      <w:marLeft w:val="0"/>
      <w:marRight w:val="0"/>
      <w:marTop w:val="0"/>
      <w:marBottom w:val="0"/>
      <w:divBdr>
        <w:top w:val="none" w:sz="0" w:space="0" w:color="auto"/>
        <w:left w:val="none" w:sz="0" w:space="0" w:color="auto"/>
        <w:bottom w:val="none" w:sz="0" w:space="0" w:color="auto"/>
        <w:right w:val="none" w:sz="0" w:space="0" w:color="auto"/>
      </w:divBdr>
    </w:div>
    <w:div w:id="1017582995">
      <w:bodyDiv w:val="1"/>
      <w:marLeft w:val="0"/>
      <w:marRight w:val="0"/>
      <w:marTop w:val="0"/>
      <w:marBottom w:val="0"/>
      <w:divBdr>
        <w:top w:val="none" w:sz="0" w:space="0" w:color="auto"/>
        <w:left w:val="none" w:sz="0" w:space="0" w:color="auto"/>
        <w:bottom w:val="none" w:sz="0" w:space="0" w:color="auto"/>
        <w:right w:val="none" w:sz="0" w:space="0" w:color="auto"/>
      </w:divBdr>
    </w:div>
    <w:div w:id="1018117495">
      <w:marLeft w:val="0"/>
      <w:marRight w:val="0"/>
      <w:marTop w:val="0"/>
      <w:marBottom w:val="0"/>
      <w:divBdr>
        <w:top w:val="none" w:sz="0" w:space="0" w:color="auto"/>
        <w:left w:val="none" w:sz="0" w:space="0" w:color="auto"/>
        <w:bottom w:val="none" w:sz="0" w:space="0" w:color="auto"/>
        <w:right w:val="none" w:sz="0" w:space="0" w:color="auto"/>
      </w:divBdr>
      <w:divsChild>
        <w:div w:id="278076753">
          <w:marLeft w:val="0"/>
          <w:marRight w:val="0"/>
          <w:marTop w:val="0"/>
          <w:marBottom w:val="0"/>
          <w:divBdr>
            <w:top w:val="none" w:sz="0" w:space="0" w:color="auto"/>
            <w:left w:val="none" w:sz="0" w:space="0" w:color="auto"/>
            <w:bottom w:val="none" w:sz="0" w:space="0" w:color="auto"/>
            <w:right w:val="none" w:sz="0" w:space="0" w:color="auto"/>
          </w:divBdr>
        </w:div>
      </w:divsChild>
    </w:div>
    <w:div w:id="1020543462">
      <w:marLeft w:val="0"/>
      <w:marRight w:val="0"/>
      <w:marTop w:val="0"/>
      <w:marBottom w:val="0"/>
      <w:divBdr>
        <w:top w:val="none" w:sz="0" w:space="0" w:color="auto"/>
        <w:left w:val="none" w:sz="0" w:space="0" w:color="auto"/>
        <w:bottom w:val="none" w:sz="0" w:space="0" w:color="auto"/>
        <w:right w:val="none" w:sz="0" w:space="0" w:color="auto"/>
      </w:divBdr>
      <w:divsChild>
        <w:div w:id="929584429">
          <w:marLeft w:val="0"/>
          <w:marRight w:val="0"/>
          <w:marTop w:val="0"/>
          <w:marBottom w:val="0"/>
          <w:divBdr>
            <w:top w:val="none" w:sz="0" w:space="0" w:color="auto"/>
            <w:left w:val="none" w:sz="0" w:space="0" w:color="auto"/>
            <w:bottom w:val="none" w:sz="0" w:space="0" w:color="auto"/>
            <w:right w:val="none" w:sz="0" w:space="0" w:color="auto"/>
          </w:divBdr>
        </w:div>
      </w:divsChild>
    </w:div>
    <w:div w:id="1020811982">
      <w:marLeft w:val="0"/>
      <w:marRight w:val="0"/>
      <w:marTop w:val="0"/>
      <w:marBottom w:val="0"/>
      <w:divBdr>
        <w:top w:val="none" w:sz="0" w:space="0" w:color="auto"/>
        <w:left w:val="none" w:sz="0" w:space="0" w:color="auto"/>
        <w:bottom w:val="none" w:sz="0" w:space="0" w:color="auto"/>
        <w:right w:val="none" w:sz="0" w:space="0" w:color="auto"/>
      </w:divBdr>
      <w:divsChild>
        <w:div w:id="1324622762">
          <w:marLeft w:val="0"/>
          <w:marRight w:val="0"/>
          <w:marTop w:val="0"/>
          <w:marBottom w:val="0"/>
          <w:divBdr>
            <w:top w:val="none" w:sz="0" w:space="0" w:color="auto"/>
            <w:left w:val="none" w:sz="0" w:space="0" w:color="auto"/>
            <w:bottom w:val="none" w:sz="0" w:space="0" w:color="auto"/>
            <w:right w:val="none" w:sz="0" w:space="0" w:color="auto"/>
          </w:divBdr>
        </w:div>
      </w:divsChild>
    </w:div>
    <w:div w:id="1021476048">
      <w:marLeft w:val="0"/>
      <w:marRight w:val="150"/>
      <w:marTop w:val="0"/>
      <w:marBottom w:val="0"/>
      <w:divBdr>
        <w:top w:val="none" w:sz="0" w:space="0" w:color="auto"/>
        <w:left w:val="none" w:sz="0" w:space="0" w:color="auto"/>
        <w:bottom w:val="none" w:sz="0" w:space="0" w:color="auto"/>
        <w:right w:val="none" w:sz="0" w:space="0" w:color="auto"/>
      </w:divBdr>
      <w:divsChild>
        <w:div w:id="633483329">
          <w:marLeft w:val="0"/>
          <w:marRight w:val="150"/>
          <w:marTop w:val="0"/>
          <w:marBottom w:val="0"/>
          <w:divBdr>
            <w:top w:val="none" w:sz="0" w:space="0" w:color="auto"/>
            <w:left w:val="none" w:sz="0" w:space="0" w:color="auto"/>
            <w:bottom w:val="none" w:sz="0" w:space="0" w:color="auto"/>
            <w:right w:val="none" w:sz="0" w:space="0" w:color="auto"/>
          </w:divBdr>
        </w:div>
      </w:divsChild>
    </w:div>
    <w:div w:id="1025249135">
      <w:bodyDiv w:val="1"/>
      <w:marLeft w:val="0"/>
      <w:marRight w:val="0"/>
      <w:marTop w:val="0"/>
      <w:marBottom w:val="0"/>
      <w:divBdr>
        <w:top w:val="none" w:sz="0" w:space="0" w:color="auto"/>
        <w:left w:val="none" w:sz="0" w:space="0" w:color="auto"/>
        <w:bottom w:val="none" w:sz="0" w:space="0" w:color="auto"/>
        <w:right w:val="none" w:sz="0" w:space="0" w:color="auto"/>
      </w:divBdr>
    </w:div>
    <w:div w:id="1026101964">
      <w:marLeft w:val="0"/>
      <w:marRight w:val="0"/>
      <w:marTop w:val="0"/>
      <w:marBottom w:val="0"/>
      <w:divBdr>
        <w:top w:val="none" w:sz="0" w:space="0" w:color="auto"/>
        <w:left w:val="none" w:sz="0" w:space="0" w:color="auto"/>
        <w:bottom w:val="none" w:sz="0" w:space="0" w:color="auto"/>
        <w:right w:val="none" w:sz="0" w:space="0" w:color="auto"/>
      </w:divBdr>
      <w:divsChild>
        <w:div w:id="1653947611">
          <w:marLeft w:val="0"/>
          <w:marRight w:val="0"/>
          <w:marTop w:val="0"/>
          <w:marBottom w:val="0"/>
          <w:divBdr>
            <w:top w:val="none" w:sz="0" w:space="0" w:color="auto"/>
            <w:left w:val="none" w:sz="0" w:space="0" w:color="auto"/>
            <w:bottom w:val="none" w:sz="0" w:space="0" w:color="auto"/>
            <w:right w:val="none" w:sz="0" w:space="0" w:color="auto"/>
          </w:divBdr>
        </w:div>
      </w:divsChild>
    </w:div>
    <w:div w:id="1027678732">
      <w:bodyDiv w:val="1"/>
      <w:marLeft w:val="0"/>
      <w:marRight w:val="0"/>
      <w:marTop w:val="0"/>
      <w:marBottom w:val="0"/>
      <w:divBdr>
        <w:top w:val="none" w:sz="0" w:space="0" w:color="auto"/>
        <w:left w:val="none" w:sz="0" w:space="0" w:color="auto"/>
        <w:bottom w:val="none" w:sz="0" w:space="0" w:color="auto"/>
        <w:right w:val="none" w:sz="0" w:space="0" w:color="auto"/>
      </w:divBdr>
    </w:div>
    <w:div w:id="1028800214">
      <w:marLeft w:val="0"/>
      <w:marRight w:val="0"/>
      <w:marTop w:val="0"/>
      <w:marBottom w:val="0"/>
      <w:divBdr>
        <w:top w:val="none" w:sz="0" w:space="0" w:color="auto"/>
        <w:left w:val="none" w:sz="0" w:space="0" w:color="auto"/>
        <w:bottom w:val="none" w:sz="0" w:space="0" w:color="auto"/>
        <w:right w:val="none" w:sz="0" w:space="0" w:color="auto"/>
      </w:divBdr>
      <w:divsChild>
        <w:div w:id="863371642">
          <w:marLeft w:val="0"/>
          <w:marRight w:val="0"/>
          <w:marTop w:val="0"/>
          <w:marBottom w:val="0"/>
          <w:divBdr>
            <w:top w:val="none" w:sz="0" w:space="0" w:color="auto"/>
            <w:left w:val="none" w:sz="0" w:space="0" w:color="auto"/>
            <w:bottom w:val="none" w:sz="0" w:space="0" w:color="auto"/>
            <w:right w:val="none" w:sz="0" w:space="0" w:color="auto"/>
          </w:divBdr>
        </w:div>
      </w:divsChild>
    </w:div>
    <w:div w:id="1029994170">
      <w:marLeft w:val="0"/>
      <w:marRight w:val="0"/>
      <w:marTop w:val="0"/>
      <w:marBottom w:val="0"/>
      <w:divBdr>
        <w:top w:val="none" w:sz="0" w:space="0" w:color="auto"/>
        <w:left w:val="none" w:sz="0" w:space="0" w:color="auto"/>
        <w:bottom w:val="none" w:sz="0" w:space="0" w:color="auto"/>
        <w:right w:val="none" w:sz="0" w:space="0" w:color="auto"/>
      </w:divBdr>
      <w:divsChild>
        <w:div w:id="269169169">
          <w:marLeft w:val="0"/>
          <w:marRight w:val="0"/>
          <w:marTop w:val="0"/>
          <w:marBottom w:val="0"/>
          <w:divBdr>
            <w:top w:val="none" w:sz="0" w:space="0" w:color="auto"/>
            <w:left w:val="none" w:sz="0" w:space="0" w:color="auto"/>
            <w:bottom w:val="none" w:sz="0" w:space="0" w:color="auto"/>
            <w:right w:val="none" w:sz="0" w:space="0" w:color="auto"/>
          </w:divBdr>
        </w:div>
      </w:divsChild>
    </w:div>
    <w:div w:id="1030765978">
      <w:marLeft w:val="0"/>
      <w:marRight w:val="0"/>
      <w:marTop w:val="0"/>
      <w:marBottom w:val="0"/>
      <w:divBdr>
        <w:top w:val="none" w:sz="0" w:space="0" w:color="auto"/>
        <w:left w:val="none" w:sz="0" w:space="0" w:color="auto"/>
        <w:bottom w:val="none" w:sz="0" w:space="0" w:color="auto"/>
        <w:right w:val="none" w:sz="0" w:space="0" w:color="auto"/>
      </w:divBdr>
      <w:divsChild>
        <w:div w:id="1887990663">
          <w:marLeft w:val="0"/>
          <w:marRight w:val="0"/>
          <w:marTop w:val="0"/>
          <w:marBottom w:val="0"/>
          <w:divBdr>
            <w:top w:val="none" w:sz="0" w:space="0" w:color="auto"/>
            <w:left w:val="none" w:sz="0" w:space="0" w:color="auto"/>
            <w:bottom w:val="none" w:sz="0" w:space="0" w:color="auto"/>
            <w:right w:val="none" w:sz="0" w:space="0" w:color="auto"/>
          </w:divBdr>
        </w:div>
      </w:divsChild>
    </w:div>
    <w:div w:id="1031144967">
      <w:bodyDiv w:val="1"/>
      <w:marLeft w:val="0"/>
      <w:marRight w:val="0"/>
      <w:marTop w:val="0"/>
      <w:marBottom w:val="0"/>
      <w:divBdr>
        <w:top w:val="none" w:sz="0" w:space="0" w:color="auto"/>
        <w:left w:val="none" w:sz="0" w:space="0" w:color="auto"/>
        <w:bottom w:val="none" w:sz="0" w:space="0" w:color="auto"/>
        <w:right w:val="none" w:sz="0" w:space="0" w:color="auto"/>
      </w:divBdr>
      <w:divsChild>
        <w:div w:id="1031689313">
          <w:marLeft w:val="0"/>
          <w:marRight w:val="0"/>
          <w:marTop w:val="0"/>
          <w:marBottom w:val="0"/>
          <w:divBdr>
            <w:top w:val="none" w:sz="0" w:space="0" w:color="auto"/>
            <w:left w:val="none" w:sz="0" w:space="0" w:color="auto"/>
            <w:bottom w:val="none" w:sz="0" w:space="0" w:color="auto"/>
            <w:right w:val="none" w:sz="0" w:space="0" w:color="auto"/>
          </w:divBdr>
          <w:divsChild>
            <w:div w:id="1787652546">
              <w:marLeft w:val="0"/>
              <w:marRight w:val="0"/>
              <w:marTop w:val="0"/>
              <w:marBottom w:val="0"/>
              <w:divBdr>
                <w:top w:val="none" w:sz="0" w:space="0" w:color="auto"/>
                <w:left w:val="none" w:sz="0" w:space="0" w:color="auto"/>
                <w:bottom w:val="none" w:sz="0" w:space="0" w:color="auto"/>
                <w:right w:val="none" w:sz="0" w:space="0" w:color="auto"/>
              </w:divBdr>
            </w:div>
            <w:div w:id="1623655591">
              <w:marLeft w:val="0"/>
              <w:marRight w:val="0"/>
              <w:marTop w:val="0"/>
              <w:marBottom w:val="0"/>
              <w:divBdr>
                <w:top w:val="none" w:sz="0" w:space="0" w:color="auto"/>
                <w:left w:val="none" w:sz="0" w:space="0" w:color="auto"/>
                <w:bottom w:val="none" w:sz="0" w:space="0" w:color="auto"/>
                <w:right w:val="none" w:sz="0" w:space="0" w:color="auto"/>
              </w:divBdr>
            </w:div>
            <w:div w:id="86705060">
              <w:marLeft w:val="0"/>
              <w:marRight w:val="0"/>
              <w:marTop w:val="0"/>
              <w:marBottom w:val="0"/>
              <w:divBdr>
                <w:top w:val="none" w:sz="0" w:space="0" w:color="auto"/>
                <w:left w:val="none" w:sz="0" w:space="0" w:color="auto"/>
                <w:bottom w:val="none" w:sz="0" w:space="0" w:color="auto"/>
                <w:right w:val="none" w:sz="0" w:space="0" w:color="auto"/>
              </w:divBdr>
            </w:div>
            <w:div w:id="892614486">
              <w:marLeft w:val="0"/>
              <w:marRight w:val="0"/>
              <w:marTop w:val="0"/>
              <w:marBottom w:val="0"/>
              <w:divBdr>
                <w:top w:val="none" w:sz="0" w:space="0" w:color="auto"/>
                <w:left w:val="none" w:sz="0" w:space="0" w:color="auto"/>
                <w:bottom w:val="none" w:sz="0" w:space="0" w:color="auto"/>
                <w:right w:val="none" w:sz="0" w:space="0" w:color="auto"/>
              </w:divBdr>
            </w:div>
            <w:div w:id="2073917357">
              <w:marLeft w:val="0"/>
              <w:marRight w:val="0"/>
              <w:marTop w:val="0"/>
              <w:marBottom w:val="0"/>
              <w:divBdr>
                <w:top w:val="none" w:sz="0" w:space="0" w:color="auto"/>
                <w:left w:val="none" w:sz="0" w:space="0" w:color="auto"/>
                <w:bottom w:val="none" w:sz="0" w:space="0" w:color="auto"/>
                <w:right w:val="none" w:sz="0" w:space="0" w:color="auto"/>
              </w:divBdr>
            </w:div>
            <w:div w:id="1611667514">
              <w:marLeft w:val="0"/>
              <w:marRight w:val="0"/>
              <w:marTop w:val="0"/>
              <w:marBottom w:val="0"/>
              <w:divBdr>
                <w:top w:val="none" w:sz="0" w:space="0" w:color="auto"/>
                <w:left w:val="none" w:sz="0" w:space="0" w:color="auto"/>
                <w:bottom w:val="none" w:sz="0" w:space="0" w:color="auto"/>
                <w:right w:val="none" w:sz="0" w:space="0" w:color="auto"/>
              </w:divBdr>
            </w:div>
            <w:div w:id="1953584606">
              <w:marLeft w:val="0"/>
              <w:marRight w:val="0"/>
              <w:marTop w:val="0"/>
              <w:marBottom w:val="0"/>
              <w:divBdr>
                <w:top w:val="none" w:sz="0" w:space="0" w:color="auto"/>
                <w:left w:val="none" w:sz="0" w:space="0" w:color="auto"/>
                <w:bottom w:val="none" w:sz="0" w:space="0" w:color="auto"/>
                <w:right w:val="none" w:sz="0" w:space="0" w:color="auto"/>
              </w:divBdr>
            </w:div>
            <w:div w:id="985015072">
              <w:marLeft w:val="0"/>
              <w:marRight w:val="0"/>
              <w:marTop w:val="0"/>
              <w:marBottom w:val="0"/>
              <w:divBdr>
                <w:top w:val="none" w:sz="0" w:space="0" w:color="auto"/>
                <w:left w:val="none" w:sz="0" w:space="0" w:color="auto"/>
                <w:bottom w:val="none" w:sz="0" w:space="0" w:color="auto"/>
                <w:right w:val="none" w:sz="0" w:space="0" w:color="auto"/>
              </w:divBdr>
            </w:div>
            <w:div w:id="437411944">
              <w:marLeft w:val="0"/>
              <w:marRight w:val="0"/>
              <w:marTop w:val="0"/>
              <w:marBottom w:val="0"/>
              <w:divBdr>
                <w:top w:val="none" w:sz="0" w:space="0" w:color="auto"/>
                <w:left w:val="none" w:sz="0" w:space="0" w:color="auto"/>
                <w:bottom w:val="none" w:sz="0" w:space="0" w:color="auto"/>
                <w:right w:val="none" w:sz="0" w:space="0" w:color="auto"/>
              </w:divBdr>
            </w:div>
            <w:div w:id="591354088">
              <w:marLeft w:val="0"/>
              <w:marRight w:val="0"/>
              <w:marTop w:val="0"/>
              <w:marBottom w:val="0"/>
              <w:divBdr>
                <w:top w:val="none" w:sz="0" w:space="0" w:color="auto"/>
                <w:left w:val="none" w:sz="0" w:space="0" w:color="auto"/>
                <w:bottom w:val="none" w:sz="0" w:space="0" w:color="auto"/>
                <w:right w:val="none" w:sz="0" w:space="0" w:color="auto"/>
              </w:divBdr>
            </w:div>
            <w:div w:id="1646936971">
              <w:marLeft w:val="0"/>
              <w:marRight w:val="0"/>
              <w:marTop w:val="0"/>
              <w:marBottom w:val="0"/>
              <w:divBdr>
                <w:top w:val="none" w:sz="0" w:space="0" w:color="auto"/>
                <w:left w:val="none" w:sz="0" w:space="0" w:color="auto"/>
                <w:bottom w:val="none" w:sz="0" w:space="0" w:color="auto"/>
                <w:right w:val="none" w:sz="0" w:space="0" w:color="auto"/>
              </w:divBdr>
            </w:div>
            <w:div w:id="1281955184">
              <w:marLeft w:val="0"/>
              <w:marRight w:val="0"/>
              <w:marTop w:val="0"/>
              <w:marBottom w:val="0"/>
              <w:divBdr>
                <w:top w:val="none" w:sz="0" w:space="0" w:color="auto"/>
                <w:left w:val="none" w:sz="0" w:space="0" w:color="auto"/>
                <w:bottom w:val="none" w:sz="0" w:space="0" w:color="auto"/>
                <w:right w:val="none" w:sz="0" w:space="0" w:color="auto"/>
              </w:divBdr>
            </w:div>
            <w:div w:id="2132480862">
              <w:marLeft w:val="0"/>
              <w:marRight w:val="0"/>
              <w:marTop w:val="0"/>
              <w:marBottom w:val="0"/>
              <w:divBdr>
                <w:top w:val="none" w:sz="0" w:space="0" w:color="auto"/>
                <w:left w:val="none" w:sz="0" w:space="0" w:color="auto"/>
                <w:bottom w:val="none" w:sz="0" w:space="0" w:color="auto"/>
                <w:right w:val="none" w:sz="0" w:space="0" w:color="auto"/>
              </w:divBdr>
            </w:div>
            <w:div w:id="46226169">
              <w:marLeft w:val="0"/>
              <w:marRight w:val="0"/>
              <w:marTop w:val="0"/>
              <w:marBottom w:val="0"/>
              <w:divBdr>
                <w:top w:val="none" w:sz="0" w:space="0" w:color="auto"/>
                <w:left w:val="none" w:sz="0" w:space="0" w:color="auto"/>
                <w:bottom w:val="none" w:sz="0" w:space="0" w:color="auto"/>
                <w:right w:val="none" w:sz="0" w:space="0" w:color="auto"/>
              </w:divBdr>
            </w:div>
            <w:div w:id="601911026">
              <w:marLeft w:val="0"/>
              <w:marRight w:val="0"/>
              <w:marTop w:val="0"/>
              <w:marBottom w:val="0"/>
              <w:divBdr>
                <w:top w:val="none" w:sz="0" w:space="0" w:color="auto"/>
                <w:left w:val="none" w:sz="0" w:space="0" w:color="auto"/>
                <w:bottom w:val="none" w:sz="0" w:space="0" w:color="auto"/>
                <w:right w:val="none" w:sz="0" w:space="0" w:color="auto"/>
              </w:divBdr>
            </w:div>
            <w:div w:id="1787120619">
              <w:marLeft w:val="0"/>
              <w:marRight w:val="0"/>
              <w:marTop w:val="0"/>
              <w:marBottom w:val="0"/>
              <w:divBdr>
                <w:top w:val="none" w:sz="0" w:space="0" w:color="auto"/>
                <w:left w:val="none" w:sz="0" w:space="0" w:color="auto"/>
                <w:bottom w:val="none" w:sz="0" w:space="0" w:color="auto"/>
                <w:right w:val="none" w:sz="0" w:space="0" w:color="auto"/>
              </w:divBdr>
            </w:div>
            <w:div w:id="480269758">
              <w:marLeft w:val="0"/>
              <w:marRight w:val="0"/>
              <w:marTop w:val="0"/>
              <w:marBottom w:val="0"/>
              <w:divBdr>
                <w:top w:val="none" w:sz="0" w:space="0" w:color="auto"/>
                <w:left w:val="none" w:sz="0" w:space="0" w:color="auto"/>
                <w:bottom w:val="none" w:sz="0" w:space="0" w:color="auto"/>
                <w:right w:val="none" w:sz="0" w:space="0" w:color="auto"/>
              </w:divBdr>
            </w:div>
            <w:div w:id="240139264">
              <w:marLeft w:val="0"/>
              <w:marRight w:val="0"/>
              <w:marTop w:val="0"/>
              <w:marBottom w:val="0"/>
              <w:divBdr>
                <w:top w:val="none" w:sz="0" w:space="0" w:color="auto"/>
                <w:left w:val="none" w:sz="0" w:space="0" w:color="auto"/>
                <w:bottom w:val="none" w:sz="0" w:space="0" w:color="auto"/>
                <w:right w:val="none" w:sz="0" w:space="0" w:color="auto"/>
              </w:divBdr>
            </w:div>
            <w:div w:id="1862279558">
              <w:marLeft w:val="0"/>
              <w:marRight w:val="0"/>
              <w:marTop w:val="0"/>
              <w:marBottom w:val="0"/>
              <w:divBdr>
                <w:top w:val="none" w:sz="0" w:space="0" w:color="auto"/>
                <w:left w:val="none" w:sz="0" w:space="0" w:color="auto"/>
                <w:bottom w:val="none" w:sz="0" w:space="0" w:color="auto"/>
                <w:right w:val="none" w:sz="0" w:space="0" w:color="auto"/>
              </w:divBdr>
            </w:div>
            <w:div w:id="442577664">
              <w:marLeft w:val="0"/>
              <w:marRight w:val="0"/>
              <w:marTop w:val="0"/>
              <w:marBottom w:val="0"/>
              <w:divBdr>
                <w:top w:val="none" w:sz="0" w:space="0" w:color="auto"/>
                <w:left w:val="none" w:sz="0" w:space="0" w:color="auto"/>
                <w:bottom w:val="none" w:sz="0" w:space="0" w:color="auto"/>
                <w:right w:val="none" w:sz="0" w:space="0" w:color="auto"/>
              </w:divBdr>
            </w:div>
            <w:div w:id="762457179">
              <w:marLeft w:val="0"/>
              <w:marRight w:val="0"/>
              <w:marTop w:val="0"/>
              <w:marBottom w:val="0"/>
              <w:divBdr>
                <w:top w:val="none" w:sz="0" w:space="0" w:color="auto"/>
                <w:left w:val="none" w:sz="0" w:space="0" w:color="auto"/>
                <w:bottom w:val="none" w:sz="0" w:space="0" w:color="auto"/>
                <w:right w:val="none" w:sz="0" w:space="0" w:color="auto"/>
              </w:divBdr>
            </w:div>
            <w:div w:id="1177425954">
              <w:marLeft w:val="0"/>
              <w:marRight w:val="0"/>
              <w:marTop w:val="0"/>
              <w:marBottom w:val="0"/>
              <w:divBdr>
                <w:top w:val="none" w:sz="0" w:space="0" w:color="auto"/>
                <w:left w:val="none" w:sz="0" w:space="0" w:color="auto"/>
                <w:bottom w:val="none" w:sz="0" w:space="0" w:color="auto"/>
                <w:right w:val="none" w:sz="0" w:space="0" w:color="auto"/>
              </w:divBdr>
            </w:div>
            <w:div w:id="1886208720">
              <w:marLeft w:val="0"/>
              <w:marRight w:val="0"/>
              <w:marTop w:val="0"/>
              <w:marBottom w:val="0"/>
              <w:divBdr>
                <w:top w:val="none" w:sz="0" w:space="0" w:color="auto"/>
                <w:left w:val="none" w:sz="0" w:space="0" w:color="auto"/>
                <w:bottom w:val="none" w:sz="0" w:space="0" w:color="auto"/>
                <w:right w:val="none" w:sz="0" w:space="0" w:color="auto"/>
              </w:divBdr>
            </w:div>
            <w:div w:id="1049113457">
              <w:marLeft w:val="0"/>
              <w:marRight w:val="0"/>
              <w:marTop w:val="0"/>
              <w:marBottom w:val="0"/>
              <w:divBdr>
                <w:top w:val="none" w:sz="0" w:space="0" w:color="auto"/>
                <w:left w:val="none" w:sz="0" w:space="0" w:color="auto"/>
                <w:bottom w:val="none" w:sz="0" w:space="0" w:color="auto"/>
                <w:right w:val="none" w:sz="0" w:space="0" w:color="auto"/>
              </w:divBdr>
            </w:div>
            <w:div w:id="5214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0280">
      <w:bodyDiv w:val="1"/>
      <w:marLeft w:val="0"/>
      <w:marRight w:val="0"/>
      <w:marTop w:val="0"/>
      <w:marBottom w:val="0"/>
      <w:divBdr>
        <w:top w:val="none" w:sz="0" w:space="0" w:color="auto"/>
        <w:left w:val="none" w:sz="0" w:space="0" w:color="auto"/>
        <w:bottom w:val="none" w:sz="0" w:space="0" w:color="auto"/>
        <w:right w:val="none" w:sz="0" w:space="0" w:color="auto"/>
      </w:divBdr>
    </w:div>
    <w:div w:id="1031301955">
      <w:bodyDiv w:val="1"/>
      <w:marLeft w:val="0"/>
      <w:marRight w:val="0"/>
      <w:marTop w:val="0"/>
      <w:marBottom w:val="0"/>
      <w:divBdr>
        <w:top w:val="none" w:sz="0" w:space="0" w:color="auto"/>
        <w:left w:val="none" w:sz="0" w:space="0" w:color="auto"/>
        <w:bottom w:val="none" w:sz="0" w:space="0" w:color="auto"/>
        <w:right w:val="none" w:sz="0" w:space="0" w:color="auto"/>
      </w:divBdr>
      <w:divsChild>
        <w:div w:id="622686857">
          <w:marLeft w:val="0"/>
          <w:marRight w:val="0"/>
          <w:marTop w:val="0"/>
          <w:marBottom w:val="0"/>
          <w:divBdr>
            <w:top w:val="none" w:sz="0" w:space="0" w:color="auto"/>
            <w:left w:val="none" w:sz="0" w:space="0" w:color="auto"/>
            <w:bottom w:val="none" w:sz="0" w:space="0" w:color="auto"/>
            <w:right w:val="none" w:sz="0" w:space="0" w:color="auto"/>
          </w:divBdr>
          <w:divsChild>
            <w:div w:id="435171345">
              <w:marLeft w:val="0"/>
              <w:marRight w:val="0"/>
              <w:marTop w:val="0"/>
              <w:marBottom w:val="0"/>
              <w:divBdr>
                <w:top w:val="none" w:sz="0" w:space="0" w:color="auto"/>
                <w:left w:val="none" w:sz="0" w:space="0" w:color="auto"/>
                <w:bottom w:val="none" w:sz="0" w:space="0" w:color="auto"/>
                <w:right w:val="none" w:sz="0" w:space="0" w:color="auto"/>
              </w:divBdr>
              <w:divsChild>
                <w:div w:id="2145148034">
                  <w:marLeft w:val="0"/>
                  <w:marRight w:val="150"/>
                  <w:marTop w:val="0"/>
                  <w:marBottom w:val="0"/>
                  <w:divBdr>
                    <w:top w:val="none" w:sz="0" w:space="0" w:color="auto"/>
                    <w:left w:val="none" w:sz="0" w:space="0" w:color="auto"/>
                    <w:bottom w:val="none" w:sz="0" w:space="0" w:color="auto"/>
                    <w:right w:val="none" w:sz="0" w:space="0" w:color="auto"/>
                  </w:divBdr>
                  <w:divsChild>
                    <w:div w:id="2014844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6589211">
          <w:marLeft w:val="0"/>
          <w:marRight w:val="150"/>
          <w:marTop w:val="0"/>
          <w:marBottom w:val="0"/>
          <w:divBdr>
            <w:top w:val="none" w:sz="0" w:space="0" w:color="auto"/>
            <w:left w:val="none" w:sz="0" w:space="0" w:color="auto"/>
            <w:bottom w:val="none" w:sz="0" w:space="0" w:color="auto"/>
            <w:right w:val="none" w:sz="0" w:space="0" w:color="auto"/>
          </w:divBdr>
          <w:divsChild>
            <w:div w:id="4222610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1169171513">
          <w:marLeft w:val="0"/>
          <w:marRight w:val="0"/>
          <w:marTop w:val="0"/>
          <w:marBottom w:val="0"/>
          <w:divBdr>
            <w:top w:val="none" w:sz="0" w:space="0" w:color="auto"/>
            <w:left w:val="none" w:sz="0" w:space="0" w:color="auto"/>
            <w:bottom w:val="none" w:sz="0" w:space="0" w:color="auto"/>
            <w:right w:val="none" w:sz="0" w:space="0" w:color="auto"/>
          </w:divBdr>
        </w:div>
      </w:divsChild>
    </w:div>
    <w:div w:id="1045913369">
      <w:marLeft w:val="0"/>
      <w:marRight w:val="0"/>
      <w:marTop w:val="0"/>
      <w:marBottom w:val="0"/>
      <w:divBdr>
        <w:top w:val="none" w:sz="0" w:space="0" w:color="auto"/>
        <w:left w:val="none" w:sz="0" w:space="0" w:color="auto"/>
        <w:bottom w:val="none" w:sz="0" w:space="0" w:color="auto"/>
        <w:right w:val="none" w:sz="0" w:space="0" w:color="auto"/>
      </w:divBdr>
      <w:divsChild>
        <w:div w:id="1726173011">
          <w:marLeft w:val="0"/>
          <w:marRight w:val="0"/>
          <w:marTop w:val="0"/>
          <w:marBottom w:val="0"/>
          <w:divBdr>
            <w:top w:val="none" w:sz="0" w:space="0" w:color="auto"/>
            <w:left w:val="none" w:sz="0" w:space="0" w:color="auto"/>
            <w:bottom w:val="none" w:sz="0" w:space="0" w:color="auto"/>
            <w:right w:val="none" w:sz="0" w:space="0" w:color="auto"/>
          </w:divBdr>
        </w:div>
      </w:divsChild>
    </w:div>
    <w:div w:id="1057751880">
      <w:marLeft w:val="0"/>
      <w:marRight w:val="0"/>
      <w:marTop w:val="0"/>
      <w:marBottom w:val="0"/>
      <w:divBdr>
        <w:top w:val="none" w:sz="0" w:space="0" w:color="auto"/>
        <w:left w:val="none" w:sz="0" w:space="0" w:color="auto"/>
        <w:bottom w:val="none" w:sz="0" w:space="0" w:color="auto"/>
        <w:right w:val="none" w:sz="0" w:space="0" w:color="auto"/>
      </w:divBdr>
      <w:divsChild>
        <w:div w:id="140539634">
          <w:marLeft w:val="0"/>
          <w:marRight w:val="0"/>
          <w:marTop w:val="0"/>
          <w:marBottom w:val="0"/>
          <w:divBdr>
            <w:top w:val="none" w:sz="0" w:space="0" w:color="auto"/>
            <w:left w:val="none" w:sz="0" w:space="0" w:color="auto"/>
            <w:bottom w:val="none" w:sz="0" w:space="0" w:color="auto"/>
            <w:right w:val="none" w:sz="0" w:space="0" w:color="auto"/>
          </w:divBdr>
        </w:div>
      </w:divsChild>
    </w:div>
    <w:div w:id="1057976612">
      <w:bodyDiv w:val="1"/>
      <w:marLeft w:val="0"/>
      <w:marRight w:val="0"/>
      <w:marTop w:val="0"/>
      <w:marBottom w:val="0"/>
      <w:divBdr>
        <w:top w:val="none" w:sz="0" w:space="0" w:color="auto"/>
        <w:left w:val="none" w:sz="0" w:space="0" w:color="auto"/>
        <w:bottom w:val="none" w:sz="0" w:space="0" w:color="auto"/>
        <w:right w:val="none" w:sz="0" w:space="0" w:color="auto"/>
      </w:divBdr>
    </w:div>
    <w:div w:id="1058743833">
      <w:bodyDiv w:val="1"/>
      <w:marLeft w:val="0"/>
      <w:marRight w:val="0"/>
      <w:marTop w:val="0"/>
      <w:marBottom w:val="0"/>
      <w:divBdr>
        <w:top w:val="none" w:sz="0" w:space="0" w:color="auto"/>
        <w:left w:val="none" w:sz="0" w:space="0" w:color="auto"/>
        <w:bottom w:val="none" w:sz="0" w:space="0" w:color="auto"/>
        <w:right w:val="none" w:sz="0" w:space="0" w:color="auto"/>
      </w:divBdr>
    </w:div>
    <w:div w:id="1059592890">
      <w:marLeft w:val="0"/>
      <w:marRight w:val="0"/>
      <w:marTop w:val="0"/>
      <w:marBottom w:val="0"/>
      <w:divBdr>
        <w:top w:val="none" w:sz="0" w:space="0" w:color="auto"/>
        <w:left w:val="none" w:sz="0" w:space="0" w:color="auto"/>
        <w:bottom w:val="none" w:sz="0" w:space="0" w:color="auto"/>
        <w:right w:val="none" w:sz="0" w:space="0" w:color="auto"/>
      </w:divBdr>
      <w:divsChild>
        <w:div w:id="744298996">
          <w:marLeft w:val="0"/>
          <w:marRight w:val="0"/>
          <w:marTop w:val="0"/>
          <w:marBottom w:val="0"/>
          <w:divBdr>
            <w:top w:val="none" w:sz="0" w:space="0" w:color="auto"/>
            <w:left w:val="none" w:sz="0" w:space="0" w:color="auto"/>
            <w:bottom w:val="none" w:sz="0" w:space="0" w:color="auto"/>
            <w:right w:val="none" w:sz="0" w:space="0" w:color="auto"/>
          </w:divBdr>
        </w:div>
      </w:divsChild>
    </w:div>
    <w:div w:id="1061250703">
      <w:bodyDiv w:val="1"/>
      <w:marLeft w:val="0"/>
      <w:marRight w:val="0"/>
      <w:marTop w:val="0"/>
      <w:marBottom w:val="0"/>
      <w:divBdr>
        <w:top w:val="none" w:sz="0" w:space="0" w:color="auto"/>
        <w:left w:val="none" w:sz="0" w:space="0" w:color="auto"/>
        <w:bottom w:val="none" w:sz="0" w:space="0" w:color="auto"/>
        <w:right w:val="none" w:sz="0" w:space="0" w:color="auto"/>
      </w:divBdr>
    </w:div>
    <w:div w:id="1063677450">
      <w:marLeft w:val="0"/>
      <w:marRight w:val="150"/>
      <w:marTop w:val="0"/>
      <w:marBottom w:val="0"/>
      <w:divBdr>
        <w:top w:val="none" w:sz="0" w:space="0" w:color="auto"/>
        <w:left w:val="none" w:sz="0" w:space="0" w:color="auto"/>
        <w:bottom w:val="none" w:sz="0" w:space="0" w:color="auto"/>
        <w:right w:val="none" w:sz="0" w:space="0" w:color="auto"/>
      </w:divBdr>
      <w:divsChild>
        <w:div w:id="556741881">
          <w:marLeft w:val="0"/>
          <w:marRight w:val="150"/>
          <w:marTop w:val="0"/>
          <w:marBottom w:val="0"/>
          <w:divBdr>
            <w:top w:val="none" w:sz="0" w:space="0" w:color="auto"/>
            <w:left w:val="none" w:sz="0" w:space="0" w:color="auto"/>
            <w:bottom w:val="none" w:sz="0" w:space="0" w:color="auto"/>
            <w:right w:val="none" w:sz="0" w:space="0" w:color="auto"/>
          </w:divBdr>
        </w:div>
      </w:divsChild>
    </w:div>
    <w:div w:id="1064909816">
      <w:bodyDiv w:val="1"/>
      <w:marLeft w:val="0"/>
      <w:marRight w:val="0"/>
      <w:marTop w:val="0"/>
      <w:marBottom w:val="0"/>
      <w:divBdr>
        <w:top w:val="none" w:sz="0" w:space="0" w:color="auto"/>
        <w:left w:val="none" w:sz="0" w:space="0" w:color="auto"/>
        <w:bottom w:val="none" w:sz="0" w:space="0" w:color="auto"/>
        <w:right w:val="none" w:sz="0" w:space="0" w:color="auto"/>
      </w:divBdr>
    </w:div>
    <w:div w:id="1066488877">
      <w:marLeft w:val="0"/>
      <w:marRight w:val="0"/>
      <w:marTop w:val="0"/>
      <w:marBottom w:val="0"/>
      <w:divBdr>
        <w:top w:val="none" w:sz="0" w:space="0" w:color="auto"/>
        <w:left w:val="none" w:sz="0" w:space="0" w:color="auto"/>
        <w:bottom w:val="none" w:sz="0" w:space="0" w:color="auto"/>
        <w:right w:val="none" w:sz="0" w:space="0" w:color="auto"/>
      </w:divBdr>
      <w:divsChild>
        <w:div w:id="28998316">
          <w:marLeft w:val="0"/>
          <w:marRight w:val="0"/>
          <w:marTop w:val="0"/>
          <w:marBottom w:val="0"/>
          <w:divBdr>
            <w:top w:val="none" w:sz="0" w:space="0" w:color="auto"/>
            <w:left w:val="none" w:sz="0" w:space="0" w:color="auto"/>
            <w:bottom w:val="none" w:sz="0" w:space="0" w:color="auto"/>
            <w:right w:val="none" w:sz="0" w:space="0" w:color="auto"/>
          </w:divBdr>
        </w:div>
      </w:divsChild>
    </w:div>
    <w:div w:id="1074863647">
      <w:marLeft w:val="0"/>
      <w:marRight w:val="0"/>
      <w:marTop w:val="0"/>
      <w:marBottom w:val="0"/>
      <w:divBdr>
        <w:top w:val="none" w:sz="0" w:space="0" w:color="auto"/>
        <w:left w:val="none" w:sz="0" w:space="0" w:color="auto"/>
        <w:bottom w:val="none" w:sz="0" w:space="0" w:color="auto"/>
        <w:right w:val="none" w:sz="0" w:space="0" w:color="auto"/>
      </w:divBdr>
      <w:divsChild>
        <w:div w:id="765536434">
          <w:marLeft w:val="0"/>
          <w:marRight w:val="0"/>
          <w:marTop w:val="0"/>
          <w:marBottom w:val="0"/>
          <w:divBdr>
            <w:top w:val="none" w:sz="0" w:space="0" w:color="auto"/>
            <w:left w:val="none" w:sz="0" w:space="0" w:color="auto"/>
            <w:bottom w:val="none" w:sz="0" w:space="0" w:color="auto"/>
            <w:right w:val="none" w:sz="0" w:space="0" w:color="auto"/>
          </w:divBdr>
        </w:div>
      </w:divsChild>
    </w:div>
    <w:div w:id="1078865097">
      <w:marLeft w:val="0"/>
      <w:marRight w:val="0"/>
      <w:marTop w:val="0"/>
      <w:marBottom w:val="0"/>
      <w:divBdr>
        <w:top w:val="none" w:sz="0" w:space="0" w:color="auto"/>
        <w:left w:val="none" w:sz="0" w:space="0" w:color="auto"/>
        <w:bottom w:val="none" w:sz="0" w:space="0" w:color="auto"/>
        <w:right w:val="none" w:sz="0" w:space="0" w:color="auto"/>
      </w:divBdr>
      <w:divsChild>
        <w:div w:id="2047559783">
          <w:marLeft w:val="0"/>
          <w:marRight w:val="0"/>
          <w:marTop w:val="0"/>
          <w:marBottom w:val="0"/>
          <w:divBdr>
            <w:top w:val="none" w:sz="0" w:space="0" w:color="auto"/>
            <w:left w:val="none" w:sz="0" w:space="0" w:color="auto"/>
            <w:bottom w:val="none" w:sz="0" w:space="0" w:color="auto"/>
            <w:right w:val="none" w:sz="0" w:space="0" w:color="auto"/>
          </w:divBdr>
        </w:div>
      </w:divsChild>
    </w:div>
    <w:div w:id="1079640358">
      <w:bodyDiv w:val="1"/>
      <w:marLeft w:val="0"/>
      <w:marRight w:val="0"/>
      <w:marTop w:val="0"/>
      <w:marBottom w:val="0"/>
      <w:divBdr>
        <w:top w:val="none" w:sz="0" w:space="0" w:color="auto"/>
        <w:left w:val="none" w:sz="0" w:space="0" w:color="auto"/>
        <w:bottom w:val="none" w:sz="0" w:space="0" w:color="auto"/>
        <w:right w:val="none" w:sz="0" w:space="0" w:color="auto"/>
      </w:divBdr>
      <w:divsChild>
        <w:div w:id="1370762508">
          <w:marLeft w:val="0"/>
          <w:marRight w:val="0"/>
          <w:marTop w:val="0"/>
          <w:marBottom w:val="0"/>
          <w:divBdr>
            <w:top w:val="none" w:sz="0" w:space="0" w:color="auto"/>
            <w:left w:val="none" w:sz="0" w:space="0" w:color="auto"/>
            <w:bottom w:val="none" w:sz="0" w:space="0" w:color="auto"/>
            <w:right w:val="none" w:sz="0" w:space="0" w:color="auto"/>
          </w:divBdr>
          <w:divsChild>
            <w:div w:id="114299083">
              <w:marLeft w:val="0"/>
              <w:marRight w:val="0"/>
              <w:marTop w:val="0"/>
              <w:marBottom w:val="0"/>
              <w:divBdr>
                <w:top w:val="none" w:sz="0" w:space="0" w:color="auto"/>
                <w:left w:val="none" w:sz="0" w:space="0" w:color="auto"/>
                <w:bottom w:val="none" w:sz="0" w:space="0" w:color="auto"/>
                <w:right w:val="none" w:sz="0" w:space="0" w:color="auto"/>
              </w:divBdr>
              <w:divsChild>
                <w:div w:id="2122072606">
                  <w:marLeft w:val="0"/>
                  <w:marRight w:val="150"/>
                  <w:marTop w:val="0"/>
                  <w:marBottom w:val="0"/>
                  <w:divBdr>
                    <w:top w:val="none" w:sz="0" w:space="0" w:color="auto"/>
                    <w:left w:val="none" w:sz="0" w:space="0" w:color="auto"/>
                    <w:bottom w:val="none" w:sz="0" w:space="0" w:color="auto"/>
                    <w:right w:val="none" w:sz="0" w:space="0" w:color="auto"/>
                  </w:divBdr>
                  <w:divsChild>
                    <w:div w:id="1246610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01090847">
          <w:marLeft w:val="0"/>
          <w:marRight w:val="150"/>
          <w:marTop w:val="0"/>
          <w:marBottom w:val="0"/>
          <w:divBdr>
            <w:top w:val="none" w:sz="0" w:space="0" w:color="auto"/>
            <w:left w:val="none" w:sz="0" w:space="0" w:color="auto"/>
            <w:bottom w:val="none" w:sz="0" w:space="0" w:color="auto"/>
            <w:right w:val="none" w:sz="0" w:space="0" w:color="auto"/>
          </w:divBdr>
          <w:divsChild>
            <w:div w:id="1144204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0834104">
      <w:bodyDiv w:val="1"/>
      <w:marLeft w:val="0"/>
      <w:marRight w:val="0"/>
      <w:marTop w:val="0"/>
      <w:marBottom w:val="0"/>
      <w:divBdr>
        <w:top w:val="none" w:sz="0" w:space="0" w:color="auto"/>
        <w:left w:val="none" w:sz="0" w:space="0" w:color="auto"/>
        <w:bottom w:val="none" w:sz="0" w:space="0" w:color="auto"/>
        <w:right w:val="none" w:sz="0" w:space="0" w:color="auto"/>
      </w:divBdr>
    </w:div>
    <w:div w:id="1084376518">
      <w:bodyDiv w:val="1"/>
      <w:marLeft w:val="0"/>
      <w:marRight w:val="0"/>
      <w:marTop w:val="0"/>
      <w:marBottom w:val="0"/>
      <w:divBdr>
        <w:top w:val="none" w:sz="0" w:space="0" w:color="auto"/>
        <w:left w:val="none" w:sz="0" w:space="0" w:color="auto"/>
        <w:bottom w:val="none" w:sz="0" w:space="0" w:color="auto"/>
        <w:right w:val="none" w:sz="0" w:space="0" w:color="auto"/>
      </w:divBdr>
    </w:div>
    <w:div w:id="1084687517">
      <w:bodyDiv w:val="1"/>
      <w:marLeft w:val="0"/>
      <w:marRight w:val="0"/>
      <w:marTop w:val="0"/>
      <w:marBottom w:val="0"/>
      <w:divBdr>
        <w:top w:val="none" w:sz="0" w:space="0" w:color="auto"/>
        <w:left w:val="none" w:sz="0" w:space="0" w:color="auto"/>
        <w:bottom w:val="none" w:sz="0" w:space="0" w:color="auto"/>
        <w:right w:val="none" w:sz="0" w:space="0" w:color="auto"/>
      </w:divBdr>
    </w:div>
    <w:div w:id="1086271613">
      <w:marLeft w:val="0"/>
      <w:marRight w:val="0"/>
      <w:marTop w:val="0"/>
      <w:marBottom w:val="0"/>
      <w:divBdr>
        <w:top w:val="none" w:sz="0" w:space="0" w:color="auto"/>
        <w:left w:val="none" w:sz="0" w:space="0" w:color="auto"/>
        <w:bottom w:val="none" w:sz="0" w:space="0" w:color="auto"/>
        <w:right w:val="none" w:sz="0" w:space="0" w:color="auto"/>
      </w:divBdr>
      <w:divsChild>
        <w:div w:id="2102293237">
          <w:marLeft w:val="0"/>
          <w:marRight w:val="0"/>
          <w:marTop w:val="0"/>
          <w:marBottom w:val="0"/>
          <w:divBdr>
            <w:top w:val="none" w:sz="0" w:space="0" w:color="auto"/>
            <w:left w:val="none" w:sz="0" w:space="0" w:color="auto"/>
            <w:bottom w:val="none" w:sz="0" w:space="0" w:color="auto"/>
            <w:right w:val="none" w:sz="0" w:space="0" w:color="auto"/>
          </w:divBdr>
        </w:div>
      </w:divsChild>
    </w:div>
    <w:div w:id="1086851051">
      <w:marLeft w:val="0"/>
      <w:marRight w:val="0"/>
      <w:marTop w:val="0"/>
      <w:marBottom w:val="0"/>
      <w:divBdr>
        <w:top w:val="none" w:sz="0" w:space="0" w:color="auto"/>
        <w:left w:val="none" w:sz="0" w:space="0" w:color="auto"/>
        <w:bottom w:val="none" w:sz="0" w:space="0" w:color="auto"/>
        <w:right w:val="none" w:sz="0" w:space="0" w:color="auto"/>
      </w:divBdr>
      <w:divsChild>
        <w:div w:id="1964268649">
          <w:marLeft w:val="0"/>
          <w:marRight w:val="0"/>
          <w:marTop w:val="0"/>
          <w:marBottom w:val="0"/>
          <w:divBdr>
            <w:top w:val="none" w:sz="0" w:space="0" w:color="auto"/>
            <w:left w:val="none" w:sz="0" w:space="0" w:color="auto"/>
            <w:bottom w:val="none" w:sz="0" w:space="0" w:color="auto"/>
            <w:right w:val="none" w:sz="0" w:space="0" w:color="auto"/>
          </w:divBdr>
        </w:div>
      </w:divsChild>
    </w:div>
    <w:div w:id="1092317180">
      <w:marLeft w:val="0"/>
      <w:marRight w:val="0"/>
      <w:marTop w:val="0"/>
      <w:marBottom w:val="0"/>
      <w:divBdr>
        <w:top w:val="none" w:sz="0" w:space="0" w:color="auto"/>
        <w:left w:val="none" w:sz="0" w:space="0" w:color="auto"/>
        <w:bottom w:val="none" w:sz="0" w:space="0" w:color="auto"/>
        <w:right w:val="none" w:sz="0" w:space="0" w:color="auto"/>
      </w:divBdr>
      <w:divsChild>
        <w:div w:id="998970808">
          <w:marLeft w:val="0"/>
          <w:marRight w:val="0"/>
          <w:marTop w:val="0"/>
          <w:marBottom w:val="0"/>
          <w:divBdr>
            <w:top w:val="none" w:sz="0" w:space="0" w:color="auto"/>
            <w:left w:val="none" w:sz="0" w:space="0" w:color="auto"/>
            <w:bottom w:val="none" w:sz="0" w:space="0" w:color="auto"/>
            <w:right w:val="none" w:sz="0" w:space="0" w:color="auto"/>
          </w:divBdr>
        </w:div>
      </w:divsChild>
    </w:div>
    <w:div w:id="1094131325">
      <w:marLeft w:val="0"/>
      <w:marRight w:val="0"/>
      <w:marTop w:val="0"/>
      <w:marBottom w:val="0"/>
      <w:divBdr>
        <w:top w:val="none" w:sz="0" w:space="0" w:color="auto"/>
        <w:left w:val="none" w:sz="0" w:space="0" w:color="auto"/>
        <w:bottom w:val="none" w:sz="0" w:space="0" w:color="auto"/>
        <w:right w:val="none" w:sz="0" w:space="0" w:color="auto"/>
      </w:divBdr>
      <w:divsChild>
        <w:div w:id="1945914592">
          <w:marLeft w:val="0"/>
          <w:marRight w:val="0"/>
          <w:marTop w:val="0"/>
          <w:marBottom w:val="0"/>
          <w:divBdr>
            <w:top w:val="none" w:sz="0" w:space="0" w:color="auto"/>
            <w:left w:val="none" w:sz="0" w:space="0" w:color="auto"/>
            <w:bottom w:val="none" w:sz="0" w:space="0" w:color="auto"/>
            <w:right w:val="none" w:sz="0" w:space="0" w:color="auto"/>
          </w:divBdr>
        </w:div>
      </w:divsChild>
    </w:div>
    <w:div w:id="1094208831">
      <w:marLeft w:val="0"/>
      <w:marRight w:val="0"/>
      <w:marTop w:val="0"/>
      <w:marBottom w:val="0"/>
      <w:divBdr>
        <w:top w:val="none" w:sz="0" w:space="0" w:color="auto"/>
        <w:left w:val="none" w:sz="0" w:space="0" w:color="auto"/>
        <w:bottom w:val="none" w:sz="0" w:space="0" w:color="auto"/>
        <w:right w:val="none" w:sz="0" w:space="0" w:color="auto"/>
      </w:divBdr>
      <w:divsChild>
        <w:div w:id="1037511521">
          <w:marLeft w:val="0"/>
          <w:marRight w:val="0"/>
          <w:marTop w:val="0"/>
          <w:marBottom w:val="0"/>
          <w:divBdr>
            <w:top w:val="none" w:sz="0" w:space="0" w:color="auto"/>
            <w:left w:val="none" w:sz="0" w:space="0" w:color="auto"/>
            <w:bottom w:val="none" w:sz="0" w:space="0" w:color="auto"/>
            <w:right w:val="none" w:sz="0" w:space="0" w:color="auto"/>
          </w:divBdr>
        </w:div>
      </w:divsChild>
    </w:div>
    <w:div w:id="1097480124">
      <w:marLeft w:val="0"/>
      <w:marRight w:val="0"/>
      <w:marTop w:val="0"/>
      <w:marBottom w:val="0"/>
      <w:divBdr>
        <w:top w:val="none" w:sz="0" w:space="0" w:color="auto"/>
        <w:left w:val="none" w:sz="0" w:space="0" w:color="auto"/>
        <w:bottom w:val="none" w:sz="0" w:space="0" w:color="auto"/>
        <w:right w:val="none" w:sz="0" w:space="0" w:color="auto"/>
      </w:divBdr>
      <w:divsChild>
        <w:div w:id="1354071931">
          <w:marLeft w:val="0"/>
          <w:marRight w:val="0"/>
          <w:marTop w:val="0"/>
          <w:marBottom w:val="0"/>
          <w:divBdr>
            <w:top w:val="none" w:sz="0" w:space="0" w:color="auto"/>
            <w:left w:val="none" w:sz="0" w:space="0" w:color="auto"/>
            <w:bottom w:val="none" w:sz="0" w:space="0" w:color="auto"/>
            <w:right w:val="none" w:sz="0" w:space="0" w:color="auto"/>
          </w:divBdr>
        </w:div>
      </w:divsChild>
    </w:div>
    <w:div w:id="1100179933">
      <w:marLeft w:val="0"/>
      <w:marRight w:val="0"/>
      <w:marTop w:val="0"/>
      <w:marBottom w:val="0"/>
      <w:divBdr>
        <w:top w:val="none" w:sz="0" w:space="0" w:color="auto"/>
        <w:left w:val="none" w:sz="0" w:space="0" w:color="auto"/>
        <w:bottom w:val="none" w:sz="0" w:space="0" w:color="auto"/>
        <w:right w:val="none" w:sz="0" w:space="0" w:color="auto"/>
      </w:divBdr>
      <w:divsChild>
        <w:div w:id="1118646550">
          <w:marLeft w:val="0"/>
          <w:marRight w:val="0"/>
          <w:marTop w:val="0"/>
          <w:marBottom w:val="0"/>
          <w:divBdr>
            <w:top w:val="none" w:sz="0" w:space="0" w:color="auto"/>
            <w:left w:val="none" w:sz="0" w:space="0" w:color="auto"/>
            <w:bottom w:val="none" w:sz="0" w:space="0" w:color="auto"/>
            <w:right w:val="none" w:sz="0" w:space="0" w:color="auto"/>
          </w:divBdr>
        </w:div>
      </w:divsChild>
    </w:div>
    <w:div w:id="1101729313">
      <w:bodyDiv w:val="1"/>
      <w:marLeft w:val="0"/>
      <w:marRight w:val="0"/>
      <w:marTop w:val="0"/>
      <w:marBottom w:val="0"/>
      <w:divBdr>
        <w:top w:val="none" w:sz="0" w:space="0" w:color="auto"/>
        <w:left w:val="none" w:sz="0" w:space="0" w:color="auto"/>
        <w:bottom w:val="none" w:sz="0" w:space="0" w:color="auto"/>
        <w:right w:val="none" w:sz="0" w:space="0" w:color="auto"/>
      </w:divBdr>
    </w:div>
    <w:div w:id="1105226827">
      <w:marLeft w:val="0"/>
      <w:marRight w:val="0"/>
      <w:marTop w:val="0"/>
      <w:marBottom w:val="0"/>
      <w:divBdr>
        <w:top w:val="none" w:sz="0" w:space="0" w:color="auto"/>
        <w:left w:val="none" w:sz="0" w:space="0" w:color="auto"/>
        <w:bottom w:val="none" w:sz="0" w:space="0" w:color="auto"/>
        <w:right w:val="none" w:sz="0" w:space="0" w:color="auto"/>
      </w:divBdr>
      <w:divsChild>
        <w:div w:id="1549993476">
          <w:marLeft w:val="0"/>
          <w:marRight w:val="0"/>
          <w:marTop w:val="0"/>
          <w:marBottom w:val="0"/>
          <w:divBdr>
            <w:top w:val="none" w:sz="0" w:space="0" w:color="auto"/>
            <w:left w:val="none" w:sz="0" w:space="0" w:color="auto"/>
            <w:bottom w:val="none" w:sz="0" w:space="0" w:color="auto"/>
            <w:right w:val="none" w:sz="0" w:space="0" w:color="auto"/>
          </w:divBdr>
        </w:div>
      </w:divsChild>
    </w:div>
    <w:div w:id="1107771632">
      <w:marLeft w:val="0"/>
      <w:marRight w:val="0"/>
      <w:marTop w:val="0"/>
      <w:marBottom w:val="0"/>
      <w:divBdr>
        <w:top w:val="none" w:sz="0" w:space="0" w:color="auto"/>
        <w:left w:val="none" w:sz="0" w:space="0" w:color="auto"/>
        <w:bottom w:val="none" w:sz="0" w:space="0" w:color="auto"/>
        <w:right w:val="none" w:sz="0" w:space="0" w:color="auto"/>
      </w:divBdr>
      <w:divsChild>
        <w:div w:id="510294673">
          <w:marLeft w:val="0"/>
          <w:marRight w:val="0"/>
          <w:marTop w:val="0"/>
          <w:marBottom w:val="0"/>
          <w:divBdr>
            <w:top w:val="none" w:sz="0" w:space="0" w:color="auto"/>
            <w:left w:val="none" w:sz="0" w:space="0" w:color="auto"/>
            <w:bottom w:val="none" w:sz="0" w:space="0" w:color="auto"/>
            <w:right w:val="none" w:sz="0" w:space="0" w:color="auto"/>
          </w:divBdr>
        </w:div>
      </w:divsChild>
    </w:div>
    <w:div w:id="1113210180">
      <w:marLeft w:val="0"/>
      <w:marRight w:val="0"/>
      <w:marTop w:val="0"/>
      <w:marBottom w:val="0"/>
      <w:divBdr>
        <w:top w:val="none" w:sz="0" w:space="0" w:color="auto"/>
        <w:left w:val="none" w:sz="0" w:space="0" w:color="auto"/>
        <w:bottom w:val="none" w:sz="0" w:space="0" w:color="auto"/>
        <w:right w:val="none" w:sz="0" w:space="0" w:color="auto"/>
      </w:divBdr>
      <w:divsChild>
        <w:div w:id="1866825608">
          <w:marLeft w:val="0"/>
          <w:marRight w:val="0"/>
          <w:marTop w:val="0"/>
          <w:marBottom w:val="0"/>
          <w:divBdr>
            <w:top w:val="none" w:sz="0" w:space="0" w:color="auto"/>
            <w:left w:val="none" w:sz="0" w:space="0" w:color="auto"/>
            <w:bottom w:val="none" w:sz="0" w:space="0" w:color="auto"/>
            <w:right w:val="none" w:sz="0" w:space="0" w:color="auto"/>
          </w:divBdr>
        </w:div>
      </w:divsChild>
    </w:div>
    <w:div w:id="1121729817">
      <w:marLeft w:val="0"/>
      <w:marRight w:val="0"/>
      <w:marTop w:val="0"/>
      <w:marBottom w:val="0"/>
      <w:divBdr>
        <w:top w:val="none" w:sz="0" w:space="0" w:color="auto"/>
        <w:left w:val="none" w:sz="0" w:space="0" w:color="auto"/>
        <w:bottom w:val="none" w:sz="0" w:space="0" w:color="auto"/>
        <w:right w:val="none" w:sz="0" w:space="0" w:color="auto"/>
      </w:divBdr>
      <w:divsChild>
        <w:div w:id="1598248687">
          <w:marLeft w:val="0"/>
          <w:marRight w:val="0"/>
          <w:marTop w:val="0"/>
          <w:marBottom w:val="0"/>
          <w:divBdr>
            <w:top w:val="none" w:sz="0" w:space="0" w:color="auto"/>
            <w:left w:val="none" w:sz="0" w:space="0" w:color="auto"/>
            <w:bottom w:val="none" w:sz="0" w:space="0" w:color="auto"/>
            <w:right w:val="none" w:sz="0" w:space="0" w:color="auto"/>
          </w:divBdr>
        </w:div>
      </w:divsChild>
    </w:div>
    <w:div w:id="1123958284">
      <w:bodyDiv w:val="1"/>
      <w:marLeft w:val="0"/>
      <w:marRight w:val="0"/>
      <w:marTop w:val="0"/>
      <w:marBottom w:val="0"/>
      <w:divBdr>
        <w:top w:val="none" w:sz="0" w:space="0" w:color="auto"/>
        <w:left w:val="none" w:sz="0" w:space="0" w:color="auto"/>
        <w:bottom w:val="none" w:sz="0" w:space="0" w:color="auto"/>
        <w:right w:val="none" w:sz="0" w:space="0" w:color="auto"/>
      </w:divBdr>
    </w:div>
    <w:div w:id="1125345151">
      <w:bodyDiv w:val="1"/>
      <w:marLeft w:val="0"/>
      <w:marRight w:val="0"/>
      <w:marTop w:val="0"/>
      <w:marBottom w:val="0"/>
      <w:divBdr>
        <w:top w:val="none" w:sz="0" w:space="0" w:color="auto"/>
        <w:left w:val="none" w:sz="0" w:space="0" w:color="auto"/>
        <w:bottom w:val="none" w:sz="0" w:space="0" w:color="auto"/>
        <w:right w:val="none" w:sz="0" w:space="0" w:color="auto"/>
      </w:divBdr>
    </w:div>
    <w:div w:id="1132210126">
      <w:bodyDiv w:val="1"/>
      <w:marLeft w:val="0"/>
      <w:marRight w:val="0"/>
      <w:marTop w:val="0"/>
      <w:marBottom w:val="0"/>
      <w:divBdr>
        <w:top w:val="none" w:sz="0" w:space="0" w:color="auto"/>
        <w:left w:val="none" w:sz="0" w:space="0" w:color="auto"/>
        <w:bottom w:val="none" w:sz="0" w:space="0" w:color="auto"/>
        <w:right w:val="none" w:sz="0" w:space="0" w:color="auto"/>
      </w:divBdr>
    </w:div>
    <w:div w:id="1136491650">
      <w:marLeft w:val="0"/>
      <w:marRight w:val="0"/>
      <w:marTop w:val="0"/>
      <w:marBottom w:val="0"/>
      <w:divBdr>
        <w:top w:val="none" w:sz="0" w:space="0" w:color="auto"/>
        <w:left w:val="none" w:sz="0" w:space="0" w:color="auto"/>
        <w:bottom w:val="none" w:sz="0" w:space="0" w:color="auto"/>
        <w:right w:val="none" w:sz="0" w:space="0" w:color="auto"/>
      </w:divBdr>
      <w:divsChild>
        <w:div w:id="334496740">
          <w:marLeft w:val="0"/>
          <w:marRight w:val="0"/>
          <w:marTop w:val="0"/>
          <w:marBottom w:val="0"/>
          <w:divBdr>
            <w:top w:val="none" w:sz="0" w:space="0" w:color="auto"/>
            <w:left w:val="none" w:sz="0" w:space="0" w:color="auto"/>
            <w:bottom w:val="none" w:sz="0" w:space="0" w:color="auto"/>
            <w:right w:val="none" w:sz="0" w:space="0" w:color="auto"/>
          </w:divBdr>
        </w:div>
      </w:divsChild>
    </w:div>
    <w:div w:id="1137380164">
      <w:marLeft w:val="0"/>
      <w:marRight w:val="0"/>
      <w:marTop w:val="0"/>
      <w:marBottom w:val="0"/>
      <w:divBdr>
        <w:top w:val="none" w:sz="0" w:space="0" w:color="auto"/>
        <w:left w:val="none" w:sz="0" w:space="0" w:color="auto"/>
        <w:bottom w:val="none" w:sz="0" w:space="0" w:color="auto"/>
        <w:right w:val="none" w:sz="0" w:space="0" w:color="auto"/>
      </w:divBdr>
      <w:divsChild>
        <w:div w:id="1376925495">
          <w:marLeft w:val="0"/>
          <w:marRight w:val="0"/>
          <w:marTop w:val="0"/>
          <w:marBottom w:val="0"/>
          <w:divBdr>
            <w:top w:val="none" w:sz="0" w:space="0" w:color="auto"/>
            <w:left w:val="none" w:sz="0" w:space="0" w:color="auto"/>
            <w:bottom w:val="none" w:sz="0" w:space="0" w:color="auto"/>
            <w:right w:val="none" w:sz="0" w:space="0" w:color="auto"/>
          </w:divBdr>
        </w:div>
      </w:divsChild>
    </w:div>
    <w:div w:id="1137719629">
      <w:marLeft w:val="0"/>
      <w:marRight w:val="0"/>
      <w:marTop w:val="0"/>
      <w:marBottom w:val="0"/>
      <w:divBdr>
        <w:top w:val="none" w:sz="0" w:space="0" w:color="auto"/>
        <w:left w:val="none" w:sz="0" w:space="0" w:color="auto"/>
        <w:bottom w:val="none" w:sz="0" w:space="0" w:color="auto"/>
        <w:right w:val="none" w:sz="0" w:space="0" w:color="auto"/>
      </w:divBdr>
      <w:divsChild>
        <w:div w:id="298804039">
          <w:marLeft w:val="0"/>
          <w:marRight w:val="0"/>
          <w:marTop w:val="0"/>
          <w:marBottom w:val="0"/>
          <w:divBdr>
            <w:top w:val="none" w:sz="0" w:space="0" w:color="auto"/>
            <w:left w:val="none" w:sz="0" w:space="0" w:color="auto"/>
            <w:bottom w:val="none" w:sz="0" w:space="0" w:color="auto"/>
            <w:right w:val="none" w:sz="0" w:space="0" w:color="auto"/>
          </w:divBdr>
        </w:div>
      </w:divsChild>
    </w:div>
    <w:div w:id="1140002861">
      <w:marLeft w:val="0"/>
      <w:marRight w:val="0"/>
      <w:marTop w:val="0"/>
      <w:marBottom w:val="0"/>
      <w:divBdr>
        <w:top w:val="none" w:sz="0" w:space="0" w:color="auto"/>
        <w:left w:val="none" w:sz="0" w:space="0" w:color="auto"/>
        <w:bottom w:val="none" w:sz="0" w:space="0" w:color="auto"/>
        <w:right w:val="none" w:sz="0" w:space="0" w:color="auto"/>
      </w:divBdr>
      <w:divsChild>
        <w:div w:id="827944766">
          <w:marLeft w:val="0"/>
          <w:marRight w:val="0"/>
          <w:marTop w:val="0"/>
          <w:marBottom w:val="0"/>
          <w:divBdr>
            <w:top w:val="none" w:sz="0" w:space="0" w:color="auto"/>
            <w:left w:val="none" w:sz="0" w:space="0" w:color="auto"/>
            <w:bottom w:val="none" w:sz="0" w:space="0" w:color="auto"/>
            <w:right w:val="none" w:sz="0" w:space="0" w:color="auto"/>
          </w:divBdr>
        </w:div>
      </w:divsChild>
    </w:div>
    <w:div w:id="1142307048">
      <w:marLeft w:val="0"/>
      <w:marRight w:val="0"/>
      <w:marTop w:val="0"/>
      <w:marBottom w:val="0"/>
      <w:divBdr>
        <w:top w:val="none" w:sz="0" w:space="0" w:color="auto"/>
        <w:left w:val="none" w:sz="0" w:space="0" w:color="auto"/>
        <w:bottom w:val="none" w:sz="0" w:space="0" w:color="auto"/>
        <w:right w:val="none" w:sz="0" w:space="0" w:color="auto"/>
      </w:divBdr>
      <w:divsChild>
        <w:div w:id="1022318940">
          <w:marLeft w:val="0"/>
          <w:marRight w:val="0"/>
          <w:marTop w:val="0"/>
          <w:marBottom w:val="0"/>
          <w:divBdr>
            <w:top w:val="none" w:sz="0" w:space="0" w:color="auto"/>
            <w:left w:val="none" w:sz="0" w:space="0" w:color="auto"/>
            <w:bottom w:val="none" w:sz="0" w:space="0" w:color="auto"/>
            <w:right w:val="none" w:sz="0" w:space="0" w:color="auto"/>
          </w:divBdr>
        </w:div>
      </w:divsChild>
    </w:div>
    <w:div w:id="1142772102">
      <w:marLeft w:val="0"/>
      <w:marRight w:val="0"/>
      <w:marTop w:val="0"/>
      <w:marBottom w:val="0"/>
      <w:divBdr>
        <w:top w:val="none" w:sz="0" w:space="0" w:color="auto"/>
        <w:left w:val="none" w:sz="0" w:space="0" w:color="auto"/>
        <w:bottom w:val="none" w:sz="0" w:space="0" w:color="auto"/>
        <w:right w:val="none" w:sz="0" w:space="0" w:color="auto"/>
      </w:divBdr>
      <w:divsChild>
        <w:div w:id="1435321247">
          <w:marLeft w:val="0"/>
          <w:marRight w:val="0"/>
          <w:marTop w:val="0"/>
          <w:marBottom w:val="0"/>
          <w:divBdr>
            <w:top w:val="none" w:sz="0" w:space="0" w:color="auto"/>
            <w:left w:val="none" w:sz="0" w:space="0" w:color="auto"/>
            <w:bottom w:val="none" w:sz="0" w:space="0" w:color="auto"/>
            <w:right w:val="none" w:sz="0" w:space="0" w:color="auto"/>
          </w:divBdr>
        </w:div>
      </w:divsChild>
    </w:div>
    <w:div w:id="1143546290">
      <w:bodyDiv w:val="1"/>
      <w:marLeft w:val="0"/>
      <w:marRight w:val="0"/>
      <w:marTop w:val="0"/>
      <w:marBottom w:val="0"/>
      <w:divBdr>
        <w:top w:val="none" w:sz="0" w:space="0" w:color="auto"/>
        <w:left w:val="none" w:sz="0" w:space="0" w:color="auto"/>
        <w:bottom w:val="none" w:sz="0" w:space="0" w:color="auto"/>
        <w:right w:val="none" w:sz="0" w:space="0" w:color="auto"/>
      </w:divBdr>
    </w:div>
    <w:div w:id="1148865632">
      <w:marLeft w:val="0"/>
      <w:marRight w:val="150"/>
      <w:marTop w:val="0"/>
      <w:marBottom w:val="0"/>
      <w:divBdr>
        <w:top w:val="none" w:sz="0" w:space="0" w:color="auto"/>
        <w:left w:val="none" w:sz="0" w:space="0" w:color="auto"/>
        <w:bottom w:val="none" w:sz="0" w:space="0" w:color="auto"/>
        <w:right w:val="none" w:sz="0" w:space="0" w:color="auto"/>
      </w:divBdr>
      <w:divsChild>
        <w:div w:id="1198927003">
          <w:marLeft w:val="0"/>
          <w:marRight w:val="150"/>
          <w:marTop w:val="0"/>
          <w:marBottom w:val="0"/>
          <w:divBdr>
            <w:top w:val="none" w:sz="0" w:space="0" w:color="auto"/>
            <w:left w:val="none" w:sz="0" w:space="0" w:color="auto"/>
            <w:bottom w:val="none" w:sz="0" w:space="0" w:color="auto"/>
            <w:right w:val="none" w:sz="0" w:space="0" w:color="auto"/>
          </w:divBdr>
        </w:div>
      </w:divsChild>
    </w:div>
    <w:div w:id="1149860374">
      <w:marLeft w:val="0"/>
      <w:marRight w:val="0"/>
      <w:marTop w:val="0"/>
      <w:marBottom w:val="0"/>
      <w:divBdr>
        <w:top w:val="none" w:sz="0" w:space="0" w:color="auto"/>
        <w:left w:val="none" w:sz="0" w:space="0" w:color="auto"/>
        <w:bottom w:val="none" w:sz="0" w:space="0" w:color="auto"/>
        <w:right w:val="none" w:sz="0" w:space="0" w:color="auto"/>
      </w:divBdr>
      <w:divsChild>
        <w:div w:id="1973897066">
          <w:marLeft w:val="0"/>
          <w:marRight w:val="0"/>
          <w:marTop w:val="0"/>
          <w:marBottom w:val="0"/>
          <w:divBdr>
            <w:top w:val="none" w:sz="0" w:space="0" w:color="auto"/>
            <w:left w:val="none" w:sz="0" w:space="0" w:color="auto"/>
            <w:bottom w:val="none" w:sz="0" w:space="0" w:color="auto"/>
            <w:right w:val="none" w:sz="0" w:space="0" w:color="auto"/>
          </w:divBdr>
        </w:div>
      </w:divsChild>
    </w:div>
    <w:div w:id="1151170429">
      <w:bodyDiv w:val="1"/>
      <w:marLeft w:val="0"/>
      <w:marRight w:val="0"/>
      <w:marTop w:val="0"/>
      <w:marBottom w:val="0"/>
      <w:divBdr>
        <w:top w:val="none" w:sz="0" w:space="0" w:color="auto"/>
        <w:left w:val="none" w:sz="0" w:space="0" w:color="auto"/>
        <w:bottom w:val="none" w:sz="0" w:space="0" w:color="auto"/>
        <w:right w:val="none" w:sz="0" w:space="0" w:color="auto"/>
      </w:divBdr>
      <w:divsChild>
        <w:div w:id="1462922573">
          <w:marLeft w:val="0"/>
          <w:marRight w:val="0"/>
          <w:marTop w:val="0"/>
          <w:marBottom w:val="0"/>
          <w:divBdr>
            <w:top w:val="none" w:sz="0" w:space="0" w:color="auto"/>
            <w:left w:val="none" w:sz="0" w:space="0" w:color="auto"/>
            <w:bottom w:val="none" w:sz="0" w:space="0" w:color="auto"/>
            <w:right w:val="none" w:sz="0" w:space="0" w:color="auto"/>
          </w:divBdr>
          <w:divsChild>
            <w:div w:id="515048035">
              <w:marLeft w:val="0"/>
              <w:marRight w:val="0"/>
              <w:marTop w:val="0"/>
              <w:marBottom w:val="0"/>
              <w:divBdr>
                <w:top w:val="none" w:sz="0" w:space="0" w:color="auto"/>
                <w:left w:val="none" w:sz="0" w:space="0" w:color="auto"/>
                <w:bottom w:val="none" w:sz="0" w:space="0" w:color="auto"/>
                <w:right w:val="none" w:sz="0" w:space="0" w:color="auto"/>
              </w:divBdr>
            </w:div>
            <w:div w:id="211844326">
              <w:marLeft w:val="0"/>
              <w:marRight w:val="0"/>
              <w:marTop w:val="0"/>
              <w:marBottom w:val="0"/>
              <w:divBdr>
                <w:top w:val="none" w:sz="0" w:space="0" w:color="auto"/>
                <w:left w:val="none" w:sz="0" w:space="0" w:color="auto"/>
                <w:bottom w:val="none" w:sz="0" w:space="0" w:color="auto"/>
                <w:right w:val="none" w:sz="0" w:space="0" w:color="auto"/>
              </w:divBdr>
            </w:div>
            <w:div w:id="1127356979">
              <w:marLeft w:val="0"/>
              <w:marRight w:val="0"/>
              <w:marTop w:val="0"/>
              <w:marBottom w:val="0"/>
              <w:divBdr>
                <w:top w:val="none" w:sz="0" w:space="0" w:color="auto"/>
                <w:left w:val="none" w:sz="0" w:space="0" w:color="auto"/>
                <w:bottom w:val="none" w:sz="0" w:space="0" w:color="auto"/>
                <w:right w:val="none" w:sz="0" w:space="0" w:color="auto"/>
              </w:divBdr>
            </w:div>
            <w:div w:id="810289273">
              <w:marLeft w:val="0"/>
              <w:marRight w:val="0"/>
              <w:marTop w:val="0"/>
              <w:marBottom w:val="0"/>
              <w:divBdr>
                <w:top w:val="none" w:sz="0" w:space="0" w:color="auto"/>
                <w:left w:val="none" w:sz="0" w:space="0" w:color="auto"/>
                <w:bottom w:val="none" w:sz="0" w:space="0" w:color="auto"/>
                <w:right w:val="none" w:sz="0" w:space="0" w:color="auto"/>
              </w:divBdr>
            </w:div>
            <w:div w:id="108011416">
              <w:marLeft w:val="0"/>
              <w:marRight w:val="0"/>
              <w:marTop w:val="0"/>
              <w:marBottom w:val="0"/>
              <w:divBdr>
                <w:top w:val="none" w:sz="0" w:space="0" w:color="auto"/>
                <w:left w:val="none" w:sz="0" w:space="0" w:color="auto"/>
                <w:bottom w:val="none" w:sz="0" w:space="0" w:color="auto"/>
                <w:right w:val="none" w:sz="0" w:space="0" w:color="auto"/>
              </w:divBdr>
            </w:div>
            <w:div w:id="627709172">
              <w:marLeft w:val="0"/>
              <w:marRight w:val="0"/>
              <w:marTop w:val="0"/>
              <w:marBottom w:val="0"/>
              <w:divBdr>
                <w:top w:val="none" w:sz="0" w:space="0" w:color="auto"/>
                <w:left w:val="none" w:sz="0" w:space="0" w:color="auto"/>
                <w:bottom w:val="none" w:sz="0" w:space="0" w:color="auto"/>
                <w:right w:val="none" w:sz="0" w:space="0" w:color="auto"/>
              </w:divBdr>
            </w:div>
            <w:div w:id="1969436418">
              <w:marLeft w:val="0"/>
              <w:marRight w:val="0"/>
              <w:marTop w:val="0"/>
              <w:marBottom w:val="0"/>
              <w:divBdr>
                <w:top w:val="none" w:sz="0" w:space="0" w:color="auto"/>
                <w:left w:val="none" w:sz="0" w:space="0" w:color="auto"/>
                <w:bottom w:val="none" w:sz="0" w:space="0" w:color="auto"/>
                <w:right w:val="none" w:sz="0" w:space="0" w:color="auto"/>
              </w:divBdr>
            </w:div>
            <w:div w:id="1581674452">
              <w:marLeft w:val="0"/>
              <w:marRight w:val="0"/>
              <w:marTop w:val="0"/>
              <w:marBottom w:val="0"/>
              <w:divBdr>
                <w:top w:val="none" w:sz="0" w:space="0" w:color="auto"/>
                <w:left w:val="none" w:sz="0" w:space="0" w:color="auto"/>
                <w:bottom w:val="none" w:sz="0" w:space="0" w:color="auto"/>
                <w:right w:val="none" w:sz="0" w:space="0" w:color="auto"/>
              </w:divBdr>
            </w:div>
            <w:div w:id="834346961">
              <w:marLeft w:val="0"/>
              <w:marRight w:val="0"/>
              <w:marTop w:val="0"/>
              <w:marBottom w:val="0"/>
              <w:divBdr>
                <w:top w:val="none" w:sz="0" w:space="0" w:color="auto"/>
                <w:left w:val="none" w:sz="0" w:space="0" w:color="auto"/>
                <w:bottom w:val="none" w:sz="0" w:space="0" w:color="auto"/>
                <w:right w:val="none" w:sz="0" w:space="0" w:color="auto"/>
              </w:divBdr>
            </w:div>
            <w:div w:id="747966793">
              <w:marLeft w:val="0"/>
              <w:marRight w:val="0"/>
              <w:marTop w:val="0"/>
              <w:marBottom w:val="0"/>
              <w:divBdr>
                <w:top w:val="none" w:sz="0" w:space="0" w:color="auto"/>
                <w:left w:val="none" w:sz="0" w:space="0" w:color="auto"/>
                <w:bottom w:val="none" w:sz="0" w:space="0" w:color="auto"/>
                <w:right w:val="none" w:sz="0" w:space="0" w:color="auto"/>
              </w:divBdr>
            </w:div>
            <w:div w:id="410735578">
              <w:marLeft w:val="0"/>
              <w:marRight w:val="0"/>
              <w:marTop w:val="0"/>
              <w:marBottom w:val="0"/>
              <w:divBdr>
                <w:top w:val="none" w:sz="0" w:space="0" w:color="auto"/>
                <w:left w:val="none" w:sz="0" w:space="0" w:color="auto"/>
                <w:bottom w:val="none" w:sz="0" w:space="0" w:color="auto"/>
                <w:right w:val="none" w:sz="0" w:space="0" w:color="auto"/>
              </w:divBdr>
            </w:div>
            <w:div w:id="1816221556">
              <w:marLeft w:val="0"/>
              <w:marRight w:val="0"/>
              <w:marTop w:val="0"/>
              <w:marBottom w:val="0"/>
              <w:divBdr>
                <w:top w:val="none" w:sz="0" w:space="0" w:color="auto"/>
                <w:left w:val="none" w:sz="0" w:space="0" w:color="auto"/>
                <w:bottom w:val="none" w:sz="0" w:space="0" w:color="auto"/>
                <w:right w:val="none" w:sz="0" w:space="0" w:color="auto"/>
              </w:divBdr>
            </w:div>
            <w:div w:id="332342203">
              <w:marLeft w:val="0"/>
              <w:marRight w:val="0"/>
              <w:marTop w:val="0"/>
              <w:marBottom w:val="0"/>
              <w:divBdr>
                <w:top w:val="none" w:sz="0" w:space="0" w:color="auto"/>
                <w:left w:val="none" w:sz="0" w:space="0" w:color="auto"/>
                <w:bottom w:val="none" w:sz="0" w:space="0" w:color="auto"/>
                <w:right w:val="none" w:sz="0" w:space="0" w:color="auto"/>
              </w:divBdr>
            </w:div>
            <w:div w:id="1088884187">
              <w:marLeft w:val="0"/>
              <w:marRight w:val="0"/>
              <w:marTop w:val="0"/>
              <w:marBottom w:val="0"/>
              <w:divBdr>
                <w:top w:val="none" w:sz="0" w:space="0" w:color="auto"/>
                <w:left w:val="none" w:sz="0" w:space="0" w:color="auto"/>
                <w:bottom w:val="none" w:sz="0" w:space="0" w:color="auto"/>
                <w:right w:val="none" w:sz="0" w:space="0" w:color="auto"/>
              </w:divBdr>
            </w:div>
            <w:div w:id="521210928">
              <w:marLeft w:val="0"/>
              <w:marRight w:val="0"/>
              <w:marTop w:val="0"/>
              <w:marBottom w:val="0"/>
              <w:divBdr>
                <w:top w:val="none" w:sz="0" w:space="0" w:color="auto"/>
                <w:left w:val="none" w:sz="0" w:space="0" w:color="auto"/>
                <w:bottom w:val="none" w:sz="0" w:space="0" w:color="auto"/>
                <w:right w:val="none" w:sz="0" w:space="0" w:color="auto"/>
              </w:divBdr>
            </w:div>
            <w:div w:id="117534851">
              <w:marLeft w:val="0"/>
              <w:marRight w:val="0"/>
              <w:marTop w:val="0"/>
              <w:marBottom w:val="0"/>
              <w:divBdr>
                <w:top w:val="none" w:sz="0" w:space="0" w:color="auto"/>
                <w:left w:val="none" w:sz="0" w:space="0" w:color="auto"/>
                <w:bottom w:val="none" w:sz="0" w:space="0" w:color="auto"/>
                <w:right w:val="none" w:sz="0" w:space="0" w:color="auto"/>
              </w:divBdr>
            </w:div>
            <w:div w:id="1803765362">
              <w:marLeft w:val="0"/>
              <w:marRight w:val="0"/>
              <w:marTop w:val="0"/>
              <w:marBottom w:val="0"/>
              <w:divBdr>
                <w:top w:val="none" w:sz="0" w:space="0" w:color="auto"/>
                <w:left w:val="none" w:sz="0" w:space="0" w:color="auto"/>
                <w:bottom w:val="none" w:sz="0" w:space="0" w:color="auto"/>
                <w:right w:val="none" w:sz="0" w:space="0" w:color="auto"/>
              </w:divBdr>
            </w:div>
            <w:div w:id="511073353">
              <w:marLeft w:val="0"/>
              <w:marRight w:val="0"/>
              <w:marTop w:val="0"/>
              <w:marBottom w:val="0"/>
              <w:divBdr>
                <w:top w:val="none" w:sz="0" w:space="0" w:color="auto"/>
                <w:left w:val="none" w:sz="0" w:space="0" w:color="auto"/>
                <w:bottom w:val="none" w:sz="0" w:space="0" w:color="auto"/>
                <w:right w:val="none" w:sz="0" w:space="0" w:color="auto"/>
              </w:divBdr>
            </w:div>
            <w:div w:id="1904827419">
              <w:marLeft w:val="0"/>
              <w:marRight w:val="0"/>
              <w:marTop w:val="0"/>
              <w:marBottom w:val="0"/>
              <w:divBdr>
                <w:top w:val="none" w:sz="0" w:space="0" w:color="auto"/>
                <w:left w:val="none" w:sz="0" w:space="0" w:color="auto"/>
                <w:bottom w:val="none" w:sz="0" w:space="0" w:color="auto"/>
                <w:right w:val="none" w:sz="0" w:space="0" w:color="auto"/>
              </w:divBdr>
            </w:div>
            <w:div w:id="659505544">
              <w:marLeft w:val="0"/>
              <w:marRight w:val="0"/>
              <w:marTop w:val="0"/>
              <w:marBottom w:val="0"/>
              <w:divBdr>
                <w:top w:val="none" w:sz="0" w:space="0" w:color="auto"/>
                <w:left w:val="none" w:sz="0" w:space="0" w:color="auto"/>
                <w:bottom w:val="none" w:sz="0" w:space="0" w:color="auto"/>
                <w:right w:val="none" w:sz="0" w:space="0" w:color="auto"/>
              </w:divBdr>
            </w:div>
            <w:div w:id="6668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0495">
      <w:bodyDiv w:val="1"/>
      <w:marLeft w:val="0"/>
      <w:marRight w:val="0"/>
      <w:marTop w:val="0"/>
      <w:marBottom w:val="0"/>
      <w:divBdr>
        <w:top w:val="none" w:sz="0" w:space="0" w:color="auto"/>
        <w:left w:val="none" w:sz="0" w:space="0" w:color="auto"/>
        <w:bottom w:val="none" w:sz="0" w:space="0" w:color="auto"/>
        <w:right w:val="none" w:sz="0" w:space="0" w:color="auto"/>
      </w:divBdr>
    </w:div>
    <w:div w:id="1154419633">
      <w:marLeft w:val="0"/>
      <w:marRight w:val="0"/>
      <w:marTop w:val="0"/>
      <w:marBottom w:val="0"/>
      <w:divBdr>
        <w:top w:val="none" w:sz="0" w:space="0" w:color="auto"/>
        <w:left w:val="none" w:sz="0" w:space="0" w:color="auto"/>
        <w:bottom w:val="none" w:sz="0" w:space="0" w:color="auto"/>
        <w:right w:val="none" w:sz="0" w:space="0" w:color="auto"/>
      </w:divBdr>
      <w:divsChild>
        <w:div w:id="358430766">
          <w:marLeft w:val="0"/>
          <w:marRight w:val="0"/>
          <w:marTop w:val="0"/>
          <w:marBottom w:val="0"/>
          <w:divBdr>
            <w:top w:val="none" w:sz="0" w:space="0" w:color="auto"/>
            <w:left w:val="none" w:sz="0" w:space="0" w:color="auto"/>
            <w:bottom w:val="none" w:sz="0" w:space="0" w:color="auto"/>
            <w:right w:val="none" w:sz="0" w:space="0" w:color="auto"/>
          </w:divBdr>
        </w:div>
      </w:divsChild>
    </w:div>
    <w:div w:id="1160659029">
      <w:bodyDiv w:val="1"/>
      <w:marLeft w:val="0"/>
      <w:marRight w:val="0"/>
      <w:marTop w:val="0"/>
      <w:marBottom w:val="0"/>
      <w:divBdr>
        <w:top w:val="none" w:sz="0" w:space="0" w:color="auto"/>
        <w:left w:val="none" w:sz="0" w:space="0" w:color="auto"/>
        <w:bottom w:val="none" w:sz="0" w:space="0" w:color="auto"/>
        <w:right w:val="none" w:sz="0" w:space="0" w:color="auto"/>
      </w:divBdr>
    </w:div>
    <w:div w:id="1164781048">
      <w:bodyDiv w:val="1"/>
      <w:marLeft w:val="0"/>
      <w:marRight w:val="0"/>
      <w:marTop w:val="0"/>
      <w:marBottom w:val="0"/>
      <w:divBdr>
        <w:top w:val="none" w:sz="0" w:space="0" w:color="auto"/>
        <w:left w:val="none" w:sz="0" w:space="0" w:color="auto"/>
        <w:bottom w:val="none" w:sz="0" w:space="0" w:color="auto"/>
        <w:right w:val="none" w:sz="0" w:space="0" w:color="auto"/>
      </w:divBdr>
    </w:div>
    <w:div w:id="1170101289">
      <w:marLeft w:val="0"/>
      <w:marRight w:val="0"/>
      <w:marTop w:val="0"/>
      <w:marBottom w:val="0"/>
      <w:divBdr>
        <w:top w:val="none" w:sz="0" w:space="0" w:color="auto"/>
        <w:left w:val="none" w:sz="0" w:space="0" w:color="auto"/>
        <w:bottom w:val="none" w:sz="0" w:space="0" w:color="auto"/>
        <w:right w:val="none" w:sz="0" w:space="0" w:color="auto"/>
      </w:divBdr>
      <w:divsChild>
        <w:div w:id="407577391">
          <w:marLeft w:val="0"/>
          <w:marRight w:val="0"/>
          <w:marTop w:val="0"/>
          <w:marBottom w:val="0"/>
          <w:divBdr>
            <w:top w:val="none" w:sz="0" w:space="0" w:color="auto"/>
            <w:left w:val="none" w:sz="0" w:space="0" w:color="auto"/>
            <w:bottom w:val="none" w:sz="0" w:space="0" w:color="auto"/>
            <w:right w:val="none" w:sz="0" w:space="0" w:color="auto"/>
          </w:divBdr>
        </w:div>
      </w:divsChild>
    </w:div>
    <w:div w:id="1176387275">
      <w:marLeft w:val="0"/>
      <w:marRight w:val="0"/>
      <w:marTop w:val="0"/>
      <w:marBottom w:val="0"/>
      <w:divBdr>
        <w:top w:val="none" w:sz="0" w:space="0" w:color="auto"/>
        <w:left w:val="none" w:sz="0" w:space="0" w:color="auto"/>
        <w:bottom w:val="none" w:sz="0" w:space="0" w:color="auto"/>
        <w:right w:val="none" w:sz="0" w:space="0" w:color="auto"/>
      </w:divBdr>
      <w:divsChild>
        <w:div w:id="515194152">
          <w:marLeft w:val="0"/>
          <w:marRight w:val="0"/>
          <w:marTop w:val="0"/>
          <w:marBottom w:val="0"/>
          <w:divBdr>
            <w:top w:val="none" w:sz="0" w:space="0" w:color="auto"/>
            <w:left w:val="none" w:sz="0" w:space="0" w:color="auto"/>
            <w:bottom w:val="none" w:sz="0" w:space="0" w:color="auto"/>
            <w:right w:val="none" w:sz="0" w:space="0" w:color="auto"/>
          </w:divBdr>
        </w:div>
      </w:divsChild>
    </w:div>
    <w:div w:id="1176656444">
      <w:marLeft w:val="0"/>
      <w:marRight w:val="0"/>
      <w:marTop w:val="0"/>
      <w:marBottom w:val="0"/>
      <w:divBdr>
        <w:top w:val="none" w:sz="0" w:space="0" w:color="auto"/>
        <w:left w:val="none" w:sz="0" w:space="0" w:color="auto"/>
        <w:bottom w:val="none" w:sz="0" w:space="0" w:color="auto"/>
        <w:right w:val="none" w:sz="0" w:space="0" w:color="auto"/>
      </w:divBdr>
      <w:divsChild>
        <w:div w:id="1997295597">
          <w:marLeft w:val="0"/>
          <w:marRight w:val="0"/>
          <w:marTop w:val="0"/>
          <w:marBottom w:val="0"/>
          <w:divBdr>
            <w:top w:val="none" w:sz="0" w:space="0" w:color="auto"/>
            <w:left w:val="none" w:sz="0" w:space="0" w:color="auto"/>
            <w:bottom w:val="none" w:sz="0" w:space="0" w:color="auto"/>
            <w:right w:val="none" w:sz="0" w:space="0" w:color="auto"/>
          </w:divBdr>
        </w:div>
      </w:divsChild>
    </w:div>
    <w:div w:id="1177577040">
      <w:bodyDiv w:val="1"/>
      <w:marLeft w:val="0"/>
      <w:marRight w:val="0"/>
      <w:marTop w:val="0"/>
      <w:marBottom w:val="0"/>
      <w:divBdr>
        <w:top w:val="none" w:sz="0" w:space="0" w:color="auto"/>
        <w:left w:val="none" w:sz="0" w:space="0" w:color="auto"/>
        <w:bottom w:val="none" w:sz="0" w:space="0" w:color="auto"/>
        <w:right w:val="none" w:sz="0" w:space="0" w:color="auto"/>
      </w:divBdr>
    </w:div>
    <w:div w:id="1178346419">
      <w:marLeft w:val="0"/>
      <w:marRight w:val="0"/>
      <w:marTop w:val="0"/>
      <w:marBottom w:val="0"/>
      <w:divBdr>
        <w:top w:val="none" w:sz="0" w:space="0" w:color="auto"/>
        <w:left w:val="none" w:sz="0" w:space="0" w:color="auto"/>
        <w:bottom w:val="none" w:sz="0" w:space="0" w:color="auto"/>
        <w:right w:val="none" w:sz="0" w:space="0" w:color="auto"/>
      </w:divBdr>
      <w:divsChild>
        <w:div w:id="2022199974">
          <w:marLeft w:val="0"/>
          <w:marRight w:val="0"/>
          <w:marTop w:val="0"/>
          <w:marBottom w:val="0"/>
          <w:divBdr>
            <w:top w:val="none" w:sz="0" w:space="0" w:color="auto"/>
            <w:left w:val="none" w:sz="0" w:space="0" w:color="auto"/>
            <w:bottom w:val="none" w:sz="0" w:space="0" w:color="auto"/>
            <w:right w:val="none" w:sz="0" w:space="0" w:color="auto"/>
          </w:divBdr>
        </w:div>
      </w:divsChild>
    </w:div>
    <w:div w:id="1180658669">
      <w:bodyDiv w:val="1"/>
      <w:marLeft w:val="0"/>
      <w:marRight w:val="0"/>
      <w:marTop w:val="0"/>
      <w:marBottom w:val="0"/>
      <w:divBdr>
        <w:top w:val="none" w:sz="0" w:space="0" w:color="auto"/>
        <w:left w:val="none" w:sz="0" w:space="0" w:color="auto"/>
        <w:bottom w:val="none" w:sz="0" w:space="0" w:color="auto"/>
        <w:right w:val="none" w:sz="0" w:space="0" w:color="auto"/>
      </w:divBdr>
    </w:div>
    <w:div w:id="1182739376">
      <w:marLeft w:val="0"/>
      <w:marRight w:val="0"/>
      <w:marTop w:val="0"/>
      <w:marBottom w:val="0"/>
      <w:divBdr>
        <w:top w:val="none" w:sz="0" w:space="0" w:color="auto"/>
        <w:left w:val="none" w:sz="0" w:space="0" w:color="auto"/>
        <w:bottom w:val="none" w:sz="0" w:space="0" w:color="auto"/>
        <w:right w:val="none" w:sz="0" w:space="0" w:color="auto"/>
      </w:divBdr>
      <w:divsChild>
        <w:div w:id="1811172092">
          <w:marLeft w:val="0"/>
          <w:marRight w:val="0"/>
          <w:marTop w:val="0"/>
          <w:marBottom w:val="0"/>
          <w:divBdr>
            <w:top w:val="none" w:sz="0" w:space="0" w:color="auto"/>
            <w:left w:val="none" w:sz="0" w:space="0" w:color="auto"/>
            <w:bottom w:val="none" w:sz="0" w:space="0" w:color="auto"/>
            <w:right w:val="none" w:sz="0" w:space="0" w:color="auto"/>
          </w:divBdr>
        </w:div>
      </w:divsChild>
    </w:div>
    <w:div w:id="1183978711">
      <w:marLeft w:val="0"/>
      <w:marRight w:val="0"/>
      <w:marTop w:val="0"/>
      <w:marBottom w:val="0"/>
      <w:divBdr>
        <w:top w:val="none" w:sz="0" w:space="0" w:color="auto"/>
        <w:left w:val="none" w:sz="0" w:space="0" w:color="auto"/>
        <w:bottom w:val="none" w:sz="0" w:space="0" w:color="auto"/>
        <w:right w:val="none" w:sz="0" w:space="0" w:color="auto"/>
      </w:divBdr>
      <w:divsChild>
        <w:div w:id="1238322527">
          <w:marLeft w:val="0"/>
          <w:marRight w:val="0"/>
          <w:marTop w:val="0"/>
          <w:marBottom w:val="0"/>
          <w:divBdr>
            <w:top w:val="none" w:sz="0" w:space="0" w:color="auto"/>
            <w:left w:val="none" w:sz="0" w:space="0" w:color="auto"/>
            <w:bottom w:val="none" w:sz="0" w:space="0" w:color="auto"/>
            <w:right w:val="none" w:sz="0" w:space="0" w:color="auto"/>
          </w:divBdr>
        </w:div>
      </w:divsChild>
    </w:div>
    <w:div w:id="1188712895">
      <w:marLeft w:val="0"/>
      <w:marRight w:val="0"/>
      <w:marTop w:val="0"/>
      <w:marBottom w:val="0"/>
      <w:divBdr>
        <w:top w:val="none" w:sz="0" w:space="0" w:color="auto"/>
        <w:left w:val="none" w:sz="0" w:space="0" w:color="auto"/>
        <w:bottom w:val="none" w:sz="0" w:space="0" w:color="auto"/>
        <w:right w:val="none" w:sz="0" w:space="0" w:color="auto"/>
      </w:divBdr>
      <w:divsChild>
        <w:div w:id="1031954631">
          <w:marLeft w:val="0"/>
          <w:marRight w:val="0"/>
          <w:marTop w:val="0"/>
          <w:marBottom w:val="0"/>
          <w:divBdr>
            <w:top w:val="none" w:sz="0" w:space="0" w:color="auto"/>
            <w:left w:val="none" w:sz="0" w:space="0" w:color="auto"/>
            <w:bottom w:val="none" w:sz="0" w:space="0" w:color="auto"/>
            <w:right w:val="none" w:sz="0" w:space="0" w:color="auto"/>
          </w:divBdr>
        </w:div>
      </w:divsChild>
    </w:div>
    <w:div w:id="1190876217">
      <w:marLeft w:val="0"/>
      <w:marRight w:val="0"/>
      <w:marTop w:val="0"/>
      <w:marBottom w:val="0"/>
      <w:divBdr>
        <w:top w:val="none" w:sz="0" w:space="0" w:color="auto"/>
        <w:left w:val="none" w:sz="0" w:space="0" w:color="auto"/>
        <w:bottom w:val="none" w:sz="0" w:space="0" w:color="auto"/>
        <w:right w:val="none" w:sz="0" w:space="0" w:color="auto"/>
      </w:divBdr>
      <w:divsChild>
        <w:div w:id="693767948">
          <w:marLeft w:val="0"/>
          <w:marRight w:val="0"/>
          <w:marTop w:val="0"/>
          <w:marBottom w:val="0"/>
          <w:divBdr>
            <w:top w:val="none" w:sz="0" w:space="0" w:color="auto"/>
            <w:left w:val="none" w:sz="0" w:space="0" w:color="auto"/>
            <w:bottom w:val="none" w:sz="0" w:space="0" w:color="auto"/>
            <w:right w:val="none" w:sz="0" w:space="0" w:color="auto"/>
          </w:divBdr>
        </w:div>
      </w:divsChild>
    </w:div>
    <w:div w:id="1193882692">
      <w:bodyDiv w:val="1"/>
      <w:marLeft w:val="0"/>
      <w:marRight w:val="0"/>
      <w:marTop w:val="0"/>
      <w:marBottom w:val="0"/>
      <w:divBdr>
        <w:top w:val="none" w:sz="0" w:space="0" w:color="auto"/>
        <w:left w:val="none" w:sz="0" w:space="0" w:color="auto"/>
        <w:bottom w:val="none" w:sz="0" w:space="0" w:color="auto"/>
        <w:right w:val="none" w:sz="0" w:space="0" w:color="auto"/>
      </w:divBdr>
    </w:div>
    <w:div w:id="1194004736">
      <w:bodyDiv w:val="1"/>
      <w:marLeft w:val="0"/>
      <w:marRight w:val="0"/>
      <w:marTop w:val="0"/>
      <w:marBottom w:val="0"/>
      <w:divBdr>
        <w:top w:val="none" w:sz="0" w:space="0" w:color="auto"/>
        <w:left w:val="none" w:sz="0" w:space="0" w:color="auto"/>
        <w:bottom w:val="none" w:sz="0" w:space="0" w:color="auto"/>
        <w:right w:val="none" w:sz="0" w:space="0" w:color="auto"/>
      </w:divBdr>
    </w:div>
    <w:div w:id="1195460862">
      <w:bodyDiv w:val="1"/>
      <w:marLeft w:val="0"/>
      <w:marRight w:val="0"/>
      <w:marTop w:val="0"/>
      <w:marBottom w:val="0"/>
      <w:divBdr>
        <w:top w:val="none" w:sz="0" w:space="0" w:color="auto"/>
        <w:left w:val="none" w:sz="0" w:space="0" w:color="auto"/>
        <w:bottom w:val="none" w:sz="0" w:space="0" w:color="auto"/>
        <w:right w:val="none" w:sz="0" w:space="0" w:color="auto"/>
      </w:divBdr>
      <w:divsChild>
        <w:div w:id="1741169655">
          <w:marLeft w:val="0"/>
          <w:marRight w:val="0"/>
          <w:marTop w:val="0"/>
          <w:marBottom w:val="0"/>
          <w:divBdr>
            <w:top w:val="none" w:sz="0" w:space="0" w:color="auto"/>
            <w:left w:val="none" w:sz="0" w:space="0" w:color="auto"/>
            <w:bottom w:val="none" w:sz="0" w:space="0" w:color="auto"/>
            <w:right w:val="none" w:sz="0" w:space="0" w:color="auto"/>
          </w:divBdr>
          <w:divsChild>
            <w:div w:id="84424909">
              <w:marLeft w:val="0"/>
              <w:marRight w:val="0"/>
              <w:marTop w:val="0"/>
              <w:marBottom w:val="0"/>
              <w:divBdr>
                <w:top w:val="none" w:sz="0" w:space="0" w:color="auto"/>
                <w:left w:val="none" w:sz="0" w:space="0" w:color="auto"/>
                <w:bottom w:val="none" w:sz="0" w:space="0" w:color="auto"/>
                <w:right w:val="none" w:sz="0" w:space="0" w:color="auto"/>
              </w:divBdr>
            </w:div>
            <w:div w:id="1000621816">
              <w:marLeft w:val="0"/>
              <w:marRight w:val="0"/>
              <w:marTop w:val="0"/>
              <w:marBottom w:val="0"/>
              <w:divBdr>
                <w:top w:val="none" w:sz="0" w:space="0" w:color="auto"/>
                <w:left w:val="none" w:sz="0" w:space="0" w:color="auto"/>
                <w:bottom w:val="none" w:sz="0" w:space="0" w:color="auto"/>
                <w:right w:val="none" w:sz="0" w:space="0" w:color="auto"/>
              </w:divBdr>
            </w:div>
            <w:div w:id="726954589">
              <w:marLeft w:val="0"/>
              <w:marRight w:val="0"/>
              <w:marTop w:val="0"/>
              <w:marBottom w:val="0"/>
              <w:divBdr>
                <w:top w:val="none" w:sz="0" w:space="0" w:color="auto"/>
                <w:left w:val="none" w:sz="0" w:space="0" w:color="auto"/>
                <w:bottom w:val="none" w:sz="0" w:space="0" w:color="auto"/>
                <w:right w:val="none" w:sz="0" w:space="0" w:color="auto"/>
              </w:divBdr>
            </w:div>
            <w:div w:id="1998067711">
              <w:marLeft w:val="0"/>
              <w:marRight w:val="0"/>
              <w:marTop w:val="0"/>
              <w:marBottom w:val="0"/>
              <w:divBdr>
                <w:top w:val="none" w:sz="0" w:space="0" w:color="auto"/>
                <w:left w:val="none" w:sz="0" w:space="0" w:color="auto"/>
                <w:bottom w:val="none" w:sz="0" w:space="0" w:color="auto"/>
                <w:right w:val="none" w:sz="0" w:space="0" w:color="auto"/>
              </w:divBdr>
            </w:div>
            <w:div w:id="835340646">
              <w:marLeft w:val="0"/>
              <w:marRight w:val="0"/>
              <w:marTop w:val="0"/>
              <w:marBottom w:val="0"/>
              <w:divBdr>
                <w:top w:val="none" w:sz="0" w:space="0" w:color="auto"/>
                <w:left w:val="none" w:sz="0" w:space="0" w:color="auto"/>
                <w:bottom w:val="none" w:sz="0" w:space="0" w:color="auto"/>
                <w:right w:val="none" w:sz="0" w:space="0" w:color="auto"/>
              </w:divBdr>
            </w:div>
            <w:div w:id="1895119612">
              <w:marLeft w:val="0"/>
              <w:marRight w:val="0"/>
              <w:marTop w:val="0"/>
              <w:marBottom w:val="0"/>
              <w:divBdr>
                <w:top w:val="none" w:sz="0" w:space="0" w:color="auto"/>
                <w:left w:val="none" w:sz="0" w:space="0" w:color="auto"/>
                <w:bottom w:val="none" w:sz="0" w:space="0" w:color="auto"/>
                <w:right w:val="none" w:sz="0" w:space="0" w:color="auto"/>
              </w:divBdr>
            </w:div>
            <w:div w:id="1600062728">
              <w:marLeft w:val="0"/>
              <w:marRight w:val="0"/>
              <w:marTop w:val="0"/>
              <w:marBottom w:val="0"/>
              <w:divBdr>
                <w:top w:val="none" w:sz="0" w:space="0" w:color="auto"/>
                <w:left w:val="none" w:sz="0" w:space="0" w:color="auto"/>
                <w:bottom w:val="none" w:sz="0" w:space="0" w:color="auto"/>
                <w:right w:val="none" w:sz="0" w:space="0" w:color="auto"/>
              </w:divBdr>
            </w:div>
            <w:div w:id="417335915">
              <w:marLeft w:val="0"/>
              <w:marRight w:val="0"/>
              <w:marTop w:val="0"/>
              <w:marBottom w:val="0"/>
              <w:divBdr>
                <w:top w:val="none" w:sz="0" w:space="0" w:color="auto"/>
                <w:left w:val="none" w:sz="0" w:space="0" w:color="auto"/>
                <w:bottom w:val="none" w:sz="0" w:space="0" w:color="auto"/>
                <w:right w:val="none" w:sz="0" w:space="0" w:color="auto"/>
              </w:divBdr>
            </w:div>
            <w:div w:id="869495163">
              <w:marLeft w:val="0"/>
              <w:marRight w:val="0"/>
              <w:marTop w:val="0"/>
              <w:marBottom w:val="0"/>
              <w:divBdr>
                <w:top w:val="none" w:sz="0" w:space="0" w:color="auto"/>
                <w:left w:val="none" w:sz="0" w:space="0" w:color="auto"/>
                <w:bottom w:val="none" w:sz="0" w:space="0" w:color="auto"/>
                <w:right w:val="none" w:sz="0" w:space="0" w:color="auto"/>
              </w:divBdr>
            </w:div>
            <w:div w:id="352194176">
              <w:marLeft w:val="0"/>
              <w:marRight w:val="0"/>
              <w:marTop w:val="0"/>
              <w:marBottom w:val="0"/>
              <w:divBdr>
                <w:top w:val="none" w:sz="0" w:space="0" w:color="auto"/>
                <w:left w:val="none" w:sz="0" w:space="0" w:color="auto"/>
                <w:bottom w:val="none" w:sz="0" w:space="0" w:color="auto"/>
                <w:right w:val="none" w:sz="0" w:space="0" w:color="auto"/>
              </w:divBdr>
            </w:div>
            <w:div w:id="1445033453">
              <w:marLeft w:val="0"/>
              <w:marRight w:val="0"/>
              <w:marTop w:val="0"/>
              <w:marBottom w:val="0"/>
              <w:divBdr>
                <w:top w:val="none" w:sz="0" w:space="0" w:color="auto"/>
                <w:left w:val="none" w:sz="0" w:space="0" w:color="auto"/>
                <w:bottom w:val="none" w:sz="0" w:space="0" w:color="auto"/>
                <w:right w:val="none" w:sz="0" w:space="0" w:color="auto"/>
              </w:divBdr>
            </w:div>
            <w:div w:id="963461965">
              <w:marLeft w:val="0"/>
              <w:marRight w:val="0"/>
              <w:marTop w:val="0"/>
              <w:marBottom w:val="0"/>
              <w:divBdr>
                <w:top w:val="none" w:sz="0" w:space="0" w:color="auto"/>
                <w:left w:val="none" w:sz="0" w:space="0" w:color="auto"/>
                <w:bottom w:val="none" w:sz="0" w:space="0" w:color="auto"/>
                <w:right w:val="none" w:sz="0" w:space="0" w:color="auto"/>
              </w:divBdr>
            </w:div>
            <w:div w:id="2073456337">
              <w:marLeft w:val="0"/>
              <w:marRight w:val="0"/>
              <w:marTop w:val="0"/>
              <w:marBottom w:val="0"/>
              <w:divBdr>
                <w:top w:val="none" w:sz="0" w:space="0" w:color="auto"/>
                <w:left w:val="none" w:sz="0" w:space="0" w:color="auto"/>
                <w:bottom w:val="none" w:sz="0" w:space="0" w:color="auto"/>
                <w:right w:val="none" w:sz="0" w:space="0" w:color="auto"/>
              </w:divBdr>
            </w:div>
            <w:div w:id="1755391382">
              <w:marLeft w:val="0"/>
              <w:marRight w:val="0"/>
              <w:marTop w:val="0"/>
              <w:marBottom w:val="0"/>
              <w:divBdr>
                <w:top w:val="none" w:sz="0" w:space="0" w:color="auto"/>
                <w:left w:val="none" w:sz="0" w:space="0" w:color="auto"/>
                <w:bottom w:val="none" w:sz="0" w:space="0" w:color="auto"/>
                <w:right w:val="none" w:sz="0" w:space="0" w:color="auto"/>
              </w:divBdr>
            </w:div>
            <w:div w:id="1817140835">
              <w:marLeft w:val="0"/>
              <w:marRight w:val="0"/>
              <w:marTop w:val="0"/>
              <w:marBottom w:val="0"/>
              <w:divBdr>
                <w:top w:val="none" w:sz="0" w:space="0" w:color="auto"/>
                <w:left w:val="none" w:sz="0" w:space="0" w:color="auto"/>
                <w:bottom w:val="none" w:sz="0" w:space="0" w:color="auto"/>
                <w:right w:val="none" w:sz="0" w:space="0" w:color="auto"/>
              </w:divBdr>
            </w:div>
            <w:div w:id="440271304">
              <w:marLeft w:val="0"/>
              <w:marRight w:val="0"/>
              <w:marTop w:val="0"/>
              <w:marBottom w:val="0"/>
              <w:divBdr>
                <w:top w:val="none" w:sz="0" w:space="0" w:color="auto"/>
                <w:left w:val="none" w:sz="0" w:space="0" w:color="auto"/>
                <w:bottom w:val="none" w:sz="0" w:space="0" w:color="auto"/>
                <w:right w:val="none" w:sz="0" w:space="0" w:color="auto"/>
              </w:divBdr>
            </w:div>
            <w:div w:id="1596013600">
              <w:marLeft w:val="0"/>
              <w:marRight w:val="0"/>
              <w:marTop w:val="0"/>
              <w:marBottom w:val="0"/>
              <w:divBdr>
                <w:top w:val="none" w:sz="0" w:space="0" w:color="auto"/>
                <w:left w:val="none" w:sz="0" w:space="0" w:color="auto"/>
                <w:bottom w:val="none" w:sz="0" w:space="0" w:color="auto"/>
                <w:right w:val="none" w:sz="0" w:space="0" w:color="auto"/>
              </w:divBdr>
            </w:div>
            <w:div w:id="758990783">
              <w:marLeft w:val="0"/>
              <w:marRight w:val="0"/>
              <w:marTop w:val="0"/>
              <w:marBottom w:val="0"/>
              <w:divBdr>
                <w:top w:val="none" w:sz="0" w:space="0" w:color="auto"/>
                <w:left w:val="none" w:sz="0" w:space="0" w:color="auto"/>
                <w:bottom w:val="none" w:sz="0" w:space="0" w:color="auto"/>
                <w:right w:val="none" w:sz="0" w:space="0" w:color="auto"/>
              </w:divBdr>
            </w:div>
            <w:div w:id="2035763808">
              <w:marLeft w:val="0"/>
              <w:marRight w:val="0"/>
              <w:marTop w:val="0"/>
              <w:marBottom w:val="0"/>
              <w:divBdr>
                <w:top w:val="none" w:sz="0" w:space="0" w:color="auto"/>
                <w:left w:val="none" w:sz="0" w:space="0" w:color="auto"/>
                <w:bottom w:val="none" w:sz="0" w:space="0" w:color="auto"/>
                <w:right w:val="none" w:sz="0" w:space="0" w:color="auto"/>
              </w:divBdr>
            </w:div>
            <w:div w:id="1740247470">
              <w:marLeft w:val="0"/>
              <w:marRight w:val="0"/>
              <w:marTop w:val="0"/>
              <w:marBottom w:val="0"/>
              <w:divBdr>
                <w:top w:val="none" w:sz="0" w:space="0" w:color="auto"/>
                <w:left w:val="none" w:sz="0" w:space="0" w:color="auto"/>
                <w:bottom w:val="none" w:sz="0" w:space="0" w:color="auto"/>
                <w:right w:val="none" w:sz="0" w:space="0" w:color="auto"/>
              </w:divBdr>
            </w:div>
            <w:div w:id="1413966631">
              <w:marLeft w:val="0"/>
              <w:marRight w:val="0"/>
              <w:marTop w:val="0"/>
              <w:marBottom w:val="0"/>
              <w:divBdr>
                <w:top w:val="none" w:sz="0" w:space="0" w:color="auto"/>
                <w:left w:val="none" w:sz="0" w:space="0" w:color="auto"/>
                <w:bottom w:val="none" w:sz="0" w:space="0" w:color="auto"/>
                <w:right w:val="none" w:sz="0" w:space="0" w:color="auto"/>
              </w:divBdr>
            </w:div>
            <w:div w:id="1784109749">
              <w:marLeft w:val="0"/>
              <w:marRight w:val="0"/>
              <w:marTop w:val="0"/>
              <w:marBottom w:val="0"/>
              <w:divBdr>
                <w:top w:val="none" w:sz="0" w:space="0" w:color="auto"/>
                <w:left w:val="none" w:sz="0" w:space="0" w:color="auto"/>
                <w:bottom w:val="none" w:sz="0" w:space="0" w:color="auto"/>
                <w:right w:val="none" w:sz="0" w:space="0" w:color="auto"/>
              </w:divBdr>
            </w:div>
            <w:div w:id="1664698653">
              <w:marLeft w:val="0"/>
              <w:marRight w:val="0"/>
              <w:marTop w:val="0"/>
              <w:marBottom w:val="0"/>
              <w:divBdr>
                <w:top w:val="none" w:sz="0" w:space="0" w:color="auto"/>
                <w:left w:val="none" w:sz="0" w:space="0" w:color="auto"/>
                <w:bottom w:val="none" w:sz="0" w:space="0" w:color="auto"/>
                <w:right w:val="none" w:sz="0" w:space="0" w:color="auto"/>
              </w:divBdr>
            </w:div>
            <w:div w:id="2093042853">
              <w:marLeft w:val="0"/>
              <w:marRight w:val="0"/>
              <w:marTop w:val="0"/>
              <w:marBottom w:val="0"/>
              <w:divBdr>
                <w:top w:val="none" w:sz="0" w:space="0" w:color="auto"/>
                <w:left w:val="none" w:sz="0" w:space="0" w:color="auto"/>
                <w:bottom w:val="none" w:sz="0" w:space="0" w:color="auto"/>
                <w:right w:val="none" w:sz="0" w:space="0" w:color="auto"/>
              </w:divBdr>
            </w:div>
            <w:div w:id="1744257856">
              <w:marLeft w:val="0"/>
              <w:marRight w:val="0"/>
              <w:marTop w:val="0"/>
              <w:marBottom w:val="0"/>
              <w:divBdr>
                <w:top w:val="none" w:sz="0" w:space="0" w:color="auto"/>
                <w:left w:val="none" w:sz="0" w:space="0" w:color="auto"/>
                <w:bottom w:val="none" w:sz="0" w:space="0" w:color="auto"/>
                <w:right w:val="none" w:sz="0" w:space="0" w:color="auto"/>
              </w:divBdr>
            </w:div>
            <w:div w:id="28921210">
              <w:marLeft w:val="0"/>
              <w:marRight w:val="0"/>
              <w:marTop w:val="0"/>
              <w:marBottom w:val="0"/>
              <w:divBdr>
                <w:top w:val="none" w:sz="0" w:space="0" w:color="auto"/>
                <w:left w:val="none" w:sz="0" w:space="0" w:color="auto"/>
                <w:bottom w:val="none" w:sz="0" w:space="0" w:color="auto"/>
                <w:right w:val="none" w:sz="0" w:space="0" w:color="auto"/>
              </w:divBdr>
            </w:div>
            <w:div w:id="1886987850">
              <w:marLeft w:val="0"/>
              <w:marRight w:val="0"/>
              <w:marTop w:val="0"/>
              <w:marBottom w:val="0"/>
              <w:divBdr>
                <w:top w:val="none" w:sz="0" w:space="0" w:color="auto"/>
                <w:left w:val="none" w:sz="0" w:space="0" w:color="auto"/>
                <w:bottom w:val="none" w:sz="0" w:space="0" w:color="auto"/>
                <w:right w:val="none" w:sz="0" w:space="0" w:color="auto"/>
              </w:divBdr>
            </w:div>
            <w:div w:id="1923484261">
              <w:marLeft w:val="0"/>
              <w:marRight w:val="0"/>
              <w:marTop w:val="0"/>
              <w:marBottom w:val="0"/>
              <w:divBdr>
                <w:top w:val="none" w:sz="0" w:space="0" w:color="auto"/>
                <w:left w:val="none" w:sz="0" w:space="0" w:color="auto"/>
                <w:bottom w:val="none" w:sz="0" w:space="0" w:color="auto"/>
                <w:right w:val="none" w:sz="0" w:space="0" w:color="auto"/>
              </w:divBdr>
            </w:div>
            <w:div w:id="1159999412">
              <w:marLeft w:val="0"/>
              <w:marRight w:val="0"/>
              <w:marTop w:val="0"/>
              <w:marBottom w:val="0"/>
              <w:divBdr>
                <w:top w:val="none" w:sz="0" w:space="0" w:color="auto"/>
                <w:left w:val="none" w:sz="0" w:space="0" w:color="auto"/>
                <w:bottom w:val="none" w:sz="0" w:space="0" w:color="auto"/>
                <w:right w:val="none" w:sz="0" w:space="0" w:color="auto"/>
              </w:divBdr>
            </w:div>
            <w:div w:id="832523191">
              <w:marLeft w:val="0"/>
              <w:marRight w:val="0"/>
              <w:marTop w:val="0"/>
              <w:marBottom w:val="0"/>
              <w:divBdr>
                <w:top w:val="none" w:sz="0" w:space="0" w:color="auto"/>
                <w:left w:val="none" w:sz="0" w:space="0" w:color="auto"/>
                <w:bottom w:val="none" w:sz="0" w:space="0" w:color="auto"/>
                <w:right w:val="none" w:sz="0" w:space="0" w:color="auto"/>
              </w:divBdr>
            </w:div>
            <w:div w:id="992564288">
              <w:marLeft w:val="0"/>
              <w:marRight w:val="0"/>
              <w:marTop w:val="0"/>
              <w:marBottom w:val="0"/>
              <w:divBdr>
                <w:top w:val="none" w:sz="0" w:space="0" w:color="auto"/>
                <w:left w:val="none" w:sz="0" w:space="0" w:color="auto"/>
                <w:bottom w:val="none" w:sz="0" w:space="0" w:color="auto"/>
                <w:right w:val="none" w:sz="0" w:space="0" w:color="auto"/>
              </w:divBdr>
            </w:div>
            <w:div w:id="786701102">
              <w:marLeft w:val="0"/>
              <w:marRight w:val="0"/>
              <w:marTop w:val="0"/>
              <w:marBottom w:val="0"/>
              <w:divBdr>
                <w:top w:val="none" w:sz="0" w:space="0" w:color="auto"/>
                <w:left w:val="none" w:sz="0" w:space="0" w:color="auto"/>
                <w:bottom w:val="none" w:sz="0" w:space="0" w:color="auto"/>
                <w:right w:val="none" w:sz="0" w:space="0" w:color="auto"/>
              </w:divBdr>
            </w:div>
            <w:div w:id="1107576794">
              <w:marLeft w:val="0"/>
              <w:marRight w:val="0"/>
              <w:marTop w:val="0"/>
              <w:marBottom w:val="0"/>
              <w:divBdr>
                <w:top w:val="none" w:sz="0" w:space="0" w:color="auto"/>
                <w:left w:val="none" w:sz="0" w:space="0" w:color="auto"/>
                <w:bottom w:val="none" w:sz="0" w:space="0" w:color="auto"/>
                <w:right w:val="none" w:sz="0" w:space="0" w:color="auto"/>
              </w:divBdr>
            </w:div>
            <w:div w:id="543637613">
              <w:marLeft w:val="0"/>
              <w:marRight w:val="0"/>
              <w:marTop w:val="0"/>
              <w:marBottom w:val="0"/>
              <w:divBdr>
                <w:top w:val="none" w:sz="0" w:space="0" w:color="auto"/>
                <w:left w:val="none" w:sz="0" w:space="0" w:color="auto"/>
                <w:bottom w:val="none" w:sz="0" w:space="0" w:color="auto"/>
                <w:right w:val="none" w:sz="0" w:space="0" w:color="auto"/>
              </w:divBdr>
            </w:div>
            <w:div w:id="502864689">
              <w:marLeft w:val="0"/>
              <w:marRight w:val="0"/>
              <w:marTop w:val="0"/>
              <w:marBottom w:val="0"/>
              <w:divBdr>
                <w:top w:val="none" w:sz="0" w:space="0" w:color="auto"/>
                <w:left w:val="none" w:sz="0" w:space="0" w:color="auto"/>
                <w:bottom w:val="none" w:sz="0" w:space="0" w:color="auto"/>
                <w:right w:val="none" w:sz="0" w:space="0" w:color="auto"/>
              </w:divBdr>
            </w:div>
            <w:div w:id="690381925">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73811281">
              <w:marLeft w:val="0"/>
              <w:marRight w:val="0"/>
              <w:marTop w:val="0"/>
              <w:marBottom w:val="0"/>
              <w:divBdr>
                <w:top w:val="none" w:sz="0" w:space="0" w:color="auto"/>
                <w:left w:val="none" w:sz="0" w:space="0" w:color="auto"/>
                <w:bottom w:val="none" w:sz="0" w:space="0" w:color="auto"/>
                <w:right w:val="none" w:sz="0" w:space="0" w:color="auto"/>
              </w:divBdr>
            </w:div>
            <w:div w:id="375391412">
              <w:marLeft w:val="0"/>
              <w:marRight w:val="0"/>
              <w:marTop w:val="0"/>
              <w:marBottom w:val="0"/>
              <w:divBdr>
                <w:top w:val="none" w:sz="0" w:space="0" w:color="auto"/>
                <w:left w:val="none" w:sz="0" w:space="0" w:color="auto"/>
                <w:bottom w:val="none" w:sz="0" w:space="0" w:color="auto"/>
                <w:right w:val="none" w:sz="0" w:space="0" w:color="auto"/>
              </w:divBdr>
            </w:div>
            <w:div w:id="1675064145">
              <w:marLeft w:val="0"/>
              <w:marRight w:val="0"/>
              <w:marTop w:val="0"/>
              <w:marBottom w:val="0"/>
              <w:divBdr>
                <w:top w:val="none" w:sz="0" w:space="0" w:color="auto"/>
                <w:left w:val="none" w:sz="0" w:space="0" w:color="auto"/>
                <w:bottom w:val="none" w:sz="0" w:space="0" w:color="auto"/>
                <w:right w:val="none" w:sz="0" w:space="0" w:color="auto"/>
              </w:divBdr>
            </w:div>
            <w:div w:id="469711381">
              <w:marLeft w:val="0"/>
              <w:marRight w:val="0"/>
              <w:marTop w:val="0"/>
              <w:marBottom w:val="0"/>
              <w:divBdr>
                <w:top w:val="none" w:sz="0" w:space="0" w:color="auto"/>
                <w:left w:val="none" w:sz="0" w:space="0" w:color="auto"/>
                <w:bottom w:val="none" w:sz="0" w:space="0" w:color="auto"/>
                <w:right w:val="none" w:sz="0" w:space="0" w:color="auto"/>
              </w:divBdr>
            </w:div>
            <w:div w:id="1456367394">
              <w:marLeft w:val="0"/>
              <w:marRight w:val="0"/>
              <w:marTop w:val="0"/>
              <w:marBottom w:val="0"/>
              <w:divBdr>
                <w:top w:val="none" w:sz="0" w:space="0" w:color="auto"/>
                <w:left w:val="none" w:sz="0" w:space="0" w:color="auto"/>
                <w:bottom w:val="none" w:sz="0" w:space="0" w:color="auto"/>
                <w:right w:val="none" w:sz="0" w:space="0" w:color="auto"/>
              </w:divBdr>
            </w:div>
            <w:div w:id="485054641">
              <w:marLeft w:val="0"/>
              <w:marRight w:val="0"/>
              <w:marTop w:val="0"/>
              <w:marBottom w:val="0"/>
              <w:divBdr>
                <w:top w:val="none" w:sz="0" w:space="0" w:color="auto"/>
                <w:left w:val="none" w:sz="0" w:space="0" w:color="auto"/>
                <w:bottom w:val="none" w:sz="0" w:space="0" w:color="auto"/>
                <w:right w:val="none" w:sz="0" w:space="0" w:color="auto"/>
              </w:divBdr>
            </w:div>
            <w:div w:id="466244006">
              <w:marLeft w:val="0"/>
              <w:marRight w:val="0"/>
              <w:marTop w:val="0"/>
              <w:marBottom w:val="0"/>
              <w:divBdr>
                <w:top w:val="none" w:sz="0" w:space="0" w:color="auto"/>
                <w:left w:val="none" w:sz="0" w:space="0" w:color="auto"/>
                <w:bottom w:val="none" w:sz="0" w:space="0" w:color="auto"/>
                <w:right w:val="none" w:sz="0" w:space="0" w:color="auto"/>
              </w:divBdr>
            </w:div>
            <w:div w:id="1543203527">
              <w:marLeft w:val="0"/>
              <w:marRight w:val="0"/>
              <w:marTop w:val="0"/>
              <w:marBottom w:val="0"/>
              <w:divBdr>
                <w:top w:val="none" w:sz="0" w:space="0" w:color="auto"/>
                <w:left w:val="none" w:sz="0" w:space="0" w:color="auto"/>
                <w:bottom w:val="none" w:sz="0" w:space="0" w:color="auto"/>
                <w:right w:val="none" w:sz="0" w:space="0" w:color="auto"/>
              </w:divBdr>
            </w:div>
            <w:div w:id="2087995924">
              <w:marLeft w:val="0"/>
              <w:marRight w:val="0"/>
              <w:marTop w:val="0"/>
              <w:marBottom w:val="0"/>
              <w:divBdr>
                <w:top w:val="none" w:sz="0" w:space="0" w:color="auto"/>
                <w:left w:val="none" w:sz="0" w:space="0" w:color="auto"/>
                <w:bottom w:val="none" w:sz="0" w:space="0" w:color="auto"/>
                <w:right w:val="none" w:sz="0" w:space="0" w:color="auto"/>
              </w:divBdr>
            </w:div>
            <w:div w:id="182014768">
              <w:marLeft w:val="0"/>
              <w:marRight w:val="0"/>
              <w:marTop w:val="0"/>
              <w:marBottom w:val="0"/>
              <w:divBdr>
                <w:top w:val="none" w:sz="0" w:space="0" w:color="auto"/>
                <w:left w:val="none" w:sz="0" w:space="0" w:color="auto"/>
                <w:bottom w:val="none" w:sz="0" w:space="0" w:color="auto"/>
                <w:right w:val="none" w:sz="0" w:space="0" w:color="auto"/>
              </w:divBdr>
            </w:div>
            <w:div w:id="196624290">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 w:id="44839908">
              <w:marLeft w:val="0"/>
              <w:marRight w:val="0"/>
              <w:marTop w:val="0"/>
              <w:marBottom w:val="0"/>
              <w:divBdr>
                <w:top w:val="none" w:sz="0" w:space="0" w:color="auto"/>
                <w:left w:val="none" w:sz="0" w:space="0" w:color="auto"/>
                <w:bottom w:val="none" w:sz="0" w:space="0" w:color="auto"/>
                <w:right w:val="none" w:sz="0" w:space="0" w:color="auto"/>
              </w:divBdr>
            </w:div>
            <w:div w:id="1193416687">
              <w:marLeft w:val="0"/>
              <w:marRight w:val="0"/>
              <w:marTop w:val="0"/>
              <w:marBottom w:val="0"/>
              <w:divBdr>
                <w:top w:val="none" w:sz="0" w:space="0" w:color="auto"/>
                <w:left w:val="none" w:sz="0" w:space="0" w:color="auto"/>
                <w:bottom w:val="none" w:sz="0" w:space="0" w:color="auto"/>
                <w:right w:val="none" w:sz="0" w:space="0" w:color="auto"/>
              </w:divBdr>
            </w:div>
            <w:div w:id="1184635498">
              <w:marLeft w:val="0"/>
              <w:marRight w:val="0"/>
              <w:marTop w:val="0"/>
              <w:marBottom w:val="0"/>
              <w:divBdr>
                <w:top w:val="none" w:sz="0" w:space="0" w:color="auto"/>
                <w:left w:val="none" w:sz="0" w:space="0" w:color="auto"/>
                <w:bottom w:val="none" w:sz="0" w:space="0" w:color="auto"/>
                <w:right w:val="none" w:sz="0" w:space="0" w:color="auto"/>
              </w:divBdr>
            </w:div>
            <w:div w:id="1977681289">
              <w:marLeft w:val="0"/>
              <w:marRight w:val="0"/>
              <w:marTop w:val="0"/>
              <w:marBottom w:val="0"/>
              <w:divBdr>
                <w:top w:val="none" w:sz="0" w:space="0" w:color="auto"/>
                <w:left w:val="none" w:sz="0" w:space="0" w:color="auto"/>
                <w:bottom w:val="none" w:sz="0" w:space="0" w:color="auto"/>
                <w:right w:val="none" w:sz="0" w:space="0" w:color="auto"/>
              </w:divBdr>
            </w:div>
            <w:div w:id="1839691704">
              <w:marLeft w:val="0"/>
              <w:marRight w:val="0"/>
              <w:marTop w:val="0"/>
              <w:marBottom w:val="0"/>
              <w:divBdr>
                <w:top w:val="none" w:sz="0" w:space="0" w:color="auto"/>
                <w:left w:val="none" w:sz="0" w:space="0" w:color="auto"/>
                <w:bottom w:val="none" w:sz="0" w:space="0" w:color="auto"/>
                <w:right w:val="none" w:sz="0" w:space="0" w:color="auto"/>
              </w:divBdr>
            </w:div>
            <w:div w:id="1737312769">
              <w:marLeft w:val="0"/>
              <w:marRight w:val="0"/>
              <w:marTop w:val="0"/>
              <w:marBottom w:val="0"/>
              <w:divBdr>
                <w:top w:val="none" w:sz="0" w:space="0" w:color="auto"/>
                <w:left w:val="none" w:sz="0" w:space="0" w:color="auto"/>
                <w:bottom w:val="none" w:sz="0" w:space="0" w:color="auto"/>
                <w:right w:val="none" w:sz="0" w:space="0" w:color="auto"/>
              </w:divBdr>
            </w:div>
            <w:div w:id="782656146">
              <w:marLeft w:val="0"/>
              <w:marRight w:val="0"/>
              <w:marTop w:val="0"/>
              <w:marBottom w:val="0"/>
              <w:divBdr>
                <w:top w:val="none" w:sz="0" w:space="0" w:color="auto"/>
                <w:left w:val="none" w:sz="0" w:space="0" w:color="auto"/>
                <w:bottom w:val="none" w:sz="0" w:space="0" w:color="auto"/>
                <w:right w:val="none" w:sz="0" w:space="0" w:color="auto"/>
              </w:divBdr>
            </w:div>
            <w:div w:id="409929305">
              <w:marLeft w:val="0"/>
              <w:marRight w:val="0"/>
              <w:marTop w:val="0"/>
              <w:marBottom w:val="0"/>
              <w:divBdr>
                <w:top w:val="none" w:sz="0" w:space="0" w:color="auto"/>
                <w:left w:val="none" w:sz="0" w:space="0" w:color="auto"/>
                <w:bottom w:val="none" w:sz="0" w:space="0" w:color="auto"/>
                <w:right w:val="none" w:sz="0" w:space="0" w:color="auto"/>
              </w:divBdr>
            </w:div>
            <w:div w:id="286544662">
              <w:marLeft w:val="0"/>
              <w:marRight w:val="0"/>
              <w:marTop w:val="0"/>
              <w:marBottom w:val="0"/>
              <w:divBdr>
                <w:top w:val="none" w:sz="0" w:space="0" w:color="auto"/>
                <w:left w:val="none" w:sz="0" w:space="0" w:color="auto"/>
                <w:bottom w:val="none" w:sz="0" w:space="0" w:color="auto"/>
                <w:right w:val="none" w:sz="0" w:space="0" w:color="auto"/>
              </w:divBdr>
            </w:div>
            <w:div w:id="108939441">
              <w:marLeft w:val="0"/>
              <w:marRight w:val="0"/>
              <w:marTop w:val="0"/>
              <w:marBottom w:val="0"/>
              <w:divBdr>
                <w:top w:val="none" w:sz="0" w:space="0" w:color="auto"/>
                <w:left w:val="none" w:sz="0" w:space="0" w:color="auto"/>
                <w:bottom w:val="none" w:sz="0" w:space="0" w:color="auto"/>
                <w:right w:val="none" w:sz="0" w:space="0" w:color="auto"/>
              </w:divBdr>
            </w:div>
            <w:div w:id="1547907110">
              <w:marLeft w:val="0"/>
              <w:marRight w:val="0"/>
              <w:marTop w:val="0"/>
              <w:marBottom w:val="0"/>
              <w:divBdr>
                <w:top w:val="none" w:sz="0" w:space="0" w:color="auto"/>
                <w:left w:val="none" w:sz="0" w:space="0" w:color="auto"/>
                <w:bottom w:val="none" w:sz="0" w:space="0" w:color="auto"/>
                <w:right w:val="none" w:sz="0" w:space="0" w:color="auto"/>
              </w:divBdr>
            </w:div>
            <w:div w:id="1220901889">
              <w:marLeft w:val="0"/>
              <w:marRight w:val="0"/>
              <w:marTop w:val="0"/>
              <w:marBottom w:val="0"/>
              <w:divBdr>
                <w:top w:val="none" w:sz="0" w:space="0" w:color="auto"/>
                <w:left w:val="none" w:sz="0" w:space="0" w:color="auto"/>
                <w:bottom w:val="none" w:sz="0" w:space="0" w:color="auto"/>
                <w:right w:val="none" w:sz="0" w:space="0" w:color="auto"/>
              </w:divBdr>
            </w:div>
            <w:div w:id="1549874571">
              <w:marLeft w:val="0"/>
              <w:marRight w:val="0"/>
              <w:marTop w:val="0"/>
              <w:marBottom w:val="0"/>
              <w:divBdr>
                <w:top w:val="none" w:sz="0" w:space="0" w:color="auto"/>
                <w:left w:val="none" w:sz="0" w:space="0" w:color="auto"/>
                <w:bottom w:val="none" w:sz="0" w:space="0" w:color="auto"/>
                <w:right w:val="none" w:sz="0" w:space="0" w:color="auto"/>
              </w:divBdr>
            </w:div>
            <w:div w:id="669218809">
              <w:marLeft w:val="0"/>
              <w:marRight w:val="0"/>
              <w:marTop w:val="0"/>
              <w:marBottom w:val="0"/>
              <w:divBdr>
                <w:top w:val="none" w:sz="0" w:space="0" w:color="auto"/>
                <w:left w:val="none" w:sz="0" w:space="0" w:color="auto"/>
                <w:bottom w:val="none" w:sz="0" w:space="0" w:color="auto"/>
                <w:right w:val="none" w:sz="0" w:space="0" w:color="auto"/>
              </w:divBdr>
            </w:div>
            <w:div w:id="1112164094">
              <w:marLeft w:val="0"/>
              <w:marRight w:val="0"/>
              <w:marTop w:val="0"/>
              <w:marBottom w:val="0"/>
              <w:divBdr>
                <w:top w:val="none" w:sz="0" w:space="0" w:color="auto"/>
                <w:left w:val="none" w:sz="0" w:space="0" w:color="auto"/>
                <w:bottom w:val="none" w:sz="0" w:space="0" w:color="auto"/>
                <w:right w:val="none" w:sz="0" w:space="0" w:color="auto"/>
              </w:divBdr>
            </w:div>
            <w:div w:id="741299146">
              <w:marLeft w:val="0"/>
              <w:marRight w:val="0"/>
              <w:marTop w:val="0"/>
              <w:marBottom w:val="0"/>
              <w:divBdr>
                <w:top w:val="none" w:sz="0" w:space="0" w:color="auto"/>
                <w:left w:val="none" w:sz="0" w:space="0" w:color="auto"/>
                <w:bottom w:val="none" w:sz="0" w:space="0" w:color="auto"/>
                <w:right w:val="none" w:sz="0" w:space="0" w:color="auto"/>
              </w:divBdr>
            </w:div>
            <w:div w:id="380833155">
              <w:marLeft w:val="0"/>
              <w:marRight w:val="0"/>
              <w:marTop w:val="0"/>
              <w:marBottom w:val="0"/>
              <w:divBdr>
                <w:top w:val="none" w:sz="0" w:space="0" w:color="auto"/>
                <w:left w:val="none" w:sz="0" w:space="0" w:color="auto"/>
                <w:bottom w:val="none" w:sz="0" w:space="0" w:color="auto"/>
                <w:right w:val="none" w:sz="0" w:space="0" w:color="auto"/>
              </w:divBdr>
            </w:div>
            <w:div w:id="1841040744">
              <w:marLeft w:val="0"/>
              <w:marRight w:val="0"/>
              <w:marTop w:val="0"/>
              <w:marBottom w:val="0"/>
              <w:divBdr>
                <w:top w:val="none" w:sz="0" w:space="0" w:color="auto"/>
                <w:left w:val="none" w:sz="0" w:space="0" w:color="auto"/>
                <w:bottom w:val="none" w:sz="0" w:space="0" w:color="auto"/>
                <w:right w:val="none" w:sz="0" w:space="0" w:color="auto"/>
              </w:divBdr>
            </w:div>
            <w:div w:id="1534272840">
              <w:marLeft w:val="0"/>
              <w:marRight w:val="0"/>
              <w:marTop w:val="0"/>
              <w:marBottom w:val="0"/>
              <w:divBdr>
                <w:top w:val="none" w:sz="0" w:space="0" w:color="auto"/>
                <w:left w:val="none" w:sz="0" w:space="0" w:color="auto"/>
                <w:bottom w:val="none" w:sz="0" w:space="0" w:color="auto"/>
                <w:right w:val="none" w:sz="0" w:space="0" w:color="auto"/>
              </w:divBdr>
            </w:div>
            <w:div w:id="1525288039">
              <w:marLeft w:val="0"/>
              <w:marRight w:val="0"/>
              <w:marTop w:val="0"/>
              <w:marBottom w:val="0"/>
              <w:divBdr>
                <w:top w:val="none" w:sz="0" w:space="0" w:color="auto"/>
                <w:left w:val="none" w:sz="0" w:space="0" w:color="auto"/>
                <w:bottom w:val="none" w:sz="0" w:space="0" w:color="auto"/>
                <w:right w:val="none" w:sz="0" w:space="0" w:color="auto"/>
              </w:divBdr>
            </w:div>
            <w:div w:id="1528256391">
              <w:marLeft w:val="0"/>
              <w:marRight w:val="0"/>
              <w:marTop w:val="0"/>
              <w:marBottom w:val="0"/>
              <w:divBdr>
                <w:top w:val="none" w:sz="0" w:space="0" w:color="auto"/>
                <w:left w:val="none" w:sz="0" w:space="0" w:color="auto"/>
                <w:bottom w:val="none" w:sz="0" w:space="0" w:color="auto"/>
                <w:right w:val="none" w:sz="0" w:space="0" w:color="auto"/>
              </w:divBdr>
            </w:div>
            <w:div w:id="89275178">
              <w:marLeft w:val="0"/>
              <w:marRight w:val="0"/>
              <w:marTop w:val="0"/>
              <w:marBottom w:val="0"/>
              <w:divBdr>
                <w:top w:val="none" w:sz="0" w:space="0" w:color="auto"/>
                <w:left w:val="none" w:sz="0" w:space="0" w:color="auto"/>
                <w:bottom w:val="none" w:sz="0" w:space="0" w:color="auto"/>
                <w:right w:val="none" w:sz="0" w:space="0" w:color="auto"/>
              </w:divBdr>
            </w:div>
            <w:div w:id="1218586545">
              <w:marLeft w:val="0"/>
              <w:marRight w:val="0"/>
              <w:marTop w:val="0"/>
              <w:marBottom w:val="0"/>
              <w:divBdr>
                <w:top w:val="none" w:sz="0" w:space="0" w:color="auto"/>
                <w:left w:val="none" w:sz="0" w:space="0" w:color="auto"/>
                <w:bottom w:val="none" w:sz="0" w:space="0" w:color="auto"/>
                <w:right w:val="none" w:sz="0" w:space="0" w:color="auto"/>
              </w:divBdr>
            </w:div>
            <w:div w:id="880289200">
              <w:marLeft w:val="0"/>
              <w:marRight w:val="0"/>
              <w:marTop w:val="0"/>
              <w:marBottom w:val="0"/>
              <w:divBdr>
                <w:top w:val="none" w:sz="0" w:space="0" w:color="auto"/>
                <w:left w:val="none" w:sz="0" w:space="0" w:color="auto"/>
                <w:bottom w:val="none" w:sz="0" w:space="0" w:color="auto"/>
                <w:right w:val="none" w:sz="0" w:space="0" w:color="auto"/>
              </w:divBdr>
            </w:div>
            <w:div w:id="1433091809">
              <w:marLeft w:val="0"/>
              <w:marRight w:val="0"/>
              <w:marTop w:val="0"/>
              <w:marBottom w:val="0"/>
              <w:divBdr>
                <w:top w:val="none" w:sz="0" w:space="0" w:color="auto"/>
                <w:left w:val="none" w:sz="0" w:space="0" w:color="auto"/>
                <w:bottom w:val="none" w:sz="0" w:space="0" w:color="auto"/>
                <w:right w:val="none" w:sz="0" w:space="0" w:color="auto"/>
              </w:divBdr>
            </w:div>
            <w:div w:id="1204056524">
              <w:marLeft w:val="0"/>
              <w:marRight w:val="0"/>
              <w:marTop w:val="0"/>
              <w:marBottom w:val="0"/>
              <w:divBdr>
                <w:top w:val="none" w:sz="0" w:space="0" w:color="auto"/>
                <w:left w:val="none" w:sz="0" w:space="0" w:color="auto"/>
                <w:bottom w:val="none" w:sz="0" w:space="0" w:color="auto"/>
                <w:right w:val="none" w:sz="0" w:space="0" w:color="auto"/>
              </w:divBdr>
            </w:div>
            <w:div w:id="973413286">
              <w:marLeft w:val="0"/>
              <w:marRight w:val="0"/>
              <w:marTop w:val="0"/>
              <w:marBottom w:val="0"/>
              <w:divBdr>
                <w:top w:val="none" w:sz="0" w:space="0" w:color="auto"/>
                <w:left w:val="none" w:sz="0" w:space="0" w:color="auto"/>
                <w:bottom w:val="none" w:sz="0" w:space="0" w:color="auto"/>
                <w:right w:val="none" w:sz="0" w:space="0" w:color="auto"/>
              </w:divBdr>
            </w:div>
            <w:div w:id="1179390976">
              <w:marLeft w:val="0"/>
              <w:marRight w:val="0"/>
              <w:marTop w:val="0"/>
              <w:marBottom w:val="0"/>
              <w:divBdr>
                <w:top w:val="none" w:sz="0" w:space="0" w:color="auto"/>
                <w:left w:val="none" w:sz="0" w:space="0" w:color="auto"/>
                <w:bottom w:val="none" w:sz="0" w:space="0" w:color="auto"/>
                <w:right w:val="none" w:sz="0" w:space="0" w:color="auto"/>
              </w:divBdr>
            </w:div>
            <w:div w:id="1290285619">
              <w:marLeft w:val="0"/>
              <w:marRight w:val="0"/>
              <w:marTop w:val="0"/>
              <w:marBottom w:val="0"/>
              <w:divBdr>
                <w:top w:val="none" w:sz="0" w:space="0" w:color="auto"/>
                <w:left w:val="none" w:sz="0" w:space="0" w:color="auto"/>
                <w:bottom w:val="none" w:sz="0" w:space="0" w:color="auto"/>
                <w:right w:val="none" w:sz="0" w:space="0" w:color="auto"/>
              </w:divBdr>
            </w:div>
            <w:div w:id="1460804854">
              <w:marLeft w:val="0"/>
              <w:marRight w:val="0"/>
              <w:marTop w:val="0"/>
              <w:marBottom w:val="0"/>
              <w:divBdr>
                <w:top w:val="none" w:sz="0" w:space="0" w:color="auto"/>
                <w:left w:val="none" w:sz="0" w:space="0" w:color="auto"/>
                <w:bottom w:val="none" w:sz="0" w:space="0" w:color="auto"/>
                <w:right w:val="none" w:sz="0" w:space="0" w:color="auto"/>
              </w:divBdr>
            </w:div>
            <w:div w:id="545021520">
              <w:marLeft w:val="0"/>
              <w:marRight w:val="0"/>
              <w:marTop w:val="0"/>
              <w:marBottom w:val="0"/>
              <w:divBdr>
                <w:top w:val="none" w:sz="0" w:space="0" w:color="auto"/>
                <w:left w:val="none" w:sz="0" w:space="0" w:color="auto"/>
                <w:bottom w:val="none" w:sz="0" w:space="0" w:color="auto"/>
                <w:right w:val="none" w:sz="0" w:space="0" w:color="auto"/>
              </w:divBdr>
            </w:div>
            <w:div w:id="1476799258">
              <w:marLeft w:val="0"/>
              <w:marRight w:val="0"/>
              <w:marTop w:val="0"/>
              <w:marBottom w:val="0"/>
              <w:divBdr>
                <w:top w:val="none" w:sz="0" w:space="0" w:color="auto"/>
                <w:left w:val="none" w:sz="0" w:space="0" w:color="auto"/>
                <w:bottom w:val="none" w:sz="0" w:space="0" w:color="auto"/>
                <w:right w:val="none" w:sz="0" w:space="0" w:color="auto"/>
              </w:divBdr>
            </w:div>
            <w:div w:id="668141920">
              <w:marLeft w:val="0"/>
              <w:marRight w:val="0"/>
              <w:marTop w:val="0"/>
              <w:marBottom w:val="0"/>
              <w:divBdr>
                <w:top w:val="none" w:sz="0" w:space="0" w:color="auto"/>
                <w:left w:val="none" w:sz="0" w:space="0" w:color="auto"/>
                <w:bottom w:val="none" w:sz="0" w:space="0" w:color="auto"/>
                <w:right w:val="none" w:sz="0" w:space="0" w:color="auto"/>
              </w:divBdr>
            </w:div>
            <w:div w:id="650445119">
              <w:marLeft w:val="0"/>
              <w:marRight w:val="0"/>
              <w:marTop w:val="0"/>
              <w:marBottom w:val="0"/>
              <w:divBdr>
                <w:top w:val="none" w:sz="0" w:space="0" w:color="auto"/>
                <w:left w:val="none" w:sz="0" w:space="0" w:color="auto"/>
                <w:bottom w:val="none" w:sz="0" w:space="0" w:color="auto"/>
                <w:right w:val="none" w:sz="0" w:space="0" w:color="auto"/>
              </w:divBdr>
            </w:div>
            <w:div w:id="1518539936">
              <w:marLeft w:val="0"/>
              <w:marRight w:val="0"/>
              <w:marTop w:val="0"/>
              <w:marBottom w:val="0"/>
              <w:divBdr>
                <w:top w:val="none" w:sz="0" w:space="0" w:color="auto"/>
                <w:left w:val="none" w:sz="0" w:space="0" w:color="auto"/>
                <w:bottom w:val="none" w:sz="0" w:space="0" w:color="auto"/>
                <w:right w:val="none" w:sz="0" w:space="0" w:color="auto"/>
              </w:divBdr>
            </w:div>
            <w:div w:id="1257715997">
              <w:marLeft w:val="0"/>
              <w:marRight w:val="0"/>
              <w:marTop w:val="0"/>
              <w:marBottom w:val="0"/>
              <w:divBdr>
                <w:top w:val="none" w:sz="0" w:space="0" w:color="auto"/>
                <w:left w:val="none" w:sz="0" w:space="0" w:color="auto"/>
                <w:bottom w:val="none" w:sz="0" w:space="0" w:color="auto"/>
                <w:right w:val="none" w:sz="0" w:space="0" w:color="auto"/>
              </w:divBdr>
            </w:div>
            <w:div w:id="358746450">
              <w:marLeft w:val="0"/>
              <w:marRight w:val="0"/>
              <w:marTop w:val="0"/>
              <w:marBottom w:val="0"/>
              <w:divBdr>
                <w:top w:val="none" w:sz="0" w:space="0" w:color="auto"/>
                <w:left w:val="none" w:sz="0" w:space="0" w:color="auto"/>
                <w:bottom w:val="none" w:sz="0" w:space="0" w:color="auto"/>
                <w:right w:val="none" w:sz="0" w:space="0" w:color="auto"/>
              </w:divBdr>
            </w:div>
            <w:div w:id="232857939">
              <w:marLeft w:val="0"/>
              <w:marRight w:val="0"/>
              <w:marTop w:val="0"/>
              <w:marBottom w:val="0"/>
              <w:divBdr>
                <w:top w:val="none" w:sz="0" w:space="0" w:color="auto"/>
                <w:left w:val="none" w:sz="0" w:space="0" w:color="auto"/>
                <w:bottom w:val="none" w:sz="0" w:space="0" w:color="auto"/>
                <w:right w:val="none" w:sz="0" w:space="0" w:color="auto"/>
              </w:divBdr>
            </w:div>
            <w:div w:id="181670815">
              <w:marLeft w:val="0"/>
              <w:marRight w:val="0"/>
              <w:marTop w:val="0"/>
              <w:marBottom w:val="0"/>
              <w:divBdr>
                <w:top w:val="none" w:sz="0" w:space="0" w:color="auto"/>
                <w:left w:val="none" w:sz="0" w:space="0" w:color="auto"/>
                <w:bottom w:val="none" w:sz="0" w:space="0" w:color="auto"/>
                <w:right w:val="none" w:sz="0" w:space="0" w:color="auto"/>
              </w:divBdr>
            </w:div>
            <w:div w:id="1088427256">
              <w:marLeft w:val="0"/>
              <w:marRight w:val="0"/>
              <w:marTop w:val="0"/>
              <w:marBottom w:val="0"/>
              <w:divBdr>
                <w:top w:val="none" w:sz="0" w:space="0" w:color="auto"/>
                <w:left w:val="none" w:sz="0" w:space="0" w:color="auto"/>
                <w:bottom w:val="none" w:sz="0" w:space="0" w:color="auto"/>
                <w:right w:val="none" w:sz="0" w:space="0" w:color="auto"/>
              </w:divBdr>
            </w:div>
            <w:div w:id="1897815829">
              <w:marLeft w:val="0"/>
              <w:marRight w:val="0"/>
              <w:marTop w:val="0"/>
              <w:marBottom w:val="0"/>
              <w:divBdr>
                <w:top w:val="none" w:sz="0" w:space="0" w:color="auto"/>
                <w:left w:val="none" w:sz="0" w:space="0" w:color="auto"/>
                <w:bottom w:val="none" w:sz="0" w:space="0" w:color="auto"/>
                <w:right w:val="none" w:sz="0" w:space="0" w:color="auto"/>
              </w:divBdr>
            </w:div>
            <w:div w:id="1575972502">
              <w:marLeft w:val="0"/>
              <w:marRight w:val="0"/>
              <w:marTop w:val="0"/>
              <w:marBottom w:val="0"/>
              <w:divBdr>
                <w:top w:val="none" w:sz="0" w:space="0" w:color="auto"/>
                <w:left w:val="none" w:sz="0" w:space="0" w:color="auto"/>
                <w:bottom w:val="none" w:sz="0" w:space="0" w:color="auto"/>
                <w:right w:val="none" w:sz="0" w:space="0" w:color="auto"/>
              </w:divBdr>
            </w:div>
            <w:div w:id="259220725">
              <w:marLeft w:val="0"/>
              <w:marRight w:val="0"/>
              <w:marTop w:val="0"/>
              <w:marBottom w:val="0"/>
              <w:divBdr>
                <w:top w:val="none" w:sz="0" w:space="0" w:color="auto"/>
                <w:left w:val="none" w:sz="0" w:space="0" w:color="auto"/>
                <w:bottom w:val="none" w:sz="0" w:space="0" w:color="auto"/>
                <w:right w:val="none" w:sz="0" w:space="0" w:color="auto"/>
              </w:divBdr>
            </w:div>
            <w:div w:id="1054934822">
              <w:marLeft w:val="0"/>
              <w:marRight w:val="0"/>
              <w:marTop w:val="0"/>
              <w:marBottom w:val="0"/>
              <w:divBdr>
                <w:top w:val="none" w:sz="0" w:space="0" w:color="auto"/>
                <w:left w:val="none" w:sz="0" w:space="0" w:color="auto"/>
                <w:bottom w:val="none" w:sz="0" w:space="0" w:color="auto"/>
                <w:right w:val="none" w:sz="0" w:space="0" w:color="auto"/>
              </w:divBdr>
            </w:div>
            <w:div w:id="960309521">
              <w:marLeft w:val="0"/>
              <w:marRight w:val="0"/>
              <w:marTop w:val="0"/>
              <w:marBottom w:val="0"/>
              <w:divBdr>
                <w:top w:val="none" w:sz="0" w:space="0" w:color="auto"/>
                <w:left w:val="none" w:sz="0" w:space="0" w:color="auto"/>
                <w:bottom w:val="none" w:sz="0" w:space="0" w:color="auto"/>
                <w:right w:val="none" w:sz="0" w:space="0" w:color="auto"/>
              </w:divBdr>
            </w:div>
            <w:div w:id="19211965">
              <w:marLeft w:val="0"/>
              <w:marRight w:val="0"/>
              <w:marTop w:val="0"/>
              <w:marBottom w:val="0"/>
              <w:divBdr>
                <w:top w:val="none" w:sz="0" w:space="0" w:color="auto"/>
                <w:left w:val="none" w:sz="0" w:space="0" w:color="auto"/>
                <w:bottom w:val="none" w:sz="0" w:space="0" w:color="auto"/>
                <w:right w:val="none" w:sz="0" w:space="0" w:color="auto"/>
              </w:divBdr>
            </w:div>
            <w:div w:id="712730579">
              <w:marLeft w:val="0"/>
              <w:marRight w:val="0"/>
              <w:marTop w:val="0"/>
              <w:marBottom w:val="0"/>
              <w:divBdr>
                <w:top w:val="none" w:sz="0" w:space="0" w:color="auto"/>
                <w:left w:val="none" w:sz="0" w:space="0" w:color="auto"/>
                <w:bottom w:val="none" w:sz="0" w:space="0" w:color="auto"/>
                <w:right w:val="none" w:sz="0" w:space="0" w:color="auto"/>
              </w:divBdr>
            </w:div>
            <w:div w:id="863061512">
              <w:marLeft w:val="0"/>
              <w:marRight w:val="0"/>
              <w:marTop w:val="0"/>
              <w:marBottom w:val="0"/>
              <w:divBdr>
                <w:top w:val="none" w:sz="0" w:space="0" w:color="auto"/>
                <w:left w:val="none" w:sz="0" w:space="0" w:color="auto"/>
                <w:bottom w:val="none" w:sz="0" w:space="0" w:color="auto"/>
                <w:right w:val="none" w:sz="0" w:space="0" w:color="auto"/>
              </w:divBdr>
            </w:div>
            <w:div w:id="1320234336">
              <w:marLeft w:val="0"/>
              <w:marRight w:val="0"/>
              <w:marTop w:val="0"/>
              <w:marBottom w:val="0"/>
              <w:divBdr>
                <w:top w:val="none" w:sz="0" w:space="0" w:color="auto"/>
                <w:left w:val="none" w:sz="0" w:space="0" w:color="auto"/>
                <w:bottom w:val="none" w:sz="0" w:space="0" w:color="auto"/>
                <w:right w:val="none" w:sz="0" w:space="0" w:color="auto"/>
              </w:divBdr>
            </w:div>
            <w:div w:id="1657029094">
              <w:marLeft w:val="0"/>
              <w:marRight w:val="0"/>
              <w:marTop w:val="0"/>
              <w:marBottom w:val="0"/>
              <w:divBdr>
                <w:top w:val="none" w:sz="0" w:space="0" w:color="auto"/>
                <w:left w:val="none" w:sz="0" w:space="0" w:color="auto"/>
                <w:bottom w:val="none" w:sz="0" w:space="0" w:color="auto"/>
                <w:right w:val="none" w:sz="0" w:space="0" w:color="auto"/>
              </w:divBdr>
            </w:div>
            <w:div w:id="681205551">
              <w:marLeft w:val="0"/>
              <w:marRight w:val="0"/>
              <w:marTop w:val="0"/>
              <w:marBottom w:val="0"/>
              <w:divBdr>
                <w:top w:val="none" w:sz="0" w:space="0" w:color="auto"/>
                <w:left w:val="none" w:sz="0" w:space="0" w:color="auto"/>
                <w:bottom w:val="none" w:sz="0" w:space="0" w:color="auto"/>
                <w:right w:val="none" w:sz="0" w:space="0" w:color="auto"/>
              </w:divBdr>
            </w:div>
            <w:div w:id="699205306">
              <w:marLeft w:val="0"/>
              <w:marRight w:val="0"/>
              <w:marTop w:val="0"/>
              <w:marBottom w:val="0"/>
              <w:divBdr>
                <w:top w:val="none" w:sz="0" w:space="0" w:color="auto"/>
                <w:left w:val="none" w:sz="0" w:space="0" w:color="auto"/>
                <w:bottom w:val="none" w:sz="0" w:space="0" w:color="auto"/>
                <w:right w:val="none" w:sz="0" w:space="0" w:color="auto"/>
              </w:divBdr>
            </w:div>
            <w:div w:id="253899767">
              <w:marLeft w:val="0"/>
              <w:marRight w:val="0"/>
              <w:marTop w:val="0"/>
              <w:marBottom w:val="0"/>
              <w:divBdr>
                <w:top w:val="none" w:sz="0" w:space="0" w:color="auto"/>
                <w:left w:val="none" w:sz="0" w:space="0" w:color="auto"/>
                <w:bottom w:val="none" w:sz="0" w:space="0" w:color="auto"/>
                <w:right w:val="none" w:sz="0" w:space="0" w:color="auto"/>
              </w:divBdr>
            </w:div>
            <w:div w:id="712458375">
              <w:marLeft w:val="0"/>
              <w:marRight w:val="0"/>
              <w:marTop w:val="0"/>
              <w:marBottom w:val="0"/>
              <w:divBdr>
                <w:top w:val="none" w:sz="0" w:space="0" w:color="auto"/>
                <w:left w:val="none" w:sz="0" w:space="0" w:color="auto"/>
                <w:bottom w:val="none" w:sz="0" w:space="0" w:color="auto"/>
                <w:right w:val="none" w:sz="0" w:space="0" w:color="auto"/>
              </w:divBdr>
            </w:div>
            <w:div w:id="533811305">
              <w:marLeft w:val="0"/>
              <w:marRight w:val="0"/>
              <w:marTop w:val="0"/>
              <w:marBottom w:val="0"/>
              <w:divBdr>
                <w:top w:val="none" w:sz="0" w:space="0" w:color="auto"/>
                <w:left w:val="none" w:sz="0" w:space="0" w:color="auto"/>
                <w:bottom w:val="none" w:sz="0" w:space="0" w:color="auto"/>
                <w:right w:val="none" w:sz="0" w:space="0" w:color="auto"/>
              </w:divBdr>
            </w:div>
            <w:div w:id="1506899892">
              <w:marLeft w:val="0"/>
              <w:marRight w:val="0"/>
              <w:marTop w:val="0"/>
              <w:marBottom w:val="0"/>
              <w:divBdr>
                <w:top w:val="none" w:sz="0" w:space="0" w:color="auto"/>
                <w:left w:val="none" w:sz="0" w:space="0" w:color="auto"/>
                <w:bottom w:val="none" w:sz="0" w:space="0" w:color="auto"/>
                <w:right w:val="none" w:sz="0" w:space="0" w:color="auto"/>
              </w:divBdr>
            </w:div>
            <w:div w:id="1319652219">
              <w:marLeft w:val="0"/>
              <w:marRight w:val="0"/>
              <w:marTop w:val="0"/>
              <w:marBottom w:val="0"/>
              <w:divBdr>
                <w:top w:val="none" w:sz="0" w:space="0" w:color="auto"/>
                <w:left w:val="none" w:sz="0" w:space="0" w:color="auto"/>
                <w:bottom w:val="none" w:sz="0" w:space="0" w:color="auto"/>
                <w:right w:val="none" w:sz="0" w:space="0" w:color="auto"/>
              </w:divBdr>
            </w:div>
            <w:div w:id="1539270098">
              <w:marLeft w:val="0"/>
              <w:marRight w:val="0"/>
              <w:marTop w:val="0"/>
              <w:marBottom w:val="0"/>
              <w:divBdr>
                <w:top w:val="none" w:sz="0" w:space="0" w:color="auto"/>
                <w:left w:val="none" w:sz="0" w:space="0" w:color="auto"/>
                <w:bottom w:val="none" w:sz="0" w:space="0" w:color="auto"/>
                <w:right w:val="none" w:sz="0" w:space="0" w:color="auto"/>
              </w:divBdr>
            </w:div>
            <w:div w:id="1173372527">
              <w:marLeft w:val="0"/>
              <w:marRight w:val="0"/>
              <w:marTop w:val="0"/>
              <w:marBottom w:val="0"/>
              <w:divBdr>
                <w:top w:val="none" w:sz="0" w:space="0" w:color="auto"/>
                <w:left w:val="none" w:sz="0" w:space="0" w:color="auto"/>
                <w:bottom w:val="none" w:sz="0" w:space="0" w:color="auto"/>
                <w:right w:val="none" w:sz="0" w:space="0" w:color="auto"/>
              </w:divBdr>
            </w:div>
            <w:div w:id="1344160582">
              <w:marLeft w:val="0"/>
              <w:marRight w:val="0"/>
              <w:marTop w:val="0"/>
              <w:marBottom w:val="0"/>
              <w:divBdr>
                <w:top w:val="none" w:sz="0" w:space="0" w:color="auto"/>
                <w:left w:val="none" w:sz="0" w:space="0" w:color="auto"/>
                <w:bottom w:val="none" w:sz="0" w:space="0" w:color="auto"/>
                <w:right w:val="none" w:sz="0" w:space="0" w:color="auto"/>
              </w:divBdr>
            </w:div>
            <w:div w:id="1807114976">
              <w:marLeft w:val="0"/>
              <w:marRight w:val="0"/>
              <w:marTop w:val="0"/>
              <w:marBottom w:val="0"/>
              <w:divBdr>
                <w:top w:val="none" w:sz="0" w:space="0" w:color="auto"/>
                <w:left w:val="none" w:sz="0" w:space="0" w:color="auto"/>
                <w:bottom w:val="none" w:sz="0" w:space="0" w:color="auto"/>
                <w:right w:val="none" w:sz="0" w:space="0" w:color="auto"/>
              </w:divBdr>
            </w:div>
            <w:div w:id="1189173437">
              <w:marLeft w:val="0"/>
              <w:marRight w:val="0"/>
              <w:marTop w:val="0"/>
              <w:marBottom w:val="0"/>
              <w:divBdr>
                <w:top w:val="none" w:sz="0" w:space="0" w:color="auto"/>
                <w:left w:val="none" w:sz="0" w:space="0" w:color="auto"/>
                <w:bottom w:val="none" w:sz="0" w:space="0" w:color="auto"/>
                <w:right w:val="none" w:sz="0" w:space="0" w:color="auto"/>
              </w:divBdr>
            </w:div>
            <w:div w:id="1912233108">
              <w:marLeft w:val="0"/>
              <w:marRight w:val="0"/>
              <w:marTop w:val="0"/>
              <w:marBottom w:val="0"/>
              <w:divBdr>
                <w:top w:val="none" w:sz="0" w:space="0" w:color="auto"/>
                <w:left w:val="none" w:sz="0" w:space="0" w:color="auto"/>
                <w:bottom w:val="none" w:sz="0" w:space="0" w:color="auto"/>
                <w:right w:val="none" w:sz="0" w:space="0" w:color="auto"/>
              </w:divBdr>
            </w:div>
            <w:div w:id="861237853">
              <w:marLeft w:val="0"/>
              <w:marRight w:val="0"/>
              <w:marTop w:val="0"/>
              <w:marBottom w:val="0"/>
              <w:divBdr>
                <w:top w:val="none" w:sz="0" w:space="0" w:color="auto"/>
                <w:left w:val="none" w:sz="0" w:space="0" w:color="auto"/>
                <w:bottom w:val="none" w:sz="0" w:space="0" w:color="auto"/>
                <w:right w:val="none" w:sz="0" w:space="0" w:color="auto"/>
              </w:divBdr>
            </w:div>
            <w:div w:id="2035230807">
              <w:marLeft w:val="0"/>
              <w:marRight w:val="0"/>
              <w:marTop w:val="0"/>
              <w:marBottom w:val="0"/>
              <w:divBdr>
                <w:top w:val="none" w:sz="0" w:space="0" w:color="auto"/>
                <w:left w:val="none" w:sz="0" w:space="0" w:color="auto"/>
                <w:bottom w:val="none" w:sz="0" w:space="0" w:color="auto"/>
                <w:right w:val="none" w:sz="0" w:space="0" w:color="auto"/>
              </w:divBdr>
            </w:div>
            <w:div w:id="522402519">
              <w:marLeft w:val="0"/>
              <w:marRight w:val="0"/>
              <w:marTop w:val="0"/>
              <w:marBottom w:val="0"/>
              <w:divBdr>
                <w:top w:val="none" w:sz="0" w:space="0" w:color="auto"/>
                <w:left w:val="none" w:sz="0" w:space="0" w:color="auto"/>
                <w:bottom w:val="none" w:sz="0" w:space="0" w:color="auto"/>
                <w:right w:val="none" w:sz="0" w:space="0" w:color="auto"/>
              </w:divBdr>
            </w:div>
            <w:div w:id="1812601200">
              <w:marLeft w:val="0"/>
              <w:marRight w:val="0"/>
              <w:marTop w:val="0"/>
              <w:marBottom w:val="0"/>
              <w:divBdr>
                <w:top w:val="none" w:sz="0" w:space="0" w:color="auto"/>
                <w:left w:val="none" w:sz="0" w:space="0" w:color="auto"/>
                <w:bottom w:val="none" w:sz="0" w:space="0" w:color="auto"/>
                <w:right w:val="none" w:sz="0" w:space="0" w:color="auto"/>
              </w:divBdr>
            </w:div>
            <w:div w:id="1643198455">
              <w:marLeft w:val="0"/>
              <w:marRight w:val="0"/>
              <w:marTop w:val="0"/>
              <w:marBottom w:val="0"/>
              <w:divBdr>
                <w:top w:val="none" w:sz="0" w:space="0" w:color="auto"/>
                <w:left w:val="none" w:sz="0" w:space="0" w:color="auto"/>
                <w:bottom w:val="none" w:sz="0" w:space="0" w:color="auto"/>
                <w:right w:val="none" w:sz="0" w:space="0" w:color="auto"/>
              </w:divBdr>
            </w:div>
            <w:div w:id="455564972">
              <w:marLeft w:val="0"/>
              <w:marRight w:val="0"/>
              <w:marTop w:val="0"/>
              <w:marBottom w:val="0"/>
              <w:divBdr>
                <w:top w:val="none" w:sz="0" w:space="0" w:color="auto"/>
                <w:left w:val="none" w:sz="0" w:space="0" w:color="auto"/>
                <w:bottom w:val="none" w:sz="0" w:space="0" w:color="auto"/>
                <w:right w:val="none" w:sz="0" w:space="0" w:color="auto"/>
              </w:divBdr>
            </w:div>
            <w:div w:id="2118332087">
              <w:marLeft w:val="0"/>
              <w:marRight w:val="0"/>
              <w:marTop w:val="0"/>
              <w:marBottom w:val="0"/>
              <w:divBdr>
                <w:top w:val="none" w:sz="0" w:space="0" w:color="auto"/>
                <w:left w:val="none" w:sz="0" w:space="0" w:color="auto"/>
                <w:bottom w:val="none" w:sz="0" w:space="0" w:color="auto"/>
                <w:right w:val="none" w:sz="0" w:space="0" w:color="auto"/>
              </w:divBdr>
            </w:div>
            <w:div w:id="1094588256">
              <w:marLeft w:val="0"/>
              <w:marRight w:val="0"/>
              <w:marTop w:val="0"/>
              <w:marBottom w:val="0"/>
              <w:divBdr>
                <w:top w:val="none" w:sz="0" w:space="0" w:color="auto"/>
                <w:left w:val="none" w:sz="0" w:space="0" w:color="auto"/>
                <w:bottom w:val="none" w:sz="0" w:space="0" w:color="auto"/>
                <w:right w:val="none" w:sz="0" w:space="0" w:color="auto"/>
              </w:divBdr>
            </w:div>
            <w:div w:id="1158226040">
              <w:marLeft w:val="0"/>
              <w:marRight w:val="0"/>
              <w:marTop w:val="0"/>
              <w:marBottom w:val="0"/>
              <w:divBdr>
                <w:top w:val="none" w:sz="0" w:space="0" w:color="auto"/>
                <w:left w:val="none" w:sz="0" w:space="0" w:color="auto"/>
                <w:bottom w:val="none" w:sz="0" w:space="0" w:color="auto"/>
                <w:right w:val="none" w:sz="0" w:space="0" w:color="auto"/>
              </w:divBdr>
            </w:div>
            <w:div w:id="536818915">
              <w:marLeft w:val="0"/>
              <w:marRight w:val="0"/>
              <w:marTop w:val="0"/>
              <w:marBottom w:val="0"/>
              <w:divBdr>
                <w:top w:val="none" w:sz="0" w:space="0" w:color="auto"/>
                <w:left w:val="none" w:sz="0" w:space="0" w:color="auto"/>
                <w:bottom w:val="none" w:sz="0" w:space="0" w:color="auto"/>
                <w:right w:val="none" w:sz="0" w:space="0" w:color="auto"/>
              </w:divBdr>
            </w:div>
            <w:div w:id="1875002253">
              <w:marLeft w:val="0"/>
              <w:marRight w:val="0"/>
              <w:marTop w:val="0"/>
              <w:marBottom w:val="0"/>
              <w:divBdr>
                <w:top w:val="none" w:sz="0" w:space="0" w:color="auto"/>
                <w:left w:val="none" w:sz="0" w:space="0" w:color="auto"/>
                <w:bottom w:val="none" w:sz="0" w:space="0" w:color="auto"/>
                <w:right w:val="none" w:sz="0" w:space="0" w:color="auto"/>
              </w:divBdr>
            </w:div>
            <w:div w:id="601183495">
              <w:marLeft w:val="0"/>
              <w:marRight w:val="0"/>
              <w:marTop w:val="0"/>
              <w:marBottom w:val="0"/>
              <w:divBdr>
                <w:top w:val="none" w:sz="0" w:space="0" w:color="auto"/>
                <w:left w:val="none" w:sz="0" w:space="0" w:color="auto"/>
                <w:bottom w:val="none" w:sz="0" w:space="0" w:color="auto"/>
                <w:right w:val="none" w:sz="0" w:space="0" w:color="auto"/>
              </w:divBdr>
            </w:div>
            <w:div w:id="502596329">
              <w:marLeft w:val="0"/>
              <w:marRight w:val="0"/>
              <w:marTop w:val="0"/>
              <w:marBottom w:val="0"/>
              <w:divBdr>
                <w:top w:val="none" w:sz="0" w:space="0" w:color="auto"/>
                <w:left w:val="none" w:sz="0" w:space="0" w:color="auto"/>
                <w:bottom w:val="none" w:sz="0" w:space="0" w:color="auto"/>
                <w:right w:val="none" w:sz="0" w:space="0" w:color="auto"/>
              </w:divBdr>
            </w:div>
            <w:div w:id="812063465">
              <w:marLeft w:val="0"/>
              <w:marRight w:val="0"/>
              <w:marTop w:val="0"/>
              <w:marBottom w:val="0"/>
              <w:divBdr>
                <w:top w:val="none" w:sz="0" w:space="0" w:color="auto"/>
                <w:left w:val="none" w:sz="0" w:space="0" w:color="auto"/>
                <w:bottom w:val="none" w:sz="0" w:space="0" w:color="auto"/>
                <w:right w:val="none" w:sz="0" w:space="0" w:color="auto"/>
              </w:divBdr>
            </w:div>
            <w:div w:id="1638099175">
              <w:marLeft w:val="0"/>
              <w:marRight w:val="0"/>
              <w:marTop w:val="0"/>
              <w:marBottom w:val="0"/>
              <w:divBdr>
                <w:top w:val="none" w:sz="0" w:space="0" w:color="auto"/>
                <w:left w:val="none" w:sz="0" w:space="0" w:color="auto"/>
                <w:bottom w:val="none" w:sz="0" w:space="0" w:color="auto"/>
                <w:right w:val="none" w:sz="0" w:space="0" w:color="auto"/>
              </w:divBdr>
            </w:div>
            <w:div w:id="67775048">
              <w:marLeft w:val="0"/>
              <w:marRight w:val="0"/>
              <w:marTop w:val="0"/>
              <w:marBottom w:val="0"/>
              <w:divBdr>
                <w:top w:val="none" w:sz="0" w:space="0" w:color="auto"/>
                <w:left w:val="none" w:sz="0" w:space="0" w:color="auto"/>
                <w:bottom w:val="none" w:sz="0" w:space="0" w:color="auto"/>
                <w:right w:val="none" w:sz="0" w:space="0" w:color="auto"/>
              </w:divBdr>
            </w:div>
            <w:div w:id="570195888">
              <w:marLeft w:val="0"/>
              <w:marRight w:val="0"/>
              <w:marTop w:val="0"/>
              <w:marBottom w:val="0"/>
              <w:divBdr>
                <w:top w:val="none" w:sz="0" w:space="0" w:color="auto"/>
                <w:left w:val="none" w:sz="0" w:space="0" w:color="auto"/>
                <w:bottom w:val="none" w:sz="0" w:space="0" w:color="auto"/>
                <w:right w:val="none" w:sz="0" w:space="0" w:color="auto"/>
              </w:divBdr>
            </w:div>
            <w:div w:id="837622761">
              <w:marLeft w:val="0"/>
              <w:marRight w:val="0"/>
              <w:marTop w:val="0"/>
              <w:marBottom w:val="0"/>
              <w:divBdr>
                <w:top w:val="none" w:sz="0" w:space="0" w:color="auto"/>
                <w:left w:val="none" w:sz="0" w:space="0" w:color="auto"/>
                <w:bottom w:val="none" w:sz="0" w:space="0" w:color="auto"/>
                <w:right w:val="none" w:sz="0" w:space="0" w:color="auto"/>
              </w:divBdr>
            </w:div>
            <w:div w:id="1169637505">
              <w:marLeft w:val="0"/>
              <w:marRight w:val="0"/>
              <w:marTop w:val="0"/>
              <w:marBottom w:val="0"/>
              <w:divBdr>
                <w:top w:val="none" w:sz="0" w:space="0" w:color="auto"/>
                <w:left w:val="none" w:sz="0" w:space="0" w:color="auto"/>
                <w:bottom w:val="none" w:sz="0" w:space="0" w:color="auto"/>
                <w:right w:val="none" w:sz="0" w:space="0" w:color="auto"/>
              </w:divBdr>
            </w:div>
            <w:div w:id="888490554">
              <w:marLeft w:val="0"/>
              <w:marRight w:val="0"/>
              <w:marTop w:val="0"/>
              <w:marBottom w:val="0"/>
              <w:divBdr>
                <w:top w:val="none" w:sz="0" w:space="0" w:color="auto"/>
                <w:left w:val="none" w:sz="0" w:space="0" w:color="auto"/>
                <w:bottom w:val="none" w:sz="0" w:space="0" w:color="auto"/>
                <w:right w:val="none" w:sz="0" w:space="0" w:color="auto"/>
              </w:divBdr>
            </w:div>
            <w:div w:id="979921400">
              <w:marLeft w:val="0"/>
              <w:marRight w:val="0"/>
              <w:marTop w:val="0"/>
              <w:marBottom w:val="0"/>
              <w:divBdr>
                <w:top w:val="none" w:sz="0" w:space="0" w:color="auto"/>
                <w:left w:val="none" w:sz="0" w:space="0" w:color="auto"/>
                <w:bottom w:val="none" w:sz="0" w:space="0" w:color="auto"/>
                <w:right w:val="none" w:sz="0" w:space="0" w:color="auto"/>
              </w:divBdr>
            </w:div>
            <w:div w:id="1923486889">
              <w:marLeft w:val="0"/>
              <w:marRight w:val="0"/>
              <w:marTop w:val="0"/>
              <w:marBottom w:val="0"/>
              <w:divBdr>
                <w:top w:val="none" w:sz="0" w:space="0" w:color="auto"/>
                <w:left w:val="none" w:sz="0" w:space="0" w:color="auto"/>
                <w:bottom w:val="none" w:sz="0" w:space="0" w:color="auto"/>
                <w:right w:val="none" w:sz="0" w:space="0" w:color="auto"/>
              </w:divBdr>
            </w:div>
            <w:div w:id="439491224">
              <w:marLeft w:val="0"/>
              <w:marRight w:val="0"/>
              <w:marTop w:val="0"/>
              <w:marBottom w:val="0"/>
              <w:divBdr>
                <w:top w:val="none" w:sz="0" w:space="0" w:color="auto"/>
                <w:left w:val="none" w:sz="0" w:space="0" w:color="auto"/>
                <w:bottom w:val="none" w:sz="0" w:space="0" w:color="auto"/>
                <w:right w:val="none" w:sz="0" w:space="0" w:color="auto"/>
              </w:divBdr>
            </w:div>
            <w:div w:id="1349332332">
              <w:marLeft w:val="0"/>
              <w:marRight w:val="0"/>
              <w:marTop w:val="0"/>
              <w:marBottom w:val="0"/>
              <w:divBdr>
                <w:top w:val="none" w:sz="0" w:space="0" w:color="auto"/>
                <w:left w:val="none" w:sz="0" w:space="0" w:color="auto"/>
                <w:bottom w:val="none" w:sz="0" w:space="0" w:color="auto"/>
                <w:right w:val="none" w:sz="0" w:space="0" w:color="auto"/>
              </w:divBdr>
            </w:div>
            <w:div w:id="416832432">
              <w:marLeft w:val="0"/>
              <w:marRight w:val="0"/>
              <w:marTop w:val="0"/>
              <w:marBottom w:val="0"/>
              <w:divBdr>
                <w:top w:val="none" w:sz="0" w:space="0" w:color="auto"/>
                <w:left w:val="none" w:sz="0" w:space="0" w:color="auto"/>
                <w:bottom w:val="none" w:sz="0" w:space="0" w:color="auto"/>
                <w:right w:val="none" w:sz="0" w:space="0" w:color="auto"/>
              </w:divBdr>
            </w:div>
            <w:div w:id="39600988">
              <w:marLeft w:val="0"/>
              <w:marRight w:val="0"/>
              <w:marTop w:val="0"/>
              <w:marBottom w:val="0"/>
              <w:divBdr>
                <w:top w:val="none" w:sz="0" w:space="0" w:color="auto"/>
                <w:left w:val="none" w:sz="0" w:space="0" w:color="auto"/>
                <w:bottom w:val="none" w:sz="0" w:space="0" w:color="auto"/>
                <w:right w:val="none" w:sz="0" w:space="0" w:color="auto"/>
              </w:divBdr>
            </w:div>
            <w:div w:id="1044210560">
              <w:marLeft w:val="0"/>
              <w:marRight w:val="0"/>
              <w:marTop w:val="0"/>
              <w:marBottom w:val="0"/>
              <w:divBdr>
                <w:top w:val="none" w:sz="0" w:space="0" w:color="auto"/>
                <w:left w:val="none" w:sz="0" w:space="0" w:color="auto"/>
                <w:bottom w:val="none" w:sz="0" w:space="0" w:color="auto"/>
                <w:right w:val="none" w:sz="0" w:space="0" w:color="auto"/>
              </w:divBdr>
            </w:div>
            <w:div w:id="1298756443">
              <w:marLeft w:val="0"/>
              <w:marRight w:val="0"/>
              <w:marTop w:val="0"/>
              <w:marBottom w:val="0"/>
              <w:divBdr>
                <w:top w:val="none" w:sz="0" w:space="0" w:color="auto"/>
                <w:left w:val="none" w:sz="0" w:space="0" w:color="auto"/>
                <w:bottom w:val="none" w:sz="0" w:space="0" w:color="auto"/>
                <w:right w:val="none" w:sz="0" w:space="0" w:color="auto"/>
              </w:divBdr>
            </w:div>
            <w:div w:id="40322667">
              <w:marLeft w:val="0"/>
              <w:marRight w:val="0"/>
              <w:marTop w:val="0"/>
              <w:marBottom w:val="0"/>
              <w:divBdr>
                <w:top w:val="none" w:sz="0" w:space="0" w:color="auto"/>
                <w:left w:val="none" w:sz="0" w:space="0" w:color="auto"/>
                <w:bottom w:val="none" w:sz="0" w:space="0" w:color="auto"/>
                <w:right w:val="none" w:sz="0" w:space="0" w:color="auto"/>
              </w:divBdr>
            </w:div>
            <w:div w:id="471556493">
              <w:marLeft w:val="0"/>
              <w:marRight w:val="0"/>
              <w:marTop w:val="0"/>
              <w:marBottom w:val="0"/>
              <w:divBdr>
                <w:top w:val="none" w:sz="0" w:space="0" w:color="auto"/>
                <w:left w:val="none" w:sz="0" w:space="0" w:color="auto"/>
                <w:bottom w:val="none" w:sz="0" w:space="0" w:color="auto"/>
                <w:right w:val="none" w:sz="0" w:space="0" w:color="auto"/>
              </w:divBdr>
            </w:div>
            <w:div w:id="206987392">
              <w:marLeft w:val="0"/>
              <w:marRight w:val="0"/>
              <w:marTop w:val="0"/>
              <w:marBottom w:val="0"/>
              <w:divBdr>
                <w:top w:val="none" w:sz="0" w:space="0" w:color="auto"/>
                <w:left w:val="none" w:sz="0" w:space="0" w:color="auto"/>
                <w:bottom w:val="none" w:sz="0" w:space="0" w:color="auto"/>
                <w:right w:val="none" w:sz="0" w:space="0" w:color="auto"/>
              </w:divBdr>
            </w:div>
            <w:div w:id="1003702206">
              <w:marLeft w:val="0"/>
              <w:marRight w:val="0"/>
              <w:marTop w:val="0"/>
              <w:marBottom w:val="0"/>
              <w:divBdr>
                <w:top w:val="none" w:sz="0" w:space="0" w:color="auto"/>
                <w:left w:val="none" w:sz="0" w:space="0" w:color="auto"/>
                <w:bottom w:val="none" w:sz="0" w:space="0" w:color="auto"/>
                <w:right w:val="none" w:sz="0" w:space="0" w:color="auto"/>
              </w:divBdr>
            </w:div>
            <w:div w:id="1440762994">
              <w:marLeft w:val="0"/>
              <w:marRight w:val="0"/>
              <w:marTop w:val="0"/>
              <w:marBottom w:val="0"/>
              <w:divBdr>
                <w:top w:val="none" w:sz="0" w:space="0" w:color="auto"/>
                <w:left w:val="none" w:sz="0" w:space="0" w:color="auto"/>
                <w:bottom w:val="none" w:sz="0" w:space="0" w:color="auto"/>
                <w:right w:val="none" w:sz="0" w:space="0" w:color="auto"/>
              </w:divBdr>
            </w:div>
            <w:div w:id="1280605685">
              <w:marLeft w:val="0"/>
              <w:marRight w:val="0"/>
              <w:marTop w:val="0"/>
              <w:marBottom w:val="0"/>
              <w:divBdr>
                <w:top w:val="none" w:sz="0" w:space="0" w:color="auto"/>
                <w:left w:val="none" w:sz="0" w:space="0" w:color="auto"/>
                <w:bottom w:val="none" w:sz="0" w:space="0" w:color="auto"/>
                <w:right w:val="none" w:sz="0" w:space="0" w:color="auto"/>
              </w:divBdr>
            </w:div>
            <w:div w:id="1052266106">
              <w:marLeft w:val="0"/>
              <w:marRight w:val="0"/>
              <w:marTop w:val="0"/>
              <w:marBottom w:val="0"/>
              <w:divBdr>
                <w:top w:val="none" w:sz="0" w:space="0" w:color="auto"/>
                <w:left w:val="none" w:sz="0" w:space="0" w:color="auto"/>
                <w:bottom w:val="none" w:sz="0" w:space="0" w:color="auto"/>
                <w:right w:val="none" w:sz="0" w:space="0" w:color="auto"/>
              </w:divBdr>
            </w:div>
            <w:div w:id="1241522721">
              <w:marLeft w:val="0"/>
              <w:marRight w:val="0"/>
              <w:marTop w:val="0"/>
              <w:marBottom w:val="0"/>
              <w:divBdr>
                <w:top w:val="none" w:sz="0" w:space="0" w:color="auto"/>
                <w:left w:val="none" w:sz="0" w:space="0" w:color="auto"/>
                <w:bottom w:val="none" w:sz="0" w:space="0" w:color="auto"/>
                <w:right w:val="none" w:sz="0" w:space="0" w:color="auto"/>
              </w:divBdr>
            </w:div>
            <w:div w:id="1411779813">
              <w:marLeft w:val="0"/>
              <w:marRight w:val="0"/>
              <w:marTop w:val="0"/>
              <w:marBottom w:val="0"/>
              <w:divBdr>
                <w:top w:val="none" w:sz="0" w:space="0" w:color="auto"/>
                <w:left w:val="none" w:sz="0" w:space="0" w:color="auto"/>
                <w:bottom w:val="none" w:sz="0" w:space="0" w:color="auto"/>
                <w:right w:val="none" w:sz="0" w:space="0" w:color="auto"/>
              </w:divBdr>
            </w:div>
            <w:div w:id="1018964402">
              <w:marLeft w:val="0"/>
              <w:marRight w:val="0"/>
              <w:marTop w:val="0"/>
              <w:marBottom w:val="0"/>
              <w:divBdr>
                <w:top w:val="none" w:sz="0" w:space="0" w:color="auto"/>
                <w:left w:val="none" w:sz="0" w:space="0" w:color="auto"/>
                <w:bottom w:val="none" w:sz="0" w:space="0" w:color="auto"/>
                <w:right w:val="none" w:sz="0" w:space="0" w:color="auto"/>
              </w:divBdr>
            </w:div>
            <w:div w:id="759567543">
              <w:marLeft w:val="0"/>
              <w:marRight w:val="0"/>
              <w:marTop w:val="0"/>
              <w:marBottom w:val="0"/>
              <w:divBdr>
                <w:top w:val="none" w:sz="0" w:space="0" w:color="auto"/>
                <w:left w:val="none" w:sz="0" w:space="0" w:color="auto"/>
                <w:bottom w:val="none" w:sz="0" w:space="0" w:color="auto"/>
                <w:right w:val="none" w:sz="0" w:space="0" w:color="auto"/>
              </w:divBdr>
            </w:div>
            <w:div w:id="1000280482">
              <w:marLeft w:val="0"/>
              <w:marRight w:val="0"/>
              <w:marTop w:val="0"/>
              <w:marBottom w:val="0"/>
              <w:divBdr>
                <w:top w:val="none" w:sz="0" w:space="0" w:color="auto"/>
                <w:left w:val="none" w:sz="0" w:space="0" w:color="auto"/>
                <w:bottom w:val="none" w:sz="0" w:space="0" w:color="auto"/>
                <w:right w:val="none" w:sz="0" w:space="0" w:color="auto"/>
              </w:divBdr>
            </w:div>
            <w:div w:id="2001889169">
              <w:marLeft w:val="0"/>
              <w:marRight w:val="0"/>
              <w:marTop w:val="0"/>
              <w:marBottom w:val="0"/>
              <w:divBdr>
                <w:top w:val="none" w:sz="0" w:space="0" w:color="auto"/>
                <w:left w:val="none" w:sz="0" w:space="0" w:color="auto"/>
                <w:bottom w:val="none" w:sz="0" w:space="0" w:color="auto"/>
                <w:right w:val="none" w:sz="0" w:space="0" w:color="auto"/>
              </w:divBdr>
            </w:div>
            <w:div w:id="1146775429">
              <w:marLeft w:val="0"/>
              <w:marRight w:val="0"/>
              <w:marTop w:val="0"/>
              <w:marBottom w:val="0"/>
              <w:divBdr>
                <w:top w:val="none" w:sz="0" w:space="0" w:color="auto"/>
                <w:left w:val="none" w:sz="0" w:space="0" w:color="auto"/>
                <w:bottom w:val="none" w:sz="0" w:space="0" w:color="auto"/>
                <w:right w:val="none" w:sz="0" w:space="0" w:color="auto"/>
              </w:divBdr>
            </w:div>
            <w:div w:id="2042127095">
              <w:marLeft w:val="0"/>
              <w:marRight w:val="0"/>
              <w:marTop w:val="0"/>
              <w:marBottom w:val="0"/>
              <w:divBdr>
                <w:top w:val="none" w:sz="0" w:space="0" w:color="auto"/>
                <w:left w:val="none" w:sz="0" w:space="0" w:color="auto"/>
                <w:bottom w:val="none" w:sz="0" w:space="0" w:color="auto"/>
                <w:right w:val="none" w:sz="0" w:space="0" w:color="auto"/>
              </w:divBdr>
            </w:div>
            <w:div w:id="1188565235">
              <w:marLeft w:val="0"/>
              <w:marRight w:val="0"/>
              <w:marTop w:val="0"/>
              <w:marBottom w:val="0"/>
              <w:divBdr>
                <w:top w:val="none" w:sz="0" w:space="0" w:color="auto"/>
                <w:left w:val="none" w:sz="0" w:space="0" w:color="auto"/>
                <w:bottom w:val="none" w:sz="0" w:space="0" w:color="auto"/>
                <w:right w:val="none" w:sz="0" w:space="0" w:color="auto"/>
              </w:divBdr>
            </w:div>
            <w:div w:id="894701607">
              <w:marLeft w:val="0"/>
              <w:marRight w:val="0"/>
              <w:marTop w:val="0"/>
              <w:marBottom w:val="0"/>
              <w:divBdr>
                <w:top w:val="none" w:sz="0" w:space="0" w:color="auto"/>
                <w:left w:val="none" w:sz="0" w:space="0" w:color="auto"/>
                <w:bottom w:val="none" w:sz="0" w:space="0" w:color="auto"/>
                <w:right w:val="none" w:sz="0" w:space="0" w:color="auto"/>
              </w:divBdr>
            </w:div>
            <w:div w:id="732234189">
              <w:marLeft w:val="0"/>
              <w:marRight w:val="0"/>
              <w:marTop w:val="0"/>
              <w:marBottom w:val="0"/>
              <w:divBdr>
                <w:top w:val="none" w:sz="0" w:space="0" w:color="auto"/>
                <w:left w:val="none" w:sz="0" w:space="0" w:color="auto"/>
                <w:bottom w:val="none" w:sz="0" w:space="0" w:color="auto"/>
                <w:right w:val="none" w:sz="0" w:space="0" w:color="auto"/>
              </w:divBdr>
            </w:div>
            <w:div w:id="732580200">
              <w:marLeft w:val="0"/>
              <w:marRight w:val="0"/>
              <w:marTop w:val="0"/>
              <w:marBottom w:val="0"/>
              <w:divBdr>
                <w:top w:val="none" w:sz="0" w:space="0" w:color="auto"/>
                <w:left w:val="none" w:sz="0" w:space="0" w:color="auto"/>
                <w:bottom w:val="none" w:sz="0" w:space="0" w:color="auto"/>
                <w:right w:val="none" w:sz="0" w:space="0" w:color="auto"/>
              </w:divBdr>
            </w:div>
            <w:div w:id="922026803">
              <w:marLeft w:val="0"/>
              <w:marRight w:val="0"/>
              <w:marTop w:val="0"/>
              <w:marBottom w:val="0"/>
              <w:divBdr>
                <w:top w:val="none" w:sz="0" w:space="0" w:color="auto"/>
                <w:left w:val="none" w:sz="0" w:space="0" w:color="auto"/>
                <w:bottom w:val="none" w:sz="0" w:space="0" w:color="auto"/>
                <w:right w:val="none" w:sz="0" w:space="0" w:color="auto"/>
              </w:divBdr>
            </w:div>
            <w:div w:id="995567174">
              <w:marLeft w:val="0"/>
              <w:marRight w:val="0"/>
              <w:marTop w:val="0"/>
              <w:marBottom w:val="0"/>
              <w:divBdr>
                <w:top w:val="none" w:sz="0" w:space="0" w:color="auto"/>
                <w:left w:val="none" w:sz="0" w:space="0" w:color="auto"/>
                <w:bottom w:val="none" w:sz="0" w:space="0" w:color="auto"/>
                <w:right w:val="none" w:sz="0" w:space="0" w:color="auto"/>
              </w:divBdr>
            </w:div>
            <w:div w:id="1407606235">
              <w:marLeft w:val="0"/>
              <w:marRight w:val="0"/>
              <w:marTop w:val="0"/>
              <w:marBottom w:val="0"/>
              <w:divBdr>
                <w:top w:val="none" w:sz="0" w:space="0" w:color="auto"/>
                <w:left w:val="none" w:sz="0" w:space="0" w:color="auto"/>
                <w:bottom w:val="none" w:sz="0" w:space="0" w:color="auto"/>
                <w:right w:val="none" w:sz="0" w:space="0" w:color="auto"/>
              </w:divBdr>
            </w:div>
            <w:div w:id="1087076012">
              <w:marLeft w:val="0"/>
              <w:marRight w:val="0"/>
              <w:marTop w:val="0"/>
              <w:marBottom w:val="0"/>
              <w:divBdr>
                <w:top w:val="none" w:sz="0" w:space="0" w:color="auto"/>
                <w:left w:val="none" w:sz="0" w:space="0" w:color="auto"/>
                <w:bottom w:val="none" w:sz="0" w:space="0" w:color="auto"/>
                <w:right w:val="none" w:sz="0" w:space="0" w:color="auto"/>
              </w:divBdr>
            </w:div>
            <w:div w:id="1345400958">
              <w:marLeft w:val="0"/>
              <w:marRight w:val="0"/>
              <w:marTop w:val="0"/>
              <w:marBottom w:val="0"/>
              <w:divBdr>
                <w:top w:val="none" w:sz="0" w:space="0" w:color="auto"/>
                <w:left w:val="none" w:sz="0" w:space="0" w:color="auto"/>
                <w:bottom w:val="none" w:sz="0" w:space="0" w:color="auto"/>
                <w:right w:val="none" w:sz="0" w:space="0" w:color="auto"/>
              </w:divBdr>
            </w:div>
            <w:div w:id="1932352453">
              <w:marLeft w:val="0"/>
              <w:marRight w:val="0"/>
              <w:marTop w:val="0"/>
              <w:marBottom w:val="0"/>
              <w:divBdr>
                <w:top w:val="none" w:sz="0" w:space="0" w:color="auto"/>
                <w:left w:val="none" w:sz="0" w:space="0" w:color="auto"/>
                <w:bottom w:val="none" w:sz="0" w:space="0" w:color="auto"/>
                <w:right w:val="none" w:sz="0" w:space="0" w:color="auto"/>
              </w:divBdr>
            </w:div>
            <w:div w:id="701249396">
              <w:marLeft w:val="0"/>
              <w:marRight w:val="0"/>
              <w:marTop w:val="0"/>
              <w:marBottom w:val="0"/>
              <w:divBdr>
                <w:top w:val="none" w:sz="0" w:space="0" w:color="auto"/>
                <w:left w:val="none" w:sz="0" w:space="0" w:color="auto"/>
                <w:bottom w:val="none" w:sz="0" w:space="0" w:color="auto"/>
                <w:right w:val="none" w:sz="0" w:space="0" w:color="auto"/>
              </w:divBdr>
            </w:div>
            <w:div w:id="1802772145">
              <w:marLeft w:val="0"/>
              <w:marRight w:val="0"/>
              <w:marTop w:val="0"/>
              <w:marBottom w:val="0"/>
              <w:divBdr>
                <w:top w:val="none" w:sz="0" w:space="0" w:color="auto"/>
                <w:left w:val="none" w:sz="0" w:space="0" w:color="auto"/>
                <w:bottom w:val="none" w:sz="0" w:space="0" w:color="auto"/>
                <w:right w:val="none" w:sz="0" w:space="0" w:color="auto"/>
              </w:divBdr>
            </w:div>
            <w:div w:id="21446403">
              <w:marLeft w:val="0"/>
              <w:marRight w:val="0"/>
              <w:marTop w:val="0"/>
              <w:marBottom w:val="0"/>
              <w:divBdr>
                <w:top w:val="none" w:sz="0" w:space="0" w:color="auto"/>
                <w:left w:val="none" w:sz="0" w:space="0" w:color="auto"/>
                <w:bottom w:val="none" w:sz="0" w:space="0" w:color="auto"/>
                <w:right w:val="none" w:sz="0" w:space="0" w:color="auto"/>
              </w:divBdr>
            </w:div>
            <w:div w:id="42413962">
              <w:marLeft w:val="0"/>
              <w:marRight w:val="0"/>
              <w:marTop w:val="0"/>
              <w:marBottom w:val="0"/>
              <w:divBdr>
                <w:top w:val="none" w:sz="0" w:space="0" w:color="auto"/>
                <w:left w:val="none" w:sz="0" w:space="0" w:color="auto"/>
                <w:bottom w:val="none" w:sz="0" w:space="0" w:color="auto"/>
                <w:right w:val="none" w:sz="0" w:space="0" w:color="auto"/>
              </w:divBdr>
            </w:div>
            <w:div w:id="1603026258">
              <w:marLeft w:val="0"/>
              <w:marRight w:val="0"/>
              <w:marTop w:val="0"/>
              <w:marBottom w:val="0"/>
              <w:divBdr>
                <w:top w:val="none" w:sz="0" w:space="0" w:color="auto"/>
                <w:left w:val="none" w:sz="0" w:space="0" w:color="auto"/>
                <w:bottom w:val="none" w:sz="0" w:space="0" w:color="auto"/>
                <w:right w:val="none" w:sz="0" w:space="0" w:color="auto"/>
              </w:divBdr>
            </w:div>
            <w:div w:id="462314634">
              <w:marLeft w:val="0"/>
              <w:marRight w:val="0"/>
              <w:marTop w:val="0"/>
              <w:marBottom w:val="0"/>
              <w:divBdr>
                <w:top w:val="none" w:sz="0" w:space="0" w:color="auto"/>
                <w:left w:val="none" w:sz="0" w:space="0" w:color="auto"/>
                <w:bottom w:val="none" w:sz="0" w:space="0" w:color="auto"/>
                <w:right w:val="none" w:sz="0" w:space="0" w:color="auto"/>
              </w:divBdr>
            </w:div>
            <w:div w:id="868492674">
              <w:marLeft w:val="0"/>
              <w:marRight w:val="0"/>
              <w:marTop w:val="0"/>
              <w:marBottom w:val="0"/>
              <w:divBdr>
                <w:top w:val="none" w:sz="0" w:space="0" w:color="auto"/>
                <w:left w:val="none" w:sz="0" w:space="0" w:color="auto"/>
                <w:bottom w:val="none" w:sz="0" w:space="0" w:color="auto"/>
                <w:right w:val="none" w:sz="0" w:space="0" w:color="auto"/>
              </w:divBdr>
            </w:div>
            <w:div w:id="1959407335">
              <w:marLeft w:val="0"/>
              <w:marRight w:val="0"/>
              <w:marTop w:val="0"/>
              <w:marBottom w:val="0"/>
              <w:divBdr>
                <w:top w:val="none" w:sz="0" w:space="0" w:color="auto"/>
                <w:left w:val="none" w:sz="0" w:space="0" w:color="auto"/>
                <w:bottom w:val="none" w:sz="0" w:space="0" w:color="auto"/>
                <w:right w:val="none" w:sz="0" w:space="0" w:color="auto"/>
              </w:divBdr>
            </w:div>
            <w:div w:id="1596523344">
              <w:marLeft w:val="0"/>
              <w:marRight w:val="0"/>
              <w:marTop w:val="0"/>
              <w:marBottom w:val="0"/>
              <w:divBdr>
                <w:top w:val="none" w:sz="0" w:space="0" w:color="auto"/>
                <w:left w:val="none" w:sz="0" w:space="0" w:color="auto"/>
                <w:bottom w:val="none" w:sz="0" w:space="0" w:color="auto"/>
                <w:right w:val="none" w:sz="0" w:space="0" w:color="auto"/>
              </w:divBdr>
            </w:div>
            <w:div w:id="352808305">
              <w:marLeft w:val="0"/>
              <w:marRight w:val="0"/>
              <w:marTop w:val="0"/>
              <w:marBottom w:val="0"/>
              <w:divBdr>
                <w:top w:val="none" w:sz="0" w:space="0" w:color="auto"/>
                <w:left w:val="none" w:sz="0" w:space="0" w:color="auto"/>
                <w:bottom w:val="none" w:sz="0" w:space="0" w:color="auto"/>
                <w:right w:val="none" w:sz="0" w:space="0" w:color="auto"/>
              </w:divBdr>
            </w:div>
            <w:div w:id="847477895">
              <w:marLeft w:val="0"/>
              <w:marRight w:val="0"/>
              <w:marTop w:val="0"/>
              <w:marBottom w:val="0"/>
              <w:divBdr>
                <w:top w:val="none" w:sz="0" w:space="0" w:color="auto"/>
                <w:left w:val="none" w:sz="0" w:space="0" w:color="auto"/>
                <w:bottom w:val="none" w:sz="0" w:space="0" w:color="auto"/>
                <w:right w:val="none" w:sz="0" w:space="0" w:color="auto"/>
              </w:divBdr>
            </w:div>
            <w:div w:id="1775856566">
              <w:marLeft w:val="0"/>
              <w:marRight w:val="0"/>
              <w:marTop w:val="0"/>
              <w:marBottom w:val="0"/>
              <w:divBdr>
                <w:top w:val="none" w:sz="0" w:space="0" w:color="auto"/>
                <w:left w:val="none" w:sz="0" w:space="0" w:color="auto"/>
                <w:bottom w:val="none" w:sz="0" w:space="0" w:color="auto"/>
                <w:right w:val="none" w:sz="0" w:space="0" w:color="auto"/>
              </w:divBdr>
            </w:div>
            <w:div w:id="1006253793">
              <w:marLeft w:val="0"/>
              <w:marRight w:val="0"/>
              <w:marTop w:val="0"/>
              <w:marBottom w:val="0"/>
              <w:divBdr>
                <w:top w:val="none" w:sz="0" w:space="0" w:color="auto"/>
                <w:left w:val="none" w:sz="0" w:space="0" w:color="auto"/>
                <w:bottom w:val="none" w:sz="0" w:space="0" w:color="auto"/>
                <w:right w:val="none" w:sz="0" w:space="0" w:color="auto"/>
              </w:divBdr>
            </w:div>
            <w:div w:id="1764564680">
              <w:marLeft w:val="0"/>
              <w:marRight w:val="0"/>
              <w:marTop w:val="0"/>
              <w:marBottom w:val="0"/>
              <w:divBdr>
                <w:top w:val="none" w:sz="0" w:space="0" w:color="auto"/>
                <w:left w:val="none" w:sz="0" w:space="0" w:color="auto"/>
                <w:bottom w:val="none" w:sz="0" w:space="0" w:color="auto"/>
                <w:right w:val="none" w:sz="0" w:space="0" w:color="auto"/>
              </w:divBdr>
            </w:div>
            <w:div w:id="1556509385">
              <w:marLeft w:val="0"/>
              <w:marRight w:val="0"/>
              <w:marTop w:val="0"/>
              <w:marBottom w:val="0"/>
              <w:divBdr>
                <w:top w:val="none" w:sz="0" w:space="0" w:color="auto"/>
                <w:left w:val="none" w:sz="0" w:space="0" w:color="auto"/>
                <w:bottom w:val="none" w:sz="0" w:space="0" w:color="auto"/>
                <w:right w:val="none" w:sz="0" w:space="0" w:color="auto"/>
              </w:divBdr>
            </w:div>
            <w:div w:id="646670211">
              <w:marLeft w:val="0"/>
              <w:marRight w:val="0"/>
              <w:marTop w:val="0"/>
              <w:marBottom w:val="0"/>
              <w:divBdr>
                <w:top w:val="none" w:sz="0" w:space="0" w:color="auto"/>
                <w:left w:val="none" w:sz="0" w:space="0" w:color="auto"/>
                <w:bottom w:val="none" w:sz="0" w:space="0" w:color="auto"/>
                <w:right w:val="none" w:sz="0" w:space="0" w:color="auto"/>
              </w:divBdr>
            </w:div>
            <w:div w:id="1176848678">
              <w:marLeft w:val="0"/>
              <w:marRight w:val="0"/>
              <w:marTop w:val="0"/>
              <w:marBottom w:val="0"/>
              <w:divBdr>
                <w:top w:val="none" w:sz="0" w:space="0" w:color="auto"/>
                <w:left w:val="none" w:sz="0" w:space="0" w:color="auto"/>
                <w:bottom w:val="none" w:sz="0" w:space="0" w:color="auto"/>
                <w:right w:val="none" w:sz="0" w:space="0" w:color="auto"/>
              </w:divBdr>
            </w:div>
            <w:div w:id="1419211431">
              <w:marLeft w:val="0"/>
              <w:marRight w:val="0"/>
              <w:marTop w:val="0"/>
              <w:marBottom w:val="0"/>
              <w:divBdr>
                <w:top w:val="none" w:sz="0" w:space="0" w:color="auto"/>
                <w:left w:val="none" w:sz="0" w:space="0" w:color="auto"/>
                <w:bottom w:val="none" w:sz="0" w:space="0" w:color="auto"/>
                <w:right w:val="none" w:sz="0" w:space="0" w:color="auto"/>
              </w:divBdr>
            </w:div>
            <w:div w:id="201788168">
              <w:marLeft w:val="0"/>
              <w:marRight w:val="0"/>
              <w:marTop w:val="0"/>
              <w:marBottom w:val="0"/>
              <w:divBdr>
                <w:top w:val="none" w:sz="0" w:space="0" w:color="auto"/>
                <w:left w:val="none" w:sz="0" w:space="0" w:color="auto"/>
                <w:bottom w:val="none" w:sz="0" w:space="0" w:color="auto"/>
                <w:right w:val="none" w:sz="0" w:space="0" w:color="auto"/>
              </w:divBdr>
            </w:div>
            <w:div w:id="10016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33">
      <w:marLeft w:val="0"/>
      <w:marRight w:val="0"/>
      <w:marTop w:val="0"/>
      <w:marBottom w:val="0"/>
      <w:divBdr>
        <w:top w:val="none" w:sz="0" w:space="0" w:color="auto"/>
        <w:left w:val="none" w:sz="0" w:space="0" w:color="auto"/>
        <w:bottom w:val="none" w:sz="0" w:space="0" w:color="auto"/>
        <w:right w:val="none" w:sz="0" w:space="0" w:color="auto"/>
      </w:divBdr>
      <w:divsChild>
        <w:div w:id="362681804">
          <w:marLeft w:val="0"/>
          <w:marRight w:val="0"/>
          <w:marTop w:val="0"/>
          <w:marBottom w:val="0"/>
          <w:divBdr>
            <w:top w:val="none" w:sz="0" w:space="0" w:color="auto"/>
            <w:left w:val="none" w:sz="0" w:space="0" w:color="auto"/>
            <w:bottom w:val="none" w:sz="0" w:space="0" w:color="auto"/>
            <w:right w:val="none" w:sz="0" w:space="0" w:color="auto"/>
          </w:divBdr>
        </w:div>
      </w:divsChild>
    </w:div>
    <w:div w:id="1201867387">
      <w:bodyDiv w:val="1"/>
      <w:marLeft w:val="0"/>
      <w:marRight w:val="0"/>
      <w:marTop w:val="0"/>
      <w:marBottom w:val="0"/>
      <w:divBdr>
        <w:top w:val="none" w:sz="0" w:space="0" w:color="auto"/>
        <w:left w:val="none" w:sz="0" w:space="0" w:color="auto"/>
        <w:bottom w:val="none" w:sz="0" w:space="0" w:color="auto"/>
        <w:right w:val="none" w:sz="0" w:space="0" w:color="auto"/>
      </w:divBdr>
      <w:divsChild>
        <w:div w:id="856310363">
          <w:marLeft w:val="0"/>
          <w:marRight w:val="0"/>
          <w:marTop w:val="0"/>
          <w:marBottom w:val="0"/>
          <w:divBdr>
            <w:top w:val="none" w:sz="0" w:space="0" w:color="auto"/>
            <w:left w:val="none" w:sz="0" w:space="0" w:color="auto"/>
            <w:bottom w:val="none" w:sz="0" w:space="0" w:color="auto"/>
            <w:right w:val="none" w:sz="0" w:space="0" w:color="auto"/>
          </w:divBdr>
          <w:divsChild>
            <w:div w:id="603465689">
              <w:marLeft w:val="0"/>
              <w:marRight w:val="0"/>
              <w:marTop w:val="0"/>
              <w:marBottom w:val="0"/>
              <w:divBdr>
                <w:top w:val="none" w:sz="0" w:space="0" w:color="auto"/>
                <w:left w:val="none" w:sz="0" w:space="0" w:color="auto"/>
                <w:bottom w:val="none" w:sz="0" w:space="0" w:color="auto"/>
                <w:right w:val="none" w:sz="0" w:space="0" w:color="auto"/>
              </w:divBdr>
            </w:div>
            <w:div w:id="906840100">
              <w:marLeft w:val="0"/>
              <w:marRight w:val="0"/>
              <w:marTop w:val="0"/>
              <w:marBottom w:val="0"/>
              <w:divBdr>
                <w:top w:val="none" w:sz="0" w:space="0" w:color="auto"/>
                <w:left w:val="none" w:sz="0" w:space="0" w:color="auto"/>
                <w:bottom w:val="none" w:sz="0" w:space="0" w:color="auto"/>
                <w:right w:val="none" w:sz="0" w:space="0" w:color="auto"/>
              </w:divBdr>
            </w:div>
            <w:div w:id="557134929">
              <w:marLeft w:val="0"/>
              <w:marRight w:val="0"/>
              <w:marTop w:val="0"/>
              <w:marBottom w:val="0"/>
              <w:divBdr>
                <w:top w:val="none" w:sz="0" w:space="0" w:color="auto"/>
                <w:left w:val="none" w:sz="0" w:space="0" w:color="auto"/>
                <w:bottom w:val="none" w:sz="0" w:space="0" w:color="auto"/>
                <w:right w:val="none" w:sz="0" w:space="0" w:color="auto"/>
              </w:divBdr>
            </w:div>
            <w:div w:id="347678837">
              <w:marLeft w:val="0"/>
              <w:marRight w:val="0"/>
              <w:marTop w:val="0"/>
              <w:marBottom w:val="0"/>
              <w:divBdr>
                <w:top w:val="none" w:sz="0" w:space="0" w:color="auto"/>
                <w:left w:val="none" w:sz="0" w:space="0" w:color="auto"/>
                <w:bottom w:val="none" w:sz="0" w:space="0" w:color="auto"/>
                <w:right w:val="none" w:sz="0" w:space="0" w:color="auto"/>
              </w:divBdr>
            </w:div>
            <w:div w:id="321128711">
              <w:marLeft w:val="0"/>
              <w:marRight w:val="0"/>
              <w:marTop w:val="0"/>
              <w:marBottom w:val="0"/>
              <w:divBdr>
                <w:top w:val="none" w:sz="0" w:space="0" w:color="auto"/>
                <w:left w:val="none" w:sz="0" w:space="0" w:color="auto"/>
                <w:bottom w:val="none" w:sz="0" w:space="0" w:color="auto"/>
                <w:right w:val="none" w:sz="0" w:space="0" w:color="auto"/>
              </w:divBdr>
            </w:div>
            <w:div w:id="1537766975">
              <w:marLeft w:val="0"/>
              <w:marRight w:val="0"/>
              <w:marTop w:val="0"/>
              <w:marBottom w:val="0"/>
              <w:divBdr>
                <w:top w:val="none" w:sz="0" w:space="0" w:color="auto"/>
                <w:left w:val="none" w:sz="0" w:space="0" w:color="auto"/>
                <w:bottom w:val="none" w:sz="0" w:space="0" w:color="auto"/>
                <w:right w:val="none" w:sz="0" w:space="0" w:color="auto"/>
              </w:divBdr>
            </w:div>
            <w:div w:id="193885243">
              <w:marLeft w:val="0"/>
              <w:marRight w:val="0"/>
              <w:marTop w:val="0"/>
              <w:marBottom w:val="0"/>
              <w:divBdr>
                <w:top w:val="none" w:sz="0" w:space="0" w:color="auto"/>
                <w:left w:val="none" w:sz="0" w:space="0" w:color="auto"/>
                <w:bottom w:val="none" w:sz="0" w:space="0" w:color="auto"/>
                <w:right w:val="none" w:sz="0" w:space="0" w:color="auto"/>
              </w:divBdr>
            </w:div>
            <w:div w:id="609439551">
              <w:marLeft w:val="0"/>
              <w:marRight w:val="0"/>
              <w:marTop w:val="0"/>
              <w:marBottom w:val="0"/>
              <w:divBdr>
                <w:top w:val="none" w:sz="0" w:space="0" w:color="auto"/>
                <w:left w:val="none" w:sz="0" w:space="0" w:color="auto"/>
                <w:bottom w:val="none" w:sz="0" w:space="0" w:color="auto"/>
                <w:right w:val="none" w:sz="0" w:space="0" w:color="auto"/>
              </w:divBdr>
            </w:div>
            <w:div w:id="975766592">
              <w:marLeft w:val="0"/>
              <w:marRight w:val="0"/>
              <w:marTop w:val="0"/>
              <w:marBottom w:val="0"/>
              <w:divBdr>
                <w:top w:val="none" w:sz="0" w:space="0" w:color="auto"/>
                <w:left w:val="none" w:sz="0" w:space="0" w:color="auto"/>
                <w:bottom w:val="none" w:sz="0" w:space="0" w:color="auto"/>
                <w:right w:val="none" w:sz="0" w:space="0" w:color="auto"/>
              </w:divBdr>
            </w:div>
            <w:div w:id="235168013">
              <w:marLeft w:val="0"/>
              <w:marRight w:val="0"/>
              <w:marTop w:val="0"/>
              <w:marBottom w:val="0"/>
              <w:divBdr>
                <w:top w:val="none" w:sz="0" w:space="0" w:color="auto"/>
                <w:left w:val="none" w:sz="0" w:space="0" w:color="auto"/>
                <w:bottom w:val="none" w:sz="0" w:space="0" w:color="auto"/>
                <w:right w:val="none" w:sz="0" w:space="0" w:color="auto"/>
              </w:divBdr>
            </w:div>
            <w:div w:id="1245649829">
              <w:marLeft w:val="0"/>
              <w:marRight w:val="0"/>
              <w:marTop w:val="0"/>
              <w:marBottom w:val="0"/>
              <w:divBdr>
                <w:top w:val="none" w:sz="0" w:space="0" w:color="auto"/>
                <w:left w:val="none" w:sz="0" w:space="0" w:color="auto"/>
                <w:bottom w:val="none" w:sz="0" w:space="0" w:color="auto"/>
                <w:right w:val="none" w:sz="0" w:space="0" w:color="auto"/>
              </w:divBdr>
            </w:div>
            <w:div w:id="726613335">
              <w:marLeft w:val="0"/>
              <w:marRight w:val="0"/>
              <w:marTop w:val="0"/>
              <w:marBottom w:val="0"/>
              <w:divBdr>
                <w:top w:val="none" w:sz="0" w:space="0" w:color="auto"/>
                <w:left w:val="none" w:sz="0" w:space="0" w:color="auto"/>
                <w:bottom w:val="none" w:sz="0" w:space="0" w:color="auto"/>
                <w:right w:val="none" w:sz="0" w:space="0" w:color="auto"/>
              </w:divBdr>
            </w:div>
            <w:div w:id="1426657423">
              <w:marLeft w:val="0"/>
              <w:marRight w:val="0"/>
              <w:marTop w:val="0"/>
              <w:marBottom w:val="0"/>
              <w:divBdr>
                <w:top w:val="none" w:sz="0" w:space="0" w:color="auto"/>
                <w:left w:val="none" w:sz="0" w:space="0" w:color="auto"/>
                <w:bottom w:val="none" w:sz="0" w:space="0" w:color="auto"/>
                <w:right w:val="none" w:sz="0" w:space="0" w:color="auto"/>
              </w:divBdr>
            </w:div>
            <w:div w:id="1279214456">
              <w:marLeft w:val="0"/>
              <w:marRight w:val="0"/>
              <w:marTop w:val="0"/>
              <w:marBottom w:val="0"/>
              <w:divBdr>
                <w:top w:val="none" w:sz="0" w:space="0" w:color="auto"/>
                <w:left w:val="none" w:sz="0" w:space="0" w:color="auto"/>
                <w:bottom w:val="none" w:sz="0" w:space="0" w:color="auto"/>
                <w:right w:val="none" w:sz="0" w:space="0" w:color="auto"/>
              </w:divBdr>
            </w:div>
            <w:div w:id="1597445002">
              <w:marLeft w:val="0"/>
              <w:marRight w:val="0"/>
              <w:marTop w:val="0"/>
              <w:marBottom w:val="0"/>
              <w:divBdr>
                <w:top w:val="none" w:sz="0" w:space="0" w:color="auto"/>
                <w:left w:val="none" w:sz="0" w:space="0" w:color="auto"/>
                <w:bottom w:val="none" w:sz="0" w:space="0" w:color="auto"/>
                <w:right w:val="none" w:sz="0" w:space="0" w:color="auto"/>
              </w:divBdr>
            </w:div>
            <w:div w:id="529878440">
              <w:marLeft w:val="0"/>
              <w:marRight w:val="0"/>
              <w:marTop w:val="0"/>
              <w:marBottom w:val="0"/>
              <w:divBdr>
                <w:top w:val="none" w:sz="0" w:space="0" w:color="auto"/>
                <w:left w:val="none" w:sz="0" w:space="0" w:color="auto"/>
                <w:bottom w:val="none" w:sz="0" w:space="0" w:color="auto"/>
                <w:right w:val="none" w:sz="0" w:space="0" w:color="auto"/>
              </w:divBdr>
            </w:div>
            <w:div w:id="1241019105">
              <w:marLeft w:val="0"/>
              <w:marRight w:val="0"/>
              <w:marTop w:val="0"/>
              <w:marBottom w:val="0"/>
              <w:divBdr>
                <w:top w:val="none" w:sz="0" w:space="0" w:color="auto"/>
                <w:left w:val="none" w:sz="0" w:space="0" w:color="auto"/>
                <w:bottom w:val="none" w:sz="0" w:space="0" w:color="auto"/>
                <w:right w:val="none" w:sz="0" w:space="0" w:color="auto"/>
              </w:divBdr>
            </w:div>
            <w:div w:id="1190946920">
              <w:marLeft w:val="0"/>
              <w:marRight w:val="0"/>
              <w:marTop w:val="0"/>
              <w:marBottom w:val="0"/>
              <w:divBdr>
                <w:top w:val="none" w:sz="0" w:space="0" w:color="auto"/>
                <w:left w:val="none" w:sz="0" w:space="0" w:color="auto"/>
                <w:bottom w:val="none" w:sz="0" w:space="0" w:color="auto"/>
                <w:right w:val="none" w:sz="0" w:space="0" w:color="auto"/>
              </w:divBdr>
            </w:div>
            <w:div w:id="130023959">
              <w:marLeft w:val="0"/>
              <w:marRight w:val="0"/>
              <w:marTop w:val="0"/>
              <w:marBottom w:val="0"/>
              <w:divBdr>
                <w:top w:val="none" w:sz="0" w:space="0" w:color="auto"/>
                <w:left w:val="none" w:sz="0" w:space="0" w:color="auto"/>
                <w:bottom w:val="none" w:sz="0" w:space="0" w:color="auto"/>
                <w:right w:val="none" w:sz="0" w:space="0" w:color="auto"/>
              </w:divBdr>
            </w:div>
            <w:div w:id="978464102">
              <w:marLeft w:val="0"/>
              <w:marRight w:val="0"/>
              <w:marTop w:val="0"/>
              <w:marBottom w:val="0"/>
              <w:divBdr>
                <w:top w:val="none" w:sz="0" w:space="0" w:color="auto"/>
                <w:left w:val="none" w:sz="0" w:space="0" w:color="auto"/>
                <w:bottom w:val="none" w:sz="0" w:space="0" w:color="auto"/>
                <w:right w:val="none" w:sz="0" w:space="0" w:color="auto"/>
              </w:divBdr>
            </w:div>
            <w:div w:id="779031903">
              <w:marLeft w:val="0"/>
              <w:marRight w:val="0"/>
              <w:marTop w:val="0"/>
              <w:marBottom w:val="0"/>
              <w:divBdr>
                <w:top w:val="none" w:sz="0" w:space="0" w:color="auto"/>
                <w:left w:val="none" w:sz="0" w:space="0" w:color="auto"/>
                <w:bottom w:val="none" w:sz="0" w:space="0" w:color="auto"/>
                <w:right w:val="none" w:sz="0" w:space="0" w:color="auto"/>
              </w:divBdr>
            </w:div>
            <w:div w:id="1811436245">
              <w:marLeft w:val="0"/>
              <w:marRight w:val="0"/>
              <w:marTop w:val="0"/>
              <w:marBottom w:val="0"/>
              <w:divBdr>
                <w:top w:val="none" w:sz="0" w:space="0" w:color="auto"/>
                <w:left w:val="none" w:sz="0" w:space="0" w:color="auto"/>
                <w:bottom w:val="none" w:sz="0" w:space="0" w:color="auto"/>
                <w:right w:val="none" w:sz="0" w:space="0" w:color="auto"/>
              </w:divBdr>
            </w:div>
            <w:div w:id="1749114088">
              <w:marLeft w:val="0"/>
              <w:marRight w:val="0"/>
              <w:marTop w:val="0"/>
              <w:marBottom w:val="0"/>
              <w:divBdr>
                <w:top w:val="none" w:sz="0" w:space="0" w:color="auto"/>
                <w:left w:val="none" w:sz="0" w:space="0" w:color="auto"/>
                <w:bottom w:val="none" w:sz="0" w:space="0" w:color="auto"/>
                <w:right w:val="none" w:sz="0" w:space="0" w:color="auto"/>
              </w:divBdr>
            </w:div>
            <w:div w:id="1300570772">
              <w:marLeft w:val="0"/>
              <w:marRight w:val="0"/>
              <w:marTop w:val="0"/>
              <w:marBottom w:val="0"/>
              <w:divBdr>
                <w:top w:val="none" w:sz="0" w:space="0" w:color="auto"/>
                <w:left w:val="none" w:sz="0" w:space="0" w:color="auto"/>
                <w:bottom w:val="none" w:sz="0" w:space="0" w:color="auto"/>
                <w:right w:val="none" w:sz="0" w:space="0" w:color="auto"/>
              </w:divBdr>
            </w:div>
            <w:div w:id="169876849">
              <w:marLeft w:val="0"/>
              <w:marRight w:val="0"/>
              <w:marTop w:val="0"/>
              <w:marBottom w:val="0"/>
              <w:divBdr>
                <w:top w:val="none" w:sz="0" w:space="0" w:color="auto"/>
                <w:left w:val="none" w:sz="0" w:space="0" w:color="auto"/>
                <w:bottom w:val="none" w:sz="0" w:space="0" w:color="auto"/>
                <w:right w:val="none" w:sz="0" w:space="0" w:color="auto"/>
              </w:divBdr>
            </w:div>
            <w:div w:id="445931922">
              <w:marLeft w:val="0"/>
              <w:marRight w:val="0"/>
              <w:marTop w:val="0"/>
              <w:marBottom w:val="0"/>
              <w:divBdr>
                <w:top w:val="none" w:sz="0" w:space="0" w:color="auto"/>
                <w:left w:val="none" w:sz="0" w:space="0" w:color="auto"/>
                <w:bottom w:val="none" w:sz="0" w:space="0" w:color="auto"/>
                <w:right w:val="none" w:sz="0" w:space="0" w:color="auto"/>
              </w:divBdr>
            </w:div>
            <w:div w:id="1320884754">
              <w:marLeft w:val="0"/>
              <w:marRight w:val="0"/>
              <w:marTop w:val="0"/>
              <w:marBottom w:val="0"/>
              <w:divBdr>
                <w:top w:val="none" w:sz="0" w:space="0" w:color="auto"/>
                <w:left w:val="none" w:sz="0" w:space="0" w:color="auto"/>
                <w:bottom w:val="none" w:sz="0" w:space="0" w:color="auto"/>
                <w:right w:val="none" w:sz="0" w:space="0" w:color="auto"/>
              </w:divBdr>
            </w:div>
            <w:div w:id="1079868724">
              <w:marLeft w:val="0"/>
              <w:marRight w:val="0"/>
              <w:marTop w:val="0"/>
              <w:marBottom w:val="0"/>
              <w:divBdr>
                <w:top w:val="none" w:sz="0" w:space="0" w:color="auto"/>
                <w:left w:val="none" w:sz="0" w:space="0" w:color="auto"/>
                <w:bottom w:val="none" w:sz="0" w:space="0" w:color="auto"/>
                <w:right w:val="none" w:sz="0" w:space="0" w:color="auto"/>
              </w:divBdr>
            </w:div>
            <w:div w:id="1549416827">
              <w:marLeft w:val="0"/>
              <w:marRight w:val="0"/>
              <w:marTop w:val="0"/>
              <w:marBottom w:val="0"/>
              <w:divBdr>
                <w:top w:val="none" w:sz="0" w:space="0" w:color="auto"/>
                <w:left w:val="none" w:sz="0" w:space="0" w:color="auto"/>
                <w:bottom w:val="none" w:sz="0" w:space="0" w:color="auto"/>
                <w:right w:val="none" w:sz="0" w:space="0" w:color="auto"/>
              </w:divBdr>
            </w:div>
            <w:div w:id="1280067869">
              <w:marLeft w:val="0"/>
              <w:marRight w:val="0"/>
              <w:marTop w:val="0"/>
              <w:marBottom w:val="0"/>
              <w:divBdr>
                <w:top w:val="none" w:sz="0" w:space="0" w:color="auto"/>
                <w:left w:val="none" w:sz="0" w:space="0" w:color="auto"/>
                <w:bottom w:val="none" w:sz="0" w:space="0" w:color="auto"/>
                <w:right w:val="none" w:sz="0" w:space="0" w:color="auto"/>
              </w:divBdr>
            </w:div>
            <w:div w:id="1923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1191">
      <w:marLeft w:val="0"/>
      <w:marRight w:val="0"/>
      <w:marTop w:val="0"/>
      <w:marBottom w:val="0"/>
      <w:divBdr>
        <w:top w:val="none" w:sz="0" w:space="0" w:color="auto"/>
        <w:left w:val="none" w:sz="0" w:space="0" w:color="auto"/>
        <w:bottom w:val="none" w:sz="0" w:space="0" w:color="auto"/>
        <w:right w:val="none" w:sz="0" w:space="0" w:color="auto"/>
      </w:divBdr>
      <w:divsChild>
        <w:div w:id="1684673546">
          <w:marLeft w:val="0"/>
          <w:marRight w:val="0"/>
          <w:marTop w:val="0"/>
          <w:marBottom w:val="0"/>
          <w:divBdr>
            <w:top w:val="none" w:sz="0" w:space="0" w:color="auto"/>
            <w:left w:val="none" w:sz="0" w:space="0" w:color="auto"/>
            <w:bottom w:val="none" w:sz="0" w:space="0" w:color="auto"/>
            <w:right w:val="none" w:sz="0" w:space="0" w:color="auto"/>
          </w:divBdr>
        </w:div>
      </w:divsChild>
    </w:div>
    <w:div w:id="1204902605">
      <w:marLeft w:val="0"/>
      <w:marRight w:val="0"/>
      <w:marTop w:val="0"/>
      <w:marBottom w:val="0"/>
      <w:divBdr>
        <w:top w:val="none" w:sz="0" w:space="0" w:color="auto"/>
        <w:left w:val="none" w:sz="0" w:space="0" w:color="auto"/>
        <w:bottom w:val="none" w:sz="0" w:space="0" w:color="auto"/>
        <w:right w:val="none" w:sz="0" w:space="0" w:color="auto"/>
      </w:divBdr>
      <w:divsChild>
        <w:div w:id="253780297">
          <w:marLeft w:val="0"/>
          <w:marRight w:val="0"/>
          <w:marTop w:val="0"/>
          <w:marBottom w:val="0"/>
          <w:divBdr>
            <w:top w:val="none" w:sz="0" w:space="0" w:color="auto"/>
            <w:left w:val="none" w:sz="0" w:space="0" w:color="auto"/>
            <w:bottom w:val="none" w:sz="0" w:space="0" w:color="auto"/>
            <w:right w:val="none" w:sz="0" w:space="0" w:color="auto"/>
          </w:divBdr>
        </w:div>
      </w:divsChild>
    </w:div>
    <w:div w:id="1206286396">
      <w:marLeft w:val="0"/>
      <w:marRight w:val="0"/>
      <w:marTop w:val="0"/>
      <w:marBottom w:val="0"/>
      <w:divBdr>
        <w:top w:val="none" w:sz="0" w:space="0" w:color="auto"/>
        <w:left w:val="none" w:sz="0" w:space="0" w:color="auto"/>
        <w:bottom w:val="none" w:sz="0" w:space="0" w:color="auto"/>
        <w:right w:val="none" w:sz="0" w:space="0" w:color="auto"/>
      </w:divBdr>
      <w:divsChild>
        <w:div w:id="2094010030">
          <w:marLeft w:val="0"/>
          <w:marRight w:val="0"/>
          <w:marTop w:val="0"/>
          <w:marBottom w:val="0"/>
          <w:divBdr>
            <w:top w:val="none" w:sz="0" w:space="0" w:color="auto"/>
            <w:left w:val="none" w:sz="0" w:space="0" w:color="auto"/>
            <w:bottom w:val="none" w:sz="0" w:space="0" w:color="auto"/>
            <w:right w:val="none" w:sz="0" w:space="0" w:color="auto"/>
          </w:divBdr>
        </w:div>
      </w:divsChild>
    </w:div>
    <w:div w:id="1206521287">
      <w:marLeft w:val="0"/>
      <w:marRight w:val="0"/>
      <w:marTop w:val="0"/>
      <w:marBottom w:val="0"/>
      <w:divBdr>
        <w:top w:val="none" w:sz="0" w:space="0" w:color="auto"/>
        <w:left w:val="none" w:sz="0" w:space="0" w:color="auto"/>
        <w:bottom w:val="none" w:sz="0" w:space="0" w:color="auto"/>
        <w:right w:val="none" w:sz="0" w:space="0" w:color="auto"/>
      </w:divBdr>
      <w:divsChild>
        <w:div w:id="583800645">
          <w:marLeft w:val="0"/>
          <w:marRight w:val="0"/>
          <w:marTop w:val="0"/>
          <w:marBottom w:val="0"/>
          <w:divBdr>
            <w:top w:val="none" w:sz="0" w:space="0" w:color="auto"/>
            <w:left w:val="none" w:sz="0" w:space="0" w:color="auto"/>
            <w:bottom w:val="none" w:sz="0" w:space="0" w:color="auto"/>
            <w:right w:val="none" w:sz="0" w:space="0" w:color="auto"/>
          </w:divBdr>
        </w:div>
      </w:divsChild>
    </w:div>
    <w:div w:id="1207253532">
      <w:marLeft w:val="0"/>
      <w:marRight w:val="0"/>
      <w:marTop w:val="0"/>
      <w:marBottom w:val="0"/>
      <w:divBdr>
        <w:top w:val="none" w:sz="0" w:space="0" w:color="auto"/>
        <w:left w:val="none" w:sz="0" w:space="0" w:color="auto"/>
        <w:bottom w:val="none" w:sz="0" w:space="0" w:color="auto"/>
        <w:right w:val="none" w:sz="0" w:space="0" w:color="auto"/>
      </w:divBdr>
      <w:divsChild>
        <w:div w:id="613946214">
          <w:marLeft w:val="0"/>
          <w:marRight w:val="0"/>
          <w:marTop w:val="0"/>
          <w:marBottom w:val="0"/>
          <w:divBdr>
            <w:top w:val="none" w:sz="0" w:space="0" w:color="auto"/>
            <w:left w:val="none" w:sz="0" w:space="0" w:color="auto"/>
            <w:bottom w:val="none" w:sz="0" w:space="0" w:color="auto"/>
            <w:right w:val="none" w:sz="0" w:space="0" w:color="auto"/>
          </w:divBdr>
        </w:div>
      </w:divsChild>
    </w:div>
    <w:div w:id="1211965266">
      <w:bodyDiv w:val="1"/>
      <w:marLeft w:val="0"/>
      <w:marRight w:val="0"/>
      <w:marTop w:val="0"/>
      <w:marBottom w:val="0"/>
      <w:divBdr>
        <w:top w:val="none" w:sz="0" w:space="0" w:color="auto"/>
        <w:left w:val="none" w:sz="0" w:space="0" w:color="auto"/>
        <w:bottom w:val="none" w:sz="0" w:space="0" w:color="auto"/>
        <w:right w:val="none" w:sz="0" w:space="0" w:color="auto"/>
      </w:divBdr>
    </w:div>
    <w:div w:id="1215508191">
      <w:marLeft w:val="0"/>
      <w:marRight w:val="0"/>
      <w:marTop w:val="0"/>
      <w:marBottom w:val="0"/>
      <w:divBdr>
        <w:top w:val="none" w:sz="0" w:space="0" w:color="auto"/>
        <w:left w:val="none" w:sz="0" w:space="0" w:color="auto"/>
        <w:bottom w:val="none" w:sz="0" w:space="0" w:color="auto"/>
        <w:right w:val="none" w:sz="0" w:space="0" w:color="auto"/>
      </w:divBdr>
      <w:divsChild>
        <w:div w:id="791559935">
          <w:marLeft w:val="0"/>
          <w:marRight w:val="0"/>
          <w:marTop w:val="0"/>
          <w:marBottom w:val="0"/>
          <w:divBdr>
            <w:top w:val="none" w:sz="0" w:space="0" w:color="auto"/>
            <w:left w:val="none" w:sz="0" w:space="0" w:color="auto"/>
            <w:bottom w:val="none" w:sz="0" w:space="0" w:color="auto"/>
            <w:right w:val="none" w:sz="0" w:space="0" w:color="auto"/>
          </w:divBdr>
        </w:div>
      </w:divsChild>
    </w:div>
    <w:div w:id="1217010699">
      <w:bodyDiv w:val="1"/>
      <w:marLeft w:val="0"/>
      <w:marRight w:val="0"/>
      <w:marTop w:val="0"/>
      <w:marBottom w:val="0"/>
      <w:divBdr>
        <w:top w:val="none" w:sz="0" w:space="0" w:color="auto"/>
        <w:left w:val="none" w:sz="0" w:space="0" w:color="auto"/>
        <w:bottom w:val="none" w:sz="0" w:space="0" w:color="auto"/>
        <w:right w:val="none" w:sz="0" w:space="0" w:color="auto"/>
      </w:divBdr>
      <w:divsChild>
        <w:div w:id="1858152887">
          <w:marLeft w:val="0"/>
          <w:marRight w:val="0"/>
          <w:marTop w:val="0"/>
          <w:marBottom w:val="0"/>
          <w:divBdr>
            <w:top w:val="none" w:sz="0" w:space="0" w:color="auto"/>
            <w:left w:val="none" w:sz="0" w:space="0" w:color="auto"/>
            <w:bottom w:val="none" w:sz="0" w:space="0" w:color="auto"/>
            <w:right w:val="none" w:sz="0" w:space="0" w:color="auto"/>
          </w:divBdr>
        </w:div>
        <w:div w:id="1400859714">
          <w:marLeft w:val="0"/>
          <w:marRight w:val="0"/>
          <w:marTop w:val="0"/>
          <w:marBottom w:val="0"/>
          <w:divBdr>
            <w:top w:val="none" w:sz="0" w:space="0" w:color="auto"/>
            <w:left w:val="none" w:sz="0" w:space="0" w:color="auto"/>
            <w:bottom w:val="none" w:sz="0" w:space="0" w:color="auto"/>
            <w:right w:val="none" w:sz="0" w:space="0" w:color="auto"/>
          </w:divBdr>
        </w:div>
        <w:div w:id="979965110">
          <w:marLeft w:val="0"/>
          <w:marRight w:val="0"/>
          <w:marTop w:val="0"/>
          <w:marBottom w:val="0"/>
          <w:divBdr>
            <w:top w:val="none" w:sz="0" w:space="0" w:color="auto"/>
            <w:left w:val="none" w:sz="0" w:space="0" w:color="auto"/>
            <w:bottom w:val="none" w:sz="0" w:space="0" w:color="auto"/>
            <w:right w:val="none" w:sz="0" w:space="0" w:color="auto"/>
          </w:divBdr>
        </w:div>
        <w:div w:id="696008334">
          <w:marLeft w:val="0"/>
          <w:marRight w:val="0"/>
          <w:marTop w:val="0"/>
          <w:marBottom w:val="0"/>
          <w:divBdr>
            <w:top w:val="none" w:sz="0" w:space="0" w:color="auto"/>
            <w:left w:val="none" w:sz="0" w:space="0" w:color="auto"/>
            <w:bottom w:val="none" w:sz="0" w:space="0" w:color="auto"/>
            <w:right w:val="none" w:sz="0" w:space="0" w:color="auto"/>
          </w:divBdr>
        </w:div>
        <w:div w:id="2011515706">
          <w:marLeft w:val="0"/>
          <w:marRight w:val="0"/>
          <w:marTop w:val="0"/>
          <w:marBottom w:val="0"/>
          <w:divBdr>
            <w:top w:val="none" w:sz="0" w:space="0" w:color="auto"/>
            <w:left w:val="none" w:sz="0" w:space="0" w:color="auto"/>
            <w:bottom w:val="none" w:sz="0" w:space="0" w:color="auto"/>
            <w:right w:val="none" w:sz="0" w:space="0" w:color="auto"/>
          </w:divBdr>
        </w:div>
        <w:div w:id="110131248">
          <w:marLeft w:val="0"/>
          <w:marRight w:val="0"/>
          <w:marTop w:val="0"/>
          <w:marBottom w:val="0"/>
          <w:divBdr>
            <w:top w:val="none" w:sz="0" w:space="0" w:color="auto"/>
            <w:left w:val="none" w:sz="0" w:space="0" w:color="auto"/>
            <w:bottom w:val="none" w:sz="0" w:space="0" w:color="auto"/>
            <w:right w:val="none" w:sz="0" w:space="0" w:color="auto"/>
          </w:divBdr>
        </w:div>
        <w:div w:id="112793315">
          <w:marLeft w:val="0"/>
          <w:marRight w:val="0"/>
          <w:marTop w:val="0"/>
          <w:marBottom w:val="0"/>
          <w:divBdr>
            <w:top w:val="none" w:sz="0" w:space="0" w:color="auto"/>
            <w:left w:val="none" w:sz="0" w:space="0" w:color="auto"/>
            <w:bottom w:val="none" w:sz="0" w:space="0" w:color="auto"/>
            <w:right w:val="none" w:sz="0" w:space="0" w:color="auto"/>
          </w:divBdr>
        </w:div>
        <w:div w:id="535123595">
          <w:marLeft w:val="0"/>
          <w:marRight w:val="0"/>
          <w:marTop w:val="0"/>
          <w:marBottom w:val="0"/>
          <w:divBdr>
            <w:top w:val="none" w:sz="0" w:space="0" w:color="auto"/>
            <w:left w:val="none" w:sz="0" w:space="0" w:color="auto"/>
            <w:bottom w:val="none" w:sz="0" w:space="0" w:color="auto"/>
            <w:right w:val="none" w:sz="0" w:space="0" w:color="auto"/>
          </w:divBdr>
        </w:div>
        <w:div w:id="660235615">
          <w:marLeft w:val="0"/>
          <w:marRight w:val="0"/>
          <w:marTop w:val="0"/>
          <w:marBottom w:val="0"/>
          <w:divBdr>
            <w:top w:val="none" w:sz="0" w:space="0" w:color="auto"/>
            <w:left w:val="none" w:sz="0" w:space="0" w:color="auto"/>
            <w:bottom w:val="none" w:sz="0" w:space="0" w:color="auto"/>
            <w:right w:val="none" w:sz="0" w:space="0" w:color="auto"/>
          </w:divBdr>
        </w:div>
        <w:div w:id="374430226">
          <w:marLeft w:val="0"/>
          <w:marRight w:val="0"/>
          <w:marTop w:val="0"/>
          <w:marBottom w:val="0"/>
          <w:divBdr>
            <w:top w:val="none" w:sz="0" w:space="0" w:color="auto"/>
            <w:left w:val="none" w:sz="0" w:space="0" w:color="auto"/>
            <w:bottom w:val="none" w:sz="0" w:space="0" w:color="auto"/>
            <w:right w:val="none" w:sz="0" w:space="0" w:color="auto"/>
          </w:divBdr>
        </w:div>
        <w:div w:id="428702135">
          <w:marLeft w:val="0"/>
          <w:marRight w:val="0"/>
          <w:marTop w:val="0"/>
          <w:marBottom w:val="0"/>
          <w:divBdr>
            <w:top w:val="none" w:sz="0" w:space="0" w:color="auto"/>
            <w:left w:val="none" w:sz="0" w:space="0" w:color="auto"/>
            <w:bottom w:val="none" w:sz="0" w:space="0" w:color="auto"/>
            <w:right w:val="none" w:sz="0" w:space="0" w:color="auto"/>
          </w:divBdr>
        </w:div>
        <w:div w:id="72746678">
          <w:marLeft w:val="0"/>
          <w:marRight w:val="0"/>
          <w:marTop w:val="0"/>
          <w:marBottom w:val="0"/>
          <w:divBdr>
            <w:top w:val="none" w:sz="0" w:space="0" w:color="auto"/>
            <w:left w:val="none" w:sz="0" w:space="0" w:color="auto"/>
            <w:bottom w:val="none" w:sz="0" w:space="0" w:color="auto"/>
            <w:right w:val="none" w:sz="0" w:space="0" w:color="auto"/>
          </w:divBdr>
        </w:div>
        <w:div w:id="1939362442">
          <w:marLeft w:val="0"/>
          <w:marRight w:val="0"/>
          <w:marTop w:val="0"/>
          <w:marBottom w:val="0"/>
          <w:divBdr>
            <w:top w:val="none" w:sz="0" w:space="0" w:color="auto"/>
            <w:left w:val="none" w:sz="0" w:space="0" w:color="auto"/>
            <w:bottom w:val="none" w:sz="0" w:space="0" w:color="auto"/>
            <w:right w:val="none" w:sz="0" w:space="0" w:color="auto"/>
          </w:divBdr>
        </w:div>
        <w:div w:id="438991656">
          <w:marLeft w:val="0"/>
          <w:marRight w:val="0"/>
          <w:marTop w:val="0"/>
          <w:marBottom w:val="0"/>
          <w:divBdr>
            <w:top w:val="none" w:sz="0" w:space="0" w:color="auto"/>
            <w:left w:val="none" w:sz="0" w:space="0" w:color="auto"/>
            <w:bottom w:val="none" w:sz="0" w:space="0" w:color="auto"/>
            <w:right w:val="none" w:sz="0" w:space="0" w:color="auto"/>
          </w:divBdr>
        </w:div>
        <w:div w:id="1823500106">
          <w:marLeft w:val="0"/>
          <w:marRight w:val="0"/>
          <w:marTop w:val="0"/>
          <w:marBottom w:val="0"/>
          <w:divBdr>
            <w:top w:val="none" w:sz="0" w:space="0" w:color="auto"/>
            <w:left w:val="none" w:sz="0" w:space="0" w:color="auto"/>
            <w:bottom w:val="none" w:sz="0" w:space="0" w:color="auto"/>
            <w:right w:val="none" w:sz="0" w:space="0" w:color="auto"/>
          </w:divBdr>
        </w:div>
        <w:div w:id="527454136">
          <w:marLeft w:val="0"/>
          <w:marRight w:val="0"/>
          <w:marTop w:val="0"/>
          <w:marBottom w:val="0"/>
          <w:divBdr>
            <w:top w:val="none" w:sz="0" w:space="0" w:color="auto"/>
            <w:left w:val="none" w:sz="0" w:space="0" w:color="auto"/>
            <w:bottom w:val="none" w:sz="0" w:space="0" w:color="auto"/>
            <w:right w:val="none" w:sz="0" w:space="0" w:color="auto"/>
          </w:divBdr>
        </w:div>
        <w:div w:id="1886941597">
          <w:marLeft w:val="0"/>
          <w:marRight w:val="0"/>
          <w:marTop w:val="0"/>
          <w:marBottom w:val="0"/>
          <w:divBdr>
            <w:top w:val="none" w:sz="0" w:space="0" w:color="auto"/>
            <w:left w:val="none" w:sz="0" w:space="0" w:color="auto"/>
            <w:bottom w:val="none" w:sz="0" w:space="0" w:color="auto"/>
            <w:right w:val="none" w:sz="0" w:space="0" w:color="auto"/>
          </w:divBdr>
        </w:div>
        <w:div w:id="1360281917">
          <w:marLeft w:val="0"/>
          <w:marRight w:val="0"/>
          <w:marTop w:val="0"/>
          <w:marBottom w:val="0"/>
          <w:divBdr>
            <w:top w:val="none" w:sz="0" w:space="0" w:color="auto"/>
            <w:left w:val="none" w:sz="0" w:space="0" w:color="auto"/>
            <w:bottom w:val="none" w:sz="0" w:space="0" w:color="auto"/>
            <w:right w:val="none" w:sz="0" w:space="0" w:color="auto"/>
          </w:divBdr>
        </w:div>
        <w:div w:id="1480070028">
          <w:marLeft w:val="0"/>
          <w:marRight w:val="0"/>
          <w:marTop w:val="0"/>
          <w:marBottom w:val="0"/>
          <w:divBdr>
            <w:top w:val="none" w:sz="0" w:space="0" w:color="auto"/>
            <w:left w:val="none" w:sz="0" w:space="0" w:color="auto"/>
            <w:bottom w:val="none" w:sz="0" w:space="0" w:color="auto"/>
            <w:right w:val="none" w:sz="0" w:space="0" w:color="auto"/>
          </w:divBdr>
        </w:div>
        <w:div w:id="2056001214">
          <w:marLeft w:val="0"/>
          <w:marRight w:val="0"/>
          <w:marTop w:val="0"/>
          <w:marBottom w:val="0"/>
          <w:divBdr>
            <w:top w:val="none" w:sz="0" w:space="0" w:color="auto"/>
            <w:left w:val="none" w:sz="0" w:space="0" w:color="auto"/>
            <w:bottom w:val="none" w:sz="0" w:space="0" w:color="auto"/>
            <w:right w:val="none" w:sz="0" w:space="0" w:color="auto"/>
          </w:divBdr>
        </w:div>
        <w:div w:id="372735027">
          <w:marLeft w:val="0"/>
          <w:marRight w:val="0"/>
          <w:marTop w:val="0"/>
          <w:marBottom w:val="0"/>
          <w:divBdr>
            <w:top w:val="none" w:sz="0" w:space="0" w:color="auto"/>
            <w:left w:val="none" w:sz="0" w:space="0" w:color="auto"/>
            <w:bottom w:val="none" w:sz="0" w:space="0" w:color="auto"/>
            <w:right w:val="none" w:sz="0" w:space="0" w:color="auto"/>
          </w:divBdr>
        </w:div>
        <w:div w:id="1516142358">
          <w:marLeft w:val="0"/>
          <w:marRight w:val="0"/>
          <w:marTop w:val="0"/>
          <w:marBottom w:val="0"/>
          <w:divBdr>
            <w:top w:val="none" w:sz="0" w:space="0" w:color="auto"/>
            <w:left w:val="none" w:sz="0" w:space="0" w:color="auto"/>
            <w:bottom w:val="none" w:sz="0" w:space="0" w:color="auto"/>
            <w:right w:val="none" w:sz="0" w:space="0" w:color="auto"/>
          </w:divBdr>
        </w:div>
        <w:div w:id="483938588">
          <w:marLeft w:val="0"/>
          <w:marRight w:val="0"/>
          <w:marTop w:val="0"/>
          <w:marBottom w:val="0"/>
          <w:divBdr>
            <w:top w:val="none" w:sz="0" w:space="0" w:color="auto"/>
            <w:left w:val="none" w:sz="0" w:space="0" w:color="auto"/>
            <w:bottom w:val="none" w:sz="0" w:space="0" w:color="auto"/>
            <w:right w:val="none" w:sz="0" w:space="0" w:color="auto"/>
          </w:divBdr>
        </w:div>
        <w:div w:id="1177110673">
          <w:marLeft w:val="0"/>
          <w:marRight w:val="0"/>
          <w:marTop w:val="0"/>
          <w:marBottom w:val="0"/>
          <w:divBdr>
            <w:top w:val="none" w:sz="0" w:space="0" w:color="auto"/>
            <w:left w:val="none" w:sz="0" w:space="0" w:color="auto"/>
            <w:bottom w:val="none" w:sz="0" w:space="0" w:color="auto"/>
            <w:right w:val="none" w:sz="0" w:space="0" w:color="auto"/>
          </w:divBdr>
        </w:div>
        <w:div w:id="218253260">
          <w:marLeft w:val="0"/>
          <w:marRight w:val="0"/>
          <w:marTop w:val="0"/>
          <w:marBottom w:val="0"/>
          <w:divBdr>
            <w:top w:val="none" w:sz="0" w:space="0" w:color="auto"/>
            <w:left w:val="none" w:sz="0" w:space="0" w:color="auto"/>
            <w:bottom w:val="none" w:sz="0" w:space="0" w:color="auto"/>
            <w:right w:val="none" w:sz="0" w:space="0" w:color="auto"/>
          </w:divBdr>
        </w:div>
        <w:div w:id="2105110308">
          <w:marLeft w:val="0"/>
          <w:marRight w:val="0"/>
          <w:marTop w:val="0"/>
          <w:marBottom w:val="0"/>
          <w:divBdr>
            <w:top w:val="none" w:sz="0" w:space="0" w:color="auto"/>
            <w:left w:val="none" w:sz="0" w:space="0" w:color="auto"/>
            <w:bottom w:val="none" w:sz="0" w:space="0" w:color="auto"/>
            <w:right w:val="none" w:sz="0" w:space="0" w:color="auto"/>
          </w:divBdr>
        </w:div>
        <w:div w:id="1455060645">
          <w:marLeft w:val="0"/>
          <w:marRight w:val="0"/>
          <w:marTop w:val="0"/>
          <w:marBottom w:val="0"/>
          <w:divBdr>
            <w:top w:val="none" w:sz="0" w:space="0" w:color="auto"/>
            <w:left w:val="none" w:sz="0" w:space="0" w:color="auto"/>
            <w:bottom w:val="none" w:sz="0" w:space="0" w:color="auto"/>
            <w:right w:val="none" w:sz="0" w:space="0" w:color="auto"/>
          </w:divBdr>
        </w:div>
        <w:div w:id="811094815">
          <w:marLeft w:val="0"/>
          <w:marRight w:val="0"/>
          <w:marTop w:val="0"/>
          <w:marBottom w:val="0"/>
          <w:divBdr>
            <w:top w:val="none" w:sz="0" w:space="0" w:color="auto"/>
            <w:left w:val="none" w:sz="0" w:space="0" w:color="auto"/>
            <w:bottom w:val="none" w:sz="0" w:space="0" w:color="auto"/>
            <w:right w:val="none" w:sz="0" w:space="0" w:color="auto"/>
          </w:divBdr>
        </w:div>
        <w:div w:id="2137597397">
          <w:marLeft w:val="0"/>
          <w:marRight w:val="0"/>
          <w:marTop w:val="0"/>
          <w:marBottom w:val="0"/>
          <w:divBdr>
            <w:top w:val="none" w:sz="0" w:space="0" w:color="auto"/>
            <w:left w:val="none" w:sz="0" w:space="0" w:color="auto"/>
            <w:bottom w:val="none" w:sz="0" w:space="0" w:color="auto"/>
            <w:right w:val="none" w:sz="0" w:space="0" w:color="auto"/>
          </w:divBdr>
        </w:div>
        <w:div w:id="1752384260">
          <w:marLeft w:val="0"/>
          <w:marRight w:val="0"/>
          <w:marTop w:val="0"/>
          <w:marBottom w:val="0"/>
          <w:divBdr>
            <w:top w:val="none" w:sz="0" w:space="0" w:color="auto"/>
            <w:left w:val="none" w:sz="0" w:space="0" w:color="auto"/>
            <w:bottom w:val="none" w:sz="0" w:space="0" w:color="auto"/>
            <w:right w:val="none" w:sz="0" w:space="0" w:color="auto"/>
          </w:divBdr>
        </w:div>
        <w:div w:id="467599473">
          <w:marLeft w:val="0"/>
          <w:marRight w:val="0"/>
          <w:marTop w:val="0"/>
          <w:marBottom w:val="0"/>
          <w:divBdr>
            <w:top w:val="none" w:sz="0" w:space="0" w:color="auto"/>
            <w:left w:val="none" w:sz="0" w:space="0" w:color="auto"/>
            <w:bottom w:val="none" w:sz="0" w:space="0" w:color="auto"/>
            <w:right w:val="none" w:sz="0" w:space="0" w:color="auto"/>
          </w:divBdr>
        </w:div>
        <w:div w:id="2708326">
          <w:marLeft w:val="0"/>
          <w:marRight w:val="0"/>
          <w:marTop w:val="0"/>
          <w:marBottom w:val="0"/>
          <w:divBdr>
            <w:top w:val="none" w:sz="0" w:space="0" w:color="auto"/>
            <w:left w:val="none" w:sz="0" w:space="0" w:color="auto"/>
            <w:bottom w:val="none" w:sz="0" w:space="0" w:color="auto"/>
            <w:right w:val="none" w:sz="0" w:space="0" w:color="auto"/>
          </w:divBdr>
        </w:div>
        <w:div w:id="280110123">
          <w:marLeft w:val="0"/>
          <w:marRight w:val="0"/>
          <w:marTop w:val="0"/>
          <w:marBottom w:val="0"/>
          <w:divBdr>
            <w:top w:val="none" w:sz="0" w:space="0" w:color="auto"/>
            <w:left w:val="none" w:sz="0" w:space="0" w:color="auto"/>
            <w:bottom w:val="none" w:sz="0" w:space="0" w:color="auto"/>
            <w:right w:val="none" w:sz="0" w:space="0" w:color="auto"/>
          </w:divBdr>
        </w:div>
        <w:div w:id="475532657">
          <w:marLeft w:val="0"/>
          <w:marRight w:val="0"/>
          <w:marTop w:val="0"/>
          <w:marBottom w:val="0"/>
          <w:divBdr>
            <w:top w:val="none" w:sz="0" w:space="0" w:color="auto"/>
            <w:left w:val="none" w:sz="0" w:space="0" w:color="auto"/>
            <w:bottom w:val="none" w:sz="0" w:space="0" w:color="auto"/>
            <w:right w:val="none" w:sz="0" w:space="0" w:color="auto"/>
          </w:divBdr>
        </w:div>
        <w:div w:id="1049762111">
          <w:marLeft w:val="0"/>
          <w:marRight w:val="0"/>
          <w:marTop w:val="0"/>
          <w:marBottom w:val="0"/>
          <w:divBdr>
            <w:top w:val="none" w:sz="0" w:space="0" w:color="auto"/>
            <w:left w:val="none" w:sz="0" w:space="0" w:color="auto"/>
            <w:bottom w:val="none" w:sz="0" w:space="0" w:color="auto"/>
            <w:right w:val="none" w:sz="0" w:space="0" w:color="auto"/>
          </w:divBdr>
        </w:div>
        <w:div w:id="134688164">
          <w:marLeft w:val="0"/>
          <w:marRight w:val="0"/>
          <w:marTop w:val="0"/>
          <w:marBottom w:val="0"/>
          <w:divBdr>
            <w:top w:val="none" w:sz="0" w:space="0" w:color="auto"/>
            <w:left w:val="none" w:sz="0" w:space="0" w:color="auto"/>
            <w:bottom w:val="none" w:sz="0" w:space="0" w:color="auto"/>
            <w:right w:val="none" w:sz="0" w:space="0" w:color="auto"/>
          </w:divBdr>
        </w:div>
        <w:div w:id="326321782">
          <w:marLeft w:val="0"/>
          <w:marRight w:val="0"/>
          <w:marTop w:val="0"/>
          <w:marBottom w:val="0"/>
          <w:divBdr>
            <w:top w:val="none" w:sz="0" w:space="0" w:color="auto"/>
            <w:left w:val="none" w:sz="0" w:space="0" w:color="auto"/>
            <w:bottom w:val="none" w:sz="0" w:space="0" w:color="auto"/>
            <w:right w:val="none" w:sz="0" w:space="0" w:color="auto"/>
          </w:divBdr>
        </w:div>
        <w:div w:id="1251894974">
          <w:marLeft w:val="0"/>
          <w:marRight w:val="0"/>
          <w:marTop w:val="0"/>
          <w:marBottom w:val="0"/>
          <w:divBdr>
            <w:top w:val="none" w:sz="0" w:space="0" w:color="auto"/>
            <w:left w:val="none" w:sz="0" w:space="0" w:color="auto"/>
            <w:bottom w:val="none" w:sz="0" w:space="0" w:color="auto"/>
            <w:right w:val="none" w:sz="0" w:space="0" w:color="auto"/>
          </w:divBdr>
        </w:div>
        <w:div w:id="851994829">
          <w:marLeft w:val="0"/>
          <w:marRight w:val="0"/>
          <w:marTop w:val="0"/>
          <w:marBottom w:val="0"/>
          <w:divBdr>
            <w:top w:val="none" w:sz="0" w:space="0" w:color="auto"/>
            <w:left w:val="none" w:sz="0" w:space="0" w:color="auto"/>
            <w:bottom w:val="none" w:sz="0" w:space="0" w:color="auto"/>
            <w:right w:val="none" w:sz="0" w:space="0" w:color="auto"/>
          </w:divBdr>
        </w:div>
        <w:div w:id="601454048">
          <w:marLeft w:val="0"/>
          <w:marRight w:val="0"/>
          <w:marTop w:val="0"/>
          <w:marBottom w:val="0"/>
          <w:divBdr>
            <w:top w:val="none" w:sz="0" w:space="0" w:color="auto"/>
            <w:left w:val="none" w:sz="0" w:space="0" w:color="auto"/>
            <w:bottom w:val="none" w:sz="0" w:space="0" w:color="auto"/>
            <w:right w:val="none" w:sz="0" w:space="0" w:color="auto"/>
          </w:divBdr>
        </w:div>
        <w:div w:id="1082220093">
          <w:marLeft w:val="0"/>
          <w:marRight w:val="0"/>
          <w:marTop w:val="0"/>
          <w:marBottom w:val="0"/>
          <w:divBdr>
            <w:top w:val="none" w:sz="0" w:space="0" w:color="auto"/>
            <w:left w:val="none" w:sz="0" w:space="0" w:color="auto"/>
            <w:bottom w:val="none" w:sz="0" w:space="0" w:color="auto"/>
            <w:right w:val="none" w:sz="0" w:space="0" w:color="auto"/>
          </w:divBdr>
        </w:div>
        <w:div w:id="1629239546">
          <w:marLeft w:val="0"/>
          <w:marRight w:val="0"/>
          <w:marTop w:val="0"/>
          <w:marBottom w:val="0"/>
          <w:divBdr>
            <w:top w:val="none" w:sz="0" w:space="0" w:color="auto"/>
            <w:left w:val="none" w:sz="0" w:space="0" w:color="auto"/>
            <w:bottom w:val="none" w:sz="0" w:space="0" w:color="auto"/>
            <w:right w:val="none" w:sz="0" w:space="0" w:color="auto"/>
          </w:divBdr>
        </w:div>
        <w:div w:id="2052531218">
          <w:marLeft w:val="0"/>
          <w:marRight w:val="0"/>
          <w:marTop w:val="0"/>
          <w:marBottom w:val="0"/>
          <w:divBdr>
            <w:top w:val="none" w:sz="0" w:space="0" w:color="auto"/>
            <w:left w:val="none" w:sz="0" w:space="0" w:color="auto"/>
            <w:bottom w:val="none" w:sz="0" w:space="0" w:color="auto"/>
            <w:right w:val="none" w:sz="0" w:space="0" w:color="auto"/>
          </w:divBdr>
        </w:div>
        <w:div w:id="1732731114">
          <w:marLeft w:val="0"/>
          <w:marRight w:val="0"/>
          <w:marTop w:val="0"/>
          <w:marBottom w:val="0"/>
          <w:divBdr>
            <w:top w:val="none" w:sz="0" w:space="0" w:color="auto"/>
            <w:left w:val="none" w:sz="0" w:space="0" w:color="auto"/>
            <w:bottom w:val="none" w:sz="0" w:space="0" w:color="auto"/>
            <w:right w:val="none" w:sz="0" w:space="0" w:color="auto"/>
          </w:divBdr>
        </w:div>
        <w:div w:id="257644482">
          <w:marLeft w:val="0"/>
          <w:marRight w:val="0"/>
          <w:marTop w:val="0"/>
          <w:marBottom w:val="0"/>
          <w:divBdr>
            <w:top w:val="none" w:sz="0" w:space="0" w:color="auto"/>
            <w:left w:val="none" w:sz="0" w:space="0" w:color="auto"/>
            <w:bottom w:val="none" w:sz="0" w:space="0" w:color="auto"/>
            <w:right w:val="none" w:sz="0" w:space="0" w:color="auto"/>
          </w:divBdr>
        </w:div>
        <w:div w:id="1142117791">
          <w:marLeft w:val="0"/>
          <w:marRight w:val="0"/>
          <w:marTop w:val="0"/>
          <w:marBottom w:val="0"/>
          <w:divBdr>
            <w:top w:val="none" w:sz="0" w:space="0" w:color="auto"/>
            <w:left w:val="none" w:sz="0" w:space="0" w:color="auto"/>
            <w:bottom w:val="none" w:sz="0" w:space="0" w:color="auto"/>
            <w:right w:val="none" w:sz="0" w:space="0" w:color="auto"/>
          </w:divBdr>
        </w:div>
        <w:div w:id="1141381926">
          <w:marLeft w:val="0"/>
          <w:marRight w:val="0"/>
          <w:marTop w:val="0"/>
          <w:marBottom w:val="0"/>
          <w:divBdr>
            <w:top w:val="none" w:sz="0" w:space="0" w:color="auto"/>
            <w:left w:val="none" w:sz="0" w:space="0" w:color="auto"/>
            <w:bottom w:val="none" w:sz="0" w:space="0" w:color="auto"/>
            <w:right w:val="none" w:sz="0" w:space="0" w:color="auto"/>
          </w:divBdr>
        </w:div>
        <w:div w:id="37052692">
          <w:marLeft w:val="0"/>
          <w:marRight w:val="0"/>
          <w:marTop w:val="0"/>
          <w:marBottom w:val="0"/>
          <w:divBdr>
            <w:top w:val="none" w:sz="0" w:space="0" w:color="auto"/>
            <w:left w:val="none" w:sz="0" w:space="0" w:color="auto"/>
            <w:bottom w:val="none" w:sz="0" w:space="0" w:color="auto"/>
            <w:right w:val="none" w:sz="0" w:space="0" w:color="auto"/>
          </w:divBdr>
        </w:div>
        <w:div w:id="1653758358">
          <w:marLeft w:val="0"/>
          <w:marRight w:val="0"/>
          <w:marTop w:val="0"/>
          <w:marBottom w:val="0"/>
          <w:divBdr>
            <w:top w:val="none" w:sz="0" w:space="0" w:color="auto"/>
            <w:left w:val="none" w:sz="0" w:space="0" w:color="auto"/>
            <w:bottom w:val="none" w:sz="0" w:space="0" w:color="auto"/>
            <w:right w:val="none" w:sz="0" w:space="0" w:color="auto"/>
          </w:divBdr>
        </w:div>
        <w:div w:id="1673875207">
          <w:marLeft w:val="0"/>
          <w:marRight w:val="0"/>
          <w:marTop w:val="0"/>
          <w:marBottom w:val="0"/>
          <w:divBdr>
            <w:top w:val="none" w:sz="0" w:space="0" w:color="auto"/>
            <w:left w:val="none" w:sz="0" w:space="0" w:color="auto"/>
            <w:bottom w:val="none" w:sz="0" w:space="0" w:color="auto"/>
            <w:right w:val="none" w:sz="0" w:space="0" w:color="auto"/>
          </w:divBdr>
        </w:div>
        <w:div w:id="1275863320">
          <w:marLeft w:val="0"/>
          <w:marRight w:val="0"/>
          <w:marTop w:val="0"/>
          <w:marBottom w:val="0"/>
          <w:divBdr>
            <w:top w:val="none" w:sz="0" w:space="0" w:color="auto"/>
            <w:left w:val="none" w:sz="0" w:space="0" w:color="auto"/>
            <w:bottom w:val="none" w:sz="0" w:space="0" w:color="auto"/>
            <w:right w:val="none" w:sz="0" w:space="0" w:color="auto"/>
          </w:divBdr>
        </w:div>
        <w:div w:id="341320767">
          <w:marLeft w:val="0"/>
          <w:marRight w:val="0"/>
          <w:marTop w:val="0"/>
          <w:marBottom w:val="0"/>
          <w:divBdr>
            <w:top w:val="none" w:sz="0" w:space="0" w:color="auto"/>
            <w:left w:val="none" w:sz="0" w:space="0" w:color="auto"/>
            <w:bottom w:val="none" w:sz="0" w:space="0" w:color="auto"/>
            <w:right w:val="none" w:sz="0" w:space="0" w:color="auto"/>
          </w:divBdr>
        </w:div>
        <w:div w:id="439766375">
          <w:marLeft w:val="0"/>
          <w:marRight w:val="0"/>
          <w:marTop w:val="0"/>
          <w:marBottom w:val="0"/>
          <w:divBdr>
            <w:top w:val="none" w:sz="0" w:space="0" w:color="auto"/>
            <w:left w:val="none" w:sz="0" w:space="0" w:color="auto"/>
            <w:bottom w:val="none" w:sz="0" w:space="0" w:color="auto"/>
            <w:right w:val="none" w:sz="0" w:space="0" w:color="auto"/>
          </w:divBdr>
        </w:div>
        <w:div w:id="35207760">
          <w:marLeft w:val="0"/>
          <w:marRight w:val="0"/>
          <w:marTop w:val="0"/>
          <w:marBottom w:val="0"/>
          <w:divBdr>
            <w:top w:val="none" w:sz="0" w:space="0" w:color="auto"/>
            <w:left w:val="none" w:sz="0" w:space="0" w:color="auto"/>
            <w:bottom w:val="none" w:sz="0" w:space="0" w:color="auto"/>
            <w:right w:val="none" w:sz="0" w:space="0" w:color="auto"/>
          </w:divBdr>
        </w:div>
        <w:div w:id="928196698">
          <w:marLeft w:val="0"/>
          <w:marRight w:val="0"/>
          <w:marTop w:val="0"/>
          <w:marBottom w:val="0"/>
          <w:divBdr>
            <w:top w:val="none" w:sz="0" w:space="0" w:color="auto"/>
            <w:left w:val="none" w:sz="0" w:space="0" w:color="auto"/>
            <w:bottom w:val="none" w:sz="0" w:space="0" w:color="auto"/>
            <w:right w:val="none" w:sz="0" w:space="0" w:color="auto"/>
          </w:divBdr>
        </w:div>
        <w:div w:id="677539183">
          <w:marLeft w:val="0"/>
          <w:marRight w:val="0"/>
          <w:marTop w:val="0"/>
          <w:marBottom w:val="0"/>
          <w:divBdr>
            <w:top w:val="none" w:sz="0" w:space="0" w:color="auto"/>
            <w:left w:val="none" w:sz="0" w:space="0" w:color="auto"/>
            <w:bottom w:val="none" w:sz="0" w:space="0" w:color="auto"/>
            <w:right w:val="none" w:sz="0" w:space="0" w:color="auto"/>
          </w:divBdr>
        </w:div>
        <w:div w:id="1759477071">
          <w:marLeft w:val="0"/>
          <w:marRight w:val="0"/>
          <w:marTop w:val="0"/>
          <w:marBottom w:val="0"/>
          <w:divBdr>
            <w:top w:val="none" w:sz="0" w:space="0" w:color="auto"/>
            <w:left w:val="none" w:sz="0" w:space="0" w:color="auto"/>
            <w:bottom w:val="none" w:sz="0" w:space="0" w:color="auto"/>
            <w:right w:val="none" w:sz="0" w:space="0" w:color="auto"/>
          </w:divBdr>
        </w:div>
        <w:div w:id="2101412057">
          <w:marLeft w:val="0"/>
          <w:marRight w:val="0"/>
          <w:marTop w:val="0"/>
          <w:marBottom w:val="0"/>
          <w:divBdr>
            <w:top w:val="none" w:sz="0" w:space="0" w:color="auto"/>
            <w:left w:val="none" w:sz="0" w:space="0" w:color="auto"/>
            <w:bottom w:val="none" w:sz="0" w:space="0" w:color="auto"/>
            <w:right w:val="none" w:sz="0" w:space="0" w:color="auto"/>
          </w:divBdr>
        </w:div>
        <w:div w:id="6710843">
          <w:marLeft w:val="0"/>
          <w:marRight w:val="0"/>
          <w:marTop w:val="0"/>
          <w:marBottom w:val="0"/>
          <w:divBdr>
            <w:top w:val="none" w:sz="0" w:space="0" w:color="auto"/>
            <w:left w:val="none" w:sz="0" w:space="0" w:color="auto"/>
            <w:bottom w:val="none" w:sz="0" w:space="0" w:color="auto"/>
            <w:right w:val="none" w:sz="0" w:space="0" w:color="auto"/>
          </w:divBdr>
        </w:div>
        <w:div w:id="355278162">
          <w:marLeft w:val="0"/>
          <w:marRight w:val="0"/>
          <w:marTop w:val="0"/>
          <w:marBottom w:val="0"/>
          <w:divBdr>
            <w:top w:val="none" w:sz="0" w:space="0" w:color="auto"/>
            <w:left w:val="none" w:sz="0" w:space="0" w:color="auto"/>
            <w:bottom w:val="none" w:sz="0" w:space="0" w:color="auto"/>
            <w:right w:val="none" w:sz="0" w:space="0" w:color="auto"/>
          </w:divBdr>
        </w:div>
      </w:divsChild>
    </w:div>
    <w:div w:id="1219559542">
      <w:marLeft w:val="0"/>
      <w:marRight w:val="0"/>
      <w:marTop w:val="0"/>
      <w:marBottom w:val="0"/>
      <w:divBdr>
        <w:top w:val="none" w:sz="0" w:space="0" w:color="auto"/>
        <w:left w:val="none" w:sz="0" w:space="0" w:color="auto"/>
        <w:bottom w:val="none" w:sz="0" w:space="0" w:color="auto"/>
        <w:right w:val="none" w:sz="0" w:space="0" w:color="auto"/>
      </w:divBdr>
      <w:divsChild>
        <w:div w:id="800656213">
          <w:marLeft w:val="0"/>
          <w:marRight w:val="0"/>
          <w:marTop w:val="0"/>
          <w:marBottom w:val="0"/>
          <w:divBdr>
            <w:top w:val="none" w:sz="0" w:space="0" w:color="auto"/>
            <w:left w:val="none" w:sz="0" w:space="0" w:color="auto"/>
            <w:bottom w:val="none" w:sz="0" w:space="0" w:color="auto"/>
            <w:right w:val="none" w:sz="0" w:space="0" w:color="auto"/>
          </w:divBdr>
        </w:div>
      </w:divsChild>
    </w:div>
    <w:div w:id="1219584939">
      <w:marLeft w:val="0"/>
      <w:marRight w:val="0"/>
      <w:marTop w:val="0"/>
      <w:marBottom w:val="0"/>
      <w:divBdr>
        <w:top w:val="none" w:sz="0" w:space="0" w:color="auto"/>
        <w:left w:val="none" w:sz="0" w:space="0" w:color="auto"/>
        <w:bottom w:val="none" w:sz="0" w:space="0" w:color="auto"/>
        <w:right w:val="none" w:sz="0" w:space="0" w:color="auto"/>
      </w:divBdr>
      <w:divsChild>
        <w:div w:id="1392537656">
          <w:marLeft w:val="0"/>
          <w:marRight w:val="0"/>
          <w:marTop w:val="0"/>
          <w:marBottom w:val="0"/>
          <w:divBdr>
            <w:top w:val="none" w:sz="0" w:space="0" w:color="auto"/>
            <w:left w:val="none" w:sz="0" w:space="0" w:color="auto"/>
            <w:bottom w:val="none" w:sz="0" w:space="0" w:color="auto"/>
            <w:right w:val="none" w:sz="0" w:space="0" w:color="auto"/>
          </w:divBdr>
        </w:div>
      </w:divsChild>
    </w:div>
    <w:div w:id="1225487428">
      <w:marLeft w:val="0"/>
      <w:marRight w:val="0"/>
      <w:marTop w:val="0"/>
      <w:marBottom w:val="0"/>
      <w:divBdr>
        <w:top w:val="none" w:sz="0" w:space="0" w:color="auto"/>
        <w:left w:val="none" w:sz="0" w:space="0" w:color="auto"/>
        <w:bottom w:val="none" w:sz="0" w:space="0" w:color="auto"/>
        <w:right w:val="none" w:sz="0" w:space="0" w:color="auto"/>
      </w:divBdr>
      <w:divsChild>
        <w:div w:id="2028632862">
          <w:marLeft w:val="0"/>
          <w:marRight w:val="0"/>
          <w:marTop w:val="0"/>
          <w:marBottom w:val="0"/>
          <w:divBdr>
            <w:top w:val="none" w:sz="0" w:space="0" w:color="auto"/>
            <w:left w:val="none" w:sz="0" w:space="0" w:color="auto"/>
            <w:bottom w:val="none" w:sz="0" w:space="0" w:color="auto"/>
            <w:right w:val="none" w:sz="0" w:space="0" w:color="auto"/>
          </w:divBdr>
        </w:div>
      </w:divsChild>
    </w:div>
    <w:div w:id="1226067076">
      <w:bodyDiv w:val="1"/>
      <w:marLeft w:val="0"/>
      <w:marRight w:val="0"/>
      <w:marTop w:val="0"/>
      <w:marBottom w:val="0"/>
      <w:divBdr>
        <w:top w:val="none" w:sz="0" w:space="0" w:color="auto"/>
        <w:left w:val="none" w:sz="0" w:space="0" w:color="auto"/>
        <w:bottom w:val="none" w:sz="0" w:space="0" w:color="auto"/>
        <w:right w:val="none" w:sz="0" w:space="0" w:color="auto"/>
      </w:divBdr>
    </w:div>
    <w:div w:id="1230263956">
      <w:marLeft w:val="0"/>
      <w:marRight w:val="0"/>
      <w:marTop w:val="0"/>
      <w:marBottom w:val="0"/>
      <w:divBdr>
        <w:top w:val="none" w:sz="0" w:space="0" w:color="auto"/>
        <w:left w:val="none" w:sz="0" w:space="0" w:color="auto"/>
        <w:bottom w:val="none" w:sz="0" w:space="0" w:color="auto"/>
        <w:right w:val="none" w:sz="0" w:space="0" w:color="auto"/>
      </w:divBdr>
      <w:divsChild>
        <w:div w:id="910382154">
          <w:marLeft w:val="0"/>
          <w:marRight w:val="0"/>
          <w:marTop w:val="0"/>
          <w:marBottom w:val="0"/>
          <w:divBdr>
            <w:top w:val="none" w:sz="0" w:space="0" w:color="auto"/>
            <w:left w:val="none" w:sz="0" w:space="0" w:color="auto"/>
            <w:bottom w:val="none" w:sz="0" w:space="0" w:color="auto"/>
            <w:right w:val="none" w:sz="0" w:space="0" w:color="auto"/>
          </w:divBdr>
        </w:div>
      </w:divsChild>
    </w:div>
    <w:div w:id="1230919303">
      <w:bodyDiv w:val="1"/>
      <w:marLeft w:val="0"/>
      <w:marRight w:val="0"/>
      <w:marTop w:val="0"/>
      <w:marBottom w:val="0"/>
      <w:divBdr>
        <w:top w:val="none" w:sz="0" w:space="0" w:color="auto"/>
        <w:left w:val="none" w:sz="0" w:space="0" w:color="auto"/>
        <w:bottom w:val="none" w:sz="0" w:space="0" w:color="auto"/>
        <w:right w:val="none" w:sz="0" w:space="0" w:color="auto"/>
      </w:divBdr>
    </w:div>
    <w:div w:id="1231503434">
      <w:marLeft w:val="0"/>
      <w:marRight w:val="0"/>
      <w:marTop w:val="0"/>
      <w:marBottom w:val="0"/>
      <w:divBdr>
        <w:top w:val="none" w:sz="0" w:space="0" w:color="auto"/>
        <w:left w:val="none" w:sz="0" w:space="0" w:color="auto"/>
        <w:bottom w:val="none" w:sz="0" w:space="0" w:color="auto"/>
        <w:right w:val="none" w:sz="0" w:space="0" w:color="auto"/>
      </w:divBdr>
      <w:divsChild>
        <w:div w:id="278146130">
          <w:marLeft w:val="0"/>
          <w:marRight w:val="0"/>
          <w:marTop w:val="0"/>
          <w:marBottom w:val="0"/>
          <w:divBdr>
            <w:top w:val="none" w:sz="0" w:space="0" w:color="auto"/>
            <w:left w:val="none" w:sz="0" w:space="0" w:color="auto"/>
            <w:bottom w:val="none" w:sz="0" w:space="0" w:color="auto"/>
            <w:right w:val="none" w:sz="0" w:space="0" w:color="auto"/>
          </w:divBdr>
        </w:div>
      </w:divsChild>
    </w:div>
    <w:div w:id="1234850155">
      <w:marLeft w:val="0"/>
      <w:marRight w:val="0"/>
      <w:marTop w:val="0"/>
      <w:marBottom w:val="0"/>
      <w:divBdr>
        <w:top w:val="none" w:sz="0" w:space="0" w:color="auto"/>
        <w:left w:val="none" w:sz="0" w:space="0" w:color="auto"/>
        <w:bottom w:val="none" w:sz="0" w:space="0" w:color="auto"/>
        <w:right w:val="none" w:sz="0" w:space="0" w:color="auto"/>
      </w:divBdr>
      <w:divsChild>
        <w:div w:id="1832330371">
          <w:marLeft w:val="0"/>
          <w:marRight w:val="0"/>
          <w:marTop w:val="0"/>
          <w:marBottom w:val="0"/>
          <w:divBdr>
            <w:top w:val="none" w:sz="0" w:space="0" w:color="auto"/>
            <w:left w:val="none" w:sz="0" w:space="0" w:color="auto"/>
            <w:bottom w:val="none" w:sz="0" w:space="0" w:color="auto"/>
            <w:right w:val="none" w:sz="0" w:space="0" w:color="auto"/>
          </w:divBdr>
        </w:div>
      </w:divsChild>
    </w:div>
    <w:div w:id="1235047855">
      <w:bodyDiv w:val="1"/>
      <w:marLeft w:val="0"/>
      <w:marRight w:val="0"/>
      <w:marTop w:val="0"/>
      <w:marBottom w:val="0"/>
      <w:divBdr>
        <w:top w:val="none" w:sz="0" w:space="0" w:color="auto"/>
        <w:left w:val="none" w:sz="0" w:space="0" w:color="auto"/>
        <w:bottom w:val="none" w:sz="0" w:space="0" w:color="auto"/>
        <w:right w:val="none" w:sz="0" w:space="0" w:color="auto"/>
      </w:divBdr>
    </w:div>
    <w:div w:id="1236816707">
      <w:marLeft w:val="0"/>
      <w:marRight w:val="0"/>
      <w:marTop w:val="0"/>
      <w:marBottom w:val="0"/>
      <w:divBdr>
        <w:top w:val="none" w:sz="0" w:space="0" w:color="auto"/>
        <w:left w:val="none" w:sz="0" w:space="0" w:color="auto"/>
        <w:bottom w:val="none" w:sz="0" w:space="0" w:color="auto"/>
        <w:right w:val="none" w:sz="0" w:space="0" w:color="auto"/>
      </w:divBdr>
      <w:divsChild>
        <w:div w:id="1280260242">
          <w:marLeft w:val="0"/>
          <w:marRight w:val="0"/>
          <w:marTop w:val="0"/>
          <w:marBottom w:val="0"/>
          <w:divBdr>
            <w:top w:val="none" w:sz="0" w:space="0" w:color="auto"/>
            <w:left w:val="none" w:sz="0" w:space="0" w:color="auto"/>
            <w:bottom w:val="none" w:sz="0" w:space="0" w:color="auto"/>
            <w:right w:val="none" w:sz="0" w:space="0" w:color="auto"/>
          </w:divBdr>
        </w:div>
      </w:divsChild>
    </w:div>
    <w:div w:id="1236936636">
      <w:bodyDiv w:val="1"/>
      <w:marLeft w:val="0"/>
      <w:marRight w:val="0"/>
      <w:marTop w:val="0"/>
      <w:marBottom w:val="0"/>
      <w:divBdr>
        <w:top w:val="none" w:sz="0" w:space="0" w:color="auto"/>
        <w:left w:val="none" w:sz="0" w:space="0" w:color="auto"/>
        <w:bottom w:val="none" w:sz="0" w:space="0" w:color="auto"/>
        <w:right w:val="none" w:sz="0" w:space="0" w:color="auto"/>
      </w:divBdr>
      <w:divsChild>
        <w:div w:id="258831484">
          <w:marLeft w:val="0"/>
          <w:marRight w:val="0"/>
          <w:marTop w:val="0"/>
          <w:marBottom w:val="0"/>
          <w:divBdr>
            <w:top w:val="none" w:sz="0" w:space="0" w:color="auto"/>
            <w:left w:val="none" w:sz="0" w:space="0" w:color="auto"/>
            <w:bottom w:val="none" w:sz="0" w:space="0" w:color="auto"/>
            <w:right w:val="none" w:sz="0" w:space="0" w:color="auto"/>
          </w:divBdr>
          <w:divsChild>
            <w:div w:id="1542521126">
              <w:marLeft w:val="0"/>
              <w:marRight w:val="0"/>
              <w:marTop w:val="0"/>
              <w:marBottom w:val="0"/>
              <w:divBdr>
                <w:top w:val="none" w:sz="0" w:space="0" w:color="auto"/>
                <w:left w:val="none" w:sz="0" w:space="0" w:color="auto"/>
                <w:bottom w:val="none" w:sz="0" w:space="0" w:color="auto"/>
                <w:right w:val="none" w:sz="0" w:space="0" w:color="auto"/>
              </w:divBdr>
              <w:divsChild>
                <w:div w:id="992299186">
                  <w:marLeft w:val="0"/>
                  <w:marRight w:val="0"/>
                  <w:marTop w:val="0"/>
                  <w:marBottom w:val="0"/>
                  <w:divBdr>
                    <w:top w:val="none" w:sz="0" w:space="0" w:color="auto"/>
                    <w:left w:val="none" w:sz="0" w:space="0" w:color="auto"/>
                    <w:bottom w:val="none" w:sz="0" w:space="0" w:color="auto"/>
                    <w:right w:val="none" w:sz="0" w:space="0" w:color="auto"/>
                  </w:divBdr>
                </w:div>
                <w:div w:id="2088260910">
                  <w:marLeft w:val="0"/>
                  <w:marRight w:val="0"/>
                  <w:marTop w:val="0"/>
                  <w:marBottom w:val="0"/>
                  <w:divBdr>
                    <w:top w:val="none" w:sz="0" w:space="0" w:color="auto"/>
                    <w:left w:val="none" w:sz="0" w:space="0" w:color="auto"/>
                    <w:bottom w:val="none" w:sz="0" w:space="0" w:color="auto"/>
                    <w:right w:val="none" w:sz="0" w:space="0" w:color="auto"/>
                  </w:divBdr>
                </w:div>
                <w:div w:id="1439642194">
                  <w:marLeft w:val="0"/>
                  <w:marRight w:val="0"/>
                  <w:marTop w:val="0"/>
                  <w:marBottom w:val="0"/>
                  <w:divBdr>
                    <w:top w:val="none" w:sz="0" w:space="0" w:color="auto"/>
                    <w:left w:val="none" w:sz="0" w:space="0" w:color="auto"/>
                    <w:bottom w:val="none" w:sz="0" w:space="0" w:color="auto"/>
                    <w:right w:val="none" w:sz="0" w:space="0" w:color="auto"/>
                  </w:divBdr>
                </w:div>
                <w:div w:id="2136408194">
                  <w:marLeft w:val="0"/>
                  <w:marRight w:val="0"/>
                  <w:marTop w:val="0"/>
                  <w:marBottom w:val="0"/>
                  <w:divBdr>
                    <w:top w:val="none" w:sz="0" w:space="0" w:color="auto"/>
                    <w:left w:val="none" w:sz="0" w:space="0" w:color="auto"/>
                    <w:bottom w:val="none" w:sz="0" w:space="0" w:color="auto"/>
                    <w:right w:val="none" w:sz="0" w:space="0" w:color="auto"/>
                  </w:divBdr>
                </w:div>
                <w:div w:id="1912764291">
                  <w:marLeft w:val="0"/>
                  <w:marRight w:val="0"/>
                  <w:marTop w:val="0"/>
                  <w:marBottom w:val="0"/>
                  <w:divBdr>
                    <w:top w:val="none" w:sz="0" w:space="0" w:color="auto"/>
                    <w:left w:val="none" w:sz="0" w:space="0" w:color="auto"/>
                    <w:bottom w:val="none" w:sz="0" w:space="0" w:color="auto"/>
                    <w:right w:val="none" w:sz="0" w:space="0" w:color="auto"/>
                  </w:divBdr>
                </w:div>
                <w:div w:id="362753854">
                  <w:marLeft w:val="0"/>
                  <w:marRight w:val="0"/>
                  <w:marTop w:val="0"/>
                  <w:marBottom w:val="0"/>
                  <w:divBdr>
                    <w:top w:val="none" w:sz="0" w:space="0" w:color="auto"/>
                    <w:left w:val="none" w:sz="0" w:space="0" w:color="auto"/>
                    <w:bottom w:val="none" w:sz="0" w:space="0" w:color="auto"/>
                    <w:right w:val="none" w:sz="0" w:space="0" w:color="auto"/>
                  </w:divBdr>
                </w:div>
                <w:div w:id="1820153712">
                  <w:marLeft w:val="0"/>
                  <w:marRight w:val="0"/>
                  <w:marTop w:val="0"/>
                  <w:marBottom w:val="0"/>
                  <w:divBdr>
                    <w:top w:val="none" w:sz="0" w:space="0" w:color="auto"/>
                    <w:left w:val="none" w:sz="0" w:space="0" w:color="auto"/>
                    <w:bottom w:val="none" w:sz="0" w:space="0" w:color="auto"/>
                    <w:right w:val="none" w:sz="0" w:space="0" w:color="auto"/>
                  </w:divBdr>
                </w:div>
                <w:div w:id="213152933">
                  <w:marLeft w:val="0"/>
                  <w:marRight w:val="0"/>
                  <w:marTop w:val="0"/>
                  <w:marBottom w:val="0"/>
                  <w:divBdr>
                    <w:top w:val="none" w:sz="0" w:space="0" w:color="auto"/>
                    <w:left w:val="none" w:sz="0" w:space="0" w:color="auto"/>
                    <w:bottom w:val="none" w:sz="0" w:space="0" w:color="auto"/>
                    <w:right w:val="none" w:sz="0" w:space="0" w:color="auto"/>
                  </w:divBdr>
                </w:div>
                <w:div w:id="371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1119">
          <w:marLeft w:val="0"/>
          <w:marRight w:val="0"/>
          <w:marTop w:val="0"/>
          <w:marBottom w:val="0"/>
          <w:divBdr>
            <w:top w:val="none" w:sz="0" w:space="0" w:color="auto"/>
            <w:left w:val="none" w:sz="0" w:space="0" w:color="auto"/>
            <w:bottom w:val="none" w:sz="0" w:space="0" w:color="auto"/>
            <w:right w:val="none" w:sz="0" w:space="0" w:color="auto"/>
          </w:divBdr>
        </w:div>
        <w:div w:id="720515210">
          <w:marLeft w:val="0"/>
          <w:marRight w:val="0"/>
          <w:marTop w:val="0"/>
          <w:marBottom w:val="0"/>
          <w:divBdr>
            <w:top w:val="none" w:sz="0" w:space="0" w:color="auto"/>
            <w:left w:val="none" w:sz="0" w:space="0" w:color="auto"/>
            <w:bottom w:val="none" w:sz="0" w:space="0" w:color="auto"/>
            <w:right w:val="none" w:sz="0" w:space="0" w:color="auto"/>
          </w:divBdr>
        </w:div>
        <w:div w:id="771517020">
          <w:marLeft w:val="0"/>
          <w:marRight w:val="0"/>
          <w:marTop w:val="0"/>
          <w:marBottom w:val="0"/>
          <w:divBdr>
            <w:top w:val="none" w:sz="0" w:space="0" w:color="auto"/>
            <w:left w:val="none" w:sz="0" w:space="0" w:color="auto"/>
            <w:bottom w:val="none" w:sz="0" w:space="0" w:color="auto"/>
            <w:right w:val="none" w:sz="0" w:space="0" w:color="auto"/>
          </w:divBdr>
        </w:div>
        <w:div w:id="1804500493">
          <w:marLeft w:val="0"/>
          <w:marRight w:val="0"/>
          <w:marTop w:val="0"/>
          <w:marBottom w:val="0"/>
          <w:divBdr>
            <w:top w:val="none" w:sz="0" w:space="0" w:color="auto"/>
            <w:left w:val="none" w:sz="0" w:space="0" w:color="auto"/>
            <w:bottom w:val="none" w:sz="0" w:space="0" w:color="auto"/>
            <w:right w:val="none" w:sz="0" w:space="0" w:color="auto"/>
          </w:divBdr>
        </w:div>
        <w:div w:id="1727072769">
          <w:marLeft w:val="0"/>
          <w:marRight w:val="0"/>
          <w:marTop w:val="0"/>
          <w:marBottom w:val="0"/>
          <w:divBdr>
            <w:top w:val="none" w:sz="0" w:space="0" w:color="auto"/>
            <w:left w:val="none" w:sz="0" w:space="0" w:color="auto"/>
            <w:bottom w:val="none" w:sz="0" w:space="0" w:color="auto"/>
            <w:right w:val="none" w:sz="0" w:space="0" w:color="auto"/>
          </w:divBdr>
        </w:div>
        <w:div w:id="1585259564">
          <w:marLeft w:val="0"/>
          <w:marRight w:val="0"/>
          <w:marTop w:val="0"/>
          <w:marBottom w:val="0"/>
          <w:divBdr>
            <w:top w:val="none" w:sz="0" w:space="0" w:color="auto"/>
            <w:left w:val="none" w:sz="0" w:space="0" w:color="auto"/>
            <w:bottom w:val="none" w:sz="0" w:space="0" w:color="auto"/>
            <w:right w:val="none" w:sz="0" w:space="0" w:color="auto"/>
          </w:divBdr>
        </w:div>
        <w:div w:id="1308433885">
          <w:marLeft w:val="0"/>
          <w:marRight w:val="0"/>
          <w:marTop w:val="0"/>
          <w:marBottom w:val="0"/>
          <w:divBdr>
            <w:top w:val="none" w:sz="0" w:space="0" w:color="auto"/>
            <w:left w:val="none" w:sz="0" w:space="0" w:color="auto"/>
            <w:bottom w:val="none" w:sz="0" w:space="0" w:color="auto"/>
            <w:right w:val="none" w:sz="0" w:space="0" w:color="auto"/>
          </w:divBdr>
        </w:div>
        <w:div w:id="811022801">
          <w:marLeft w:val="0"/>
          <w:marRight w:val="0"/>
          <w:marTop w:val="0"/>
          <w:marBottom w:val="0"/>
          <w:divBdr>
            <w:top w:val="none" w:sz="0" w:space="0" w:color="auto"/>
            <w:left w:val="none" w:sz="0" w:space="0" w:color="auto"/>
            <w:bottom w:val="none" w:sz="0" w:space="0" w:color="auto"/>
            <w:right w:val="none" w:sz="0" w:space="0" w:color="auto"/>
          </w:divBdr>
        </w:div>
        <w:div w:id="554854336">
          <w:marLeft w:val="0"/>
          <w:marRight w:val="0"/>
          <w:marTop w:val="0"/>
          <w:marBottom w:val="0"/>
          <w:divBdr>
            <w:top w:val="none" w:sz="0" w:space="0" w:color="auto"/>
            <w:left w:val="none" w:sz="0" w:space="0" w:color="auto"/>
            <w:bottom w:val="none" w:sz="0" w:space="0" w:color="auto"/>
            <w:right w:val="none" w:sz="0" w:space="0" w:color="auto"/>
          </w:divBdr>
        </w:div>
        <w:div w:id="1179612425">
          <w:marLeft w:val="0"/>
          <w:marRight w:val="0"/>
          <w:marTop w:val="0"/>
          <w:marBottom w:val="0"/>
          <w:divBdr>
            <w:top w:val="none" w:sz="0" w:space="0" w:color="auto"/>
            <w:left w:val="none" w:sz="0" w:space="0" w:color="auto"/>
            <w:bottom w:val="none" w:sz="0" w:space="0" w:color="auto"/>
            <w:right w:val="none" w:sz="0" w:space="0" w:color="auto"/>
          </w:divBdr>
        </w:div>
        <w:div w:id="814690">
          <w:marLeft w:val="0"/>
          <w:marRight w:val="0"/>
          <w:marTop w:val="0"/>
          <w:marBottom w:val="0"/>
          <w:divBdr>
            <w:top w:val="none" w:sz="0" w:space="0" w:color="auto"/>
            <w:left w:val="none" w:sz="0" w:space="0" w:color="auto"/>
            <w:bottom w:val="none" w:sz="0" w:space="0" w:color="auto"/>
            <w:right w:val="none" w:sz="0" w:space="0" w:color="auto"/>
          </w:divBdr>
        </w:div>
        <w:div w:id="1304500228">
          <w:marLeft w:val="0"/>
          <w:marRight w:val="0"/>
          <w:marTop w:val="0"/>
          <w:marBottom w:val="0"/>
          <w:divBdr>
            <w:top w:val="none" w:sz="0" w:space="0" w:color="auto"/>
            <w:left w:val="none" w:sz="0" w:space="0" w:color="auto"/>
            <w:bottom w:val="none" w:sz="0" w:space="0" w:color="auto"/>
            <w:right w:val="none" w:sz="0" w:space="0" w:color="auto"/>
          </w:divBdr>
        </w:div>
        <w:div w:id="1646815570">
          <w:marLeft w:val="0"/>
          <w:marRight w:val="0"/>
          <w:marTop w:val="0"/>
          <w:marBottom w:val="0"/>
          <w:divBdr>
            <w:top w:val="none" w:sz="0" w:space="0" w:color="auto"/>
            <w:left w:val="none" w:sz="0" w:space="0" w:color="auto"/>
            <w:bottom w:val="none" w:sz="0" w:space="0" w:color="auto"/>
            <w:right w:val="none" w:sz="0" w:space="0" w:color="auto"/>
          </w:divBdr>
        </w:div>
        <w:div w:id="314187597">
          <w:marLeft w:val="0"/>
          <w:marRight w:val="0"/>
          <w:marTop w:val="0"/>
          <w:marBottom w:val="0"/>
          <w:divBdr>
            <w:top w:val="none" w:sz="0" w:space="0" w:color="auto"/>
            <w:left w:val="none" w:sz="0" w:space="0" w:color="auto"/>
            <w:bottom w:val="none" w:sz="0" w:space="0" w:color="auto"/>
            <w:right w:val="none" w:sz="0" w:space="0" w:color="auto"/>
          </w:divBdr>
        </w:div>
        <w:div w:id="1357923066">
          <w:marLeft w:val="0"/>
          <w:marRight w:val="0"/>
          <w:marTop w:val="0"/>
          <w:marBottom w:val="0"/>
          <w:divBdr>
            <w:top w:val="none" w:sz="0" w:space="0" w:color="auto"/>
            <w:left w:val="none" w:sz="0" w:space="0" w:color="auto"/>
            <w:bottom w:val="none" w:sz="0" w:space="0" w:color="auto"/>
            <w:right w:val="none" w:sz="0" w:space="0" w:color="auto"/>
          </w:divBdr>
        </w:div>
        <w:div w:id="293945745">
          <w:marLeft w:val="0"/>
          <w:marRight w:val="0"/>
          <w:marTop w:val="0"/>
          <w:marBottom w:val="0"/>
          <w:divBdr>
            <w:top w:val="none" w:sz="0" w:space="0" w:color="auto"/>
            <w:left w:val="none" w:sz="0" w:space="0" w:color="auto"/>
            <w:bottom w:val="none" w:sz="0" w:space="0" w:color="auto"/>
            <w:right w:val="none" w:sz="0" w:space="0" w:color="auto"/>
          </w:divBdr>
        </w:div>
        <w:div w:id="63531686">
          <w:marLeft w:val="0"/>
          <w:marRight w:val="0"/>
          <w:marTop w:val="0"/>
          <w:marBottom w:val="0"/>
          <w:divBdr>
            <w:top w:val="none" w:sz="0" w:space="0" w:color="auto"/>
            <w:left w:val="none" w:sz="0" w:space="0" w:color="auto"/>
            <w:bottom w:val="none" w:sz="0" w:space="0" w:color="auto"/>
            <w:right w:val="none" w:sz="0" w:space="0" w:color="auto"/>
          </w:divBdr>
        </w:div>
        <w:div w:id="2048682418">
          <w:marLeft w:val="0"/>
          <w:marRight w:val="0"/>
          <w:marTop w:val="0"/>
          <w:marBottom w:val="0"/>
          <w:divBdr>
            <w:top w:val="none" w:sz="0" w:space="0" w:color="auto"/>
            <w:left w:val="none" w:sz="0" w:space="0" w:color="auto"/>
            <w:bottom w:val="none" w:sz="0" w:space="0" w:color="auto"/>
            <w:right w:val="none" w:sz="0" w:space="0" w:color="auto"/>
          </w:divBdr>
        </w:div>
        <w:div w:id="1945795779">
          <w:marLeft w:val="0"/>
          <w:marRight w:val="0"/>
          <w:marTop w:val="0"/>
          <w:marBottom w:val="0"/>
          <w:divBdr>
            <w:top w:val="none" w:sz="0" w:space="0" w:color="auto"/>
            <w:left w:val="none" w:sz="0" w:space="0" w:color="auto"/>
            <w:bottom w:val="none" w:sz="0" w:space="0" w:color="auto"/>
            <w:right w:val="none" w:sz="0" w:space="0" w:color="auto"/>
          </w:divBdr>
        </w:div>
        <w:div w:id="2009550203">
          <w:marLeft w:val="0"/>
          <w:marRight w:val="0"/>
          <w:marTop w:val="0"/>
          <w:marBottom w:val="0"/>
          <w:divBdr>
            <w:top w:val="none" w:sz="0" w:space="0" w:color="auto"/>
            <w:left w:val="none" w:sz="0" w:space="0" w:color="auto"/>
            <w:bottom w:val="none" w:sz="0" w:space="0" w:color="auto"/>
            <w:right w:val="none" w:sz="0" w:space="0" w:color="auto"/>
          </w:divBdr>
        </w:div>
        <w:div w:id="355422348">
          <w:marLeft w:val="0"/>
          <w:marRight w:val="0"/>
          <w:marTop w:val="0"/>
          <w:marBottom w:val="0"/>
          <w:divBdr>
            <w:top w:val="none" w:sz="0" w:space="0" w:color="auto"/>
            <w:left w:val="none" w:sz="0" w:space="0" w:color="auto"/>
            <w:bottom w:val="none" w:sz="0" w:space="0" w:color="auto"/>
            <w:right w:val="none" w:sz="0" w:space="0" w:color="auto"/>
          </w:divBdr>
        </w:div>
        <w:div w:id="837498450">
          <w:marLeft w:val="0"/>
          <w:marRight w:val="0"/>
          <w:marTop w:val="0"/>
          <w:marBottom w:val="0"/>
          <w:divBdr>
            <w:top w:val="none" w:sz="0" w:space="0" w:color="auto"/>
            <w:left w:val="none" w:sz="0" w:space="0" w:color="auto"/>
            <w:bottom w:val="none" w:sz="0" w:space="0" w:color="auto"/>
            <w:right w:val="none" w:sz="0" w:space="0" w:color="auto"/>
          </w:divBdr>
        </w:div>
        <w:div w:id="1952475403">
          <w:marLeft w:val="0"/>
          <w:marRight w:val="0"/>
          <w:marTop w:val="0"/>
          <w:marBottom w:val="0"/>
          <w:divBdr>
            <w:top w:val="none" w:sz="0" w:space="0" w:color="auto"/>
            <w:left w:val="none" w:sz="0" w:space="0" w:color="auto"/>
            <w:bottom w:val="none" w:sz="0" w:space="0" w:color="auto"/>
            <w:right w:val="none" w:sz="0" w:space="0" w:color="auto"/>
          </w:divBdr>
        </w:div>
        <w:div w:id="1888225990">
          <w:marLeft w:val="0"/>
          <w:marRight w:val="0"/>
          <w:marTop w:val="0"/>
          <w:marBottom w:val="0"/>
          <w:divBdr>
            <w:top w:val="none" w:sz="0" w:space="0" w:color="auto"/>
            <w:left w:val="none" w:sz="0" w:space="0" w:color="auto"/>
            <w:bottom w:val="none" w:sz="0" w:space="0" w:color="auto"/>
            <w:right w:val="none" w:sz="0" w:space="0" w:color="auto"/>
          </w:divBdr>
        </w:div>
      </w:divsChild>
    </w:div>
    <w:div w:id="1241141906">
      <w:marLeft w:val="0"/>
      <w:marRight w:val="0"/>
      <w:marTop w:val="0"/>
      <w:marBottom w:val="0"/>
      <w:divBdr>
        <w:top w:val="none" w:sz="0" w:space="0" w:color="auto"/>
        <w:left w:val="none" w:sz="0" w:space="0" w:color="auto"/>
        <w:bottom w:val="none" w:sz="0" w:space="0" w:color="auto"/>
        <w:right w:val="none" w:sz="0" w:space="0" w:color="auto"/>
      </w:divBdr>
      <w:divsChild>
        <w:div w:id="914164305">
          <w:marLeft w:val="0"/>
          <w:marRight w:val="0"/>
          <w:marTop w:val="0"/>
          <w:marBottom w:val="0"/>
          <w:divBdr>
            <w:top w:val="none" w:sz="0" w:space="0" w:color="auto"/>
            <w:left w:val="none" w:sz="0" w:space="0" w:color="auto"/>
            <w:bottom w:val="none" w:sz="0" w:space="0" w:color="auto"/>
            <w:right w:val="none" w:sz="0" w:space="0" w:color="auto"/>
          </w:divBdr>
        </w:div>
      </w:divsChild>
    </w:div>
    <w:div w:id="1246374463">
      <w:marLeft w:val="0"/>
      <w:marRight w:val="0"/>
      <w:marTop w:val="0"/>
      <w:marBottom w:val="0"/>
      <w:divBdr>
        <w:top w:val="none" w:sz="0" w:space="0" w:color="auto"/>
        <w:left w:val="none" w:sz="0" w:space="0" w:color="auto"/>
        <w:bottom w:val="none" w:sz="0" w:space="0" w:color="auto"/>
        <w:right w:val="none" w:sz="0" w:space="0" w:color="auto"/>
      </w:divBdr>
      <w:divsChild>
        <w:div w:id="507601445">
          <w:marLeft w:val="0"/>
          <w:marRight w:val="0"/>
          <w:marTop w:val="0"/>
          <w:marBottom w:val="0"/>
          <w:divBdr>
            <w:top w:val="none" w:sz="0" w:space="0" w:color="auto"/>
            <w:left w:val="none" w:sz="0" w:space="0" w:color="auto"/>
            <w:bottom w:val="none" w:sz="0" w:space="0" w:color="auto"/>
            <w:right w:val="none" w:sz="0" w:space="0" w:color="auto"/>
          </w:divBdr>
        </w:div>
      </w:divsChild>
    </w:div>
    <w:div w:id="1247956026">
      <w:bodyDiv w:val="1"/>
      <w:marLeft w:val="0"/>
      <w:marRight w:val="0"/>
      <w:marTop w:val="0"/>
      <w:marBottom w:val="0"/>
      <w:divBdr>
        <w:top w:val="none" w:sz="0" w:space="0" w:color="auto"/>
        <w:left w:val="none" w:sz="0" w:space="0" w:color="auto"/>
        <w:bottom w:val="none" w:sz="0" w:space="0" w:color="auto"/>
        <w:right w:val="none" w:sz="0" w:space="0" w:color="auto"/>
      </w:divBdr>
    </w:div>
    <w:div w:id="1249920641">
      <w:bodyDiv w:val="1"/>
      <w:marLeft w:val="0"/>
      <w:marRight w:val="0"/>
      <w:marTop w:val="0"/>
      <w:marBottom w:val="0"/>
      <w:divBdr>
        <w:top w:val="none" w:sz="0" w:space="0" w:color="auto"/>
        <w:left w:val="none" w:sz="0" w:space="0" w:color="auto"/>
        <w:bottom w:val="none" w:sz="0" w:space="0" w:color="auto"/>
        <w:right w:val="none" w:sz="0" w:space="0" w:color="auto"/>
      </w:divBdr>
    </w:div>
    <w:div w:id="1256207414">
      <w:marLeft w:val="0"/>
      <w:marRight w:val="0"/>
      <w:marTop w:val="0"/>
      <w:marBottom w:val="0"/>
      <w:divBdr>
        <w:top w:val="none" w:sz="0" w:space="0" w:color="auto"/>
        <w:left w:val="none" w:sz="0" w:space="0" w:color="auto"/>
        <w:bottom w:val="none" w:sz="0" w:space="0" w:color="auto"/>
        <w:right w:val="none" w:sz="0" w:space="0" w:color="auto"/>
      </w:divBdr>
      <w:divsChild>
        <w:div w:id="1893493966">
          <w:marLeft w:val="0"/>
          <w:marRight w:val="0"/>
          <w:marTop w:val="0"/>
          <w:marBottom w:val="0"/>
          <w:divBdr>
            <w:top w:val="none" w:sz="0" w:space="0" w:color="auto"/>
            <w:left w:val="none" w:sz="0" w:space="0" w:color="auto"/>
            <w:bottom w:val="none" w:sz="0" w:space="0" w:color="auto"/>
            <w:right w:val="none" w:sz="0" w:space="0" w:color="auto"/>
          </w:divBdr>
        </w:div>
      </w:divsChild>
    </w:div>
    <w:div w:id="1256590094">
      <w:marLeft w:val="0"/>
      <w:marRight w:val="0"/>
      <w:marTop w:val="0"/>
      <w:marBottom w:val="0"/>
      <w:divBdr>
        <w:top w:val="none" w:sz="0" w:space="0" w:color="auto"/>
        <w:left w:val="none" w:sz="0" w:space="0" w:color="auto"/>
        <w:bottom w:val="none" w:sz="0" w:space="0" w:color="auto"/>
        <w:right w:val="none" w:sz="0" w:space="0" w:color="auto"/>
      </w:divBdr>
      <w:divsChild>
        <w:div w:id="1634480170">
          <w:marLeft w:val="0"/>
          <w:marRight w:val="0"/>
          <w:marTop w:val="0"/>
          <w:marBottom w:val="0"/>
          <w:divBdr>
            <w:top w:val="none" w:sz="0" w:space="0" w:color="auto"/>
            <w:left w:val="none" w:sz="0" w:space="0" w:color="auto"/>
            <w:bottom w:val="none" w:sz="0" w:space="0" w:color="auto"/>
            <w:right w:val="none" w:sz="0" w:space="0" w:color="auto"/>
          </w:divBdr>
        </w:div>
      </w:divsChild>
    </w:div>
    <w:div w:id="1256599138">
      <w:marLeft w:val="0"/>
      <w:marRight w:val="0"/>
      <w:marTop w:val="0"/>
      <w:marBottom w:val="0"/>
      <w:divBdr>
        <w:top w:val="none" w:sz="0" w:space="0" w:color="auto"/>
        <w:left w:val="none" w:sz="0" w:space="0" w:color="auto"/>
        <w:bottom w:val="none" w:sz="0" w:space="0" w:color="auto"/>
        <w:right w:val="none" w:sz="0" w:space="0" w:color="auto"/>
      </w:divBdr>
      <w:divsChild>
        <w:div w:id="992946151">
          <w:marLeft w:val="0"/>
          <w:marRight w:val="0"/>
          <w:marTop w:val="0"/>
          <w:marBottom w:val="0"/>
          <w:divBdr>
            <w:top w:val="none" w:sz="0" w:space="0" w:color="auto"/>
            <w:left w:val="none" w:sz="0" w:space="0" w:color="auto"/>
            <w:bottom w:val="none" w:sz="0" w:space="0" w:color="auto"/>
            <w:right w:val="none" w:sz="0" w:space="0" w:color="auto"/>
          </w:divBdr>
        </w:div>
      </w:divsChild>
    </w:div>
    <w:div w:id="1260215477">
      <w:marLeft w:val="0"/>
      <w:marRight w:val="0"/>
      <w:marTop w:val="0"/>
      <w:marBottom w:val="0"/>
      <w:divBdr>
        <w:top w:val="none" w:sz="0" w:space="0" w:color="auto"/>
        <w:left w:val="none" w:sz="0" w:space="0" w:color="auto"/>
        <w:bottom w:val="none" w:sz="0" w:space="0" w:color="auto"/>
        <w:right w:val="none" w:sz="0" w:space="0" w:color="auto"/>
      </w:divBdr>
      <w:divsChild>
        <w:div w:id="435566161">
          <w:marLeft w:val="0"/>
          <w:marRight w:val="0"/>
          <w:marTop w:val="0"/>
          <w:marBottom w:val="0"/>
          <w:divBdr>
            <w:top w:val="none" w:sz="0" w:space="0" w:color="auto"/>
            <w:left w:val="none" w:sz="0" w:space="0" w:color="auto"/>
            <w:bottom w:val="none" w:sz="0" w:space="0" w:color="auto"/>
            <w:right w:val="none" w:sz="0" w:space="0" w:color="auto"/>
          </w:divBdr>
        </w:div>
      </w:divsChild>
    </w:div>
    <w:div w:id="1263343094">
      <w:marLeft w:val="0"/>
      <w:marRight w:val="0"/>
      <w:marTop w:val="0"/>
      <w:marBottom w:val="0"/>
      <w:divBdr>
        <w:top w:val="none" w:sz="0" w:space="0" w:color="auto"/>
        <w:left w:val="none" w:sz="0" w:space="0" w:color="auto"/>
        <w:bottom w:val="none" w:sz="0" w:space="0" w:color="auto"/>
        <w:right w:val="none" w:sz="0" w:space="0" w:color="auto"/>
      </w:divBdr>
      <w:divsChild>
        <w:div w:id="1559128997">
          <w:marLeft w:val="0"/>
          <w:marRight w:val="0"/>
          <w:marTop w:val="0"/>
          <w:marBottom w:val="0"/>
          <w:divBdr>
            <w:top w:val="none" w:sz="0" w:space="0" w:color="auto"/>
            <w:left w:val="none" w:sz="0" w:space="0" w:color="auto"/>
            <w:bottom w:val="none" w:sz="0" w:space="0" w:color="auto"/>
            <w:right w:val="none" w:sz="0" w:space="0" w:color="auto"/>
          </w:divBdr>
        </w:div>
      </w:divsChild>
    </w:div>
    <w:div w:id="1268461405">
      <w:bodyDiv w:val="1"/>
      <w:marLeft w:val="0"/>
      <w:marRight w:val="0"/>
      <w:marTop w:val="0"/>
      <w:marBottom w:val="0"/>
      <w:divBdr>
        <w:top w:val="none" w:sz="0" w:space="0" w:color="auto"/>
        <w:left w:val="none" w:sz="0" w:space="0" w:color="auto"/>
        <w:bottom w:val="none" w:sz="0" w:space="0" w:color="auto"/>
        <w:right w:val="none" w:sz="0" w:space="0" w:color="auto"/>
      </w:divBdr>
    </w:div>
    <w:div w:id="1273051891">
      <w:marLeft w:val="0"/>
      <w:marRight w:val="0"/>
      <w:marTop w:val="0"/>
      <w:marBottom w:val="0"/>
      <w:divBdr>
        <w:top w:val="none" w:sz="0" w:space="0" w:color="auto"/>
        <w:left w:val="none" w:sz="0" w:space="0" w:color="auto"/>
        <w:bottom w:val="none" w:sz="0" w:space="0" w:color="auto"/>
        <w:right w:val="none" w:sz="0" w:space="0" w:color="auto"/>
      </w:divBdr>
      <w:divsChild>
        <w:div w:id="1007900770">
          <w:marLeft w:val="0"/>
          <w:marRight w:val="0"/>
          <w:marTop w:val="0"/>
          <w:marBottom w:val="0"/>
          <w:divBdr>
            <w:top w:val="none" w:sz="0" w:space="0" w:color="auto"/>
            <w:left w:val="none" w:sz="0" w:space="0" w:color="auto"/>
            <w:bottom w:val="none" w:sz="0" w:space="0" w:color="auto"/>
            <w:right w:val="none" w:sz="0" w:space="0" w:color="auto"/>
          </w:divBdr>
        </w:div>
      </w:divsChild>
    </w:div>
    <w:div w:id="1274827227">
      <w:marLeft w:val="0"/>
      <w:marRight w:val="0"/>
      <w:marTop w:val="0"/>
      <w:marBottom w:val="0"/>
      <w:divBdr>
        <w:top w:val="none" w:sz="0" w:space="0" w:color="auto"/>
        <w:left w:val="none" w:sz="0" w:space="0" w:color="auto"/>
        <w:bottom w:val="none" w:sz="0" w:space="0" w:color="auto"/>
        <w:right w:val="none" w:sz="0" w:space="0" w:color="auto"/>
      </w:divBdr>
      <w:divsChild>
        <w:div w:id="2113864055">
          <w:marLeft w:val="0"/>
          <w:marRight w:val="0"/>
          <w:marTop w:val="0"/>
          <w:marBottom w:val="0"/>
          <w:divBdr>
            <w:top w:val="none" w:sz="0" w:space="0" w:color="auto"/>
            <w:left w:val="none" w:sz="0" w:space="0" w:color="auto"/>
            <w:bottom w:val="none" w:sz="0" w:space="0" w:color="auto"/>
            <w:right w:val="none" w:sz="0" w:space="0" w:color="auto"/>
          </w:divBdr>
        </w:div>
      </w:divsChild>
    </w:div>
    <w:div w:id="1276717704">
      <w:bodyDiv w:val="1"/>
      <w:marLeft w:val="0"/>
      <w:marRight w:val="0"/>
      <w:marTop w:val="0"/>
      <w:marBottom w:val="0"/>
      <w:divBdr>
        <w:top w:val="none" w:sz="0" w:space="0" w:color="auto"/>
        <w:left w:val="none" w:sz="0" w:space="0" w:color="auto"/>
        <w:bottom w:val="none" w:sz="0" w:space="0" w:color="auto"/>
        <w:right w:val="none" w:sz="0" w:space="0" w:color="auto"/>
      </w:divBdr>
    </w:div>
    <w:div w:id="1277636362">
      <w:bodyDiv w:val="1"/>
      <w:marLeft w:val="0"/>
      <w:marRight w:val="0"/>
      <w:marTop w:val="0"/>
      <w:marBottom w:val="0"/>
      <w:divBdr>
        <w:top w:val="none" w:sz="0" w:space="0" w:color="auto"/>
        <w:left w:val="none" w:sz="0" w:space="0" w:color="auto"/>
        <w:bottom w:val="none" w:sz="0" w:space="0" w:color="auto"/>
        <w:right w:val="none" w:sz="0" w:space="0" w:color="auto"/>
      </w:divBdr>
    </w:div>
    <w:div w:id="1278948740">
      <w:bodyDiv w:val="1"/>
      <w:marLeft w:val="0"/>
      <w:marRight w:val="0"/>
      <w:marTop w:val="0"/>
      <w:marBottom w:val="0"/>
      <w:divBdr>
        <w:top w:val="none" w:sz="0" w:space="0" w:color="auto"/>
        <w:left w:val="none" w:sz="0" w:space="0" w:color="auto"/>
        <w:bottom w:val="none" w:sz="0" w:space="0" w:color="auto"/>
        <w:right w:val="none" w:sz="0" w:space="0" w:color="auto"/>
      </w:divBdr>
      <w:divsChild>
        <w:div w:id="1323968110">
          <w:marLeft w:val="0"/>
          <w:marRight w:val="0"/>
          <w:marTop w:val="0"/>
          <w:marBottom w:val="0"/>
          <w:divBdr>
            <w:top w:val="none" w:sz="0" w:space="0" w:color="auto"/>
            <w:left w:val="none" w:sz="0" w:space="0" w:color="auto"/>
            <w:bottom w:val="none" w:sz="0" w:space="0" w:color="auto"/>
            <w:right w:val="none" w:sz="0" w:space="0" w:color="auto"/>
          </w:divBdr>
          <w:divsChild>
            <w:div w:id="812253293">
              <w:marLeft w:val="0"/>
              <w:marRight w:val="0"/>
              <w:marTop w:val="0"/>
              <w:marBottom w:val="0"/>
              <w:divBdr>
                <w:top w:val="none" w:sz="0" w:space="0" w:color="auto"/>
                <w:left w:val="none" w:sz="0" w:space="0" w:color="auto"/>
                <w:bottom w:val="none" w:sz="0" w:space="0" w:color="auto"/>
                <w:right w:val="none" w:sz="0" w:space="0" w:color="auto"/>
              </w:divBdr>
              <w:divsChild>
                <w:div w:id="1158040406">
                  <w:marLeft w:val="0"/>
                  <w:marRight w:val="150"/>
                  <w:marTop w:val="0"/>
                  <w:marBottom w:val="0"/>
                  <w:divBdr>
                    <w:top w:val="none" w:sz="0" w:space="0" w:color="auto"/>
                    <w:left w:val="none" w:sz="0" w:space="0" w:color="auto"/>
                    <w:bottom w:val="none" w:sz="0" w:space="0" w:color="auto"/>
                    <w:right w:val="none" w:sz="0" w:space="0" w:color="auto"/>
                  </w:divBdr>
                  <w:divsChild>
                    <w:div w:id="12924397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994378">
          <w:marLeft w:val="0"/>
          <w:marRight w:val="150"/>
          <w:marTop w:val="0"/>
          <w:marBottom w:val="0"/>
          <w:divBdr>
            <w:top w:val="none" w:sz="0" w:space="0" w:color="auto"/>
            <w:left w:val="none" w:sz="0" w:space="0" w:color="auto"/>
            <w:bottom w:val="none" w:sz="0" w:space="0" w:color="auto"/>
            <w:right w:val="none" w:sz="0" w:space="0" w:color="auto"/>
          </w:divBdr>
          <w:divsChild>
            <w:div w:id="1805350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9487709">
      <w:marLeft w:val="0"/>
      <w:marRight w:val="0"/>
      <w:marTop w:val="0"/>
      <w:marBottom w:val="0"/>
      <w:divBdr>
        <w:top w:val="none" w:sz="0" w:space="0" w:color="auto"/>
        <w:left w:val="none" w:sz="0" w:space="0" w:color="auto"/>
        <w:bottom w:val="none" w:sz="0" w:space="0" w:color="auto"/>
        <w:right w:val="none" w:sz="0" w:space="0" w:color="auto"/>
      </w:divBdr>
      <w:divsChild>
        <w:div w:id="780760624">
          <w:marLeft w:val="0"/>
          <w:marRight w:val="0"/>
          <w:marTop w:val="0"/>
          <w:marBottom w:val="0"/>
          <w:divBdr>
            <w:top w:val="none" w:sz="0" w:space="0" w:color="auto"/>
            <w:left w:val="none" w:sz="0" w:space="0" w:color="auto"/>
            <w:bottom w:val="none" w:sz="0" w:space="0" w:color="auto"/>
            <w:right w:val="none" w:sz="0" w:space="0" w:color="auto"/>
          </w:divBdr>
        </w:div>
      </w:divsChild>
    </w:div>
    <w:div w:id="1287663241">
      <w:marLeft w:val="0"/>
      <w:marRight w:val="0"/>
      <w:marTop w:val="0"/>
      <w:marBottom w:val="0"/>
      <w:divBdr>
        <w:top w:val="none" w:sz="0" w:space="0" w:color="auto"/>
        <w:left w:val="none" w:sz="0" w:space="0" w:color="auto"/>
        <w:bottom w:val="none" w:sz="0" w:space="0" w:color="auto"/>
        <w:right w:val="none" w:sz="0" w:space="0" w:color="auto"/>
      </w:divBdr>
      <w:divsChild>
        <w:div w:id="764886956">
          <w:marLeft w:val="0"/>
          <w:marRight w:val="0"/>
          <w:marTop w:val="0"/>
          <w:marBottom w:val="0"/>
          <w:divBdr>
            <w:top w:val="none" w:sz="0" w:space="0" w:color="auto"/>
            <w:left w:val="none" w:sz="0" w:space="0" w:color="auto"/>
            <w:bottom w:val="none" w:sz="0" w:space="0" w:color="auto"/>
            <w:right w:val="none" w:sz="0" w:space="0" w:color="auto"/>
          </w:divBdr>
        </w:div>
      </w:divsChild>
    </w:div>
    <w:div w:id="1288589869">
      <w:marLeft w:val="0"/>
      <w:marRight w:val="0"/>
      <w:marTop w:val="0"/>
      <w:marBottom w:val="0"/>
      <w:divBdr>
        <w:top w:val="none" w:sz="0" w:space="0" w:color="auto"/>
        <w:left w:val="none" w:sz="0" w:space="0" w:color="auto"/>
        <w:bottom w:val="none" w:sz="0" w:space="0" w:color="auto"/>
        <w:right w:val="none" w:sz="0" w:space="0" w:color="auto"/>
      </w:divBdr>
      <w:divsChild>
        <w:div w:id="178470815">
          <w:marLeft w:val="0"/>
          <w:marRight w:val="0"/>
          <w:marTop w:val="0"/>
          <w:marBottom w:val="0"/>
          <w:divBdr>
            <w:top w:val="none" w:sz="0" w:space="0" w:color="auto"/>
            <w:left w:val="none" w:sz="0" w:space="0" w:color="auto"/>
            <w:bottom w:val="none" w:sz="0" w:space="0" w:color="auto"/>
            <w:right w:val="none" w:sz="0" w:space="0" w:color="auto"/>
          </w:divBdr>
        </w:div>
      </w:divsChild>
    </w:div>
    <w:div w:id="1291089451">
      <w:marLeft w:val="0"/>
      <w:marRight w:val="0"/>
      <w:marTop w:val="0"/>
      <w:marBottom w:val="0"/>
      <w:divBdr>
        <w:top w:val="none" w:sz="0" w:space="0" w:color="auto"/>
        <w:left w:val="none" w:sz="0" w:space="0" w:color="auto"/>
        <w:bottom w:val="none" w:sz="0" w:space="0" w:color="auto"/>
        <w:right w:val="none" w:sz="0" w:space="0" w:color="auto"/>
      </w:divBdr>
      <w:divsChild>
        <w:div w:id="747001797">
          <w:marLeft w:val="0"/>
          <w:marRight w:val="0"/>
          <w:marTop w:val="0"/>
          <w:marBottom w:val="0"/>
          <w:divBdr>
            <w:top w:val="none" w:sz="0" w:space="0" w:color="auto"/>
            <w:left w:val="none" w:sz="0" w:space="0" w:color="auto"/>
            <w:bottom w:val="none" w:sz="0" w:space="0" w:color="auto"/>
            <w:right w:val="none" w:sz="0" w:space="0" w:color="auto"/>
          </w:divBdr>
        </w:div>
      </w:divsChild>
    </w:div>
    <w:div w:id="1295864941">
      <w:bodyDiv w:val="1"/>
      <w:marLeft w:val="0"/>
      <w:marRight w:val="0"/>
      <w:marTop w:val="0"/>
      <w:marBottom w:val="0"/>
      <w:divBdr>
        <w:top w:val="none" w:sz="0" w:space="0" w:color="auto"/>
        <w:left w:val="none" w:sz="0" w:space="0" w:color="auto"/>
        <w:bottom w:val="none" w:sz="0" w:space="0" w:color="auto"/>
        <w:right w:val="none" w:sz="0" w:space="0" w:color="auto"/>
      </w:divBdr>
      <w:divsChild>
        <w:div w:id="111945472">
          <w:marLeft w:val="0"/>
          <w:marRight w:val="0"/>
          <w:marTop w:val="0"/>
          <w:marBottom w:val="0"/>
          <w:divBdr>
            <w:top w:val="none" w:sz="0" w:space="0" w:color="auto"/>
            <w:left w:val="none" w:sz="0" w:space="0" w:color="auto"/>
            <w:bottom w:val="none" w:sz="0" w:space="0" w:color="auto"/>
            <w:right w:val="none" w:sz="0" w:space="0" w:color="auto"/>
          </w:divBdr>
          <w:divsChild>
            <w:div w:id="965280544">
              <w:marLeft w:val="0"/>
              <w:marRight w:val="0"/>
              <w:marTop w:val="0"/>
              <w:marBottom w:val="0"/>
              <w:divBdr>
                <w:top w:val="none" w:sz="0" w:space="0" w:color="auto"/>
                <w:left w:val="none" w:sz="0" w:space="0" w:color="auto"/>
                <w:bottom w:val="none" w:sz="0" w:space="0" w:color="auto"/>
                <w:right w:val="none" w:sz="0" w:space="0" w:color="auto"/>
              </w:divBdr>
            </w:div>
            <w:div w:id="1954168010">
              <w:marLeft w:val="0"/>
              <w:marRight w:val="0"/>
              <w:marTop w:val="0"/>
              <w:marBottom w:val="0"/>
              <w:divBdr>
                <w:top w:val="none" w:sz="0" w:space="0" w:color="auto"/>
                <w:left w:val="none" w:sz="0" w:space="0" w:color="auto"/>
                <w:bottom w:val="none" w:sz="0" w:space="0" w:color="auto"/>
                <w:right w:val="none" w:sz="0" w:space="0" w:color="auto"/>
              </w:divBdr>
            </w:div>
            <w:div w:id="940795529">
              <w:marLeft w:val="0"/>
              <w:marRight w:val="0"/>
              <w:marTop w:val="0"/>
              <w:marBottom w:val="0"/>
              <w:divBdr>
                <w:top w:val="none" w:sz="0" w:space="0" w:color="auto"/>
                <w:left w:val="none" w:sz="0" w:space="0" w:color="auto"/>
                <w:bottom w:val="none" w:sz="0" w:space="0" w:color="auto"/>
                <w:right w:val="none" w:sz="0" w:space="0" w:color="auto"/>
              </w:divBdr>
            </w:div>
            <w:div w:id="1270047239">
              <w:marLeft w:val="0"/>
              <w:marRight w:val="0"/>
              <w:marTop w:val="0"/>
              <w:marBottom w:val="0"/>
              <w:divBdr>
                <w:top w:val="none" w:sz="0" w:space="0" w:color="auto"/>
                <w:left w:val="none" w:sz="0" w:space="0" w:color="auto"/>
                <w:bottom w:val="none" w:sz="0" w:space="0" w:color="auto"/>
                <w:right w:val="none" w:sz="0" w:space="0" w:color="auto"/>
              </w:divBdr>
            </w:div>
            <w:div w:id="1201429956">
              <w:marLeft w:val="0"/>
              <w:marRight w:val="0"/>
              <w:marTop w:val="0"/>
              <w:marBottom w:val="0"/>
              <w:divBdr>
                <w:top w:val="none" w:sz="0" w:space="0" w:color="auto"/>
                <w:left w:val="none" w:sz="0" w:space="0" w:color="auto"/>
                <w:bottom w:val="none" w:sz="0" w:space="0" w:color="auto"/>
                <w:right w:val="none" w:sz="0" w:space="0" w:color="auto"/>
              </w:divBdr>
            </w:div>
            <w:div w:id="995305515">
              <w:marLeft w:val="0"/>
              <w:marRight w:val="0"/>
              <w:marTop w:val="0"/>
              <w:marBottom w:val="0"/>
              <w:divBdr>
                <w:top w:val="none" w:sz="0" w:space="0" w:color="auto"/>
                <w:left w:val="none" w:sz="0" w:space="0" w:color="auto"/>
                <w:bottom w:val="none" w:sz="0" w:space="0" w:color="auto"/>
                <w:right w:val="none" w:sz="0" w:space="0" w:color="auto"/>
              </w:divBdr>
            </w:div>
            <w:div w:id="2053652853">
              <w:marLeft w:val="0"/>
              <w:marRight w:val="0"/>
              <w:marTop w:val="0"/>
              <w:marBottom w:val="0"/>
              <w:divBdr>
                <w:top w:val="none" w:sz="0" w:space="0" w:color="auto"/>
                <w:left w:val="none" w:sz="0" w:space="0" w:color="auto"/>
                <w:bottom w:val="none" w:sz="0" w:space="0" w:color="auto"/>
                <w:right w:val="none" w:sz="0" w:space="0" w:color="auto"/>
              </w:divBdr>
            </w:div>
            <w:div w:id="1171749608">
              <w:marLeft w:val="0"/>
              <w:marRight w:val="0"/>
              <w:marTop w:val="0"/>
              <w:marBottom w:val="0"/>
              <w:divBdr>
                <w:top w:val="none" w:sz="0" w:space="0" w:color="auto"/>
                <w:left w:val="none" w:sz="0" w:space="0" w:color="auto"/>
                <w:bottom w:val="none" w:sz="0" w:space="0" w:color="auto"/>
                <w:right w:val="none" w:sz="0" w:space="0" w:color="auto"/>
              </w:divBdr>
            </w:div>
            <w:div w:id="1353800884">
              <w:marLeft w:val="0"/>
              <w:marRight w:val="0"/>
              <w:marTop w:val="0"/>
              <w:marBottom w:val="0"/>
              <w:divBdr>
                <w:top w:val="none" w:sz="0" w:space="0" w:color="auto"/>
                <w:left w:val="none" w:sz="0" w:space="0" w:color="auto"/>
                <w:bottom w:val="none" w:sz="0" w:space="0" w:color="auto"/>
                <w:right w:val="none" w:sz="0" w:space="0" w:color="auto"/>
              </w:divBdr>
            </w:div>
            <w:div w:id="407918467">
              <w:marLeft w:val="0"/>
              <w:marRight w:val="0"/>
              <w:marTop w:val="0"/>
              <w:marBottom w:val="0"/>
              <w:divBdr>
                <w:top w:val="none" w:sz="0" w:space="0" w:color="auto"/>
                <w:left w:val="none" w:sz="0" w:space="0" w:color="auto"/>
                <w:bottom w:val="none" w:sz="0" w:space="0" w:color="auto"/>
                <w:right w:val="none" w:sz="0" w:space="0" w:color="auto"/>
              </w:divBdr>
            </w:div>
            <w:div w:id="1533181064">
              <w:marLeft w:val="0"/>
              <w:marRight w:val="0"/>
              <w:marTop w:val="0"/>
              <w:marBottom w:val="0"/>
              <w:divBdr>
                <w:top w:val="none" w:sz="0" w:space="0" w:color="auto"/>
                <w:left w:val="none" w:sz="0" w:space="0" w:color="auto"/>
                <w:bottom w:val="none" w:sz="0" w:space="0" w:color="auto"/>
                <w:right w:val="none" w:sz="0" w:space="0" w:color="auto"/>
              </w:divBdr>
            </w:div>
            <w:div w:id="569920963">
              <w:marLeft w:val="0"/>
              <w:marRight w:val="0"/>
              <w:marTop w:val="0"/>
              <w:marBottom w:val="0"/>
              <w:divBdr>
                <w:top w:val="none" w:sz="0" w:space="0" w:color="auto"/>
                <w:left w:val="none" w:sz="0" w:space="0" w:color="auto"/>
                <w:bottom w:val="none" w:sz="0" w:space="0" w:color="auto"/>
                <w:right w:val="none" w:sz="0" w:space="0" w:color="auto"/>
              </w:divBdr>
            </w:div>
            <w:div w:id="1605116960">
              <w:marLeft w:val="0"/>
              <w:marRight w:val="0"/>
              <w:marTop w:val="0"/>
              <w:marBottom w:val="0"/>
              <w:divBdr>
                <w:top w:val="none" w:sz="0" w:space="0" w:color="auto"/>
                <w:left w:val="none" w:sz="0" w:space="0" w:color="auto"/>
                <w:bottom w:val="none" w:sz="0" w:space="0" w:color="auto"/>
                <w:right w:val="none" w:sz="0" w:space="0" w:color="auto"/>
              </w:divBdr>
            </w:div>
            <w:div w:id="1923906380">
              <w:marLeft w:val="0"/>
              <w:marRight w:val="0"/>
              <w:marTop w:val="0"/>
              <w:marBottom w:val="0"/>
              <w:divBdr>
                <w:top w:val="none" w:sz="0" w:space="0" w:color="auto"/>
                <w:left w:val="none" w:sz="0" w:space="0" w:color="auto"/>
                <w:bottom w:val="none" w:sz="0" w:space="0" w:color="auto"/>
                <w:right w:val="none" w:sz="0" w:space="0" w:color="auto"/>
              </w:divBdr>
            </w:div>
            <w:div w:id="1025668656">
              <w:marLeft w:val="0"/>
              <w:marRight w:val="0"/>
              <w:marTop w:val="0"/>
              <w:marBottom w:val="0"/>
              <w:divBdr>
                <w:top w:val="none" w:sz="0" w:space="0" w:color="auto"/>
                <w:left w:val="none" w:sz="0" w:space="0" w:color="auto"/>
                <w:bottom w:val="none" w:sz="0" w:space="0" w:color="auto"/>
                <w:right w:val="none" w:sz="0" w:space="0" w:color="auto"/>
              </w:divBdr>
            </w:div>
            <w:div w:id="1218324618">
              <w:marLeft w:val="0"/>
              <w:marRight w:val="0"/>
              <w:marTop w:val="0"/>
              <w:marBottom w:val="0"/>
              <w:divBdr>
                <w:top w:val="none" w:sz="0" w:space="0" w:color="auto"/>
                <w:left w:val="none" w:sz="0" w:space="0" w:color="auto"/>
                <w:bottom w:val="none" w:sz="0" w:space="0" w:color="auto"/>
                <w:right w:val="none" w:sz="0" w:space="0" w:color="auto"/>
              </w:divBdr>
            </w:div>
            <w:div w:id="1113012747">
              <w:marLeft w:val="0"/>
              <w:marRight w:val="0"/>
              <w:marTop w:val="0"/>
              <w:marBottom w:val="0"/>
              <w:divBdr>
                <w:top w:val="none" w:sz="0" w:space="0" w:color="auto"/>
                <w:left w:val="none" w:sz="0" w:space="0" w:color="auto"/>
                <w:bottom w:val="none" w:sz="0" w:space="0" w:color="auto"/>
                <w:right w:val="none" w:sz="0" w:space="0" w:color="auto"/>
              </w:divBdr>
            </w:div>
            <w:div w:id="1256785268">
              <w:marLeft w:val="0"/>
              <w:marRight w:val="0"/>
              <w:marTop w:val="0"/>
              <w:marBottom w:val="0"/>
              <w:divBdr>
                <w:top w:val="none" w:sz="0" w:space="0" w:color="auto"/>
                <w:left w:val="none" w:sz="0" w:space="0" w:color="auto"/>
                <w:bottom w:val="none" w:sz="0" w:space="0" w:color="auto"/>
                <w:right w:val="none" w:sz="0" w:space="0" w:color="auto"/>
              </w:divBdr>
            </w:div>
            <w:div w:id="1245719945">
              <w:marLeft w:val="0"/>
              <w:marRight w:val="0"/>
              <w:marTop w:val="0"/>
              <w:marBottom w:val="0"/>
              <w:divBdr>
                <w:top w:val="none" w:sz="0" w:space="0" w:color="auto"/>
                <w:left w:val="none" w:sz="0" w:space="0" w:color="auto"/>
                <w:bottom w:val="none" w:sz="0" w:space="0" w:color="auto"/>
                <w:right w:val="none" w:sz="0" w:space="0" w:color="auto"/>
              </w:divBdr>
            </w:div>
            <w:div w:id="14698367">
              <w:marLeft w:val="0"/>
              <w:marRight w:val="0"/>
              <w:marTop w:val="0"/>
              <w:marBottom w:val="0"/>
              <w:divBdr>
                <w:top w:val="none" w:sz="0" w:space="0" w:color="auto"/>
                <w:left w:val="none" w:sz="0" w:space="0" w:color="auto"/>
                <w:bottom w:val="none" w:sz="0" w:space="0" w:color="auto"/>
                <w:right w:val="none" w:sz="0" w:space="0" w:color="auto"/>
              </w:divBdr>
            </w:div>
            <w:div w:id="1740446732">
              <w:marLeft w:val="0"/>
              <w:marRight w:val="0"/>
              <w:marTop w:val="0"/>
              <w:marBottom w:val="0"/>
              <w:divBdr>
                <w:top w:val="none" w:sz="0" w:space="0" w:color="auto"/>
                <w:left w:val="none" w:sz="0" w:space="0" w:color="auto"/>
                <w:bottom w:val="none" w:sz="0" w:space="0" w:color="auto"/>
                <w:right w:val="none" w:sz="0" w:space="0" w:color="auto"/>
              </w:divBdr>
            </w:div>
            <w:div w:id="242882109">
              <w:marLeft w:val="0"/>
              <w:marRight w:val="0"/>
              <w:marTop w:val="0"/>
              <w:marBottom w:val="0"/>
              <w:divBdr>
                <w:top w:val="none" w:sz="0" w:space="0" w:color="auto"/>
                <w:left w:val="none" w:sz="0" w:space="0" w:color="auto"/>
                <w:bottom w:val="none" w:sz="0" w:space="0" w:color="auto"/>
                <w:right w:val="none" w:sz="0" w:space="0" w:color="auto"/>
              </w:divBdr>
            </w:div>
            <w:div w:id="1024478200">
              <w:marLeft w:val="0"/>
              <w:marRight w:val="0"/>
              <w:marTop w:val="0"/>
              <w:marBottom w:val="0"/>
              <w:divBdr>
                <w:top w:val="none" w:sz="0" w:space="0" w:color="auto"/>
                <w:left w:val="none" w:sz="0" w:space="0" w:color="auto"/>
                <w:bottom w:val="none" w:sz="0" w:space="0" w:color="auto"/>
                <w:right w:val="none" w:sz="0" w:space="0" w:color="auto"/>
              </w:divBdr>
            </w:div>
            <w:div w:id="176507268">
              <w:marLeft w:val="0"/>
              <w:marRight w:val="0"/>
              <w:marTop w:val="0"/>
              <w:marBottom w:val="0"/>
              <w:divBdr>
                <w:top w:val="none" w:sz="0" w:space="0" w:color="auto"/>
                <w:left w:val="none" w:sz="0" w:space="0" w:color="auto"/>
                <w:bottom w:val="none" w:sz="0" w:space="0" w:color="auto"/>
                <w:right w:val="none" w:sz="0" w:space="0" w:color="auto"/>
              </w:divBdr>
            </w:div>
            <w:div w:id="1540312606">
              <w:marLeft w:val="0"/>
              <w:marRight w:val="0"/>
              <w:marTop w:val="0"/>
              <w:marBottom w:val="0"/>
              <w:divBdr>
                <w:top w:val="none" w:sz="0" w:space="0" w:color="auto"/>
                <w:left w:val="none" w:sz="0" w:space="0" w:color="auto"/>
                <w:bottom w:val="none" w:sz="0" w:space="0" w:color="auto"/>
                <w:right w:val="none" w:sz="0" w:space="0" w:color="auto"/>
              </w:divBdr>
            </w:div>
            <w:div w:id="1737514858">
              <w:marLeft w:val="0"/>
              <w:marRight w:val="0"/>
              <w:marTop w:val="0"/>
              <w:marBottom w:val="0"/>
              <w:divBdr>
                <w:top w:val="none" w:sz="0" w:space="0" w:color="auto"/>
                <w:left w:val="none" w:sz="0" w:space="0" w:color="auto"/>
                <w:bottom w:val="none" w:sz="0" w:space="0" w:color="auto"/>
                <w:right w:val="none" w:sz="0" w:space="0" w:color="auto"/>
              </w:divBdr>
            </w:div>
            <w:div w:id="2136291639">
              <w:marLeft w:val="0"/>
              <w:marRight w:val="0"/>
              <w:marTop w:val="0"/>
              <w:marBottom w:val="0"/>
              <w:divBdr>
                <w:top w:val="none" w:sz="0" w:space="0" w:color="auto"/>
                <w:left w:val="none" w:sz="0" w:space="0" w:color="auto"/>
                <w:bottom w:val="none" w:sz="0" w:space="0" w:color="auto"/>
                <w:right w:val="none" w:sz="0" w:space="0" w:color="auto"/>
              </w:divBdr>
            </w:div>
            <w:div w:id="411195572">
              <w:marLeft w:val="0"/>
              <w:marRight w:val="0"/>
              <w:marTop w:val="0"/>
              <w:marBottom w:val="0"/>
              <w:divBdr>
                <w:top w:val="none" w:sz="0" w:space="0" w:color="auto"/>
                <w:left w:val="none" w:sz="0" w:space="0" w:color="auto"/>
                <w:bottom w:val="none" w:sz="0" w:space="0" w:color="auto"/>
                <w:right w:val="none" w:sz="0" w:space="0" w:color="auto"/>
              </w:divBdr>
            </w:div>
            <w:div w:id="224414376">
              <w:marLeft w:val="0"/>
              <w:marRight w:val="0"/>
              <w:marTop w:val="0"/>
              <w:marBottom w:val="0"/>
              <w:divBdr>
                <w:top w:val="none" w:sz="0" w:space="0" w:color="auto"/>
                <w:left w:val="none" w:sz="0" w:space="0" w:color="auto"/>
                <w:bottom w:val="none" w:sz="0" w:space="0" w:color="auto"/>
                <w:right w:val="none" w:sz="0" w:space="0" w:color="auto"/>
              </w:divBdr>
            </w:div>
            <w:div w:id="681710133">
              <w:marLeft w:val="0"/>
              <w:marRight w:val="0"/>
              <w:marTop w:val="0"/>
              <w:marBottom w:val="0"/>
              <w:divBdr>
                <w:top w:val="none" w:sz="0" w:space="0" w:color="auto"/>
                <w:left w:val="none" w:sz="0" w:space="0" w:color="auto"/>
                <w:bottom w:val="none" w:sz="0" w:space="0" w:color="auto"/>
                <w:right w:val="none" w:sz="0" w:space="0" w:color="auto"/>
              </w:divBdr>
            </w:div>
            <w:div w:id="144976659">
              <w:marLeft w:val="0"/>
              <w:marRight w:val="0"/>
              <w:marTop w:val="0"/>
              <w:marBottom w:val="0"/>
              <w:divBdr>
                <w:top w:val="none" w:sz="0" w:space="0" w:color="auto"/>
                <w:left w:val="none" w:sz="0" w:space="0" w:color="auto"/>
                <w:bottom w:val="none" w:sz="0" w:space="0" w:color="auto"/>
                <w:right w:val="none" w:sz="0" w:space="0" w:color="auto"/>
              </w:divBdr>
            </w:div>
            <w:div w:id="2127310348">
              <w:marLeft w:val="0"/>
              <w:marRight w:val="0"/>
              <w:marTop w:val="0"/>
              <w:marBottom w:val="0"/>
              <w:divBdr>
                <w:top w:val="none" w:sz="0" w:space="0" w:color="auto"/>
                <w:left w:val="none" w:sz="0" w:space="0" w:color="auto"/>
                <w:bottom w:val="none" w:sz="0" w:space="0" w:color="auto"/>
                <w:right w:val="none" w:sz="0" w:space="0" w:color="auto"/>
              </w:divBdr>
            </w:div>
            <w:div w:id="557323974">
              <w:marLeft w:val="0"/>
              <w:marRight w:val="0"/>
              <w:marTop w:val="0"/>
              <w:marBottom w:val="0"/>
              <w:divBdr>
                <w:top w:val="none" w:sz="0" w:space="0" w:color="auto"/>
                <w:left w:val="none" w:sz="0" w:space="0" w:color="auto"/>
                <w:bottom w:val="none" w:sz="0" w:space="0" w:color="auto"/>
                <w:right w:val="none" w:sz="0" w:space="0" w:color="auto"/>
              </w:divBdr>
            </w:div>
            <w:div w:id="1209145888">
              <w:marLeft w:val="0"/>
              <w:marRight w:val="0"/>
              <w:marTop w:val="0"/>
              <w:marBottom w:val="0"/>
              <w:divBdr>
                <w:top w:val="none" w:sz="0" w:space="0" w:color="auto"/>
                <w:left w:val="none" w:sz="0" w:space="0" w:color="auto"/>
                <w:bottom w:val="none" w:sz="0" w:space="0" w:color="auto"/>
                <w:right w:val="none" w:sz="0" w:space="0" w:color="auto"/>
              </w:divBdr>
            </w:div>
            <w:div w:id="1459880565">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345596524">
              <w:marLeft w:val="0"/>
              <w:marRight w:val="0"/>
              <w:marTop w:val="0"/>
              <w:marBottom w:val="0"/>
              <w:divBdr>
                <w:top w:val="none" w:sz="0" w:space="0" w:color="auto"/>
                <w:left w:val="none" w:sz="0" w:space="0" w:color="auto"/>
                <w:bottom w:val="none" w:sz="0" w:space="0" w:color="auto"/>
                <w:right w:val="none" w:sz="0" w:space="0" w:color="auto"/>
              </w:divBdr>
            </w:div>
            <w:div w:id="983894698">
              <w:marLeft w:val="0"/>
              <w:marRight w:val="0"/>
              <w:marTop w:val="0"/>
              <w:marBottom w:val="0"/>
              <w:divBdr>
                <w:top w:val="none" w:sz="0" w:space="0" w:color="auto"/>
                <w:left w:val="none" w:sz="0" w:space="0" w:color="auto"/>
                <w:bottom w:val="none" w:sz="0" w:space="0" w:color="auto"/>
                <w:right w:val="none" w:sz="0" w:space="0" w:color="auto"/>
              </w:divBdr>
            </w:div>
            <w:div w:id="500587040">
              <w:marLeft w:val="0"/>
              <w:marRight w:val="0"/>
              <w:marTop w:val="0"/>
              <w:marBottom w:val="0"/>
              <w:divBdr>
                <w:top w:val="none" w:sz="0" w:space="0" w:color="auto"/>
                <w:left w:val="none" w:sz="0" w:space="0" w:color="auto"/>
                <w:bottom w:val="none" w:sz="0" w:space="0" w:color="auto"/>
                <w:right w:val="none" w:sz="0" w:space="0" w:color="auto"/>
              </w:divBdr>
            </w:div>
            <w:div w:id="344022242">
              <w:marLeft w:val="0"/>
              <w:marRight w:val="0"/>
              <w:marTop w:val="0"/>
              <w:marBottom w:val="0"/>
              <w:divBdr>
                <w:top w:val="none" w:sz="0" w:space="0" w:color="auto"/>
                <w:left w:val="none" w:sz="0" w:space="0" w:color="auto"/>
                <w:bottom w:val="none" w:sz="0" w:space="0" w:color="auto"/>
                <w:right w:val="none" w:sz="0" w:space="0" w:color="auto"/>
              </w:divBdr>
            </w:div>
            <w:div w:id="2023697689">
              <w:marLeft w:val="0"/>
              <w:marRight w:val="0"/>
              <w:marTop w:val="0"/>
              <w:marBottom w:val="0"/>
              <w:divBdr>
                <w:top w:val="none" w:sz="0" w:space="0" w:color="auto"/>
                <w:left w:val="none" w:sz="0" w:space="0" w:color="auto"/>
                <w:bottom w:val="none" w:sz="0" w:space="0" w:color="auto"/>
                <w:right w:val="none" w:sz="0" w:space="0" w:color="auto"/>
              </w:divBdr>
            </w:div>
            <w:div w:id="635647506">
              <w:marLeft w:val="0"/>
              <w:marRight w:val="0"/>
              <w:marTop w:val="0"/>
              <w:marBottom w:val="0"/>
              <w:divBdr>
                <w:top w:val="none" w:sz="0" w:space="0" w:color="auto"/>
                <w:left w:val="none" w:sz="0" w:space="0" w:color="auto"/>
                <w:bottom w:val="none" w:sz="0" w:space="0" w:color="auto"/>
                <w:right w:val="none" w:sz="0" w:space="0" w:color="auto"/>
              </w:divBdr>
            </w:div>
            <w:div w:id="1498303042">
              <w:marLeft w:val="0"/>
              <w:marRight w:val="0"/>
              <w:marTop w:val="0"/>
              <w:marBottom w:val="0"/>
              <w:divBdr>
                <w:top w:val="none" w:sz="0" w:space="0" w:color="auto"/>
                <w:left w:val="none" w:sz="0" w:space="0" w:color="auto"/>
                <w:bottom w:val="none" w:sz="0" w:space="0" w:color="auto"/>
                <w:right w:val="none" w:sz="0" w:space="0" w:color="auto"/>
              </w:divBdr>
            </w:div>
            <w:div w:id="1378822195">
              <w:marLeft w:val="0"/>
              <w:marRight w:val="0"/>
              <w:marTop w:val="0"/>
              <w:marBottom w:val="0"/>
              <w:divBdr>
                <w:top w:val="none" w:sz="0" w:space="0" w:color="auto"/>
                <w:left w:val="none" w:sz="0" w:space="0" w:color="auto"/>
                <w:bottom w:val="none" w:sz="0" w:space="0" w:color="auto"/>
                <w:right w:val="none" w:sz="0" w:space="0" w:color="auto"/>
              </w:divBdr>
            </w:div>
            <w:div w:id="1279557456">
              <w:marLeft w:val="0"/>
              <w:marRight w:val="0"/>
              <w:marTop w:val="0"/>
              <w:marBottom w:val="0"/>
              <w:divBdr>
                <w:top w:val="none" w:sz="0" w:space="0" w:color="auto"/>
                <w:left w:val="none" w:sz="0" w:space="0" w:color="auto"/>
                <w:bottom w:val="none" w:sz="0" w:space="0" w:color="auto"/>
                <w:right w:val="none" w:sz="0" w:space="0" w:color="auto"/>
              </w:divBdr>
            </w:div>
            <w:div w:id="1222446367">
              <w:marLeft w:val="0"/>
              <w:marRight w:val="0"/>
              <w:marTop w:val="0"/>
              <w:marBottom w:val="0"/>
              <w:divBdr>
                <w:top w:val="none" w:sz="0" w:space="0" w:color="auto"/>
                <w:left w:val="none" w:sz="0" w:space="0" w:color="auto"/>
                <w:bottom w:val="none" w:sz="0" w:space="0" w:color="auto"/>
                <w:right w:val="none" w:sz="0" w:space="0" w:color="auto"/>
              </w:divBdr>
            </w:div>
            <w:div w:id="1964265456">
              <w:marLeft w:val="0"/>
              <w:marRight w:val="0"/>
              <w:marTop w:val="0"/>
              <w:marBottom w:val="0"/>
              <w:divBdr>
                <w:top w:val="none" w:sz="0" w:space="0" w:color="auto"/>
                <w:left w:val="none" w:sz="0" w:space="0" w:color="auto"/>
                <w:bottom w:val="none" w:sz="0" w:space="0" w:color="auto"/>
                <w:right w:val="none" w:sz="0" w:space="0" w:color="auto"/>
              </w:divBdr>
            </w:div>
            <w:div w:id="1225458138">
              <w:marLeft w:val="0"/>
              <w:marRight w:val="0"/>
              <w:marTop w:val="0"/>
              <w:marBottom w:val="0"/>
              <w:divBdr>
                <w:top w:val="none" w:sz="0" w:space="0" w:color="auto"/>
                <w:left w:val="none" w:sz="0" w:space="0" w:color="auto"/>
                <w:bottom w:val="none" w:sz="0" w:space="0" w:color="auto"/>
                <w:right w:val="none" w:sz="0" w:space="0" w:color="auto"/>
              </w:divBdr>
            </w:div>
            <w:div w:id="142628378">
              <w:marLeft w:val="0"/>
              <w:marRight w:val="0"/>
              <w:marTop w:val="0"/>
              <w:marBottom w:val="0"/>
              <w:divBdr>
                <w:top w:val="none" w:sz="0" w:space="0" w:color="auto"/>
                <w:left w:val="none" w:sz="0" w:space="0" w:color="auto"/>
                <w:bottom w:val="none" w:sz="0" w:space="0" w:color="auto"/>
                <w:right w:val="none" w:sz="0" w:space="0" w:color="auto"/>
              </w:divBdr>
            </w:div>
            <w:div w:id="1118184808">
              <w:marLeft w:val="0"/>
              <w:marRight w:val="0"/>
              <w:marTop w:val="0"/>
              <w:marBottom w:val="0"/>
              <w:divBdr>
                <w:top w:val="none" w:sz="0" w:space="0" w:color="auto"/>
                <w:left w:val="none" w:sz="0" w:space="0" w:color="auto"/>
                <w:bottom w:val="none" w:sz="0" w:space="0" w:color="auto"/>
                <w:right w:val="none" w:sz="0" w:space="0" w:color="auto"/>
              </w:divBdr>
            </w:div>
            <w:div w:id="557010125">
              <w:marLeft w:val="0"/>
              <w:marRight w:val="0"/>
              <w:marTop w:val="0"/>
              <w:marBottom w:val="0"/>
              <w:divBdr>
                <w:top w:val="none" w:sz="0" w:space="0" w:color="auto"/>
                <w:left w:val="none" w:sz="0" w:space="0" w:color="auto"/>
                <w:bottom w:val="none" w:sz="0" w:space="0" w:color="auto"/>
                <w:right w:val="none" w:sz="0" w:space="0" w:color="auto"/>
              </w:divBdr>
            </w:div>
            <w:div w:id="2108580047">
              <w:marLeft w:val="0"/>
              <w:marRight w:val="0"/>
              <w:marTop w:val="0"/>
              <w:marBottom w:val="0"/>
              <w:divBdr>
                <w:top w:val="none" w:sz="0" w:space="0" w:color="auto"/>
                <w:left w:val="none" w:sz="0" w:space="0" w:color="auto"/>
                <w:bottom w:val="none" w:sz="0" w:space="0" w:color="auto"/>
                <w:right w:val="none" w:sz="0" w:space="0" w:color="auto"/>
              </w:divBdr>
            </w:div>
            <w:div w:id="2101367613">
              <w:marLeft w:val="0"/>
              <w:marRight w:val="0"/>
              <w:marTop w:val="0"/>
              <w:marBottom w:val="0"/>
              <w:divBdr>
                <w:top w:val="none" w:sz="0" w:space="0" w:color="auto"/>
                <w:left w:val="none" w:sz="0" w:space="0" w:color="auto"/>
                <w:bottom w:val="none" w:sz="0" w:space="0" w:color="auto"/>
                <w:right w:val="none" w:sz="0" w:space="0" w:color="auto"/>
              </w:divBdr>
            </w:div>
            <w:div w:id="1657224355">
              <w:marLeft w:val="0"/>
              <w:marRight w:val="0"/>
              <w:marTop w:val="0"/>
              <w:marBottom w:val="0"/>
              <w:divBdr>
                <w:top w:val="none" w:sz="0" w:space="0" w:color="auto"/>
                <w:left w:val="none" w:sz="0" w:space="0" w:color="auto"/>
                <w:bottom w:val="none" w:sz="0" w:space="0" w:color="auto"/>
                <w:right w:val="none" w:sz="0" w:space="0" w:color="auto"/>
              </w:divBdr>
            </w:div>
            <w:div w:id="1648625282">
              <w:marLeft w:val="0"/>
              <w:marRight w:val="0"/>
              <w:marTop w:val="0"/>
              <w:marBottom w:val="0"/>
              <w:divBdr>
                <w:top w:val="none" w:sz="0" w:space="0" w:color="auto"/>
                <w:left w:val="none" w:sz="0" w:space="0" w:color="auto"/>
                <w:bottom w:val="none" w:sz="0" w:space="0" w:color="auto"/>
                <w:right w:val="none" w:sz="0" w:space="0" w:color="auto"/>
              </w:divBdr>
            </w:div>
            <w:div w:id="1095319954">
              <w:marLeft w:val="0"/>
              <w:marRight w:val="0"/>
              <w:marTop w:val="0"/>
              <w:marBottom w:val="0"/>
              <w:divBdr>
                <w:top w:val="none" w:sz="0" w:space="0" w:color="auto"/>
                <w:left w:val="none" w:sz="0" w:space="0" w:color="auto"/>
                <w:bottom w:val="none" w:sz="0" w:space="0" w:color="auto"/>
                <w:right w:val="none" w:sz="0" w:space="0" w:color="auto"/>
              </w:divBdr>
            </w:div>
            <w:div w:id="485560940">
              <w:marLeft w:val="0"/>
              <w:marRight w:val="0"/>
              <w:marTop w:val="0"/>
              <w:marBottom w:val="0"/>
              <w:divBdr>
                <w:top w:val="none" w:sz="0" w:space="0" w:color="auto"/>
                <w:left w:val="none" w:sz="0" w:space="0" w:color="auto"/>
                <w:bottom w:val="none" w:sz="0" w:space="0" w:color="auto"/>
                <w:right w:val="none" w:sz="0" w:space="0" w:color="auto"/>
              </w:divBdr>
            </w:div>
            <w:div w:id="1394700794">
              <w:marLeft w:val="0"/>
              <w:marRight w:val="0"/>
              <w:marTop w:val="0"/>
              <w:marBottom w:val="0"/>
              <w:divBdr>
                <w:top w:val="none" w:sz="0" w:space="0" w:color="auto"/>
                <w:left w:val="none" w:sz="0" w:space="0" w:color="auto"/>
                <w:bottom w:val="none" w:sz="0" w:space="0" w:color="auto"/>
                <w:right w:val="none" w:sz="0" w:space="0" w:color="auto"/>
              </w:divBdr>
            </w:div>
            <w:div w:id="981807834">
              <w:marLeft w:val="0"/>
              <w:marRight w:val="0"/>
              <w:marTop w:val="0"/>
              <w:marBottom w:val="0"/>
              <w:divBdr>
                <w:top w:val="none" w:sz="0" w:space="0" w:color="auto"/>
                <w:left w:val="none" w:sz="0" w:space="0" w:color="auto"/>
                <w:bottom w:val="none" w:sz="0" w:space="0" w:color="auto"/>
                <w:right w:val="none" w:sz="0" w:space="0" w:color="auto"/>
              </w:divBdr>
            </w:div>
            <w:div w:id="1697585009">
              <w:marLeft w:val="0"/>
              <w:marRight w:val="0"/>
              <w:marTop w:val="0"/>
              <w:marBottom w:val="0"/>
              <w:divBdr>
                <w:top w:val="none" w:sz="0" w:space="0" w:color="auto"/>
                <w:left w:val="none" w:sz="0" w:space="0" w:color="auto"/>
                <w:bottom w:val="none" w:sz="0" w:space="0" w:color="auto"/>
                <w:right w:val="none" w:sz="0" w:space="0" w:color="auto"/>
              </w:divBdr>
            </w:div>
            <w:div w:id="1447113760">
              <w:marLeft w:val="0"/>
              <w:marRight w:val="0"/>
              <w:marTop w:val="0"/>
              <w:marBottom w:val="0"/>
              <w:divBdr>
                <w:top w:val="none" w:sz="0" w:space="0" w:color="auto"/>
                <w:left w:val="none" w:sz="0" w:space="0" w:color="auto"/>
                <w:bottom w:val="none" w:sz="0" w:space="0" w:color="auto"/>
                <w:right w:val="none" w:sz="0" w:space="0" w:color="auto"/>
              </w:divBdr>
            </w:div>
            <w:div w:id="879975830">
              <w:marLeft w:val="0"/>
              <w:marRight w:val="0"/>
              <w:marTop w:val="0"/>
              <w:marBottom w:val="0"/>
              <w:divBdr>
                <w:top w:val="none" w:sz="0" w:space="0" w:color="auto"/>
                <w:left w:val="none" w:sz="0" w:space="0" w:color="auto"/>
                <w:bottom w:val="none" w:sz="0" w:space="0" w:color="auto"/>
                <w:right w:val="none" w:sz="0" w:space="0" w:color="auto"/>
              </w:divBdr>
            </w:div>
            <w:div w:id="1803233036">
              <w:marLeft w:val="0"/>
              <w:marRight w:val="0"/>
              <w:marTop w:val="0"/>
              <w:marBottom w:val="0"/>
              <w:divBdr>
                <w:top w:val="none" w:sz="0" w:space="0" w:color="auto"/>
                <w:left w:val="none" w:sz="0" w:space="0" w:color="auto"/>
                <w:bottom w:val="none" w:sz="0" w:space="0" w:color="auto"/>
                <w:right w:val="none" w:sz="0" w:space="0" w:color="auto"/>
              </w:divBdr>
            </w:div>
            <w:div w:id="2094549217">
              <w:marLeft w:val="0"/>
              <w:marRight w:val="0"/>
              <w:marTop w:val="0"/>
              <w:marBottom w:val="0"/>
              <w:divBdr>
                <w:top w:val="none" w:sz="0" w:space="0" w:color="auto"/>
                <w:left w:val="none" w:sz="0" w:space="0" w:color="auto"/>
                <w:bottom w:val="none" w:sz="0" w:space="0" w:color="auto"/>
                <w:right w:val="none" w:sz="0" w:space="0" w:color="auto"/>
              </w:divBdr>
            </w:div>
            <w:div w:id="268053026">
              <w:marLeft w:val="0"/>
              <w:marRight w:val="0"/>
              <w:marTop w:val="0"/>
              <w:marBottom w:val="0"/>
              <w:divBdr>
                <w:top w:val="none" w:sz="0" w:space="0" w:color="auto"/>
                <w:left w:val="none" w:sz="0" w:space="0" w:color="auto"/>
                <w:bottom w:val="none" w:sz="0" w:space="0" w:color="auto"/>
                <w:right w:val="none" w:sz="0" w:space="0" w:color="auto"/>
              </w:divBdr>
            </w:div>
            <w:div w:id="1736583995">
              <w:marLeft w:val="0"/>
              <w:marRight w:val="0"/>
              <w:marTop w:val="0"/>
              <w:marBottom w:val="0"/>
              <w:divBdr>
                <w:top w:val="none" w:sz="0" w:space="0" w:color="auto"/>
                <w:left w:val="none" w:sz="0" w:space="0" w:color="auto"/>
                <w:bottom w:val="none" w:sz="0" w:space="0" w:color="auto"/>
                <w:right w:val="none" w:sz="0" w:space="0" w:color="auto"/>
              </w:divBdr>
            </w:div>
            <w:div w:id="2016494064">
              <w:marLeft w:val="0"/>
              <w:marRight w:val="0"/>
              <w:marTop w:val="0"/>
              <w:marBottom w:val="0"/>
              <w:divBdr>
                <w:top w:val="none" w:sz="0" w:space="0" w:color="auto"/>
                <w:left w:val="none" w:sz="0" w:space="0" w:color="auto"/>
                <w:bottom w:val="none" w:sz="0" w:space="0" w:color="auto"/>
                <w:right w:val="none" w:sz="0" w:space="0" w:color="auto"/>
              </w:divBdr>
            </w:div>
            <w:div w:id="762998644">
              <w:marLeft w:val="0"/>
              <w:marRight w:val="0"/>
              <w:marTop w:val="0"/>
              <w:marBottom w:val="0"/>
              <w:divBdr>
                <w:top w:val="none" w:sz="0" w:space="0" w:color="auto"/>
                <w:left w:val="none" w:sz="0" w:space="0" w:color="auto"/>
                <w:bottom w:val="none" w:sz="0" w:space="0" w:color="auto"/>
                <w:right w:val="none" w:sz="0" w:space="0" w:color="auto"/>
              </w:divBdr>
            </w:div>
            <w:div w:id="1498811464">
              <w:marLeft w:val="0"/>
              <w:marRight w:val="0"/>
              <w:marTop w:val="0"/>
              <w:marBottom w:val="0"/>
              <w:divBdr>
                <w:top w:val="none" w:sz="0" w:space="0" w:color="auto"/>
                <w:left w:val="none" w:sz="0" w:space="0" w:color="auto"/>
                <w:bottom w:val="none" w:sz="0" w:space="0" w:color="auto"/>
                <w:right w:val="none" w:sz="0" w:space="0" w:color="auto"/>
              </w:divBdr>
            </w:div>
            <w:div w:id="929317546">
              <w:marLeft w:val="0"/>
              <w:marRight w:val="0"/>
              <w:marTop w:val="0"/>
              <w:marBottom w:val="0"/>
              <w:divBdr>
                <w:top w:val="none" w:sz="0" w:space="0" w:color="auto"/>
                <w:left w:val="none" w:sz="0" w:space="0" w:color="auto"/>
                <w:bottom w:val="none" w:sz="0" w:space="0" w:color="auto"/>
                <w:right w:val="none" w:sz="0" w:space="0" w:color="auto"/>
              </w:divBdr>
            </w:div>
            <w:div w:id="403991533">
              <w:marLeft w:val="0"/>
              <w:marRight w:val="0"/>
              <w:marTop w:val="0"/>
              <w:marBottom w:val="0"/>
              <w:divBdr>
                <w:top w:val="none" w:sz="0" w:space="0" w:color="auto"/>
                <w:left w:val="none" w:sz="0" w:space="0" w:color="auto"/>
                <w:bottom w:val="none" w:sz="0" w:space="0" w:color="auto"/>
                <w:right w:val="none" w:sz="0" w:space="0" w:color="auto"/>
              </w:divBdr>
            </w:div>
            <w:div w:id="482936583">
              <w:marLeft w:val="0"/>
              <w:marRight w:val="0"/>
              <w:marTop w:val="0"/>
              <w:marBottom w:val="0"/>
              <w:divBdr>
                <w:top w:val="none" w:sz="0" w:space="0" w:color="auto"/>
                <w:left w:val="none" w:sz="0" w:space="0" w:color="auto"/>
                <w:bottom w:val="none" w:sz="0" w:space="0" w:color="auto"/>
                <w:right w:val="none" w:sz="0" w:space="0" w:color="auto"/>
              </w:divBdr>
            </w:div>
            <w:div w:id="8641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4814">
      <w:bodyDiv w:val="1"/>
      <w:marLeft w:val="0"/>
      <w:marRight w:val="0"/>
      <w:marTop w:val="0"/>
      <w:marBottom w:val="0"/>
      <w:divBdr>
        <w:top w:val="none" w:sz="0" w:space="0" w:color="auto"/>
        <w:left w:val="none" w:sz="0" w:space="0" w:color="auto"/>
        <w:bottom w:val="none" w:sz="0" w:space="0" w:color="auto"/>
        <w:right w:val="none" w:sz="0" w:space="0" w:color="auto"/>
      </w:divBdr>
    </w:div>
    <w:div w:id="1297487355">
      <w:bodyDiv w:val="1"/>
      <w:marLeft w:val="0"/>
      <w:marRight w:val="0"/>
      <w:marTop w:val="0"/>
      <w:marBottom w:val="0"/>
      <w:divBdr>
        <w:top w:val="none" w:sz="0" w:space="0" w:color="auto"/>
        <w:left w:val="none" w:sz="0" w:space="0" w:color="auto"/>
        <w:bottom w:val="none" w:sz="0" w:space="0" w:color="auto"/>
        <w:right w:val="none" w:sz="0" w:space="0" w:color="auto"/>
      </w:divBdr>
    </w:div>
    <w:div w:id="1302536212">
      <w:bodyDiv w:val="1"/>
      <w:marLeft w:val="0"/>
      <w:marRight w:val="0"/>
      <w:marTop w:val="0"/>
      <w:marBottom w:val="0"/>
      <w:divBdr>
        <w:top w:val="none" w:sz="0" w:space="0" w:color="auto"/>
        <w:left w:val="none" w:sz="0" w:space="0" w:color="auto"/>
        <w:bottom w:val="none" w:sz="0" w:space="0" w:color="auto"/>
        <w:right w:val="none" w:sz="0" w:space="0" w:color="auto"/>
      </w:divBdr>
    </w:div>
    <w:div w:id="1311515880">
      <w:bodyDiv w:val="1"/>
      <w:marLeft w:val="0"/>
      <w:marRight w:val="0"/>
      <w:marTop w:val="0"/>
      <w:marBottom w:val="0"/>
      <w:divBdr>
        <w:top w:val="none" w:sz="0" w:space="0" w:color="auto"/>
        <w:left w:val="none" w:sz="0" w:space="0" w:color="auto"/>
        <w:bottom w:val="none" w:sz="0" w:space="0" w:color="auto"/>
        <w:right w:val="none" w:sz="0" w:space="0" w:color="auto"/>
      </w:divBdr>
    </w:div>
    <w:div w:id="1311518477">
      <w:bodyDiv w:val="1"/>
      <w:marLeft w:val="0"/>
      <w:marRight w:val="0"/>
      <w:marTop w:val="0"/>
      <w:marBottom w:val="0"/>
      <w:divBdr>
        <w:top w:val="none" w:sz="0" w:space="0" w:color="auto"/>
        <w:left w:val="none" w:sz="0" w:space="0" w:color="auto"/>
        <w:bottom w:val="none" w:sz="0" w:space="0" w:color="auto"/>
        <w:right w:val="none" w:sz="0" w:space="0" w:color="auto"/>
      </w:divBdr>
    </w:div>
    <w:div w:id="1313873649">
      <w:marLeft w:val="0"/>
      <w:marRight w:val="0"/>
      <w:marTop w:val="0"/>
      <w:marBottom w:val="0"/>
      <w:divBdr>
        <w:top w:val="none" w:sz="0" w:space="0" w:color="auto"/>
        <w:left w:val="none" w:sz="0" w:space="0" w:color="auto"/>
        <w:bottom w:val="none" w:sz="0" w:space="0" w:color="auto"/>
        <w:right w:val="none" w:sz="0" w:space="0" w:color="auto"/>
      </w:divBdr>
      <w:divsChild>
        <w:div w:id="675695987">
          <w:marLeft w:val="0"/>
          <w:marRight w:val="0"/>
          <w:marTop w:val="0"/>
          <w:marBottom w:val="0"/>
          <w:divBdr>
            <w:top w:val="none" w:sz="0" w:space="0" w:color="auto"/>
            <w:left w:val="none" w:sz="0" w:space="0" w:color="auto"/>
            <w:bottom w:val="none" w:sz="0" w:space="0" w:color="auto"/>
            <w:right w:val="none" w:sz="0" w:space="0" w:color="auto"/>
          </w:divBdr>
        </w:div>
      </w:divsChild>
    </w:div>
    <w:div w:id="1314798571">
      <w:marLeft w:val="0"/>
      <w:marRight w:val="0"/>
      <w:marTop w:val="0"/>
      <w:marBottom w:val="0"/>
      <w:divBdr>
        <w:top w:val="none" w:sz="0" w:space="0" w:color="auto"/>
        <w:left w:val="none" w:sz="0" w:space="0" w:color="auto"/>
        <w:bottom w:val="none" w:sz="0" w:space="0" w:color="auto"/>
        <w:right w:val="none" w:sz="0" w:space="0" w:color="auto"/>
      </w:divBdr>
      <w:divsChild>
        <w:div w:id="1444762268">
          <w:marLeft w:val="0"/>
          <w:marRight w:val="0"/>
          <w:marTop w:val="0"/>
          <w:marBottom w:val="0"/>
          <w:divBdr>
            <w:top w:val="none" w:sz="0" w:space="0" w:color="auto"/>
            <w:left w:val="none" w:sz="0" w:space="0" w:color="auto"/>
            <w:bottom w:val="none" w:sz="0" w:space="0" w:color="auto"/>
            <w:right w:val="none" w:sz="0" w:space="0" w:color="auto"/>
          </w:divBdr>
        </w:div>
      </w:divsChild>
    </w:div>
    <w:div w:id="1321537348">
      <w:marLeft w:val="0"/>
      <w:marRight w:val="0"/>
      <w:marTop w:val="0"/>
      <w:marBottom w:val="0"/>
      <w:divBdr>
        <w:top w:val="none" w:sz="0" w:space="0" w:color="auto"/>
        <w:left w:val="none" w:sz="0" w:space="0" w:color="auto"/>
        <w:bottom w:val="none" w:sz="0" w:space="0" w:color="auto"/>
        <w:right w:val="none" w:sz="0" w:space="0" w:color="auto"/>
      </w:divBdr>
      <w:divsChild>
        <w:div w:id="1090082230">
          <w:marLeft w:val="0"/>
          <w:marRight w:val="0"/>
          <w:marTop w:val="0"/>
          <w:marBottom w:val="0"/>
          <w:divBdr>
            <w:top w:val="none" w:sz="0" w:space="0" w:color="auto"/>
            <w:left w:val="none" w:sz="0" w:space="0" w:color="auto"/>
            <w:bottom w:val="none" w:sz="0" w:space="0" w:color="auto"/>
            <w:right w:val="none" w:sz="0" w:space="0" w:color="auto"/>
          </w:divBdr>
        </w:div>
      </w:divsChild>
    </w:div>
    <w:div w:id="1321731069">
      <w:bodyDiv w:val="1"/>
      <w:marLeft w:val="0"/>
      <w:marRight w:val="0"/>
      <w:marTop w:val="0"/>
      <w:marBottom w:val="0"/>
      <w:divBdr>
        <w:top w:val="none" w:sz="0" w:space="0" w:color="auto"/>
        <w:left w:val="none" w:sz="0" w:space="0" w:color="auto"/>
        <w:bottom w:val="none" w:sz="0" w:space="0" w:color="auto"/>
        <w:right w:val="none" w:sz="0" w:space="0" w:color="auto"/>
      </w:divBdr>
    </w:div>
    <w:div w:id="1322541602">
      <w:marLeft w:val="0"/>
      <w:marRight w:val="0"/>
      <w:marTop w:val="0"/>
      <w:marBottom w:val="0"/>
      <w:divBdr>
        <w:top w:val="none" w:sz="0" w:space="0" w:color="auto"/>
        <w:left w:val="none" w:sz="0" w:space="0" w:color="auto"/>
        <w:bottom w:val="none" w:sz="0" w:space="0" w:color="auto"/>
        <w:right w:val="none" w:sz="0" w:space="0" w:color="auto"/>
      </w:divBdr>
      <w:divsChild>
        <w:div w:id="397872404">
          <w:marLeft w:val="0"/>
          <w:marRight w:val="0"/>
          <w:marTop w:val="0"/>
          <w:marBottom w:val="0"/>
          <w:divBdr>
            <w:top w:val="none" w:sz="0" w:space="0" w:color="auto"/>
            <w:left w:val="none" w:sz="0" w:space="0" w:color="auto"/>
            <w:bottom w:val="none" w:sz="0" w:space="0" w:color="auto"/>
            <w:right w:val="none" w:sz="0" w:space="0" w:color="auto"/>
          </w:divBdr>
        </w:div>
      </w:divsChild>
    </w:div>
    <w:div w:id="1326937403">
      <w:bodyDiv w:val="1"/>
      <w:marLeft w:val="0"/>
      <w:marRight w:val="0"/>
      <w:marTop w:val="0"/>
      <w:marBottom w:val="0"/>
      <w:divBdr>
        <w:top w:val="none" w:sz="0" w:space="0" w:color="auto"/>
        <w:left w:val="none" w:sz="0" w:space="0" w:color="auto"/>
        <w:bottom w:val="none" w:sz="0" w:space="0" w:color="auto"/>
        <w:right w:val="none" w:sz="0" w:space="0" w:color="auto"/>
      </w:divBdr>
    </w:div>
    <w:div w:id="1328243814">
      <w:bodyDiv w:val="1"/>
      <w:marLeft w:val="0"/>
      <w:marRight w:val="0"/>
      <w:marTop w:val="0"/>
      <w:marBottom w:val="0"/>
      <w:divBdr>
        <w:top w:val="none" w:sz="0" w:space="0" w:color="auto"/>
        <w:left w:val="none" w:sz="0" w:space="0" w:color="auto"/>
        <w:bottom w:val="none" w:sz="0" w:space="0" w:color="auto"/>
        <w:right w:val="none" w:sz="0" w:space="0" w:color="auto"/>
      </w:divBdr>
    </w:div>
    <w:div w:id="1333681132">
      <w:marLeft w:val="0"/>
      <w:marRight w:val="0"/>
      <w:marTop w:val="0"/>
      <w:marBottom w:val="0"/>
      <w:divBdr>
        <w:top w:val="none" w:sz="0" w:space="0" w:color="auto"/>
        <w:left w:val="none" w:sz="0" w:space="0" w:color="auto"/>
        <w:bottom w:val="none" w:sz="0" w:space="0" w:color="auto"/>
        <w:right w:val="none" w:sz="0" w:space="0" w:color="auto"/>
      </w:divBdr>
      <w:divsChild>
        <w:div w:id="705788602">
          <w:marLeft w:val="0"/>
          <w:marRight w:val="0"/>
          <w:marTop w:val="0"/>
          <w:marBottom w:val="0"/>
          <w:divBdr>
            <w:top w:val="none" w:sz="0" w:space="0" w:color="auto"/>
            <w:left w:val="none" w:sz="0" w:space="0" w:color="auto"/>
            <w:bottom w:val="none" w:sz="0" w:space="0" w:color="auto"/>
            <w:right w:val="none" w:sz="0" w:space="0" w:color="auto"/>
          </w:divBdr>
        </w:div>
      </w:divsChild>
    </w:div>
    <w:div w:id="1337032573">
      <w:bodyDiv w:val="1"/>
      <w:marLeft w:val="0"/>
      <w:marRight w:val="0"/>
      <w:marTop w:val="0"/>
      <w:marBottom w:val="0"/>
      <w:divBdr>
        <w:top w:val="none" w:sz="0" w:space="0" w:color="auto"/>
        <w:left w:val="none" w:sz="0" w:space="0" w:color="auto"/>
        <w:bottom w:val="none" w:sz="0" w:space="0" w:color="auto"/>
        <w:right w:val="none" w:sz="0" w:space="0" w:color="auto"/>
      </w:divBdr>
    </w:div>
    <w:div w:id="1340356339">
      <w:marLeft w:val="0"/>
      <w:marRight w:val="0"/>
      <w:marTop w:val="0"/>
      <w:marBottom w:val="0"/>
      <w:divBdr>
        <w:top w:val="none" w:sz="0" w:space="0" w:color="auto"/>
        <w:left w:val="none" w:sz="0" w:space="0" w:color="auto"/>
        <w:bottom w:val="none" w:sz="0" w:space="0" w:color="auto"/>
        <w:right w:val="none" w:sz="0" w:space="0" w:color="auto"/>
      </w:divBdr>
      <w:divsChild>
        <w:div w:id="1388187277">
          <w:marLeft w:val="0"/>
          <w:marRight w:val="0"/>
          <w:marTop w:val="0"/>
          <w:marBottom w:val="0"/>
          <w:divBdr>
            <w:top w:val="none" w:sz="0" w:space="0" w:color="auto"/>
            <w:left w:val="none" w:sz="0" w:space="0" w:color="auto"/>
            <w:bottom w:val="none" w:sz="0" w:space="0" w:color="auto"/>
            <w:right w:val="none" w:sz="0" w:space="0" w:color="auto"/>
          </w:divBdr>
        </w:div>
      </w:divsChild>
    </w:div>
    <w:div w:id="1340809553">
      <w:marLeft w:val="0"/>
      <w:marRight w:val="0"/>
      <w:marTop w:val="0"/>
      <w:marBottom w:val="0"/>
      <w:divBdr>
        <w:top w:val="none" w:sz="0" w:space="0" w:color="auto"/>
        <w:left w:val="none" w:sz="0" w:space="0" w:color="auto"/>
        <w:bottom w:val="none" w:sz="0" w:space="0" w:color="auto"/>
        <w:right w:val="none" w:sz="0" w:space="0" w:color="auto"/>
      </w:divBdr>
      <w:divsChild>
        <w:div w:id="852453258">
          <w:marLeft w:val="0"/>
          <w:marRight w:val="0"/>
          <w:marTop w:val="0"/>
          <w:marBottom w:val="0"/>
          <w:divBdr>
            <w:top w:val="none" w:sz="0" w:space="0" w:color="auto"/>
            <w:left w:val="none" w:sz="0" w:space="0" w:color="auto"/>
            <w:bottom w:val="none" w:sz="0" w:space="0" w:color="auto"/>
            <w:right w:val="none" w:sz="0" w:space="0" w:color="auto"/>
          </w:divBdr>
        </w:div>
      </w:divsChild>
    </w:div>
    <w:div w:id="1343629848">
      <w:marLeft w:val="0"/>
      <w:marRight w:val="0"/>
      <w:marTop w:val="0"/>
      <w:marBottom w:val="0"/>
      <w:divBdr>
        <w:top w:val="none" w:sz="0" w:space="0" w:color="auto"/>
        <w:left w:val="none" w:sz="0" w:space="0" w:color="auto"/>
        <w:bottom w:val="none" w:sz="0" w:space="0" w:color="auto"/>
        <w:right w:val="none" w:sz="0" w:space="0" w:color="auto"/>
      </w:divBdr>
      <w:divsChild>
        <w:div w:id="1383795588">
          <w:marLeft w:val="0"/>
          <w:marRight w:val="0"/>
          <w:marTop w:val="0"/>
          <w:marBottom w:val="0"/>
          <w:divBdr>
            <w:top w:val="none" w:sz="0" w:space="0" w:color="auto"/>
            <w:left w:val="none" w:sz="0" w:space="0" w:color="auto"/>
            <w:bottom w:val="none" w:sz="0" w:space="0" w:color="auto"/>
            <w:right w:val="none" w:sz="0" w:space="0" w:color="auto"/>
          </w:divBdr>
        </w:div>
      </w:divsChild>
    </w:div>
    <w:div w:id="1357121456">
      <w:marLeft w:val="0"/>
      <w:marRight w:val="0"/>
      <w:marTop w:val="0"/>
      <w:marBottom w:val="0"/>
      <w:divBdr>
        <w:top w:val="none" w:sz="0" w:space="0" w:color="auto"/>
        <w:left w:val="none" w:sz="0" w:space="0" w:color="auto"/>
        <w:bottom w:val="none" w:sz="0" w:space="0" w:color="auto"/>
        <w:right w:val="none" w:sz="0" w:space="0" w:color="auto"/>
      </w:divBdr>
      <w:divsChild>
        <w:div w:id="729812581">
          <w:marLeft w:val="0"/>
          <w:marRight w:val="0"/>
          <w:marTop w:val="0"/>
          <w:marBottom w:val="0"/>
          <w:divBdr>
            <w:top w:val="none" w:sz="0" w:space="0" w:color="auto"/>
            <w:left w:val="none" w:sz="0" w:space="0" w:color="auto"/>
            <w:bottom w:val="none" w:sz="0" w:space="0" w:color="auto"/>
            <w:right w:val="none" w:sz="0" w:space="0" w:color="auto"/>
          </w:divBdr>
        </w:div>
      </w:divsChild>
    </w:div>
    <w:div w:id="1357191513">
      <w:bodyDiv w:val="1"/>
      <w:marLeft w:val="0"/>
      <w:marRight w:val="0"/>
      <w:marTop w:val="0"/>
      <w:marBottom w:val="0"/>
      <w:divBdr>
        <w:top w:val="none" w:sz="0" w:space="0" w:color="auto"/>
        <w:left w:val="none" w:sz="0" w:space="0" w:color="auto"/>
        <w:bottom w:val="none" w:sz="0" w:space="0" w:color="auto"/>
        <w:right w:val="none" w:sz="0" w:space="0" w:color="auto"/>
      </w:divBdr>
    </w:div>
    <w:div w:id="1357460643">
      <w:bodyDiv w:val="1"/>
      <w:marLeft w:val="0"/>
      <w:marRight w:val="0"/>
      <w:marTop w:val="0"/>
      <w:marBottom w:val="0"/>
      <w:divBdr>
        <w:top w:val="none" w:sz="0" w:space="0" w:color="auto"/>
        <w:left w:val="none" w:sz="0" w:space="0" w:color="auto"/>
        <w:bottom w:val="none" w:sz="0" w:space="0" w:color="auto"/>
        <w:right w:val="none" w:sz="0" w:space="0" w:color="auto"/>
      </w:divBdr>
      <w:divsChild>
        <w:div w:id="582492112">
          <w:marLeft w:val="0"/>
          <w:marRight w:val="0"/>
          <w:marTop w:val="0"/>
          <w:marBottom w:val="0"/>
          <w:divBdr>
            <w:top w:val="none" w:sz="0" w:space="0" w:color="auto"/>
            <w:left w:val="none" w:sz="0" w:space="0" w:color="auto"/>
            <w:bottom w:val="none" w:sz="0" w:space="0" w:color="auto"/>
            <w:right w:val="none" w:sz="0" w:space="0" w:color="auto"/>
          </w:divBdr>
          <w:divsChild>
            <w:div w:id="1474642225">
              <w:marLeft w:val="0"/>
              <w:marRight w:val="0"/>
              <w:marTop w:val="0"/>
              <w:marBottom w:val="0"/>
              <w:divBdr>
                <w:top w:val="none" w:sz="0" w:space="0" w:color="auto"/>
                <w:left w:val="none" w:sz="0" w:space="0" w:color="auto"/>
                <w:bottom w:val="none" w:sz="0" w:space="0" w:color="auto"/>
                <w:right w:val="none" w:sz="0" w:space="0" w:color="auto"/>
              </w:divBdr>
              <w:divsChild>
                <w:div w:id="688028993">
                  <w:marLeft w:val="0"/>
                  <w:marRight w:val="150"/>
                  <w:marTop w:val="0"/>
                  <w:marBottom w:val="0"/>
                  <w:divBdr>
                    <w:top w:val="none" w:sz="0" w:space="0" w:color="auto"/>
                    <w:left w:val="none" w:sz="0" w:space="0" w:color="auto"/>
                    <w:bottom w:val="none" w:sz="0" w:space="0" w:color="auto"/>
                    <w:right w:val="none" w:sz="0" w:space="0" w:color="auto"/>
                  </w:divBdr>
                  <w:divsChild>
                    <w:div w:id="887007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57909232">
          <w:marLeft w:val="0"/>
          <w:marRight w:val="150"/>
          <w:marTop w:val="0"/>
          <w:marBottom w:val="0"/>
          <w:divBdr>
            <w:top w:val="none" w:sz="0" w:space="0" w:color="auto"/>
            <w:left w:val="none" w:sz="0" w:space="0" w:color="auto"/>
            <w:bottom w:val="none" w:sz="0" w:space="0" w:color="auto"/>
            <w:right w:val="none" w:sz="0" w:space="0" w:color="auto"/>
          </w:divBdr>
          <w:divsChild>
            <w:div w:id="20541162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8965981">
      <w:bodyDiv w:val="1"/>
      <w:marLeft w:val="0"/>
      <w:marRight w:val="0"/>
      <w:marTop w:val="0"/>
      <w:marBottom w:val="0"/>
      <w:divBdr>
        <w:top w:val="none" w:sz="0" w:space="0" w:color="auto"/>
        <w:left w:val="none" w:sz="0" w:space="0" w:color="auto"/>
        <w:bottom w:val="none" w:sz="0" w:space="0" w:color="auto"/>
        <w:right w:val="none" w:sz="0" w:space="0" w:color="auto"/>
      </w:divBdr>
    </w:div>
    <w:div w:id="1361858582">
      <w:marLeft w:val="0"/>
      <w:marRight w:val="0"/>
      <w:marTop w:val="0"/>
      <w:marBottom w:val="0"/>
      <w:divBdr>
        <w:top w:val="none" w:sz="0" w:space="0" w:color="auto"/>
        <w:left w:val="none" w:sz="0" w:space="0" w:color="auto"/>
        <w:bottom w:val="none" w:sz="0" w:space="0" w:color="auto"/>
        <w:right w:val="none" w:sz="0" w:space="0" w:color="auto"/>
      </w:divBdr>
      <w:divsChild>
        <w:div w:id="596980301">
          <w:marLeft w:val="0"/>
          <w:marRight w:val="0"/>
          <w:marTop w:val="0"/>
          <w:marBottom w:val="0"/>
          <w:divBdr>
            <w:top w:val="none" w:sz="0" w:space="0" w:color="auto"/>
            <w:left w:val="none" w:sz="0" w:space="0" w:color="auto"/>
            <w:bottom w:val="none" w:sz="0" w:space="0" w:color="auto"/>
            <w:right w:val="none" w:sz="0" w:space="0" w:color="auto"/>
          </w:divBdr>
        </w:div>
      </w:divsChild>
    </w:div>
    <w:div w:id="1364549424">
      <w:bodyDiv w:val="1"/>
      <w:marLeft w:val="0"/>
      <w:marRight w:val="0"/>
      <w:marTop w:val="0"/>
      <w:marBottom w:val="0"/>
      <w:divBdr>
        <w:top w:val="none" w:sz="0" w:space="0" w:color="auto"/>
        <w:left w:val="none" w:sz="0" w:space="0" w:color="auto"/>
        <w:bottom w:val="none" w:sz="0" w:space="0" w:color="auto"/>
        <w:right w:val="none" w:sz="0" w:space="0" w:color="auto"/>
      </w:divBdr>
    </w:div>
    <w:div w:id="1369916143">
      <w:bodyDiv w:val="1"/>
      <w:marLeft w:val="0"/>
      <w:marRight w:val="0"/>
      <w:marTop w:val="0"/>
      <w:marBottom w:val="0"/>
      <w:divBdr>
        <w:top w:val="none" w:sz="0" w:space="0" w:color="auto"/>
        <w:left w:val="none" w:sz="0" w:space="0" w:color="auto"/>
        <w:bottom w:val="none" w:sz="0" w:space="0" w:color="auto"/>
        <w:right w:val="none" w:sz="0" w:space="0" w:color="auto"/>
      </w:divBdr>
    </w:div>
    <w:div w:id="1372681973">
      <w:marLeft w:val="0"/>
      <w:marRight w:val="0"/>
      <w:marTop w:val="0"/>
      <w:marBottom w:val="0"/>
      <w:divBdr>
        <w:top w:val="none" w:sz="0" w:space="0" w:color="auto"/>
        <w:left w:val="none" w:sz="0" w:space="0" w:color="auto"/>
        <w:bottom w:val="none" w:sz="0" w:space="0" w:color="auto"/>
        <w:right w:val="none" w:sz="0" w:space="0" w:color="auto"/>
      </w:divBdr>
      <w:divsChild>
        <w:div w:id="917521001">
          <w:marLeft w:val="0"/>
          <w:marRight w:val="0"/>
          <w:marTop w:val="0"/>
          <w:marBottom w:val="0"/>
          <w:divBdr>
            <w:top w:val="none" w:sz="0" w:space="0" w:color="auto"/>
            <w:left w:val="none" w:sz="0" w:space="0" w:color="auto"/>
            <w:bottom w:val="none" w:sz="0" w:space="0" w:color="auto"/>
            <w:right w:val="none" w:sz="0" w:space="0" w:color="auto"/>
          </w:divBdr>
        </w:div>
      </w:divsChild>
    </w:div>
    <w:div w:id="1376465783">
      <w:bodyDiv w:val="1"/>
      <w:marLeft w:val="0"/>
      <w:marRight w:val="0"/>
      <w:marTop w:val="0"/>
      <w:marBottom w:val="0"/>
      <w:divBdr>
        <w:top w:val="none" w:sz="0" w:space="0" w:color="auto"/>
        <w:left w:val="none" w:sz="0" w:space="0" w:color="auto"/>
        <w:bottom w:val="none" w:sz="0" w:space="0" w:color="auto"/>
        <w:right w:val="none" w:sz="0" w:space="0" w:color="auto"/>
      </w:divBdr>
      <w:divsChild>
        <w:div w:id="259335683">
          <w:marLeft w:val="0"/>
          <w:marRight w:val="0"/>
          <w:marTop w:val="0"/>
          <w:marBottom w:val="0"/>
          <w:divBdr>
            <w:top w:val="none" w:sz="0" w:space="0" w:color="auto"/>
            <w:left w:val="none" w:sz="0" w:space="0" w:color="auto"/>
            <w:bottom w:val="none" w:sz="0" w:space="0" w:color="auto"/>
            <w:right w:val="none" w:sz="0" w:space="0" w:color="auto"/>
          </w:divBdr>
          <w:divsChild>
            <w:div w:id="1048191525">
              <w:marLeft w:val="0"/>
              <w:marRight w:val="0"/>
              <w:marTop w:val="0"/>
              <w:marBottom w:val="0"/>
              <w:divBdr>
                <w:top w:val="none" w:sz="0" w:space="0" w:color="auto"/>
                <w:left w:val="none" w:sz="0" w:space="0" w:color="auto"/>
                <w:bottom w:val="none" w:sz="0" w:space="0" w:color="auto"/>
                <w:right w:val="none" w:sz="0" w:space="0" w:color="auto"/>
              </w:divBdr>
            </w:div>
            <w:div w:id="2118980876">
              <w:marLeft w:val="0"/>
              <w:marRight w:val="0"/>
              <w:marTop w:val="0"/>
              <w:marBottom w:val="0"/>
              <w:divBdr>
                <w:top w:val="none" w:sz="0" w:space="0" w:color="auto"/>
                <w:left w:val="none" w:sz="0" w:space="0" w:color="auto"/>
                <w:bottom w:val="none" w:sz="0" w:space="0" w:color="auto"/>
                <w:right w:val="none" w:sz="0" w:space="0" w:color="auto"/>
              </w:divBdr>
            </w:div>
            <w:div w:id="2050764216">
              <w:marLeft w:val="0"/>
              <w:marRight w:val="0"/>
              <w:marTop w:val="0"/>
              <w:marBottom w:val="0"/>
              <w:divBdr>
                <w:top w:val="none" w:sz="0" w:space="0" w:color="auto"/>
                <w:left w:val="none" w:sz="0" w:space="0" w:color="auto"/>
                <w:bottom w:val="none" w:sz="0" w:space="0" w:color="auto"/>
                <w:right w:val="none" w:sz="0" w:space="0" w:color="auto"/>
              </w:divBdr>
            </w:div>
            <w:div w:id="1935741861">
              <w:marLeft w:val="0"/>
              <w:marRight w:val="0"/>
              <w:marTop w:val="0"/>
              <w:marBottom w:val="0"/>
              <w:divBdr>
                <w:top w:val="none" w:sz="0" w:space="0" w:color="auto"/>
                <w:left w:val="none" w:sz="0" w:space="0" w:color="auto"/>
                <w:bottom w:val="none" w:sz="0" w:space="0" w:color="auto"/>
                <w:right w:val="none" w:sz="0" w:space="0" w:color="auto"/>
              </w:divBdr>
            </w:div>
            <w:div w:id="922689007">
              <w:marLeft w:val="0"/>
              <w:marRight w:val="0"/>
              <w:marTop w:val="0"/>
              <w:marBottom w:val="0"/>
              <w:divBdr>
                <w:top w:val="none" w:sz="0" w:space="0" w:color="auto"/>
                <w:left w:val="none" w:sz="0" w:space="0" w:color="auto"/>
                <w:bottom w:val="none" w:sz="0" w:space="0" w:color="auto"/>
                <w:right w:val="none" w:sz="0" w:space="0" w:color="auto"/>
              </w:divBdr>
            </w:div>
            <w:div w:id="1690643064">
              <w:marLeft w:val="0"/>
              <w:marRight w:val="0"/>
              <w:marTop w:val="0"/>
              <w:marBottom w:val="0"/>
              <w:divBdr>
                <w:top w:val="none" w:sz="0" w:space="0" w:color="auto"/>
                <w:left w:val="none" w:sz="0" w:space="0" w:color="auto"/>
                <w:bottom w:val="none" w:sz="0" w:space="0" w:color="auto"/>
                <w:right w:val="none" w:sz="0" w:space="0" w:color="auto"/>
              </w:divBdr>
            </w:div>
            <w:div w:id="1306162438">
              <w:marLeft w:val="0"/>
              <w:marRight w:val="0"/>
              <w:marTop w:val="0"/>
              <w:marBottom w:val="0"/>
              <w:divBdr>
                <w:top w:val="none" w:sz="0" w:space="0" w:color="auto"/>
                <w:left w:val="none" w:sz="0" w:space="0" w:color="auto"/>
                <w:bottom w:val="none" w:sz="0" w:space="0" w:color="auto"/>
                <w:right w:val="none" w:sz="0" w:space="0" w:color="auto"/>
              </w:divBdr>
            </w:div>
            <w:div w:id="113671884">
              <w:marLeft w:val="0"/>
              <w:marRight w:val="0"/>
              <w:marTop w:val="0"/>
              <w:marBottom w:val="0"/>
              <w:divBdr>
                <w:top w:val="none" w:sz="0" w:space="0" w:color="auto"/>
                <w:left w:val="none" w:sz="0" w:space="0" w:color="auto"/>
                <w:bottom w:val="none" w:sz="0" w:space="0" w:color="auto"/>
                <w:right w:val="none" w:sz="0" w:space="0" w:color="auto"/>
              </w:divBdr>
            </w:div>
            <w:div w:id="163591660">
              <w:marLeft w:val="0"/>
              <w:marRight w:val="0"/>
              <w:marTop w:val="0"/>
              <w:marBottom w:val="0"/>
              <w:divBdr>
                <w:top w:val="none" w:sz="0" w:space="0" w:color="auto"/>
                <w:left w:val="none" w:sz="0" w:space="0" w:color="auto"/>
                <w:bottom w:val="none" w:sz="0" w:space="0" w:color="auto"/>
                <w:right w:val="none" w:sz="0" w:space="0" w:color="auto"/>
              </w:divBdr>
            </w:div>
            <w:div w:id="1182891730">
              <w:marLeft w:val="0"/>
              <w:marRight w:val="0"/>
              <w:marTop w:val="0"/>
              <w:marBottom w:val="0"/>
              <w:divBdr>
                <w:top w:val="none" w:sz="0" w:space="0" w:color="auto"/>
                <w:left w:val="none" w:sz="0" w:space="0" w:color="auto"/>
                <w:bottom w:val="none" w:sz="0" w:space="0" w:color="auto"/>
                <w:right w:val="none" w:sz="0" w:space="0" w:color="auto"/>
              </w:divBdr>
            </w:div>
            <w:div w:id="2088719722">
              <w:marLeft w:val="0"/>
              <w:marRight w:val="0"/>
              <w:marTop w:val="0"/>
              <w:marBottom w:val="0"/>
              <w:divBdr>
                <w:top w:val="none" w:sz="0" w:space="0" w:color="auto"/>
                <w:left w:val="none" w:sz="0" w:space="0" w:color="auto"/>
                <w:bottom w:val="none" w:sz="0" w:space="0" w:color="auto"/>
                <w:right w:val="none" w:sz="0" w:space="0" w:color="auto"/>
              </w:divBdr>
            </w:div>
            <w:div w:id="1785996565">
              <w:marLeft w:val="0"/>
              <w:marRight w:val="0"/>
              <w:marTop w:val="0"/>
              <w:marBottom w:val="0"/>
              <w:divBdr>
                <w:top w:val="none" w:sz="0" w:space="0" w:color="auto"/>
                <w:left w:val="none" w:sz="0" w:space="0" w:color="auto"/>
                <w:bottom w:val="none" w:sz="0" w:space="0" w:color="auto"/>
                <w:right w:val="none" w:sz="0" w:space="0" w:color="auto"/>
              </w:divBdr>
            </w:div>
            <w:div w:id="995912786">
              <w:marLeft w:val="0"/>
              <w:marRight w:val="0"/>
              <w:marTop w:val="0"/>
              <w:marBottom w:val="0"/>
              <w:divBdr>
                <w:top w:val="none" w:sz="0" w:space="0" w:color="auto"/>
                <w:left w:val="none" w:sz="0" w:space="0" w:color="auto"/>
                <w:bottom w:val="none" w:sz="0" w:space="0" w:color="auto"/>
                <w:right w:val="none" w:sz="0" w:space="0" w:color="auto"/>
              </w:divBdr>
            </w:div>
            <w:div w:id="698044152">
              <w:marLeft w:val="0"/>
              <w:marRight w:val="0"/>
              <w:marTop w:val="0"/>
              <w:marBottom w:val="0"/>
              <w:divBdr>
                <w:top w:val="none" w:sz="0" w:space="0" w:color="auto"/>
                <w:left w:val="none" w:sz="0" w:space="0" w:color="auto"/>
                <w:bottom w:val="none" w:sz="0" w:space="0" w:color="auto"/>
                <w:right w:val="none" w:sz="0" w:space="0" w:color="auto"/>
              </w:divBdr>
            </w:div>
            <w:div w:id="489105701">
              <w:marLeft w:val="0"/>
              <w:marRight w:val="0"/>
              <w:marTop w:val="0"/>
              <w:marBottom w:val="0"/>
              <w:divBdr>
                <w:top w:val="none" w:sz="0" w:space="0" w:color="auto"/>
                <w:left w:val="none" w:sz="0" w:space="0" w:color="auto"/>
                <w:bottom w:val="none" w:sz="0" w:space="0" w:color="auto"/>
                <w:right w:val="none" w:sz="0" w:space="0" w:color="auto"/>
              </w:divBdr>
            </w:div>
            <w:div w:id="228228825">
              <w:marLeft w:val="0"/>
              <w:marRight w:val="0"/>
              <w:marTop w:val="0"/>
              <w:marBottom w:val="0"/>
              <w:divBdr>
                <w:top w:val="none" w:sz="0" w:space="0" w:color="auto"/>
                <w:left w:val="none" w:sz="0" w:space="0" w:color="auto"/>
                <w:bottom w:val="none" w:sz="0" w:space="0" w:color="auto"/>
                <w:right w:val="none" w:sz="0" w:space="0" w:color="auto"/>
              </w:divBdr>
            </w:div>
            <w:div w:id="155342141">
              <w:marLeft w:val="0"/>
              <w:marRight w:val="0"/>
              <w:marTop w:val="0"/>
              <w:marBottom w:val="0"/>
              <w:divBdr>
                <w:top w:val="none" w:sz="0" w:space="0" w:color="auto"/>
                <w:left w:val="none" w:sz="0" w:space="0" w:color="auto"/>
                <w:bottom w:val="none" w:sz="0" w:space="0" w:color="auto"/>
                <w:right w:val="none" w:sz="0" w:space="0" w:color="auto"/>
              </w:divBdr>
            </w:div>
            <w:div w:id="765930378">
              <w:marLeft w:val="0"/>
              <w:marRight w:val="0"/>
              <w:marTop w:val="0"/>
              <w:marBottom w:val="0"/>
              <w:divBdr>
                <w:top w:val="none" w:sz="0" w:space="0" w:color="auto"/>
                <w:left w:val="none" w:sz="0" w:space="0" w:color="auto"/>
                <w:bottom w:val="none" w:sz="0" w:space="0" w:color="auto"/>
                <w:right w:val="none" w:sz="0" w:space="0" w:color="auto"/>
              </w:divBdr>
            </w:div>
            <w:div w:id="1678071694">
              <w:marLeft w:val="0"/>
              <w:marRight w:val="0"/>
              <w:marTop w:val="0"/>
              <w:marBottom w:val="0"/>
              <w:divBdr>
                <w:top w:val="none" w:sz="0" w:space="0" w:color="auto"/>
                <w:left w:val="none" w:sz="0" w:space="0" w:color="auto"/>
                <w:bottom w:val="none" w:sz="0" w:space="0" w:color="auto"/>
                <w:right w:val="none" w:sz="0" w:space="0" w:color="auto"/>
              </w:divBdr>
            </w:div>
            <w:div w:id="4325400">
              <w:marLeft w:val="0"/>
              <w:marRight w:val="0"/>
              <w:marTop w:val="0"/>
              <w:marBottom w:val="0"/>
              <w:divBdr>
                <w:top w:val="none" w:sz="0" w:space="0" w:color="auto"/>
                <w:left w:val="none" w:sz="0" w:space="0" w:color="auto"/>
                <w:bottom w:val="none" w:sz="0" w:space="0" w:color="auto"/>
                <w:right w:val="none" w:sz="0" w:space="0" w:color="auto"/>
              </w:divBdr>
            </w:div>
            <w:div w:id="577054956">
              <w:marLeft w:val="0"/>
              <w:marRight w:val="0"/>
              <w:marTop w:val="0"/>
              <w:marBottom w:val="0"/>
              <w:divBdr>
                <w:top w:val="none" w:sz="0" w:space="0" w:color="auto"/>
                <w:left w:val="none" w:sz="0" w:space="0" w:color="auto"/>
                <w:bottom w:val="none" w:sz="0" w:space="0" w:color="auto"/>
                <w:right w:val="none" w:sz="0" w:space="0" w:color="auto"/>
              </w:divBdr>
            </w:div>
            <w:div w:id="12072474">
              <w:marLeft w:val="0"/>
              <w:marRight w:val="0"/>
              <w:marTop w:val="0"/>
              <w:marBottom w:val="0"/>
              <w:divBdr>
                <w:top w:val="none" w:sz="0" w:space="0" w:color="auto"/>
                <w:left w:val="none" w:sz="0" w:space="0" w:color="auto"/>
                <w:bottom w:val="none" w:sz="0" w:space="0" w:color="auto"/>
                <w:right w:val="none" w:sz="0" w:space="0" w:color="auto"/>
              </w:divBdr>
            </w:div>
            <w:div w:id="405804535">
              <w:marLeft w:val="0"/>
              <w:marRight w:val="0"/>
              <w:marTop w:val="0"/>
              <w:marBottom w:val="0"/>
              <w:divBdr>
                <w:top w:val="none" w:sz="0" w:space="0" w:color="auto"/>
                <w:left w:val="none" w:sz="0" w:space="0" w:color="auto"/>
                <w:bottom w:val="none" w:sz="0" w:space="0" w:color="auto"/>
                <w:right w:val="none" w:sz="0" w:space="0" w:color="auto"/>
              </w:divBdr>
            </w:div>
            <w:div w:id="654189691">
              <w:marLeft w:val="0"/>
              <w:marRight w:val="0"/>
              <w:marTop w:val="0"/>
              <w:marBottom w:val="0"/>
              <w:divBdr>
                <w:top w:val="none" w:sz="0" w:space="0" w:color="auto"/>
                <w:left w:val="none" w:sz="0" w:space="0" w:color="auto"/>
                <w:bottom w:val="none" w:sz="0" w:space="0" w:color="auto"/>
                <w:right w:val="none" w:sz="0" w:space="0" w:color="auto"/>
              </w:divBdr>
            </w:div>
            <w:div w:id="474689459">
              <w:marLeft w:val="0"/>
              <w:marRight w:val="0"/>
              <w:marTop w:val="0"/>
              <w:marBottom w:val="0"/>
              <w:divBdr>
                <w:top w:val="none" w:sz="0" w:space="0" w:color="auto"/>
                <w:left w:val="none" w:sz="0" w:space="0" w:color="auto"/>
                <w:bottom w:val="none" w:sz="0" w:space="0" w:color="auto"/>
                <w:right w:val="none" w:sz="0" w:space="0" w:color="auto"/>
              </w:divBdr>
            </w:div>
            <w:div w:id="1797094276">
              <w:marLeft w:val="0"/>
              <w:marRight w:val="0"/>
              <w:marTop w:val="0"/>
              <w:marBottom w:val="0"/>
              <w:divBdr>
                <w:top w:val="none" w:sz="0" w:space="0" w:color="auto"/>
                <w:left w:val="none" w:sz="0" w:space="0" w:color="auto"/>
                <w:bottom w:val="none" w:sz="0" w:space="0" w:color="auto"/>
                <w:right w:val="none" w:sz="0" w:space="0" w:color="auto"/>
              </w:divBdr>
            </w:div>
            <w:div w:id="731931498">
              <w:marLeft w:val="0"/>
              <w:marRight w:val="0"/>
              <w:marTop w:val="0"/>
              <w:marBottom w:val="0"/>
              <w:divBdr>
                <w:top w:val="none" w:sz="0" w:space="0" w:color="auto"/>
                <w:left w:val="none" w:sz="0" w:space="0" w:color="auto"/>
                <w:bottom w:val="none" w:sz="0" w:space="0" w:color="auto"/>
                <w:right w:val="none" w:sz="0" w:space="0" w:color="auto"/>
              </w:divBdr>
            </w:div>
            <w:div w:id="1913419859">
              <w:marLeft w:val="0"/>
              <w:marRight w:val="0"/>
              <w:marTop w:val="0"/>
              <w:marBottom w:val="0"/>
              <w:divBdr>
                <w:top w:val="none" w:sz="0" w:space="0" w:color="auto"/>
                <w:left w:val="none" w:sz="0" w:space="0" w:color="auto"/>
                <w:bottom w:val="none" w:sz="0" w:space="0" w:color="auto"/>
                <w:right w:val="none" w:sz="0" w:space="0" w:color="auto"/>
              </w:divBdr>
            </w:div>
            <w:div w:id="624118225">
              <w:marLeft w:val="0"/>
              <w:marRight w:val="0"/>
              <w:marTop w:val="0"/>
              <w:marBottom w:val="0"/>
              <w:divBdr>
                <w:top w:val="none" w:sz="0" w:space="0" w:color="auto"/>
                <w:left w:val="none" w:sz="0" w:space="0" w:color="auto"/>
                <w:bottom w:val="none" w:sz="0" w:space="0" w:color="auto"/>
                <w:right w:val="none" w:sz="0" w:space="0" w:color="auto"/>
              </w:divBdr>
            </w:div>
            <w:div w:id="82651735">
              <w:marLeft w:val="0"/>
              <w:marRight w:val="0"/>
              <w:marTop w:val="0"/>
              <w:marBottom w:val="0"/>
              <w:divBdr>
                <w:top w:val="none" w:sz="0" w:space="0" w:color="auto"/>
                <w:left w:val="none" w:sz="0" w:space="0" w:color="auto"/>
                <w:bottom w:val="none" w:sz="0" w:space="0" w:color="auto"/>
                <w:right w:val="none" w:sz="0" w:space="0" w:color="auto"/>
              </w:divBdr>
            </w:div>
            <w:div w:id="1652245262">
              <w:marLeft w:val="0"/>
              <w:marRight w:val="0"/>
              <w:marTop w:val="0"/>
              <w:marBottom w:val="0"/>
              <w:divBdr>
                <w:top w:val="none" w:sz="0" w:space="0" w:color="auto"/>
                <w:left w:val="none" w:sz="0" w:space="0" w:color="auto"/>
                <w:bottom w:val="none" w:sz="0" w:space="0" w:color="auto"/>
                <w:right w:val="none" w:sz="0" w:space="0" w:color="auto"/>
              </w:divBdr>
            </w:div>
            <w:div w:id="294794324">
              <w:marLeft w:val="0"/>
              <w:marRight w:val="0"/>
              <w:marTop w:val="0"/>
              <w:marBottom w:val="0"/>
              <w:divBdr>
                <w:top w:val="none" w:sz="0" w:space="0" w:color="auto"/>
                <w:left w:val="none" w:sz="0" w:space="0" w:color="auto"/>
                <w:bottom w:val="none" w:sz="0" w:space="0" w:color="auto"/>
                <w:right w:val="none" w:sz="0" w:space="0" w:color="auto"/>
              </w:divBdr>
            </w:div>
            <w:div w:id="373387096">
              <w:marLeft w:val="0"/>
              <w:marRight w:val="0"/>
              <w:marTop w:val="0"/>
              <w:marBottom w:val="0"/>
              <w:divBdr>
                <w:top w:val="none" w:sz="0" w:space="0" w:color="auto"/>
                <w:left w:val="none" w:sz="0" w:space="0" w:color="auto"/>
                <w:bottom w:val="none" w:sz="0" w:space="0" w:color="auto"/>
                <w:right w:val="none" w:sz="0" w:space="0" w:color="auto"/>
              </w:divBdr>
            </w:div>
            <w:div w:id="569466808">
              <w:marLeft w:val="0"/>
              <w:marRight w:val="0"/>
              <w:marTop w:val="0"/>
              <w:marBottom w:val="0"/>
              <w:divBdr>
                <w:top w:val="none" w:sz="0" w:space="0" w:color="auto"/>
                <w:left w:val="none" w:sz="0" w:space="0" w:color="auto"/>
                <w:bottom w:val="none" w:sz="0" w:space="0" w:color="auto"/>
                <w:right w:val="none" w:sz="0" w:space="0" w:color="auto"/>
              </w:divBdr>
            </w:div>
            <w:div w:id="784426133">
              <w:marLeft w:val="0"/>
              <w:marRight w:val="0"/>
              <w:marTop w:val="0"/>
              <w:marBottom w:val="0"/>
              <w:divBdr>
                <w:top w:val="none" w:sz="0" w:space="0" w:color="auto"/>
                <w:left w:val="none" w:sz="0" w:space="0" w:color="auto"/>
                <w:bottom w:val="none" w:sz="0" w:space="0" w:color="auto"/>
                <w:right w:val="none" w:sz="0" w:space="0" w:color="auto"/>
              </w:divBdr>
            </w:div>
            <w:div w:id="1326469866">
              <w:marLeft w:val="0"/>
              <w:marRight w:val="0"/>
              <w:marTop w:val="0"/>
              <w:marBottom w:val="0"/>
              <w:divBdr>
                <w:top w:val="none" w:sz="0" w:space="0" w:color="auto"/>
                <w:left w:val="none" w:sz="0" w:space="0" w:color="auto"/>
                <w:bottom w:val="none" w:sz="0" w:space="0" w:color="auto"/>
                <w:right w:val="none" w:sz="0" w:space="0" w:color="auto"/>
              </w:divBdr>
            </w:div>
            <w:div w:id="2053453151">
              <w:marLeft w:val="0"/>
              <w:marRight w:val="0"/>
              <w:marTop w:val="0"/>
              <w:marBottom w:val="0"/>
              <w:divBdr>
                <w:top w:val="none" w:sz="0" w:space="0" w:color="auto"/>
                <w:left w:val="none" w:sz="0" w:space="0" w:color="auto"/>
                <w:bottom w:val="none" w:sz="0" w:space="0" w:color="auto"/>
                <w:right w:val="none" w:sz="0" w:space="0" w:color="auto"/>
              </w:divBdr>
            </w:div>
            <w:div w:id="534392950">
              <w:marLeft w:val="0"/>
              <w:marRight w:val="0"/>
              <w:marTop w:val="0"/>
              <w:marBottom w:val="0"/>
              <w:divBdr>
                <w:top w:val="none" w:sz="0" w:space="0" w:color="auto"/>
                <w:left w:val="none" w:sz="0" w:space="0" w:color="auto"/>
                <w:bottom w:val="none" w:sz="0" w:space="0" w:color="auto"/>
                <w:right w:val="none" w:sz="0" w:space="0" w:color="auto"/>
              </w:divBdr>
            </w:div>
            <w:div w:id="901717578">
              <w:marLeft w:val="0"/>
              <w:marRight w:val="0"/>
              <w:marTop w:val="0"/>
              <w:marBottom w:val="0"/>
              <w:divBdr>
                <w:top w:val="none" w:sz="0" w:space="0" w:color="auto"/>
                <w:left w:val="none" w:sz="0" w:space="0" w:color="auto"/>
                <w:bottom w:val="none" w:sz="0" w:space="0" w:color="auto"/>
                <w:right w:val="none" w:sz="0" w:space="0" w:color="auto"/>
              </w:divBdr>
            </w:div>
            <w:div w:id="342244824">
              <w:marLeft w:val="0"/>
              <w:marRight w:val="0"/>
              <w:marTop w:val="0"/>
              <w:marBottom w:val="0"/>
              <w:divBdr>
                <w:top w:val="none" w:sz="0" w:space="0" w:color="auto"/>
                <w:left w:val="none" w:sz="0" w:space="0" w:color="auto"/>
                <w:bottom w:val="none" w:sz="0" w:space="0" w:color="auto"/>
                <w:right w:val="none" w:sz="0" w:space="0" w:color="auto"/>
              </w:divBdr>
            </w:div>
            <w:div w:id="521626304">
              <w:marLeft w:val="0"/>
              <w:marRight w:val="0"/>
              <w:marTop w:val="0"/>
              <w:marBottom w:val="0"/>
              <w:divBdr>
                <w:top w:val="none" w:sz="0" w:space="0" w:color="auto"/>
                <w:left w:val="none" w:sz="0" w:space="0" w:color="auto"/>
                <w:bottom w:val="none" w:sz="0" w:space="0" w:color="auto"/>
                <w:right w:val="none" w:sz="0" w:space="0" w:color="auto"/>
              </w:divBdr>
            </w:div>
            <w:div w:id="48846508">
              <w:marLeft w:val="0"/>
              <w:marRight w:val="0"/>
              <w:marTop w:val="0"/>
              <w:marBottom w:val="0"/>
              <w:divBdr>
                <w:top w:val="none" w:sz="0" w:space="0" w:color="auto"/>
                <w:left w:val="none" w:sz="0" w:space="0" w:color="auto"/>
                <w:bottom w:val="none" w:sz="0" w:space="0" w:color="auto"/>
                <w:right w:val="none" w:sz="0" w:space="0" w:color="auto"/>
              </w:divBdr>
            </w:div>
            <w:div w:id="633869349">
              <w:marLeft w:val="0"/>
              <w:marRight w:val="0"/>
              <w:marTop w:val="0"/>
              <w:marBottom w:val="0"/>
              <w:divBdr>
                <w:top w:val="none" w:sz="0" w:space="0" w:color="auto"/>
                <w:left w:val="none" w:sz="0" w:space="0" w:color="auto"/>
                <w:bottom w:val="none" w:sz="0" w:space="0" w:color="auto"/>
                <w:right w:val="none" w:sz="0" w:space="0" w:color="auto"/>
              </w:divBdr>
            </w:div>
            <w:div w:id="1556039413">
              <w:marLeft w:val="0"/>
              <w:marRight w:val="0"/>
              <w:marTop w:val="0"/>
              <w:marBottom w:val="0"/>
              <w:divBdr>
                <w:top w:val="none" w:sz="0" w:space="0" w:color="auto"/>
                <w:left w:val="none" w:sz="0" w:space="0" w:color="auto"/>
                <w:bottom w:val="none" w:sz="0" w:space="0" w:color="auto"/>
                <w:right w:val="none" w:sz="0" w:space="0" w:color="auto"/>
              </w:divBdr>
            </w:div>
            <w:div w:id="1269191795">
              <w:marLeft w:val="0"/>
              <w:marRight w:val="0"/>
              <w:marTop w:val="0"/>
              <w:marBottom w:val="0"/>
              <w:divBdr>
                <w:top w:val="none" w:sz="0" w:space="0" w:color="auto"/>
                <w:left w:val="none" w:sz="0" w:space="0" w:color="auto"/>
                <w:bottom w:val="none" w:sz="0" w:space="0" w:color="auto"/>
                <w:right w:val="none" w:sz="0" w:space="0" w:color="auto"/>
              </w:divBdr>
            </w:div>
            <w:div w:id="1401370692">
              <w:marLeft w:val="0"/>
              <w:marRight w:val="0"/>
              <w:marTop w:val="0"/>
              <w:marBottom w:val="0"/>
              <w:divBdr>
                <w:top w:val="none" w:sz="0" w:space="0" w:color="auto"/>
                <w:left w:val="none" w:sz="0" w:space="0" w:color="auto"/>
                <w:bottom w:val="none" w:sz="0" w:space="0" w:color="auto"/>
                <w:right w:val="none" w:sz="0" w:space="0" w:color="auto"/>
              </w:divBdr>
            </w:div>
            <w:div w:id="413821182">
              <w:marLeft w:val="0"/>
              <w:marRight w:val="0"/>
              <w:marTop w:val="0"/>
              <w:marBottom w:val="0"/>
              <w:divBdr>
                <w:top w:val="none" w:sz="0" w:space="0" w:color="auto"/>
                <w:left w:val="none" w:sz="0" w:space="0" w:color="auto"/>
                <w:bottom w:val="none" w:sz="0" w:space="0" w:color="auto"/>
                <w:right w:val="none" w:sz="0" w:space="0" w:color="auto"/>
              </w:divBdr>
            </w:div>
            <w:div w:id="1980183309">
              <w:marLeft w:val="0"/>
              <w:marRight w:val="0"/>
              <w:marTop w:val="0"/>
              <w:marBottom w:val="0"/>
              <w:divBdr>
                <w:top w:val="none" w:sz="0" w:space="0" w:color="auto"/>
                <w:left w:val="none" w:sz="0" w:space="0" w:color="auto"/>
                <w:bottom w:val="none" w:sz="0" w:space="0" w:color="auto"/>
                <w:right w:val="none" w:sz="0" w:space="0" w:color="auto"/>
              </w:divBdr>
            </w:div>
            <w:div w:id="61488652">
              <w:marLeft w:val="0"/>
              <w:marRight w:val="0"/>
              <w:marTop w:val="0"/>
              <w:marBottom w:val="0"/>
              <w:divBdr>
                <w:top w:val="none" w:sz="0" w:space="0" w:color="auto"/>
                <w:left w:val="none" w:sz="0" w:space="0" w:color="auto"/>
                <w:bottom w:val="none" w:sz="0" w:space="0" w:color="auto"/>
                <w:right w:val="none" w:sz="0" w:space="0" w:color="auto"/>
              </w:divBdr>
            </w:div>
            <w:div w:id="1611471496">
              <w:marLeft w:val="0"/>
              <w:marRight w:val="0"/>
              <w:marTop w:val="0"/>
              <w:marBottom w:val="0"/>
              <w:divBdr>
                <w:top w:val="none" w:sz="0" w:space="0" w:color="auto"/>
                <w:left w:val="none" w:sz="0" w:space="0" w:color="auto"/>
                <w:bottom w:val="none" w:sz="0" w:space="0" w:color="auto"/>
                <w:right w:val="none" w:sz="0" w:space="0" w:color="auto"/>
              </w:divBdr>
            </w:div>
            <w:div w:id="1372531916">
              <w:marLeft w:val="0"/>
              <w:marRight w:val="0"/>
              <w:marTop w:val="0"/>
              <w:marBottom w:val="0"/>
              <w:divBdr>
                <w:top w:val="none" w:sz="0" w:space="0" w:color="auto"/>
                <w:left w:val="none" w:sz="0" w:space="0" w:color="auto"/>
                <w:bottom w:val="none" w:sz="0" w:space="0" w:color="auto"/>
                <w:right w:val="none" w:sz="0" w:space="0" w:color="auto"/>
              </w:divBdr>
            </w:div>
            <w:div w:id="782656830">
              <w:marLeft w:val="0"/>
              <w:marRight w:val="0"/>
              <w:marTop w:val="0"/>
              <w:marBottom w:val="0"/>
              <w:divBdr>
                <w:top w:val="none" w:sz="0" w:space="0" w:color="auto"/>
                <w:left w:val="none" w:sz="0" w:space="0" w:color="auto"/>
                <w:bottom w:val="none" w:sz="0" w:space="0" w:color="auto"/>
                <w:right w:val="none" w:sz="0" w:space="0" w:color="auto"/>
              </w:divBdr>
            </w:div>
            <w:div w:id="703679597">
              <w:marLeft w:val="0"/>
              <w:marRight w:val="0"/>
              <w:marTop w:val="0"/>
              <w:marBottom w:val="0"/>
              <w:divBdr>
                <w:top w:val="none" w:sz="0" w:space="0" w:color="auto"/>
                <w:left w:val="none" w:sz="0" w:space="0" w:color="auto"/>
                <w:bottom w:val="none" w:sz="0" w:space="0" w:color="auto"/>
                <w:right w:val="none" w:sz="0" w:space="0" w:color="auto"/>
              </w:divBdr>
            </w:div>
            <w:div w:id="225995342">
              <w:marLeft w:val="0"/>
              <w:marRight w:val="0"/>
              <w:marTop w:val="0"/>
              <w:marBottom w:val="0"/>
              <w:divBdr>
                <w:top w:val="none" w:sz="0" w:space="0" w:color="auto"/>
                <w:left w:val="none" w:sz="0" w:space="0" w:color="auto"/>
                <w:bottom w:val="none" w:sz="0" w:space="0" w:color="auto"/>
                <w:right w:val="none" w:sz="0" w:space="0" w:color="auto"/>
              </w:divBdr>
            </w:div>
            <w:div w:id="1751610173">
              <w:marLeft w:val="0"/>
              <w:marRight w:val="0"/>
              <w:marTop w:val="0"/>
              <w:marBottom w:val="0"/>
              <w:divBdr>
                <w:top w:val="none" w:sz="0" w:space="0" w:color="auto"/>
                <w:left w:val="none" w:sz="0" w:space="0" w:color="auto"/>
                <w:bottom w:val="none" w:sz="0" w:space="0" w:color="auto"/>
                <w:right w:val="none" w:sz="0" w:space="0" w:color="auto"/>
              </w:divBdr>
            </w:div>
            <w:div w:id="525607902">
              <w:marLeft w:val="0"/>
              <w:marRight w:val="0"/>
              <w:marTop w:val="0"/>
              <w:marBottom w:val="0"/>
              <w:divBdr>
                <w:top w:val="none" w:sz="0" w:space="0" w:color="auto"/>
                <w:left w:val="none" w:sz="0" w:space="0" w:color="auto"/>
                <w:bottom w:val="none" w:sz="0" w:space="0" w:color="auto"/>
                <w:right w:val="none" w:sz="0" w:space="0" w:color="auto"/>
              </w:divBdr>
            </w:div>
            <w:div w:id="113839741">
              <w:marLeft w:val="0"/>
              <w:marRight w:val="0"/>
              <w:marTop w:val="0"/>
              <w:marBottom w:val="0"/>
              <w:divBdr>
                <w:top w:val="none" w:sz="0" w:space="0" w:color="auto"/>
                <w:left w:val="none" w:sz="0" w:space="0" w:color="auto"/>
                <w:bottom w:val="none" w:sz="0" w:space="0" w:color="auto"/>
                <w:right w:val="none" w:sz="0" w:space="0" w:color="auto"/>
              </w:divBdr>
            </w:div>
            <w:div w:id="1796674348">
              <w:marLeft w:val="0"/>
              <w:marRight w:val="0"/>
              <w:marTop w:val="0"/>
              <w:marBottom w:val="0"/>
              <w:divBdr>
                <w:top w:val="none" w:sz="0" w:space="0" w:color="auto"/>
                <w:left w:val="none" w:sz="0" w:space="0" w:color="auto"/>
                <w:bottom w:val="none" w:sz="0" w:space="0" w:color="auto"/>
                <w:right w:val="none" w:sz="0" w:space="0" w:color="auto"/>
              </w:divBdr>
            </w:div>
            <w:div w:id="319770835">
              <w:marLeft w:val="0"/>
              <w:marRight w:val="0"/>
              <w:marTop w:val="0"/>
              <w:marBottom w:val="0"/>
              <w:divBdr>
                <w:top w:val="none" w:sz="0" w:space="0" w:color="auto"/>
                <w:left w:val="none" w:sz="0" w:space="0" w:color="auto"/>
                <w:bottom w:val="none" w:sz="0" w:space="0" w:color="auto"/>
                <w:right w:val="none" w:sz="0" w:space="0" w:color="auto"/>
              </w:divBdr>
            </w:div>
            <w:div w:id="1430200887">
              <w:marLeft w:val="0"/>
              <w:marRight w:val="0"/>
              <w:marTop w:val="0"/>
              <w:marBottom w:val="0"/>
              <w:divBdr>
                <w:top w:val="none" w:sz="0" w:space="0" w:color="auto"/>
                <w:left w:val="none" w:sz="0" w:space="0" w:color="auto"/>
                <w:bottom w:val="none" w:sz="0" w:space="0" w:color="auto"/>
                <w:right w:val="none" w:sz="0" w:space="0" w:color="auto"/>
              </w:divBdr>
            </w:div>
            <w:div w:id="469831897">
              <w:marLeft w:val="0"/>
              <w:marRight w:val="0"/>
              <w:marTop w:val="0"/>
              <w:marBottom w:val="0"/>
              <w:divBdr>
                <w:top w:val="none" w:sz="0" w:space="0" w:color="auto"/>
                <w:left w:val="none" w:sz="0" w:space="0" w:color="auto"/>
                <w:bottom w:val="none" w:sz="0" w:space="0" w:color="auto"/>
                <w:right w:val="none" w:sz="0" w:space="0" w:color="auto"/>
              </w:divBdr>
            </w:div>
            <w:div w:id="1884168299">
              <w:marLeft w:val="0"/>
              <w:marRight w:val="0"/>
              <w:marTop w:val="0"/>
              <w:marBottom w:val="0"/>
              <w:divBdr>
                <w:top w:val="none" w:sz="0" w:space="0" w:color="auto"/>
                <w:left w:val="none" w:sz="0" w:space="0" w:color="auto"/>
                <w:bottom w:val="none" w:sz="0" w:space="0" w:color="auto"/>
                <w:right w:val="none" w:sz="0" w:space="0" w:color="auto"/>
              </w:divBdr>
            </w:div>
            <w:div w:id="843084604">
              <w:marLeft w:val="0"/>
              <w:marRight w:val="0"/>
              <w:marTop w:val="0"/>
              <w:marBottom w:val="0"/>
              <w:divBdr>
                <w:top w:val="none" w:sz="0" w:space="0" w:color="auto"/>
                <w:left w:val="none" w:sz="0" w:space="0" w:color="auto"/>
                <w:bottom w:val="none" w:sz="0" w:space="0" w:color="auto"/>
                <w:right w:val="none" w:sz="0" w:space="0" w:color="auto"/>
              </w:divBdr>
            </w:div>
            <w:div w:id="1919365440">
              <w:marLeft w:val="0"/>
              <w:marRight w:val="0"/>
              <w:marTop w:val="0"/>
              <w:marBottom w:val="0"/>
              <w:divBdr>
                <w:top w:val="none" w:sz="0" w:space="0" w:color="auto"/>
                <w:left w:val="none" w:sz="0" w:space="0" w:color="auto"/>
                <w:bottom w:val="none" w:sz="0" w:space="0" w:color="auto"/>
                <w:right w:val="none" w:sz="0" w:space="0" w:color="auto"/>
              </w:divBdr>
            </w:div>
            <w:div w:id="19109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4875">
      <w:bodyDiv w:val="1"/>
      <w:marLeft w:val="0"/>
      <w:marRight w:val="0"/>
      <w:marTop w:val="0"/>
      <w:marBottom w:val="0"/>
      <w:divBdr>
        <w:top w:val="none" w:sz="0" w:space="0" w:color="auto"/>
        <w:left w:val="none" w:sz="0" w:space="0" w:color="auto"/>
        <w:bottom w:val="none" w:sz="0" w:space="0" w:color="auto"/>
        <w:right w:val="none" w:sz="0" w:space="0" w:color="auto"/>
      </w:divBdr>
    </w:div>
    <w:div w:id="1378627116">
      <w:marLeft w:val="0"/>
      <w:marRight w:val="0"/>
      <w:marTop w:val="0"/>
      <w:marBottom w:val="0"/>
      <w:divBdr>
        <w:top w:val="none" w:sz="0" w:space="0" w:color="auto"/>
        <w:left w:val="none" w:sz="0" w:space="0" w:color="auto"/>
        <w:bottom w:val="none" w:sz="0" w:space="0" w:color="auto"/>
        <w:right w:val="none" w:sz="0" w:space="0" w:color="auto"/>
      </w:divBdr>
      <w:divsChild>
        <w:div w:id="1581328472">
          <w:marLeft w:val="0"/>
          <w:marRight w:val="0"/>
          <w:marTop w:val="0"/>
          <w:marBottom w:val="0"/>
          <w:divBdr>
            <w:top w:val="none" w:sz="0" w:space="0" w:color="auto"/>
            <w:left w:val="none" w:sz="0" w:space="0" w:color="auto"/>
            <w:bottom w:val="none" w:sz="0" w:space="0" w:color="auto"/>
            <w:right w:val="none" w:sz="0" w:space="0" w:color="auto"/>
          </w:divBdr>
        </w:div>
      </w:divsChild>
    </w:div>
    <w:div w:id="1378892940">
      <w:marLeft w:val="0"/>
      <w:marRight w:val="150"/>
      <w:marTop w:val="0"/>
      <w:marBottom w:val="0"/>
      <w:divBdr>
        <w:top w:val="none" w:sz="0" w:space="0" w:color="auto"/>
        <w:left w:val="none" w:sz="0" w:space="0" w:color="auto"/>
        <w:bottom w:val="none" w:sz="0" w:space="0" w:color="auto"/>
        <w:right w:val="none" w:sz="0" w:space="0" w:color="auto"/>
      </w:divBdr>
      <w:divsChild>
        <w:div w:id="1671714277">
          <w:marLeft w:val="0"/>
          <w:marRight w:val="150"/>
          <w:marTop w:val="0"/>
          <w:marBottom w:val="0"/>
          <w:divBdr>
            <w:top w:val="none" w:sz="0" w:space="0" w:color="auto"/>
            <w:left w:val="none" w:sz="0" w:space="0" w:color="auto"/>
            <w:bottom w:val="none" w:sz="0" w:space="0" w:color="auto"/>
            <w:right w:val="none" w:sz="0" w:space="0" w:color="auto"/>
          </w:divBdr>
        </w:div>
      </w:divsChild>
    </w:div>
    <w:div w:id="1379360359">
      <w:bodyDiv w:val="1"/>
      <w:marLeft w:val="0"/>
      <w:marRight w:val="0"/>
      <w:marTop w:val="0"/>
      <w:marBottom w:val="0"/>
      <w:divBdr>
        <w:top w:val="none" w:sz="0" w:space="0" w:color="auto"/>
        <w:left w:val="none" w:sz="0" w:space="0" w:color="auto"/>
        <w:bottom w:val="none" w:sz="0" w:space="0" w:color="auto"/>
        <w:right w:val="none" w:sz="0" w:space="0" w:color="auto"/>
      </w:divBdr>
      <w:divsChild>
        <w:div w:id="75518422">
          <w:marLeft w:val="0"/>
          <w:marRight w:val="0"/>
          <w:marTop w:val="0"/>
          <w:marBottom w:val="0"/>
          <w:divBdr>
            <w:top w:val="none" w:sz="0" w:space="0" w:color="auto"/>
            <w:left w:val="none" w:sz="0" w:space="0" w:color="auto"/>
            <w:bottom w:val="none" w:sz="0" w:space="0" w:color="auto"/>
            <w:right w:val="none" w:sz="0" w:space="0" w:color="auto"/>
          </w:divBdr>
          <w:divsChild>
            <w:div w:id="1676348460">
              <w:marLeft w:val="0"/>
              <w:marRight w:val="0"/>
              <w:marTop w:val="0"/>
              <w:marBottom w:val="0"/>
              <w:divBdr>
                <w:top w:val="none" w:sz="0" w:space="0" w:color="auto"/>
                <w:left w:val="none" w:sz="0" w:space="0" w:color="auto"/>
                <w:bottom w:val="none" w:sz="0" w:space="0" w:color="auto"/>
                <w:right w:val="none" w:sz="0" w:space="0" w:color="auto"/>
              </w:divBdr>
              <w:divsChild>
                <w:div w:id="878204483">
                  <w:marLeft w:val="0"/>
                  <w:marRight w:val="150"/>
                  <w:marTop w:val="0"/>
                  <w:marBottom w:val="0"/>
                  <w:divBdr>
                    <w:top w:val="none" w:sz="0" w:space="0" w:color="auto"/>
                    <w:left w:val="none" w:sz="0" w:space="0" w:color="auto"/>
                    <w:bottom w:val="none" w:sz="0" w:space="0" w:color="auto"/>
                    <w:right w:val="none" w:sz="0" w:space="0" w:color="auto"/>
                  </w:divBdr>
                  <w:divsChild>
                    <w:div w:id="598372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718059">
          <w:marLeft w:val="0"/>
          <w:marRight w:val="150"/>
          <w:marTop w:val="0"/>
          <w:marBottom w:val="0"/>
          <w:divBdr>
            <w:top w:val="none" w:sz="0" w:space="0" w:color="auto"/>
            <w:left w:val="none" w:sz="0" w:space="0" w:color="auto"/>
            <w:bottom w:val="none" w:sz="0" w:space="0" w:color="auto"/>
            <w:right w:val="none" w:sz="0" w:space="0" w:color="auto"/>
          </w:divBdr>
          <w:divsChild>
            <w:div w:id="8089345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0939693">
      <w:marLeft w:val="0"/>
      <w:marRight w:val="0"/>
      <w:marTop w:val="0"/>
      <w:marBottom w:val="0"/>
      <w:divBdr>
        <w:top w:val="none" w:sz="0" w:space="0" w:color="auto"/>
        <w:left w:val="none" w:sz="0" w:space="0" w:color="auto"/>
        <w:bottom w:val="none" w:sz="0" w:space="0" w:color="auto"/>
        <w:right w:val="none" w:sz="0" w:space="0" w:color="auto"/>
      </w:divBdr>
      <w:divsChild>
        <w:div w:id="539436350">
          <w:marLeft w:val="0"/>
          <w:marRight w:val="0"/>
          <w:marTop w:val="0"/>
          <w:marBottom w:val="0"/>
          <w:divBdr>
            <w:top w:val="none" w:sz="0" w:space="0" w:color="auto"/>
            <w:left w:val="none" w:sz="0" w:space="0" w:color="auto"/>
            <w:bottom w:val="none" w:sz="0" w:space="0" w:color="auto"/>
            <w:right w:val="none" w:sz="0" w:space="0" w:color="auto"/>
          </w:divBdr>
        </w:div>
      </w:divsChild>
    </w:div>
    <w:div w:id="1385450249">
      <w:bodyDiv w:val="1"/>
      <w:marLeft w:val="0"/>
      <w:marRight w:val="0"/>
      <w:marTop w:val="0"/>
      <w:marBottom w:val="0"/>
      <w:divBdr>
        <w:top w:val="none" w:sz="0" w:space="0" w:color="auto"/>
        <w:left w:val="none" w:sz="0" w:space="0" w:color="auto"/>
        <w:bottom w:val="none" w:sz="0" w:space="0" w:color="auto"/>
        <w:right w:val="none" w:sz="0" w:space="0" w:color="auto"/>
      </w:divBdr>
    </w:div>
    <w:div w:id="1386878977">
      <w:marLeft w:val="0"/>
      <w:marRight w:val="0"/>
      <w:marTop w:val="0"/>
      <w:marBottom w:val="0"/>
      <w:divBdr>
        <w:top w:val="none" w:sz="0" w:space="0" w:color="auto"/>
        <w:left w:val="none" w:sz="0" w:space="0" w:color="auto"/>
        <w:bottom w:val="none" w:sz="0" w:space="0" w:color="auto"/>
        <w:right w:val="none" w:sz="0" w:space="0" w:color="auto"/>
      </w:divBdr>
      <w:divsChild>
        <w:div w:id="1098715740">
          <w:marLeft w:val="0"/>
          <w:marRight w:val="0"/>
          <w:marTop w:val="0"/>
          <w:marBottom w:val="0"/>
          <w:divBdr>
            <w:top w:val="none" w:sz="0" w:space="0" w:color="auto"/>
            <w:left w:val="none" w:sz="0" w:space="0" w:color="auto"/>
            <w:bottom w:val="none" w:sz="0" w:space="0" w:color="auto"/>
            <w:right w:val="none" w:sz="0" w:space="0" w:color="auto"/>
          </w:divBdr>
        </w:div>
      </w:divsChild>
    </w:div>
    <w:div w:id="1390298555">
      <w:marLeft w:val="0"/>
      <w:marRight w:val="0"/>
      <w:marTop w:val="0"/>
      <w:marBottom w:val="0"/>
      <w:divBdr>
        <w:top w:val="none" w:sz="0" w:space="0" w:color="auto"/>
        <w:left w:val="none" w:sz="0" w:space="0" w:color="auto"/>
        <w:bottom w:val="none" w:sz="0" w:space="0" w:color="auto"/>
        <w:right w:val="none" w:sz="0" w:space="0" w:color="auto"/>
      </w:divBdr>
      <w:divsChild>
        <w:div w:id="1086538051">
          <w:marLeft w:val="0"/>
          <w:marRight w:val="0"/>
          <w:marTop w:val="0"/>
          <w:marBottom w:val="0"/>
          <w:divBdr>
            <w:top w:val="none" w:sz="0" w:space="0" w:color="auto"/>
            <w:left w:val="none" w:sz="0" w:space="0" w:color="auto"/>
            <w:bottom w:val="none" w:sz="0" w:space="0" w:color="auto"/>
            <w:right w:val="none" w:sz="0" w:space="0" w:color="auto"/>
          </w:divBdr>
        </w:div>
      </w:divsChild>
    </w:div>
    <w:div w:id="1390881543">
      <w:bodyDiv w:val="1"/>
      <w:marLeft w:val="0"/>
      <w:marRight w:val="0"/>
      <w:marTop w:val="0"/>
      <w:marBottom w:val="0"/>
      <w:divBdr>
        <w:top w:val="none" w:sz="0" w:space="0" w:color="auto"/>
        <w:left w:val="none" w:sz="0" w:space="0" w:color="auto"/>
        <w:bottom w:val="none" w:sz="0" w:space="0" w:color="auto"/>
        <w:right w:val="none" w:sz="0" w:space="0" w:color="auto"/>
      </w:divBdr>
    </w:div>
    <w:div w:id="1392002698">
      <w:marLeft w:val="0"/>
      <w:marRight w:val="0"/>
      <w:marTop w:val="0"/>
      <w:marBottom w:val="0"/>
      <w:divBdr>
        <w:top w:val="none" w:sz="0" w:space="0" w:color="auto"/>
        <w:left w:val="none" w:sz="0" w:space="0" w:color="auto"/>
        <w:bottom w:val="none" w:sz="0" w:space="0" w:color="auto"/>
        <w:right w:val="none" w:sz="0" w:space="0" w:color="auto"/>
      </w:divBdr>
      <w:divsChild>
        <w:div w:id="1781756928">
          <w:marLeft w:val="0"/>
          <w:marRight w:val="0"/>
          <w:marTop w:val="0"/>
          <w:marBottom w:val="0"/>
          <w:divBdr>
            <w:top w:val="none" w:sz="0" w:space="0" w:color="auto"/>
            <w:left w:val="none" w:sz="0" w:space="0" w:color="auto"/>
            <w:bottom w:val="none" w:sz="0" w:space="0" w:color="auto"/>
            <w:right w:val="none" w:sz="0" w:space="0" w:color="auto"/>
          </w:divBdr>
        </w:div>
      </w:divsChild>
    </w:div>
    <w:div w:id="1393625081">
      <w:bodyDiv w:val="1"/>
      <w:marLeft w:val="0"/>
      <w:marRight w:val="0"/>
      <w:marTop w:val="0"/>
      <w:marBottom w:val="0"/>
      <w:divBdr>
        <w:top w:val="none" w:sz="0" w:space="0" w:color="auto"/>
        <w:left w:val="none" w:sz="0" w:space="0" w:color="auto"/>
        <w:bottom w:val="none" w:sz="0" w:space="0" w:color="auto"/>
        <w:right w:val="none" w:sz="0" w:space="0" w:color="auto"/>
      </w:divBdr>
    </w:div>
    <w:div w:id="1394692391">
      <w:marLeft w:val="0"/>
      <w:marRight w:val="0"/>
      <w:marTop w:val="0"/>
      <w:marBottom w:val="0"/>
      <w:divBdr>
        <w:top w:val="none" w:sz="0" w:space="0" w:color="auto"/>
        <w:left w:val="none" w:sz="0" w:space="0" w:color="auto"/>
        <w:bottom w:val="none" w:sz="0" w:space="0" w:color="auto"/>
        <w:right w:val="none" w:sz="0" w:space="0" w:color="auto"/>
      </w:divBdr>
      <w:divsChild>
        <w:div w:id="1385443500">
          <w:marLeft w:val="0"/>
          <w:marRight w:val="0"/>
          <w:marTop w:val="0"/>
          <w:marBottom w:val="0"/>
          <w:divBdr>
            <w:top w:val="none" w:sz="0" w:space="0" w:color="auto"/>
            <w:left w:val="none" w:sz="0" w:space="0" w:color="auto"/>
            <w:bottom w:val="none" w:sz="0" w:space="0" w:color="auto"/>
            <w:right w:val="none" w:sz="0" w:space="0" w:color="auto"/>
          </w:divBdr>
        </w:div>
      </w:divsChild>
    </w:div>
    <w:div w:id="1395395089">
      <w:marLeft w:val="0"/>
      <w:marRight w:val="0"/>
      <w:marTop w:val="0"/>
      <w:marBottom w:val="0"/>
      <w:divBdr>
        <w:top w:val="none" w:sz="0" w:space="0" w:color="auto"/>
        <w:left w:val="none" w:sz="0" w:space="0" w:color="auto"/>
        <w:bottom w:val="none" w:sz="0" w:space="0" w:color="auto"/>
        <w:right w:val="none" w:sz="0" w:space="0" w:color="auto"/>
      </w:divBdr>
      <w:divsChild>
        <w:div w:id="1655646219">
          <w:marLeft w:val="0"/>
          <w:marRight w:val="0"/>
          <w:marTop w:val="0"/>
          <w:marBottom w:val="0"/>
          <w:divBdr>
            <w:top w:val="none" w:sz="0" w:space="0" w:color="auto"/>
            <w:left w:val="none" w:sz="0" w:space="0" w:color="auto"/>
            <w:bottom w:val="none" w:sz="0" w:space="0" w:color="auto"/>
            <w:right w:val="none" w:sz="0" w:space="0" w:color="auto"/>
          </w:divBdr>
        </w:div>
      </w:divsChild>
    </w:div>
    <w:div w:id="1395423854">
      <w:marLeft w:val="0"/>
      <w:marRight w:val="0"/>
      <w:marTop w:val="0"/>
      <w:marBottom w:val="0"/>
      <w:divBdr>
        <w:top w:val="none" w:sz="0" w:space="0" w:color="auto"/>
        <w:left w:val="none" w:sz="0" w:space="0" w:color="auto"/>
        <w:bottom w:val="none" w:sz="0" w:space="0" w:color="auto"/>
        <w:right w:val="none" w:sz="0" w:space="0" w:color="auto"/>
      </w:divBdr>
      <w:divsChild>
        <w:div w:id="441076867">
          <w:marLeft w:val="0"/>
          <w:marRight w:val="0"/>
          <w:marTop w:val="0"/>
          <w:marBottom w:val="0"/>
          <w:divBdr>
            <w:top w:val="none" w:sz="0" w:space="0" w:color="auto"/>
            <w:left w:val="none" w:sz="0" w:space="0" w:color="auto"/>
            <w:bottom w:val="none" w:sz="0" w:space="0" w:color="auto"/>
            <w:right w:val="none" w:sz="0" w:space="0" w:color="auto"/>
          </w:divBdr>
        </w:div>
      </w:divsChild>
    </w:div>
    <w:div w:id="1395934295">
      <w:bodyDiv w:val="1"/>
      <w:marLeft w:val="0"/>
      <w:marRight w:val="0"/>
      <w:marTop w:val="0"/>
      <w:marBottom w:val="0"/>
      <w:divBdr>
        <w:top w:val="none" w:sz="0" w:space="0" w:color="auto"/>
        <w:left w:val="none" w:sz="0" w:space="0" w:color="auto"/>
        <w:bottom w:val="none" w:sz="0" w:space="0" w:color="auto"/>
        <w:right w:val="none" w:sz="0" w:space="0" w:color="auto"/>
      </w:divBdr>
    </w:div>
    <w:div w:id="1403944790">
      <w:marLeft w:val="0"/>
      <w:marRight w:val="0"/>
      <w:marTop w:val="0"/>
      <w:marBottom w:val="0"/>
      <w:divBdr>
        <w:top w:val="none" w:sz="0" w:space="0" w:color="auto"/>
        <w:left w:val="none" w:sz="0" w:space="0" w:color="auto"/>
        <w:bottom w:val="none" w:sz="0" w:space="0" w:color="auto"/>
        <w:right w:val="none" w:sz="0" w:space="0" w:color="auto"/>
      </w:divBdr>
      <w:divsChild>
        <w:div w:id="113913771">
          <w:marLeft w:val="0"/>
          <w:marRight w:val="0"/>
          <w:marTop w:val="0"/>
          <w:marBottom w:val="0"/>
          <w:divBdr>
            <w:top w:val="none" w:sz="0" w:space="0" w:color="auto"/>
            <w:left w:val="none" w:sz="0" w:space="0" w:color="auto"/>
            <w:bottom w:val="none" w:sz="0" w:space="0" w:color="auto"/>
            <w:right w:val="none" w:sz="0" w:space="0" w:color="auto"/>
          </w:divBdr>
        </w:div>
      </w:divsChild>
    </w:div>
    <w:div w:id="1404598932">
      <w:bodyDiv w:val="1"/>
      <w:marLeft w:val="0"/>
      <w:marRight w:val="0"/>
      <w:marTop w:val="0"/>
      <w:marBottom w:val="0"/>
      <w:divBdr>
        <w:top w:val="none" w:sz="0" w:space="0" w:color="auto"/>
        <w:left w:val="none" w:sz="0" w:space="0" w:color="auto"/>
        <w:bottom w:val="none" w:sz="0" w:space="0" w:color="auto"/>
        <w:right w:val="none" w:sz="0" w:space="0" w:color="auto"/>
      </w:divBdr>
    </w:div>
    <w:div w:id="1406803344">
      <w:marLeft w:val="0"/>
      <w:marRight w:val="0"/>
      <w:marTop w:val="0"/>
      <w:marBottom w:val="0"/>
      <w:divBdr>
        <w:top w:val="none" w:sz="0" w:space="0" w:color="auto"/>
        <w:left w:val="none" w:sz="0" w:space="0" w:color="auto"/>
        <w:bottom w:val="none" w:sz="0" w:space="0" w:color="auto"/>
        <w:right w:val="none" w:sz="0" w:space="0" w:color="auto"/>
      </w:divBdr>
      <w:divsChild>
        <w:div w:id="723873008">
          <w:marLeft w:val="0"/>
          <w:marRight w:val="0"/>
          <w:marTop w:val="0"/>
          <w:marBottom w:val="0"/>
          <w:divBdr>
            <w:top w:val="none" w:sz="0" w:space="0" w:color="auto"/>
            <w:left w:val="none" w:sz="0" w:space="0" w:color="auto"/>
            <w:bottom w:val="none" w:sz="0" w:space="0" w:color="auto"/>
            <w:right w:val="none" w:sz="0" w:space="0" w:color="auto"/>
          </w:divBdr>
        </w:div>
      </w:divsChild>
    </w:div>
    <w:div w:id="1411153221">
      <w:marLeft w:val="0"/>
      <w:marRight w:val="0"/>
      <w:marTop w:val="0"/>
      <w:marBottom w:val="0"/>
      <w:divBdr>
        <w:top w:val="none" w:sz="0" w:space="0" w:color="auto"/>
        <w:left w:val="none" w:sz="0" w:space="0" w:color="auto"/>
        <w:bottom w:val="none" w:sz="0" w:space="0" w:color="auto"/>
        <w:right w:val="none" w:sz="0" w:space="0" w:color="auto"/>
      </w:divBdr>
      <w:divsChild>
        <w:div w:id="862788142">
          <w:marLeft w:val="0"/>
          <w:marRight w:val="0"/>
          <w:marTop w:val="0"/>
          <w:marBottom w:val="0"/>
          <w:divBdr>
            <w:top w:val="none" w:sz="0" w:space="0" w:color="auto"/>
            <w:left w:val="none" w:sz="0" w:space="0" w:color="auto"/>
            <w:bottom w:val="none" w:sz="0" w:space="0" w:color="auto"/>
            <w:right w:val="none" w:sz="0" w:space="0" w:color="auto"/>
          </w:divBdr>
        </w:div>
      </w:divsChild>
    </w:div>
    <w:div w:id="1415275300">
      <w:bodyDiv w:val="1"/>
      <w:marLeft w:val="0"/>
      <w:marRight w:val="0"/>
      <w:marTop w:val="0"/>
      <w:marBottom w:val="0"/>
      <w:divBdr>
        <w:top w:val="none" w:sz="0" w:space="0" w:color="auto"/>
        <w:left w:val="none" w:sz="0" w:space="0" w:color="auto"/>
        <w:bottom w:val="none" w:sz="0" w:space="0" w:color="auto"/>
        <w:right w:val="none" w:sz="0" w:space="0" w:color="auto"/>
      </w:divBdr>
    </w:div>
    <w:div w:id="1416509906">
      <w:marLeft w:val="0"/>
      <w:marRight w:val="0"/>
      <w:marTop w:val="0"/>
      <w:marBottom w:val="0"/>
      <w:divBdr>
        <w:top w:val="none" w:sz="0" w:space="0" w:color="auto"/>
        <w:left w:val="none" w:sz="0" w:space="0" w:color="auto"/>
        <w:bottom w:val="none" w:sz="0" w:space="0" w:color="auto"/>
        <w:right w:val="none" w:sz="0" w:space="0" w:color="auto"/>
      </w:divBdr>
      <w:divsChild>
        <w:div w:id="2000691995">
          <w:marLeft w:val="0"/>
          <w:marRight w:val="0"/>
          <w:marTop w:val="0"/>
          <w:marBottom w:val="0"/>
          <w:divBdr>
            <w:top w:val="none" w:sz="0" w:space="0" w:color="auto"/>
            <w:left w:val="none" w:sz="0" w:space="0" w:color="auto"/>
            <w:bottom w:val="none" w:sz="0" w:space="0" w:color="auto"/>
            <w:right w:val="none" w:sz="0" w:space="0" w:color="auto"/>
          </w:divBdr>
        </w:div>
      </w:divsChild>
    </w:div>
    <w:div w:id="1419253023">
      <w:marLeft w:val="0"/>
      <w:marRight w:val="0"/>
      <w:marTop w:val="0"/>
      <w:marBottom w:val="0"/>
      <w:divBdr>
        <w:top w:val="none" w:sz="0" w:space="0" w:color="auto"/>
        <w:left w:val="none" w:sz="0" w:space="0" w:color="auto"/>
        <w:bottom w:val="none" w:sz="0" w:space="0" w:color="auto"/>
        <w:right w:val="none" w:sz="0" w:space="0" w:color="auto"/>
      </w:divBdr>
      <w:divsChild>
        <w:div w:id="664162592">
          <w:marLeft w:val="0"/>
          <w:marRight w:val="0"/>
          <w:marTop w:val="0"/>
          <w:marBottom w:val="0"/>
          <w:divBdr>
            <w:top w:val="none" w:sz="0" w:space="0" w:color="auto"/>
            <w:left w:val="none" w:sz="0" w:space="0" w:color="auto"/>
            <w:bottom w:val="none" w:sz="0" w:space="0" w:color="auto"/>
            <w:right w:val="none" w:sz="0" w:space="0" w:color="auto"/>
          </w:divBdr>
        </w:div>
      </w:divsChild>
    </w:div>
    <w:div w:id="1419710750">
      <w:bodyDiv w:val="1"/>
      <w:marLeft w:val="0"/>
      <w:marRight w:val="0"/>
      <w:marTop w:val="0"/>
      <w:marBottom w:val="0"/>
      <w:divBdr>
        <w:top w:val="none" w:sz="0" w:space="0" w:color="auto"/>
        <w:left w:val="none" w:sz="0" w:space="0" w:color="auto"/>
        <w:bottom w:val="none" w:sz="0" w:space="0" w:color="auto"/>
        <w:right w:val="none" w:sz="0" w:space="0" w:color="auto"/>
      </w:divBdr>
    </w:div>
    <w:div w:id="1421294179">
      <w:marLeft w:val="0"/>
      <w:marRight w:val="0"/>
      <w:marTop w:val="0"/>
      <w:marBottom w:val="0"/>
      <w:divBdr>
        <w:top w:val="none" w:sz="0" w:space="0" w:color="auto"/>
        <w:left w:val="none" w:sz="0" w:space="0" w:color="auto"/>
        <w:bottom w:val="none" w:sz="0" w:space="0" w:color="auto"/>
        <w:right w:val="none" w:sz="0" w:space="0" w:color="auto"/>
      </w:divBdr>
      <w:divsChild>
        <w:div w:id="1046956353">
          <w:marLeft w:val="0"/>
          <w:marRight w:val="0"/>
          <w:marTop w:val="0"/>
          <w:marBottom w:val="0"/>
          <w:divBdr>
            <w:top w:val="none" w:sz="0" w:space="0" w:color="auto"/>
            <w:left w:val="none" w:sz="0" w:space="0" w:color="auto"/>
            <w:bottom w:val="none" w:sz="0" w:space="0" w:color="auto"/>
            <w:right w:val="none" w:sz="0" w:space="0" w:color="auto"/>
          </w:divBdr>
        </w:div>
      </w:divsChild>
    </w:div>
    <w:div w:id="1428425458">
      <w:bodyDiv w:val="1"/>
      <w:marLeft w:val="0"/>
      <w:marRight w:val="0"/>
      <w:marTop w:val="0"/>
      <w:marBottom w:val="0"/>
      <w:divBdr>
        <w:top w:val="none" w:sz="0" w:space="0" w:color="auto"/>
        <w:left w:val="none" w:sz="0" w:space="0" w:color="auto"/>
        <w:bottom w:val="none" w:sz="0" w:space="0" w:color="auto"/>
        <w:right w:val="none" w:sz="0" w:space="0" w:color="auto"/>
      </w:divBdr>
    </w:div>
    <w:div w:id="1429888692">
      <w:marLeft w:val="0"/>
      <w:marRight w:val="0"/>
      <w:marTop w:val="0"/>
      <w:marBottom w:val="0"/>
      <w:divBdr>
        <w:top w:val="none" w:sz="0" w:space="0" w:color="auto"/>
        <w:left w:val="none" w:sz="0" w:space="0" w:color="auto"/>
        <w:bottom w:val="none" w:sz="0" w:space="0" w:color="auto"/>
        <w:right w:val="none" w:sz="0" w:space="0" w:color="auto"/>
      </w:divBdr>
      <w:divsChild>
        <w:div w:id="767896534">
          <w:marLeft w:val="0"/>
          <w:marRight w:val="0"/>
          <w:marTop w:val="0"/>
          <w:marBottom w:val="0"/>
          <w:divBdr>
            <w:top w:val="none" w:sz="0" w:space="0" w:color="auto"/>
            <w:left w:val="none" w:sz="0" w:space="0" w:color="auto"/>
            <w:bottom w:val="none" w:sz="0" w:space="0" w:color="auto"/>
            <w:right w:val="none" w:sz="0" w:space="0" w:color="auto"/>
          </w:divBdr>
        </w:div>
      </w:divsChild>
    </w:div>
    <w:div w:id="1434323258">
      <w:marLeft w:val="0"/>
      <w:marRight w:val="0"/>
      <w:marTop w:val="0"/>
      <w:marBottom w:val="0"/>
      <w:divBdr>
        <w:top w:val="none" w:sz="0" w:space="0" w:color="auto"/>
        <w:left w:val="none" w:sz="0" w:space="0" w:color="auto"/>
        <w:bottom w:val="none" w:sz="0" w:space="0" w:color="auto"/>
        <w:right w:val="none" w:sz="0" w:space="0" w:color="auto"/>
      </w:divBdr>
      <w:divsChild>
        <w:div w:id="2067098924">
          <w:marLeft w:val="0"/>
          <w:marRight w:val="0"/>
          <w:marTop w:val="0"/>
          <w:marBottom w:val="0"/>
          <w:divBdr>
            <w:top w:val="none" w:sz="0" w:space="0" w:color="auto"/>
            <w:left w:val="none" w:sz="0" w:space="0" w:color="auto"/>
            <w:bottom w:val="none" w:sz="0" w:space="0" w:color="auto"/>
            <w:right w:val="none" w:sz="0" w:space="0" w:color="auto"/>
          </w:divBdr>
        </w:div>
      </w:divsChild>
    </w:div>
    <w:div w:id="1436364279">
      <w:bodyDiv w:val="1"/>
      <w:marLeft w:val="0"/>
      <w:marRight w:val="0"/>
      <w:marTop w:val="0"/>
      <w:marBottom w:val="0"/>
      <w:divBdr>
        <w:top w:val="none" w:sz="0" w:space="0" w:color="auto"/>
        <w:left w:val="none" w:sz="0" w:space="0" w:color="auto"/>
        <w:bottom w:val="none" w:sz="0" w:space="0" w:color="auto"/>
        <w:right w:val="none" w:sz="0" w:space="0" w:color="auto"/>
      </w:divBdr>
      <w:divsChild>
        <w:div w:id="564606145">
          <w:marLeft w:val="0"/>
          <w:marRight w:val="0"/>
          <w:marTop w:val="0"/>
          <w:marBottom w:val="0"/>
          <w:divBdr>
            <w:top w:val="none" w:sz="0" w:space="0" w:color="auto"/>
            <w:left w:val="none" w:sz="0" w:space="0" w:color="auto"/>
            <w:bottom w:val="none" w:sz="0" w:space="0" w:color="auto"/>
            <w:right w:val="none" w:sz="0" w:space="0" w:color="auto"/>
          </w:divBdr>
          <w:divsChild>
            <w:div w:id="1949238869">
              <w:marLeft w:val="0"/>
              <w:marRight w:val="0"/>
              <w:marTop w:val="0"/>
              <w:marBottom w:val="0"/>
              <w:divBdr>
                <w:top w:val="none" w:sz="0" w:space="0" w:color="auto"/>
                <w:left w:val="none" w:sz="0" w:space="0" w:color="auto"/>
                <w:bottom w:val="none" w:sz="0" w:space="0" w:color="auto"/>
                <w:right w:val="none" w:sz="0" w:space="0" w:color="auto"/>
              </w:divBdr>
            </w:div>
            <w:div w:id="114063914">
              <w:marLeft w:val="0"/>
              <w:marRight w:val="0"/>
              <w:marTop w:val="0"/>
              <w:marBottom w:val="0"/>
              <w:divBdr>
                <w:top w:val="none" w:sz="0" w:space="0" w:color="auto"/>
                <w:left w:val="none" w:sz="0" w:space="0" w:color="auto"/>
                <w:bottom w:val="none" w:sz="0" w:space="0" w:color="auto"/>
                <w:right w:val="none" w:sz="0" w:space="0" w:color="auto"/>
              </w:divBdr>
            </w:div>
            <w:div w:id="1296646340">
              <w:marLeft w:val="0"/>
              <w:marRight w:val="0"/>
              <w:marTop w:val="0"/>
              <w:marBottom w:val="0"/>
              <w:divBdr>
                <w:top w:val="none" w:sz="0" w:space="0" w:color="auto"/>
                <w:left w:val="none" w:sz="0" w:space="0" w:color="auto"/>
                <w:bottom w:val="none" w:sz="0" w:space="0" w:color="auto"/>
                <w:right w:val="none" w:sz="0" w:space="0" w:color="auto"/>
              </w:divBdr>
            </w:div>
            <w:div w:id="694230473">
              <w:marLeft w:val="0"/>
              <w:marRight w:val="0"/>
              <w:marTop w:val="0"/>
              <w:marBottom w:val="0"/>
              <w:divBdr>
                <w:top w:val="none" w:sz="0" w:space="0" w:color="auto"/>
                <w:left w:val="none" w:sz="0" w:space="0" w:color="auto"/>
                <w:bottom w:val="none" w:sz="0" w:space="0" w:color="auto"/>
                <w:right w:val="none" w:sz="0" w:space="0" w:color="auto"/>
              </w:divBdr>
            </w:div>
            <w:div w:id="716899817">
              <w:marLeft w:val="0"/>
              <w:marRight w:val="0"/>
              <w:marTop w:val="0"/>
              <w:marBottom w:val="0"/>
              <w:divBdr>
                <w:top w:val="none" w:sz="0" w:space="0" w:color="auto"/>
                <w:left w:val="none" w:sz="0" w:space="0" w:color="auto"/>
                <w:bottom w:val="none" w:sz="0" w:space="0" w:color="auto"/>
                <w:right w:val="none" w:sz="0" w:space="0" w:color="auto"/>
              </w:divBdr>
            </w:div>
            <w:div w:id="1353648982">
              <w:marLeft w:val="0"/>
              <w:marRight w:val="0"/>
              <w:marTop w:val="0"/>
              <w:marBottom w:val="0"/>
              <w:divBdr>
                <w:top w:val="none" w:sz="0" w:space="0" w:color="auto"/>
                <w:left w:val="none" w:sz="0" w:space="0" w:color="auto"/>
                <w:bottom w:val="none" w:sz="0" w:space="0" w:color="auto"/>
                <w:right w:val="none" w:sz="0" w:space="0" w:color="auto"/>
              </w:divBdr>
            </w:div>
            <w:div w:id="2136101127">
              <w:marLeft w:val="0"/>
              <w:marRight w:val="0"/>
              <w:marTop w:val="0"/>
              <w:marBottom w:val="0"/>
              <w:divBdr>
                <w:top w:val="none" w:sz="0" w:space="0" w:color="auto"/>
                <w:left w:val="none" w:sz="0" w:space="0" w:color="auto"/>
                <w:bottom w:val="none" w:sz="0" w:space="0" w:color="auto"/>
                <w:right w:val="none" w:sz="0" w:space="0" w:color="auto"/>
              </w:divBdr>
            </w:div>
            <w:div w:id="444275800">
              <w:marLeft w:val="0"/>
              <w:marRight w:val="0"/>
              <w:marTop w:val="0"/>
              <w:marBottom w:val="0"/>
              <w:divBdr>
                <w:top w:val="none" w:sz="0" w:space="0" w:color="auto"/>
                <w:left w:val="none" w:sz="0" w:space="0" w:color="auto"/>
                <w:bottom w:val="none" w:sz="0" w:space="0" w:color="auto"/>
                <w:right w:val="none" w:sz="0" w:space="0" w:color="auto"/>
              </w:divBdr>
            </w:div>
            <w:div w:id="1559704346">
              <w:marLeft w:val="0"/>
              <w:marRight w:val="0"/>
              <w:marTop w:val="0"/>
              <w:marBottom w:val="0"/>
              <w:divBdr>
                <w:top w:val="none" w:sz="0" w:space="0" w:color="auto"/>
                <w:left w:val="none" w:sz="0" w:space="0" w:color="auto"/>
                <w:bottom w:val="none" w:sz="0" w:space="0" w:color="auto"/>
                <w:right w:val="none" w:sz="0" w:space="0" w:color="auto"/>
              </w:divBdr>
            </w:div>
            <w:div w:id="246496937">
              <w:marLeft w:val="0"/>
              <w:marRight w:val="0"/>
              <w:marTop w:val="0"/>
              <w:marBottom w:val="0"/>
              <w:divBdr>
                <w:top w:val="none" w:sz="0" w:space="0" w:color="auto"/>
                <w:left w:val="none" w:sz="0" w:space="0" w:color="auto"/>
                <w:bottom w:val="none" w:sz="0" w:space="0" w:color="auto"/>
                <w:right w:val="none" w:sz="0" w:space="0" w:color="auto"/>
              </w:divBdr>
            </w:div>
            <w:div w:id="1793162817">
              <w:marLeft w:val="0"/>
              <w:marRight w:val="0"/>
              <w:marTop w:val="0"/>
              <w:marBottom w:val="0"/>
              <w:divBdr>
                <w:top w:val="none" w:sz="0" w:space="0" w:color="auto"/>
                <w:left w:val="none" w:sz="0" w:space="0" w:color="auto"/>
                <w:bottom w:val="none" w:sz="0" w:space="0" w:color="auto"/>
                <w:right w:val="none" w:sz="0" w:space="0" w:color="auto"/>
              </w:divBdr>
            </w:div>
            <w:div w:id="649483027">
              <w:marLeft w:val="0"/>
              <w:marRight w:val="0"/>
              <w:marTop w:val="0"/>
              <w:marBottom w:val="0"/>
              <w:divBdr>
                <w:top w:val="none" w:sz="0" w:space="0" w:color="auto"/>
                <w:left w:val="none" w:sz="0" w:space="0" w:color="auto"/>
                <w:bottom w:val="none" w:sz="0" w:space="0" w:color="auto"/>
                <w:right w:val="none" w:sz="0" w:space="0" w:color="auto"/>
              </w:divBdr>
            </w:div>
            <w:div w:id="740060998">
              <w:marLeft w:val="0"/>
              <w:marRight w:val="0"/>
              <w:marTop w:val="0"/>
              <w:marBottom w:val="0"/>
              <w:divBdr>
                <w:top w:val="none" w:sz="0" w:space="0" w:color="auto"/>
                <w:left w:val="none" w:sz="0" w:space="0" w:color="auto"/>
                <w:bottom w:val="none" w:sz="0" w:space="0" w:color="auto"/>
                <w:right w:val="none" w:sz="0" w:space="0" w:color="auto"/>
              </w:divBdr>
            </w:div>
            <w:div w:id="2095660576">
              <w:marLeft w:val="0"/>
              <w:marRight w:val="0"/>
              <w:marTop w:val="0"/>
              <w:marBottom w:val="0"/>
              <w:divBdr>
                <w:top w:val="none" w:sz="0" w:space="0" w:color="auto"/>
                <w:left w:val="none" w:sz="0" w:space="0" w:color="auto"/>
                <w:bottom w:val="none" w:sz="0" w:space="0" w:color="auto"/>
                <w:right w:val="none" w:sz="0" w:space="0" w:color="auto"/>
              </w:divBdr>
            </w:div>
            <w:div w:id="1886209535">
              <w:marLeft w:val="0"/>
              <w:marRight w:val="0"/>
              <w:marTop w:val="0"/>
              <w:marBottom w:val="0"/>
              <w:divBdr>
                <w:top w:val="none" w:sz="0" w:space="0" w:color="auto"/>
                <w:left w:val="none" w:sz="0" w:space="0" w:color="auto"/>
                <w:bottom w:val="none" w:sz="0" w:space="0" w:color="auto"/>
                <w:right w:val="none" w:sz="0" w:space="0" w:color="auto"/>
              </w:divBdr>
            </w:div>
            <w:div w:id="1962613876">
              <w:marLeft w:val="0"/>
              <w:marRight w:val="0"/>
              <w:marTop w:val="0"/>
              <w:marBottom w:val="0"/>
              <w:divBdr>
                <w:top w:val="none" w:sz="0" w:space="0" w:color="auto"/>
                <w:left w:val="none" w:sz="0" w:space="0" w:color="auto"/>
                <w:bottom w:val="none" w:sz="0" w:space="0" w:color="auto"/>
                <w:right w:val="none" w:sz="0" w:space="0" w:color="auto"/>
              </w:divBdr>
            </w:div>
            <w:div w:id="618686836">
              <w:marLeft w:val="0"/>
              <w:marRight w:val="0"/>
              <w:marTop w:val="0"/>
              <w:marBottom w:val="0"/>
              <w:divBdr>
                <w:top w:val="none" w:sz="0" w:space="0" w:color="auto"/>
                <w:left w:val="none" w:sz="0" w:space="0" w:color="auto"/>
                <w:bottom w:val="none" w:sz="0" w:space="0" w:color="auto"/>
                <w:right w:val="none" w:sz="0" w:space="0" w:color="auto"/>
              </w:divBdr>
            </w:div>
            <w:div w:id="890114638">
              <w:marLeft w:val="0"/>
              <w:marRight w:val="0"/>
              <w:marTop w:val="0"/>
              <w:marBottom w:val="0"/>
              <w:divBdr>
                <w:top w:val="none" w:sz="0" w:space="0" w:color="auto"/>
                <w:left w:val="none" w:sz="0" w:space="0" w:color="auto"/>
                <w:bottom w:val="none" w:sz="0" w:space="0" w:color="auto"/>
                <w:right w:val="none" w:sz="0" w:space="0" w:color="auto"/>
              </w:divBdr>
            </w:div>
            <w:div w:id="1251813663">
              <w:marLeft w:val="0"/>
              <w:marRight w:val="0"/>
              <w:marTop w:val="0"/>
              <w:marBottom w:val="0"/>
              <w:divBdr>
                <w:top w:val="none" w:sz="0" w:space="0" w:color="auto"/>
                <w:left w:val="none" w:sz="0" w:space="0" w:color="auto"/>
                <w:bottom w:val="none" w:sz="0" w:space="0" w:color="auto"/>
                <w:right w:val="none" w:sz="0" w:space="0" w:color="auto"/>
              </w:divBdr>
            </w:div>
            <w:div w:id="781532791">
              <w:marLeft w:val="0"/>
              <w:marRight w:val="0"/>
              <w:marTop w:val="0"/>
              <w:marBottom w:val="0"/>
              <w:divBdr>
                <w:top w:val="none" w:sz="0" w:space="0" w:color="auto"/>
                <w:left w:val="none" w:sz="0" w:space="0" w:color="auto"/>
                <w:bottom w:val="none" w:sz="0" w:space="0" w:color="auto"/>
                <w:right w:val="none" w:sz="0" w:space="0" w:color="auto"/>
              </w:divBdr>
            </w:div>
            <w:div w:id="119037927">
              <w:marLeft w:val="0"/>
              <w:marRight w:val="0"/>
              <w:marTop w:val="0"/>
              <w:marBottom w:val="0"/>
              <w:divBdr>
                <w:top w:val="none" w:sz="0" w:space="0" w:color="auto"/>
                <w:left w:val="none" w:sz="0" w:space="0" w:color="auto"/>
                <w:bottom w:val="none" w:sz="0" w:space="0" w:color="auto"/>
                <w:right w:val="none" w:sz="0" w:space="0" w:color="auto"/>
              </w:divBdr>
            </w:div>
            <w:div w:id="966396037">
              <w:marLeft w:val="0"/>
              <w:marRight w:val="0"/>
              <w:marTop w:val="0"/>
              <w:marBottom w:val="0"/>
              <w:divBdr>
                <w:top w:val="none" w:sz="0" w:space="0" w:color="auto"/>
                <w:left w:val="none" w:sz="0" w:space="0" w:color="auto"/>
                <w:bottom w:val="none" w:sz="0" w:space="0" w:color="auto"/>
                <w:right w:val="none" w:sz="0" w:space="0" w:color="auto"/>
              </w:divBdr>
            </w:div>
            <w:div w:id="1369642554">
              <w:marLeft w:val="0"/>
              <w:marRight w:val="0"/>
              <w:marTop w:val="0"/>
              <w:marBottom w:val="0"/>
              <w:divBdr>
                <w:top w:val="none" w:sz="0" w:space="0" w:color="auto"/>
                <w:left w:val="none" w:sz="0" w:space="0" w:color="auto"/>
                <w:bottom w:val="none" w:sz="0" w:space="0" w:color="auto"/>
                <w:right w:val="none" w:sz="0" w:space="0" w:color="auto"/>
              </w:divBdr>
            </w:div>
            <w:div w:id="850879750">
              <w:marLeft w:val="0"/>
              <w:marRight w:val="0"/>
              <w:marTop w:val="0"/>
              <w:marBottom w:val="0"/>
              <w:divBdr>
                <w:top w:val="none" w:sz="0" w:space="0" w:color="auto"/>
                <w:left w:val="none" w:sz="0" w:space="0" w:color="auto"/>
                <w:bottom w:val="none" w:sz="0" w:space="0" w:color="auto"/>
                <w:right w:val="none" w:sz="0" w:space="0" w:color="auto"/>
              </w:divBdr>
            </w:div>
            <w:div w:id="9779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3406">
      <w:marLeft w:val="0"/>
      <w:marRight w:val="0"/>
      <w:marTop w:val="0"/>
      <w:marBottom w:val="0"/>
      <w:divBdr>
        <w:top w:val="none" w:sz="0" w:space="0" w:color="auto"/>
        <w:left w:val="none" w:sz="0" w:space="0" w:color="auto"/>
        <w:bottom w:val="none" w:sz="0" w:space="0" w:color="auto"/>
        <w:right w:val="none" w:sz="0" w:space="0" w:color="auto"/>
      </w:divBdr>
      <w:divsChild>
        <w:div w:id="463084588">
          <w:marLeft w:val="0"/>
          <w:marRight w:val="0"/>
          <w:marTop w:val="0"/>
          <w:marBottom w:val="0"/>
          <w:divBdr>
            <w:top w:val="none" w:sz="0" w:space="0" w:color="auto"/>
            <w:left w:val="none" w:sz="0" w:space="0" w:color="auto"/>
            <w:bottom w:val="none" w:sz="0" w:space="0" w:color="auto"/>
            <w:right w:val="none" w:sz="0" w:space="0" w:color="auto"/>
          </w:divBdr>
        </w:div>
      </w:divsChild>
    </w:div>
    <w:div w:id="1440417582">
      <w:marLeft w:val="0"/>
      <w:marRight w:val="0"/>
      <w:marTop w:val="0"/>
      <w:marBottom w:val="0"/>
      <w:divBdr>
        <w:top w:val="none" w:sz="0" w:space="0" w:color="auto"/>
        <w:left w:val="none" w:sz="0" w:space="0" w:color="auto"/>
        <w:bottom w:val="none" w:sz="0" w:space="0" w:color="auto"/>
        <w:right w:val="none" w:sz="0" w:space="0" w:color="auto"/>
      </w:divBdr>
      <w:divsChild>
        <w:div w:id="792409064">
          <w:marLeft w:val="0"/>
          <w:marRight w:val="0"/>
          <w:marTop w:val="0"/>
          <w:marBottom w:val="0"/>
          <w:divBdr>
            <w:top w:val="none" w:sz="0" w:space="0" w:color="auto"/>
            <w:left w:val="none" w:sz="0" w:space="0" w:color="auto"/>
            <w:bottom w:val="none" w:sz="0" w:space="0" w:color="auto"/>
            <w:right w:val="none" w:sz="0" w:space="0" w:color="auto"/>
          </w:divBdr>
        </w:div>
      </w:divsChild>
    </w:div>
    <w:div w:id="1440485795">
      <w:marLeft w:val="0"/>
      <w:marRight w:val="0"/>
      <w:marTop w:val="0"/>
      <w:marBottom w:val="0"/>
      <w:divBdr>
        <w:top w:val="none" w:sz="0" w:space="0" w:color="auto"/>
        <w:left w:val="none" w:sz="0" w:space="0" w:color="auto"/>
        <w:bottom w:val="none" w:sz="0" w:space="0" w:color="auto"/>
        <w:right w:val="none" w:sz="0" w:space="0" w:color="auto"/>
      </w:divBdr>
      <w:divsChild>
        <w:div w:id="1430733908">
          <w:marLeft w:val="0"/>
          <w:marRight w:val="0"/>
          <w:marTop w:val="0"/>
          <w:marBottom w:val="0"/>
          <w:divBdr>
            <w:top w:val="none" w:sz="0" w:space="0" w:color="auto"/>
            <w:left w:val="none" w:sz="0" w:space="0" w:color="auto"/>
            <w:bottom w:val="none" w:sz="0" w:space="0" w:color="auto"/>
            <w:right w:val="none" w:sz="0" w:space="0" w:color="auto"/>
          </w:divBdr>
        </w:div>
      </w:divsChild>
    </w:div>
    <w:div w:id="1440568482">
      <w:marLeft w:val="0"/>
      <w:marRight w:val="0"/>
      <w:marTop w:val="0"/>
      <w:marBottom w:val="0"/>
      <w:divBdr>
        <w:top w:val="none" w:sz="0" w:space="0" w:color="auto"/>
        <w:left w:val="none" w:sz="0" w:space="0" w:color="auto"/>
        <w:bottom w:val="none" w:sz="0" w:space="0" w:color="auto"/>
        <w:right w:val="none" w:sz="0" w:space="0" w:color="auto"/>
      </w:divBdr>
      <w:divsChild>
        <w:div w:id="234633272">
          <w:marLeft w:val="0"/>
          <w:marRight w:val="0"/>
          <w:marTop w:val="0"/>
          <w:marBottom w:val="0"/>
          <w:divBdr>
            <w:top w:val="none" w:sz="0" w:space="0" w:color="auto"/>
            <w:left w:val="none" w:sz="0" w:space="0" w:color="auto"/>
            <w:bottom w:val="none" w:sz="0" w:space="0" w:color="auto"/>
            <w:right w:val="none" w:sz="0" w:space="0" w:color="auto"/>
          </w:divBdr>
        </w:div>
      </w:divsChild>
    </w:div>
    <w:div w:id="1442723687">
      <w:marLeft w:val="0"/>
      <w:marRight w:val="0"/>
      <w:marTop w:val="0"/>
      <w:marBottom w:val="0"/>
      <w:divBdr>
        <w:top w:val="none" w:sz="0" w:space="0" w:color="auto"/>
        <w:left w:val="none" w:sz="0" w:space="0" w:color="auto"/>
        <w:bottom w:val="none" w:sz="0" w:space="0" w:color="auto"/>
        <w:right w:val="none" w:sz="0" w:space="0" w:color="auto"/>
      </w:divBdr>
      <w:divsChild>
        <w:div w:id="1384450881">
          <w:marLeft w:val="0"/>
          <w:marRight w:val="0"/>
          <w:marTop w:val="0"/>
          <w:marBottom w:val="0"/>
          <w:divBdr>
            <w:top w:val="none" w:sz="0" w:space="0" w:color="auto"/>
            <w:left w:val="none" w:sz="0" w:space="0" w:color="auto"/>
            <w:bottom w:val="none" w:sz="0" w:space="0" w:color="auto"/>
            <w:right w:val="none" w:sz="0" w:space="0" w:color="auto"/>
          </w:divBdr>
        </w:div>
      </w:divsChild>
    </w:div>
    <w:div w:id="1445343057">
      <w:bodyDiv w:val="1"/>
      <w:marLeft w:val="0"/>
      <w:marRight w:val="0"/>
      <w:marTop w:val="0"/>
      <w:marBottom w:val="0"/>
      <w:divBdr>
        <w:top w:val="none" w:sz="0" w:space="0" w:color="auto"/>
        <w:left w:val="none" w:sz="0" w:space="0" w:color="auto"/>
        <w:bottom w:val="none" w:sz="0" w:space="0" w:color="auto"/>
        <w:right w:val="none" w:sz="0" w:space="0" w:color="auto"/>
      </w:divBdr>
    </w:div>
    <w:div w:id="1445685103">
      <w:marLeft w:val="0"/>
      <w:marRight w:val="0"/>
      <w:marTop w:val="0"/>
      <w:marBottom w:val="0"/>
      <w:divBdr>
        <w:top w:val="none" w:sz="0" w:space="0" w:color="auto"/>
        <w:left w:val="none" w:sz="0" w:space="0" w:color="auto"/>
        <w:bottom w:val="none" w:sz="0" w:space="0" w:color="auto"/>
        <w:right w:val="none" w:sz="0" w:space="0" w:color="auto"/>
      </w:divBdr>
      <w:divsChild>
        <w:div w:id="2117752413">
          <w:marLeft w:val="0"/>
          <w:marRight w:val="0"/>
          <w:marTop w:val="0"/>
          <w:marBottom w:val="0"/>
          <w:divBdr>
            <w:top w:val="none" w:sz="0" w:space="0" w:color="auto"/>
            <w:left w:val="none" w:sz="0" w:space="0" w:color="auto"/>
            <w:bottom w:val="none" w:sz="0" w:space="0" w:color="auto"/>
            <w:right w:val="none" w:sz="0" w:space="0" w:color="auto"/>
          </w:divBdr>
        </w:div>
      </w:divsChild>
    </w:div>
    <w:div w:id="1447890453">
      <w:marLeft w:val="0"/>
      <w:marRight w:val="0"/>
      <w:marTop w:val="0"/>
      <w:marBottom w:val="0"/>
      <w:divBdr>
        <w:top w:val="none" w:sz="0" w:space="0" w:color="auto"/>
        <w:left w:val="none" w:sz="0" w:space="0" w:color="auto"/>
        <w:bottom w:val="none" w:sz="0" w:space="0" w:color="auto"/>
        <w:right w:val="none" w:sz="0" w:space="0" w:color="auto"/>
      </w:divBdr>
      <w:divsChild>
        <w:div w:id="346297895">
          <w:marLeft w:val="0"/>
          <w:marRight w:val="0"/>
          <w:marTop w:val="0"/>
          <w:marBottom w:val="0"/>
          <w:divBdr>
            <w:top w:val="none" w:sz="0" w:space="0" w:color="auto"/>
            <w:left w:val="none" w:sz="0" w:space="0" w:color="auto"/>
            <w:bottom w:val="none" w:sz="0" w:space="0" w:color="auto"/>
            <w:right w:val="none" w:sz="0" w:space="0" w:color="auto"/>
          </w:divBdr>
        </w:div>
      </w:divsChild>
    </w:div>
    <w:div w:id="1447963598">
      <w:bodyDiv w:val="1"/>
      <w:marLeft w:val="0"/>
      <w:marRight w:val="0"/>
      <w:marTop w:val="0"/>
      <w:marBottom w:val="0"/>
      <w:divBdr>
        <w:top w:val="none" w:sz="0" w:space="0" w:color="auto"/>
        <w:left w:val="none" w:sz="0" w:space="0" w:color="auto"/>
        <w:bottom w:val="none" w:sz="0" w:space="0" w:color="auto"/>
        <w:right w:val="none" w:sz="0" w:space="0" w:color="auto"/>
      </w:divBdr>
      <w:divsChild>
        <w:div w:id="439182859">
          <w:marLeft w:val="0"/>
          <w:marRight w:val="0"/>
          <w:marTop w:val="0"/>
          <w:marBottom w:val="0"/>
          <w:divBdr>
            <w:top w:val="none" w:sz="0" w:space="0" w:color="auto"/>
            <w:left w:val="none" w:sz="0" w:space="0" w:color="auto"/>
            <w:bottom w:val="none" w:sz="0" w:space="0" w:color="auto"/>
            <w:right w:val="none" w:sz="0" w:space="0" w:color="auto"/>
          </w:divBdr>
          <w:divsChild>
            <w:div w:id="973949813">
              <w:marLeft w:val="0"/>
              <w:marRight w:val="0"/>
              <w:marTop w:val="0"/>
              <w:marBottom w:val="0"/>
              <w:divBdr>
                <w:top w:val="none" w:sz="0" w:space="0" w:color="auto"/>
                <w:left w:val="none" w:sz="0" w:space="0" w:color="auto"/>
                <w:bottom w:val="none" w:sz="0" w:space="0" w:color="auto"/>
                <w:right w:val="none" w:sz="0" w:space="0" w:color="auto"/>
              </w:divBdr>
            </w:div>
            <w:div w:id="1544903580">
              <w:marLeft w:val="0"/>
              <w:marRight w:val="0"/>
              <w:marTop w:val="0"/>
              <w:marBottom w:val="0"/>
              <w:divBdr>
                <w:top w:val="none" w:sz="0" w:space="0" w:color="auto"/>
                <w:left w:val="none" w:sz="0" w:space="0" w:color="auto"/>
                <w:bottom w:val="none" w:sz="0" w:space="0" w:color="auto"/>
                <w:right w:val="none" w:sz="0" w:space="0" w:color="auto"/>
              </w:divBdr>
            </w:div>
            <w:div w:id="3366994">
              <w:marLeft w:val="0"/>
              <w:marRight w:val="0"/>
              <w:marTop w:val="0"/>
              <w:marBottom w:val="0"/>
              <w:divBdr>
                <w:top w:val="none" w:sz="0" w:space="0" w:color="auto"/>
                <w:left w:val="none" w:sz="0" w:space="0" w:color="auto"/>
                <w:bottom w:val="none" w:sz="0" w:space="0" w:color="auto"/>
                <w:right w:val="none" w:sz="0" w:space="0" w:color="auto"/>
              </w:divBdr>
            </w:div>
            <w:div w:id="1136336423">
              <w:marLeft w:val="0"/>
              <w:marRight w:val="0"/>
              <w:marTop w:val="0"/>
              <w:marBottom w:val="0"/>
              <w:divBdr>
                <w:top w:val="none" w:sz="0" w:space="0" w:color="auto"/>
                <w:left w:val="none" w:sz="0" w:space="0" w:color="auto"/>
                <w:bottom w:val="none" w:sz="0" w:space="0" w:color="auto"/>
                <w:right w:val="none" w:sz="0" w:space="0" w:color="auto"/>
              </w:divBdr>
            </w:div>
            <w:div w:id="1422489372">
              <w:marLeft w:val="0"/>
              <w:marRight w:val="0"/>
              <w:marTop w:val="0"/>
              <w:marBottom w:val="0"/>
              <w:divBdr>
                <w:top w:val="none" w:sz="0" w:space="0" w:color="auto"/>
                <w:left w:val="none" w:sz="0" w:space="0" w:color="auto"/>
                <w:bottom w:val="none" w:sz="0" w:space="0" w:color="auto"/>
                <w:right w:val="none" w:sz="0" w:space="0" w:color="auto"/>
              </w:divBdr>
            </w:div>
            <w:div w:id="492722431">
              <w:marLeft w:val="0"/>
              <w:marRight w:val="0"/>
              <w:marTop w:val="0"/>
              <w:marBottom w:val="0"/>
              <w:divBdr>
                <w:top w:val="none" w:sz="0" w:space="0" w:color="auto"/>
                <w:left w:val="none" w:sz="0" w:space="0" w:color="auto"/>
                <w:bottom w:val="none" w:sz="0" w:space="0" w:color="auto"/>
                <w:right w:val="none" w:sz="0" w:space="0" w:color="auto"/>
              </w:divBdr>
            </w:div>
            <w:div w:id="1664121809">
              <w:marLeft w:val="0"/>
              <w:marRight w:val="0"/>
              <w:marTop w:val="0"/>
              <w:marBottom w:val="0"/>
              <w:divBdr>
                <w:top w:val="none" w:sz="0" w:space="0" w:color="auto"/>
                <w:left w:val="none" w:sz="0" w:space="0" w:color="auto"/>
                <w:bottom w:val="none" w:sz="0" w:space="0" w:color="auto"/>
                <w:right w:val="none" w:sz="0" w:space="0" w:color="auto"/>
              </w:divBdr>
            </w:div>
            <w:div w:id="569852363">
              <w:marLeft w:val="0"/>
              <w:marRight w:val="0"/>
              <w:marTop w:val="0"/>
              <w:marBottom w:val="0"/>
              <w:divBdr>
                <w:top w:val="none" w:sz="0" w:space="0" w:color="auto"/>
                <w:left w:val="none" w:sz="0" w:space="0" w:color="auto"/>
                <w:bottom w:val="none" w:sz="0" w:space="0" w:color="auto"/>
                <w:right w:val="none" w:sz="0" w:space="0" w:color="auto"/>
              </w:divBdr>
            </w:div>
            <w:div w:id="650405802">
              <w:marLeft w:val="0"/>
              <w:marRight w:val="0"/>
              <w:marTop w:val="0"/>
              <w:marBottom w:val="0"/>
              <w:divBdr>
                <w:top w:val="none" w:sz="0" w:space="0" w:color="auto"/>
                <w:left w:val="none" w:sz="0" w:space="0" w:color="auto"/>
                <w:bottom w:val="none" w:sz="0" w:space="0" w:color="auto"/>
                <w:right w:val="none" w:sz="0" w:space="0" w:color="auto"/>
              </w:divBdr>
            </w:div>
            <w:div w:id="40713849">
              <w:marLeft w:val="0"/>
              <w:marRight w:val="0"/>
              <w:marTop w:val="0"/>
              <w:marBottom w:val="0"/>
              <w:divBdr>
                <w:top w:val="none" w:sz="0" w:space="0" w:color="auto"/>
                <w:left w:val="none" w:sz="0" w:space="0" w:color="auto"/>
                <w:bottom w:val="none" w:sz="0" w:space="0" w:color="auto"/>
                <w:right w:val="none" w:sz="0" w:space="0" w:color="auto"/>
              </w:divBdr>
            </w:div>
            <w:div w:id="917640525">
              <w:marLeft w:val="0"/>
              <w:marRight w:val="0"/>
              <w:marTop w:val="0"/>
              <w:marBottom w:val="0"/>
              <w:divBdr>
                <w:top w:val="none" w:sz="0" w:space="0" w:color="auto"/>
                <w:left w:val="none" w:sz="0" w:space="0" w:color="auto"/>
                <w:bottom w:val="none" w:sz="0" w:space="0" w:color="auto"/>
                <w:right w:val="none" w:sz="0" w:space="0" w:color="auto"/>
              </w:divBdr>
            </w:div>
            <w:div w:id="1190222646">
              <w:marLeft w:val="0"/>
              <w:marRight w:val="0"/>
              <w:marTop w:val="0"/>
              <w:marBottom w:val="0"/>
              <w:divBdr>
                <w:top w:val="none" w:sz="0" w:space="0" w:color="auto"/>
                <w:left w:val="none" w:sz="0" w:space="0" w:color="auto"/>
                <w:bottom w:val="none" w:sz="0" w:space="0" w:color="auto"/>
                <w:right w:val="none" w:sz="0" w:space="0" w:color="auto"/>
              </w:divBdr>
            </w:div>
            <w:div w:id="1511605025">
              <w:marLeft w:val="0"/>
              <w:marRight w:val="0"/>
              <w:marTop w:val="0"/>
              <w:marBottom w:val="0"/>
              <w:divBdr>
                <w:top w:val="none" w:sz="0" w:space="0" w:color="auto"/>
                <w:left w:val="none" w:sz="0" w:space="0" w:color="auto"/>
                <w:bottom w:val="none" w:sz="0" w:space="0" w:color="auto"/>
                <w:right w:val="none" w:sz="0" w:space="0" w:color="auto"/>
              </w:divBdr>
            </w:div>
            <w:div w:id="2008945825">
              <w:marLeft w:val="0"/>
              <w:marRight w:val="0"/>
              <w:marTop w:val="0"/>
              <w:marBottom w:val="0"/>
              <w:divBdr>
                <w:top w:val="none" w:sz="0" w:space="0" w:color="auto"/>
                <w:left w:val="none" w:sz="0" w:space="0" w:color="auto"/>
                <w:bottom w:val="none" w:sz="0" w:space="0" w:color="auto"/>
                <w:right w:val="none" w:sz="0" w:space="0" w:color="auto"/>
              </w:divBdr>
            </w:div>
            <w:div w:id="32926407">
              <w:marLeft w:val="0"/>
              <w:marRight w:val="0"/>
              <w:marTop w:val="0"/>
              <w:marBottom w:val="0"/>
              <w:divBdr>
                <w:top w:val="none" w:sz="0" w:space="0" w:color="auto"/>
                <w:left w:val="none" w:sz="0" w:space="0" w:color="auto"/>
                <w:bottom w:val="none" w:sz="0" w:space="0" w:color="auto"/>
                <w:right w:val="none" w:sz="0" w:space="0" w:color="auto"/>
              </w:divBdr>
            </w:div>
            <w:div w:id="64690580">
              <w:marLeft w:val="0"/>
              <w:marRight w:val="0"/>
              <w:marTop w:val="0"/>
              <w:marBottom w:val="0"/>
              <w:divBdr>
                <w:top w:val="none" w:sz="0" w:space="0" w:color="auto"/>
                <w:left w:val="none" w:sz="0" w:space="0" w:color="auto"/>
                <w:bottom w:val="none" w:sz="0" w:space="0" w:color="auto"/>
                <w:right w:val="none" w:sz="0" w:space="0" w:color="auto"/>
              </w:divBdr>
            </w:div>
            <w:div w:id="1099640469">
              <w:marLeft w:val="0"/>
              <w:marRight w:val="0"/>
              <w:marTop w:val="0"/>
              <w:marBottom w:val="0"/>
              <w:divBdr>
                <w:top w:val="none" w:sz="0" w:space="0" w:color="auto"/>
                <w:left w:val="none" w:sz="0" w:space="0" w:color="auto"/>
                <w:bottom w:val="none" w:sz="0" w:space="0" w:color="auto"/>
                <w:right w:val="none" w:sz="0" w:space="0" w:color="auto"/>
              </w:divBdr>
            </w:div>
            <w:div w:id="276719497">
              <w:marLeft w:val="0"/>
              <w:marRight w:val="0"/>
              <w:marTop w:val="0"/>
              <w:marBottom w:val="0"/>
              <w:divBdr>
                <w:top w:val="none" w:sz="0" w:space="0" w:color="auto"/>
                <w:left w:val="none" w:sz="0" w:space="0" w:color="auto"/>
                <w:bottom w:val="none" w:sz="0" w:space="0" w:color="auto"/>
                <w:right w:val="none" w:sz="0" w:space="0" w:color="auto"/>
              </w:divBdr>
            </w:div>
            <w:div w:id="654840023">
              <w:marLeft w:val="0"/>
              <w:marRight w:val="0"/>
              <w:marTop w:val="0"/>
              <w:marBottom w:val="0"/>
              <w:divBdr>
                <w:top w:val="none" w:sz="0" w:space="0" w:color="auto"/>
                <w:left w:val="none" w:sz="0" w:space="0" w:color="auto"/>
                <w:bottom w:val="none" w:sz="0" w:space="0" w:color="auto"/>
                <w:right w:val="none" w:sz="0" w:space="0" w:color="auto"/>
              </w:divBdr>
            </w:div>
            <w:div w:id="647442235">
              <w:marLeft w:val="0"/>
              <w:marRight w:val="0"/>
              <w:marTop w:val="0"/>
              <w:marBottom w:val="0"/>
              <w:divBdr>
                <w:top w:val="none" w:sz="0" w:space="0" w:color="auto"/>
                <w:left w:val="none" w:sz="0" w:space="0" w:color="auto"/>
                <w:bottom w:val="none" w:sz="0" w:space="0" w:color="auto"/>
                <w:right w:val="none" w:sz="0" w:space="0" w:color="auto"/>
              </w:divBdr>
            </w:div>
            <w:div w:id="20198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2335">
      <w:marLeft w:val="0"/>
      <w:marRight w:val="0"/>
      <w:marTop w:val="0"/>
      <w:marBottom w:val="0"/>
      <w:divBdr>
        <w:top w:val="none" w:sz="0" w:space="0" w:color="auto"/>
        <w:left w:val="none" w:sz="0" w:space="0" w:color="auto"/>
        <w:bottom w:val="none" w:sz="0" w:space="0" w:color="auto"/>
        <w:right w:val="none" w:sz="0" w:space="0" w:color="auto"/>
      </w:divBdr>
      <w:divsChild>
        <w:div w:id="1987977687">
          <w:marLeft w:val="0"/>
          <w:marRight w:val="0"/>
          <w:marTop w:val="0"/>
          <w:marBottom w:val="0"/>
          <w:divBdr>
            <w:top w:val="none" w:sz="0" w:space="0" w:color="auto"/>
            <w:left w:val="none" w:sz="0" w:space="0" w:color="auto"/>
            <w:bottom w:val="none" w:sz="0" w:space="0" w:color="auto"/>
            <w:right w:val="none" w:sz="0" w:space="0" w:color="auto"/>
          </w:divBdr>
        </w:div>
      </w:divsChild>
    </w:div>
    <w:div w:id="1455170512">
      <w:marLeft w:val="0"/>
      <w:marRight w:val="0"/>
      <w:marTop w:val="0"/>
      <w:marBottom w:val="0"/>
      <w:divBdr>
        <w:top w:val="none" w:sz="0" w:space="0" w:color="auto"/>
        <w:left w:val="none" w:sz="0" w:space="0" w:color="auto"/>
        <w:bottom w:val="none" w:sz="0" w:space="0" w:color="auto"/>
        <w:right w:val="none" w:sz="0" w:space="0" w:color="auto"/>
      </w:divBdr>
      <w:divsChild>
        <w:div w:id="229855343">
          <w:marLeft w:val="0"/>
          <w:marRight w:val="0"/>
          <w:marTop w:val="0"/>
          <w:marBottom w:val="0"/>
          <w:divBdr>
            <w:top w:val="none" w:sz="0" w:space="0" w:color="auto"/>
            <w:left w:val="none" w:sz="0" w:space="0" w:color="auto"/>
            <w:bottom w:val="none" w:sz="0" w:space="0" w:color="auto"/>
            <w:right w:val="none" w:sz="0" w:space="0" w:color="auto"/>
          </w:divBdr>
        </w:div>
      </w:divsChild>
    </w:div>
    <w:div w:id="1456217554">
      <w:bodyDiv w:val="1"/>
      <w:marLeft w:val="0"/>
      <w:marRight w:val="0"/>
      <w:marTop w:val="0"/>
      <w:marBottom w:val="0"/>
      <w:divBdr>
        <w:top w:val="none" w:sz="0" w:space="0" w:color="auto"/>
        <w:left w:val="none" w:sz="0" w:space="0" w:color="auto"/>
        <w:bottom w:val="none" w:sz="0" w:space="0" w:color="auto"/>
        <w:right w:val="none" w:sz="0" w:space="0" w:color="auto"/>
      </w:divBdr>
    </w:div>
    <w:div w:id="1457143410">
      <w:bodyDiv w:val="1"/>
      <w:marLeft w:val="0"/>
      <w:marRight w:val="0"/>
      <w:marTop w:val="0"/>
      <w:marBottom w:val="0"/>
      <w:divBdr>
        <w:top w:val="none" w:sz="0" w:space="0" w:color="auto"/>
        <w:left w:val="none" w:sz="0" w:space="0" w:color="auto"/>
        <w:bottom w:val="none" w:sz="0" w:space="0" w:color="auto"/>
        <w:right w:val="none" w:sz="0" w:space="0" w:color="auto"/>
      </w:divBdr>
    </w:div>
    <w:div w:id="1457599910">
      <w:marLeft w:val="0"/>
      <w:marRight w:val="0"/>
      <w:marTop w:val="0"/>
      <w:marBottom w:val="0"/>
      <w:divBdr>
        <w:top w:val="none" w:sz="0" w:space="0" w:color="auto"/>
        <w:left w:val="none" w:sz="0" w:space="0" w:color="auto"/>
        <w:bottom w:val="none" w:sz="0" w:space="0" w:color="auto"/>
        <w:right w:val="none" w:sz="0" w:space="0" w:color="auto"/>
      </w:divBdr>
      <w:divsChild>
        <w:div w:id="1604999810">
          <w:marLeft w:val="0"/>
          <w:marRight w:val="0"/>
          <w:marTop w:val="0"/>
          <w:marBottom w:val="0"/>
          <w:divBdr>
            <w:top w:val="none" w:sz="0" w:space="0" w:color="auto"/>
            <w:left w:val="none" w:sz="0" w:space="0" w:color="auto"/>
            <w:bottom w:val="none" w:sz="0" w:space="0" w:color="auto"/>
            <w:right w:val="none" w:sz="0" w:space="0" w:color="auto"/>
          </w:divBdr>
        </w:div>
      </w:divsChild>
    </w:div>
    <w:div w:id="1458530494">
      <w:marLeft w:val="0"/>
      <w:marRight w:val="0"/>
      <w:marTop w:val="0"/>
      <w:marBottom w:val="0"/>
      <w:divBdr>
        <w:top w:val="none" w:sz="0" w:space="0" w:color="auto"/>
        <w:left w:val="none" w:sz="0" w:space="0" w:color="auto"/>
        <w:bottom w:val="none" w:sz="0" w:space="0" w:color="auto"/>
        <w:right w:val="none" w:sz="0" w:space="0" w:color="auto"/>
      </w:divBdr>
      <w:divsChild>
        <w:div w:id="1943296806">
          <w:marLeft w:val="0"/>
          <w:marRight w:val="0"/>
          <w:marTop w:val="0"/>
          <w:marBottom w:val="0"/>
          <w:divBdr>
            <w:top w:val="none" w:sz="0" w:space="0" w:color="auto"/>
            <w:left w:val="none" w:sz="0" w:space="0" w:color="auto"/>
            <w:bottom w:val="none" w:sz="0" w:space="0" w:color="auto"/>
            <w:right w:val="none" w:sz="0" w:space="0" w:color="auto"/>
          </w:divBdr>
        </w:div>
      </w:divsChild>
    </w:div>
    <w:div w:id="1463502284">
      <w:marLeft w:val="0"/>
      <w:marRight w:val="0"/>
      <w:marTop w:val="0"/>
      <w:marBottom w:val="0"/>
      <w:divBdr>
        <w:top w:val="none" w:sz="0" w:space="0" w:color="auto"/>
        <w:left w:val="none" w:sz="0" w:space="0" w:color="auto"/>
        <w:bottom w:val="none" w:sz="0" w:space="0" w:color="auto"/>
        <w:right w:val="none" w:sz="0" w:space="0" w:color="auto"/>
      </w:divBdr>
      <w:divsChild>
        <w:div w:id="641539233">
          <w:marLeft w:val="0"/>
          <w:marRight w:val="0"/>
          <w:marTop w:val="0"/>
          <w:marBottom w:val="0"/>
          <w:divBdr>
            <w:top w:val="none" w:sz="0" w:space="0" w:color="auto"/>
            <w:left w:val="none" w:sz="0" w:space="0" w:color="auto"/>
            <w:bottom w:val="none" w:sz="0" w:space="0" w:color="auto"/>
            <w:right w:val="none" w:sz="0" w:space="0" w:color="auto"/>
          </w:divBdr>
        </w:div>
      </w:divsChild>
    </w:div>
    <w:div w:id="1468006851">
      <w:marLeft w:val="0"/>
      <w:marRight w:val="0"/>
      <w:marTop w:val="0"/>
      <w:marBottom w:val="0"/>
      <w:divBdr>
        <w:top w:val="none" w:sz="0" w:space="0" w:color="auto"/>
        <w:left w:val="none" w:sz="0" w:space="0" w:color="auto"/>
        <w:bottom w:val="none" w:sz="0" w:space="0" w:color="auto"/>
        <w:right w:val="none" w:sz="0" w:space="0" w:color="auto"/>
      </w:divBdr>
      <w:divsChild>
        <w:div w:id="1310745482">
          <w:marLeft w:val="0"/>
          <w:marRight w:val="0"/>
          <w:marTop w:val="0"/>
          <w:marBottom w:val="0"/>
          <w:divBdr>
            <w:top w:val="none" w:sz="0" w:space="0" w:color="auto"/>
            <w:left w:val="none" w:sz="0" w:space="0" w:color="auto"/>
            <w:bottom w:val="none" w:sz="0" w:space="0" w:color="auto"/>
            <w:right w:val="none" w:sz="0" w:space="0" w:color="auto"/>
          </w:divBdr>
        </w:div>
      </w:divsChild>
    </w:div>
    <w:div w:id="1468353575">
      <w:marLeft w:val="0"/>
      <w:marRight w:val="0"/>
      <w:marTop w:val="0"/>
      <w:marBottom w:val="0"/>
      <w:divBdr>
        <w:top w:val="none" w:sz="0" w:space="0" w:color="auto"/>
        <w:left w:val="none" w:sz="0" w:space="0" w:color="auto"/>
        <w:bottom w:val="none" w:sz="0" w:space="0" w:color="auto"/>
        <w:right w:val="none" w:sz="0" w:space="0" w:color="auto"/>
      </w:divBdr>
      <w:divsChild>
        <w:div w:id="139614617">
          <w:marLeft w:val="0"/>
          <w:marRight w:val="0"/>
          <w:marTop w:val="0"/>
          <w:marBottom w:val="0"/>
          <w:divBdr>
            <w:top w:val="none" w:sz="0" w:space="0" w:color="auto"/>
            <w:left w:val="none" w:sz="0" w:space="0" w:color="auto"/>
            <w:bottom w:val="none" w:sz="0" w:space="0" w:color="auto"/>
            <w:right w:val="none" w:sz="0" w:space="0" w:color="auto"/>
          </w:divBdr>
        </w:div>
      </w:divsChild>
    </w:div>
    <w:div w:id="1472139108">
      <w:bodyDiv w:val="1"/>
      <w:marLeft w:val="0"/>
      <w:marRight w:val="0"/>
      <w:marTop w:val="0"/>
      <w:marBottom w:val="0"/>
      <w:divBdr>
        <w:top w:val="none" w:sz="0" w:space="0" w:color="auto"/>
        <w:left w:val="none" w:sz="0" w:space="0" w:color="auto"/>
        <w:bottom w:val="none" w:sz="0" w:space="0" w:color="auto"/>
        <w:right w:val="none" w:sz="0" w:space="0" w:color="auto"/>
      </w:divBdr>
    </w:div>
    <w:div w:id="1473596389">
      <w:marLeft w:val="0"/>
      <w:marRight w:val="150"/>
      <w:marTop w:val="0"/>
      <w:marBottom w:val="0"/>
      <w:divBdr>
        <w:top w:val="none" w:sz="0" w:space="0" w:color="auto"/>
        <w:left w:val="none" w:sz="0" w:space="0" w:color="auto"/>
        <w:bottom w:val="none" w:sz="0" w:space="0" w:color="auto"/>
        <w:right w:val="none" w:sz="0" w:space="0" w:color="auto"/>
      </w:divBdr>
      <w:divsChild>
        <w:div w:id="434907318">
          <w:marLeft w:val="0"/>
          <w:marRight w:val="150"/>
          <w:marTop w:val="0"/>
          <w:marBottom w:val="0"/>
          <w:divBdr>
            <w:top w:val="none" w:sz="0" w:space="0" w:color="auto"/>
            <w:left w:val="none" w:sz="0" w:space="0" w:color="auto"/>
            <w:bottom w:val="none" w:sz="0" w:space="0" w:color="auto"/>
            <w:right w:val="none" w:sz="0" w:space="0" w:color="auto"/>
          </w:divBdr>
        </w:div>
      </w:divsChild>
    </w:div>
    <w:div w:id="1475951376">
      <w:marLeft w:val="0"/>
      <w:marRight w:val="0"/>
      <w:marTop w:val="0"/>
      <w:marBottom w:val="0"/>
      <w:divBdr>
        <w:top w:val="none" w:sz="0" w:space="0" w:color="auto"/>
        <w:left w:val="none" w:sz="0" w:space="0" w:color="auto"/>
        <w:bottom w:val="none" w:sz="0" w:space="0" w:color="auto"/>
        <w:right w:val="none" w:sz="0" w:space="0" w:color="auto"/>
      </w:divBdr>
      <w:divsChild>
        <w:div w:id="1891259994">
          <w:marLeft w:val="0"/>
          <w:marRight w:val="0"/>
          <w:marTop w:val="0"/>
          <w:marBottom w:val="0"/>
          <w:divBdr>
            <w:top w:val="none" w:sz="0" w:space="0" w:color="auto"/>
            <w:left w:val="none" w:sz="0" w:space="0" w:color="auto"/>
            <w:bottom w:val="none" w:sz="0" w:space="0" w:color="auto"/>
            <w:right w:val="none" w:sz="0" w:space="0" w:color="auto"/>
          </w:divBdr>
        </w:div>
      </w:divsChild>
    </w:div>
    <w:div w:id="1476486820">
      <w:marLeft w:val="0"/>
      <w:marRight w:val="0"/>
      <w:marTop w:val="0"/>
      <w:marBottom w:val="0"/>
      <w:divBdr>
        <w:top w:val="none" w:sz="0" w:space="0" w:color="auto"/>
        <w:left w:val="none" w:sz="0" w:space="0" w:color="auto"/>
        <w:bottom w:val="none" w:sz="0" w:space="0" w:color="auto"/>
        <w:right w:val="none" w:sz="0" w:space="0" w:color="auto"/>
      </w:divBdr>
      <w:divsChild>
        <w:div w:id="827943545">
          <w:marLeft w:val="0"/>
          <w:marRight w:val="0"/>
          <w:marTop w:val="0"/>
          <w:marBottom w:val="0"/>
          <w:divBdr>
            <w:top w:val="none" w:sz="0" w:space="0" w:color="auto"/>
            <w:left w:val="none" w:sz="0" w:space="0" w:color="auto"/>
            <w:bottom w:val="none" w:sz="0" w:space="0" w:color="auto"/>
            <w:right w:val="none" w:sz="0" w:space="0" w:color="auto"/>
          </w:divBdr>
        </w:div>
      </w:divsChild>
    </w:div>
    <w:div w:id="1486161914">
      <w:marLeft w:val="0"/>
      <w:marRight w:val="0"/>
      <w:marTop w:val="0"/>
      <w:marBottom w:val="0"/>
      <w:divBdr>
        <w:top w:val="none" w:sz="0" w:space="0" w:color="auto"/>
        <w:left w:val="none" w:sz="0" w:space="0" w:color="auto"/>
        <w:bottom w:val="none" w:sz="0" w:space="0" w:color="auto"/>
        <w:right w:val="none" w:sz="0" w:space="0" w:color="auto"/>
      </w:divBdr>
      <w:divsChild>
        <w:div w:id="1509758930">
          <w:marLeft w:val="0"/>
          <w:marRight w:val="0"/>
          <w:marTop w:val="0"/>
          <w:marBottom w:val="0"/>
          <w:divBdr>
            <w:top w:val="none" w:sz="0" w:space="0" w:color="auto"/>
            <w:left w:val="none" w:sz="0" w:space="0" w:color="auto"/>
            <w:bottom w:val="none" w:sz="0" w:space="0" w:color="auto"/>
            <w:right w:val="none" w:sz="0" w:space="0" w:color="auto"/>
          </w:divBdr>
        </w:div>
      </w:divsChild>
    </w:div>
    <w:div w:id="1486437870">
      <w:bodyDiv w:val="1"/>
      <w:marLeft w:val="0"/>
      <w:marRight w:val="0"/>
      <w:marTop w:val="0"/>
      <w:marBottom w:val="0"/>
      <w:divBdr>
        <w:top w:val="none" w:sz="0" w:space="0" w:color="auto"/>
        <w:left w:val="none" w:sz="0" w:space="0" w:color="auto"/>
        <w:bottom w:val="none" w:sz="0" w:space="0" w:color="auto"/>
        <w:right w:val="none" w:sz="0" w:space="0" w:color="auto"/>
      </w:divBdr>
    </w:div>
    <w:div w:id="1487938481">
      <w:bodyDiv w:val="1"/>
      <w:marLeft w:val="0"/>
      <w:marRight w:val="0"/>
      <w:marTop w:val="0"/>
      <w:marBottom w:val="0"/>
      <w:divBdr>
        <w:top w:val="none" w:sz="0" w:space="0" w:color="auto"/>
        <w:left w:val="none" w:sz="0" w:space="0" w:color="auto"/>
        <w:bottom w:val="none" w:sz="0" w:space="0" w:color="auto"/>
        <w:right w:val="none" w:sz="0" w:space="0" w:color="auto"/>
      </w:divBdr>
    </w:div>
    <w:div w:id="1492059272">
      <w:marLeft w:val="0"/>
      <w:marRight w:val="0"/>
      <w:marTop w:val="0"/>
      <w:marBottom w:val="0"/>
      <w:divBdr>
        <w:top w:val="none" w:sz="0" w:space="0" w:color="auto"/>
        <w:left w:val="none" w:sz="0" w:space="0" w:color="auto"/>
        <w:bottom w:val="none" w:sz="0" w:space="0" w:color="auto"/>
        <w:right w:val="none" w:sz="0" w:space="0" w:color="auto"/>
      </w:divBdr>
      <w:divsChild>
        <w:div w:id="1340429073">
          <w:marLeft w:val="0"/>
          <w:marRight w:val="0"/>
          <w:marTop w:val="0"/>
          <w:marBottom w:val="0"/>
          <w:divBdr>
            <w:top w:val="none" w:sz="0" w:space="0" w:color="auto"/>
            <w:left w:val="none" w:sz="0" w:space="0" w:color="auto"/>
            <w:bottom w:val="none" w:sz="0" w:space="0" w:color="auto"/>
            <w:right w:val="none" w:sz="0" w:space="0" w:color="auto"/>
          </w:divBdr>
        </w:div>
      </w:divsChild>
    </w:div>
    <w:div w:id="1492332409">
      <w:marLeft w:val="0"/>
      <w:marRight w:val="0"/>
      <w:marTop w:val="0"/>
      <w:marBottom w:val="0"/>
      <w:divBdr>
        <w:top w:val="none" w:sz="0" w:space="0" w:color="auto"/>
        <w:left w:val="none" w:sz="0" w:space="0" w:color="auto"/>
        <w:bottom w:val="none" w:sz="0" w:space="0" w:color="auto"/>
        <w:right w:val="none" w:sz="0" w:space="0" w:color="auto"/>
      </w:divBdr>
      <w:divsChild>
        <w:div w:id="309866702">
          <w:marLeft w:val="0"/>
          <w:marRight w:val="0"/>
          <w:marTop w:val="0"/>
          <w:marBottom w:val="0"/>
          <w:divBdr>
            <w:top w:val="none" w:sz="0" w:space="0" w:color="auto"/>
            <w:left w:val="none" w:sz="0" w:space="0" w:color="auto"/>
            <w:bottom w:val="none" w:sz="0" w:space="0" w:color="auto"/>
            <w:right w:val="none" w:sz="0" w:space="0" w:color="auto"/>
          </w:divBdr>
        </w:div>
      </w:divsChild>
    </w:div>
    <w:div w:id="1494831833">
      <w:marLeft w:val="0"/>
      <w:marRight w:val="0"/>
      <w:marTop w:val="0"/>
      <w:marBottom w:val="0"/>
      <w:divBdr>
        <w:top w:val="none" w:sz="0" w:space="0" w:color="auto"/>
        <w:left w:val="none" w:sz="0" w:space="0" w:color="auto"/>
        <w:bottom w:val="none" w:sz="0" w:space="0" w:color="auto"/>
        <w:right w:val="none" w:sz="0" w:space="0" w:color="auto"/>
      </w:divBdr>
      <w:divsChild>
        <w:div w:id="1806238666">
          <w:marLeft w:val="0"/>
          <w:marRight w:val="0"/>
          <w:marTop w:val="0"/>
          <w:marBottom w:val="0"/>
          <w:divBdr>
            <w:top w:val="none" w:sz="0" w:space="0" w:color="auto"/>
            <w:left w:val="none" w:sz="0" w:space="0" w:color="auto"/>
            <w:bottom w:val="none" w:sz="0" w:space="0" w:color="auto"/>
            <w:right w:val="none" w:sz="0" w:space="0" w:color="auto"/>
          </w:divBdr>
        </w:div>
      </w:divsChild>
    </w:div>
    <w:div w:id="1495563446">
      <w:marLeft w:val="0"/>
      <w:marRight w:val="0"/>
      <w:marTop w:val="0"/>
      <w:marBottom w:val="0"/>
      <w:divBdr>
        <w:top w:val="none" w:sz="0" w:space="0" w:color="auto"/>
        <w:left w:val="none" w:sz="0" w:space="0" w:color="auto"/>
        <w:bottom w:val="none" w:sz="0" w:space="0" w:color="auto"/>
        <w:right w:val="none" w:sz="0" w:space="0" w:color="auto"/>
      </w:divBdr>
      <w:divsChild>
        <w:div w:id="1156844340">
          <w:marLeft w:val="0"/>
          <w:marRight w:val="0"/>
          <w:marTop w:val="0"/>
          <w:marBottom w:val="0"/>
          <w:divBdr>
            <w:top w:val="none" w:sz="0" w:space="0" w:color="auto"/>
            <w:left w:val="none" w:sz="0" w:space="0" w:color="auto"/>
            <w:bottom w:val="none" w:sz="0" w:space="0" w:color="auto"/>
            <w:right w:val="none" w:sz="0" w:space="0" w:color="auto"/>
          </w:divBdr>
        </w:div>
      </w:divsChild>
    </w:div>
    <w:div w:id="1495683877">
      <w:bodyDiv w:val="1"/>
      <w:marLeft w:val="0"/>
      <w:marRight w:val="0"/>
      <w:marTop w:val="0"/>
      <w:marBottom w:val="0"/>
      <w:divBdr>
        <w:top w:val="none" w:sz="0" w:space="0" w:color="auto"/>
        <w:left w:val="none" w:sz="0" w:space="0" w:color="auto"/>
        <w:bottom w:val="none" w:sz="0" w:space="0" w:color="auto"/>
        <w:right w:val="none" w:sz="0" w:space="0" w:color="auto"/>
      </w:divBdr>
    </w:div>
    <w:div w:id="1498378708">
      <w:marLeft w:val="0"/>
      <w:marRight w:val="0"/>
      <w:marTop w:val="0"/>
      <w:marBottom w:val="0"/>
      <w:divBdr>
        <w:top w:val="none" w:sz="0" w:space="0" w:color="auto"/>
        <w:left w:val="none" w:sz="0" w:space="0" w:color="auto"/>
        <w:bottom w:val="none" w:sz="0" w:space="0" w:color="auto"/>
        <w:right w:val="none" w:sz="0" w:space="0" w:color="auto"/>
      </w:divBdr>
      <w:divsChild>
        <w:div w:id="1910266048">
          <w:marLeft w:val="0"/>
          <w:marRight w:val="0"/>
          <w:marTop w:val="0"/>
          <w:marBottom w:val="0"/>
          <w:divBdr>
            <w:top w:val="none" w:sz="0" w:space="0" w:color="auto"/>
            <w:left w:val="none" w:sz="0" w:space="0" w:color="auto"/>
            <w:bottom w:val="none" w:sz="0" w:space="0" w:color="auto"/>
            <w:right w:val="none" w:sz="0" w:space="0" w:color="auto"/>
          </w:divBdr>
        </w:div>
      </w:divsChild>
    </w:div>
    <w:div w:id="1504273621">
      <w:bodyDiv w:val="1"/>
      <w:marLeft w:val="0"/>
      <w:marRight w:val="0"/>
      <w:marTop w:val="0"/>
      <w:marBottom w:val="0"/>
      <w:divBdr>
        <w:top w:val="none" w:sz="0" w:space="0" w:color="auto"/>
        <w:left w:val="none" w:sz="0" w:space="0" w:color="auto"/>
        <w:bottom w:val="none" w:sz="0" w:space="0" w:color="auto"/>
        <w:right w:val="none" w:sz="0" w:space="0" w:color="auto"/>
      </w:divBdr>
      <w:divsChild>
        <w:div w:id="54596902">
          <w:marLeft w:val="0"/>
          <w:marRight w:val="0"/>
          <w:marTop w:val="0"/>
          <w:marBottom w:val="0"/>
          <w:divBdr>
            <w:top w:val="none" w:sz="0" w:space="0" w:color="auto"/>
            <w:left w:val="none" w:sz="0" w:space="0" w:color="auto"/>
            <w:bottom w:val="none" w:sz="0" w:space="0" w:color="auto"/>
            <w:right w:val="none" w:sz="0" w:space="0" w:color="auto"/>
          </w:divBdr>
          <w:divsChild>
            <w:div w:id="1800537897">
              <w:marLeft w:val="0"/>
              <w:marRight w:val="0"/>
              <w:marTop w:val="0"/>
              <w:marBottom w:val="0"/>
              <w:divBdr>
                <w:top w:val="none" w:sz="0" w:space="0" w:color="auto"/>
                <w:left w:val="none" w:sz="0" w:space="0" w:color="auto"/>
                <w:bottom w:val="none" w:sz="0" w:space="0" w:color="auto"/>
                <w:right w:val="none" w:sz="0" w:space="0" w:color="auto"/>
              </w:divBdr>
            </w:div>
            <w:div w:id="1188251923">
              <w:marLeft w:val="0"/>
              <w:marRight w:val="0"/>
              <w:marTop w:val="0"/>
              <w:marBottom w:val="0"/>
              <w:divBdr>
                <w:top w:val="none" w:sz="0" w:space="0" w:color="auto"/>
                <w:left w:val="none" w:sz="0" w:space="0" w:color="auto"/>
                <w:bottom w:val="none" w:sz="0" w:space="0" w:color="auto"/>
                <w:right w:val="none" w:sz="0" w:space="0" w:color="auto"/>
              </w:divBdr>
            </w:div>
            <w:div w:id="2052722685">
              <w:marLeft w:val="0"/>
              <w:marRight w:val="0"/>
              <w:marTop w:val="0"/>
              <w:marBottom w:val="0"/>
              <w:divBdr>
                <w:top w:val="none" w:sz="0" w:space="0" w:color="auto"/>
                <w:left w:val="none" w:sz="0" w:space="0" w:color="auto"/>
                <w:bottom w:val="none" w:sz="0" w:space="0" w:color="auto"/>
                <w:right w:val="none" w:sz="0" w:space="0" w:color="auto"/>
              </w:divBdr>
            </w:div>
            <w:div w:id="1842693081">
              <w:marLeft w:val="0"/>
              <w:marRight w:val="0"/>
              <w:marTop w:val="0"/>
              <w:marBottom w:val="0"/>
              <w:divBdr>
                <w:top w:val="none" w:sz="0" w:space="0" w:color="auto"/>
                <w:left w:val="none" w:sz="0" w:space="0" w:color="auto"/>
                <w:bottom w:val="none" w:sz="0" w:space="0" w:color="auto"/>
                <w:right w:val="none" w:sz="0" w:space="0" w:color="auto"/>
              </w:divBdr>
            </w:div>
            <w:div w:id="1981763810">
              <w:marLeft w:val="0"/>
              <w:marRight w:val="0"/>
              <w:marTop w:val="0"/>
              <w:marBottom w:val="0"/>
              <w:divBdr>
                <w:top w:val="none" w:sz="0" w:space="0" w:color="auto"/>
                <w:left w:val="none" w:sz="0" w:space="0" w:color="auto"/>
                <w:bottom w:val="none" w:sz="0" w:space="0" w:color="auto"/>
                <w:right w:val="none" w:sz="0" w:space="0" w:color="auto"/>
              </w:divBdr>
            </w:div>
            <w:div w:id="93523181">
              <w:marLeft w:val="0"/>
              <w:marRight w:val="0"/>
              <w:marTop w:val="0"/>
              <w:marBottom w:val="0"/>
              <w:divBdr>
                <w:top w:val="none" w:sz="0" w:space="0" w:color="auto"/>
                <w:left w:val="none" w:sz="0" w:space="0" w:color="auto"/>
                <w:bottom w:val="none" w:sz="0" w:space="0" w:color="auto"/>
                <w:right w:val="none" w:sz="0" w:space="0" w:color="auto"/>
              </w:divBdr>
            </w:div>
            <w:div w:id="2052223658">
              <w:marLeft w:val="0"/>
              <w:marRight w:val="0"/>
              <w:marTop w:val="0"/>
              <w:marBottom w:val="0"/>
              <w:divBdr>
                <w:top w:val="none" w:sz="0" w:space="0" w:color="auto"/>
                <w:left w:val="none" w:sz="0" w:space="0" w:color="auto"/>
                <w:bottom w:val="none" w:sz="0" w:space="0" w:color="auto"/>
                <w:right w:val="none" w:sz="0" w:space="0" w:color="auto"/>
              </w:divBdr>
            </w:div>
            <w:div w:id="32970673">
              <w:marLeft w:val="0"/>
              <w:marRight w:val="0"/>
              <w:marTop w:val="0"/>
              <w:marBottom w:val="0"/>
              <w:divBdr>
                <w:top w:val="none" w:sz="0" w:space="0" w:color="auto"/>
                <w:left w:val="none" w:sz="0" w:space="0" w:color="auto"/>
                <w:bottom w:val="none" w:sz="0" w:space="0" w:color="auto"/>
                <w:right w:val="none" w:sz="0" w:space="0" w:color="auto"/>
              </w:divBdr>
            </w:div>
            <w:div w:id="1927419164">
              <w:marLeft w:val="0"/>
              <w:marRight w:val="0"/>
              <w:marTop w:val="0"/>
              <w:marBottom w:val="0"/>
              <w:divBdr>
                <w:top w:val="none" w:sz="0" w:space="0" w:color="auto"/>
                <w:left w:val="none" w:sz="0" w:space="0" w:color="auto"/>
                <w:bottom w:val="none" w:sz="0" w:space="0" w:color="auto"/>
                <w:right w:val="none" w:sz="0" w:space="0" w:color="auto"/>
              </w:divBdr>
            </w:div>
            <w:div w:id="1458446720">
              <w:marLeft w:val="0"/>
              <w:marRight w:val="0"/>
              <w:marTop w:val="0"/>
              <w:marBottom w:val="0"/>
              <w:divBdr>
                <w:top w:val="none" w:sz="0" w:space="0" w:color="auto"/>
                <w:left w:val="none" w:sz="0" w:space="0" w:color="auto"/>
                <w:bottom w:val="none" w:sz="0" w:space="0" w:color="auto"/>
                <w:right w:val="none" w:sz="0" w:space="0" w:color="auto"/>
              </w:divBdr>
            </w:div>
            <w:div w:id="780610765">
              <w:marLeft w:val="0"/>
              <w:marRight w:val="0"/>
              <w:marTop w:val="0"/>
              <w:marBottom w:val="0"/>
              <w:divBdr>
                <w:top w:val="none" w:sz="0" w:space="0" w:color="auto"/>
                <w:left w:val="none" w:sz="0" w:space="0" w:color="auto"/>
                <w:bottom w:val="none" w:sz="0" w:space="0" w:color="auto"/>
                <w:right w:val="none" w:sz="0" w:space="0" w:color="auto"/>
              </w:divBdr>
            </w:div>
            <w:div w:id="1181352977">
              <w:marLeft w:val="0"/>
              <w:marRight w:val="0"/>
              <w:marTop w:val="0"/>
              <w:marBottom w:val="0"/>
              <w:divBdr>
                <w:top w:val="none" w:sz="0" w:space="0" w:color="auto"/>
                <w:left w:val="none" w:sz="0" w:space="0" w:color="auto"/>
                <w:bottom w:val="none" w:sz="0" w:space="0" w:color="auto"/>
                <w:right w:val="none" w:sz="0" w:space="0" w:color="auto"/>
              </w:divBdr>
            </w:div>
            <w:div w:id="476920557">
              <w:marLeft w:val="0"/>
              <w:marRight w:val="0"/>
              <w:marTop w:val="0"/>
              <w:marBottom w:val="0"/>
              <w:divBdr>
                <w:top w:val="none" w:sz="0" w:space="0" w:color="auto"/>
                <w:left w:val="none" w:sz="0" w:space="0" w:color="auto"/>
                <w:bottom w:val="none" w:sz="0" w:space="0" w:color="auto"/>
                <w:right w:val="none" w:sz="0" w:space="0" w:color="auto"/>
              </w:divBdr>
            </w:div>
            <w:div w:id="580067595">
              <w:marLeft w:val="0"/>
              <w:marRight w:val="0"/>
              <w:marTop w:val="0"/>
              <w:marBottom w:val="0"/>
              <w:divBdr>
                <w:top w:val="none" w:sz="0" w:space="0" w:color="auto"/>
                <w:left w:val="none" w:sz="0" w:space="0" w:color="auto"/>
                <w:bottom w:val="none" w:sz="0" w:space="0" w:color="auto"/>
                <w:right w:val="none" w:sz="0" w:space="0" w:color="auto"/>
              </w:divBdr>
            </w:div>
            <w:div w:id="819074053">
              <w:marLeft w:val="0"/>
              <w:marRight w:val="0"/>
              <w:marTop w:val="0"/>
              <w:marBottom w:val="0"/>
              <w:divBdr>
                <w:top w:val="none" w:sz="0" w:space="0" w:color="auto"/>
                <w:left w:val="none" w:sz="0" w:space="0" w:color="auto"/>
                <w:bottom w:val="none" w:sz="0" w:space="0" w:color="auto"/>
                <w:right w:val="none" w:sz="0" w:space="0" w:color="auto"/>
              </w:divBdr>
            </w:div>
            <w:div w:id="410153749">
              <w:marLeft w:val="0"/>
              <w:marRight w:val="0"/>
              <w:marTop w:val="0"/>
              <w:marBottom w:val="0"/>
              <w:divBdr>
                <w:top w:val="none" w:sz="0" w:space="0" w:color="auto"/>
                <w:left w:val="none" w:sz="0" w:space="0" w:color="auto"/>
                <w:bottom w:val="none" w:sz="0" w:space="0" w:color="auto"/>
                <w:right w:val="none" w:sz="0" w:space="0" w:color="auto"/>
              </w:divBdr>
            </w:div>
            <w:div w:id="239213616">
              <w:marLeft w:val="0"/>
              <w:marRight w:val="0"/>
              <w:marTop w:val="0"/>
              <w:marBottom w:val="0"/>
              <w:divBdr>
                <w:top w:val="none" w:sz="0" w:space="0" w:color="auto"/>
                <w:left w:val="none" w:sz="0" w:space="0" w:color="auto"/>
                <w:bottom w:val="none" w:sz="0" w:space="0" w:color="auto"/>
                <w:right w:val="none" w:sz="0" w:space="0" w:color="auto"/>
              </w:divBdr>
            </w:div>
            <w:div w:id="1998804220">
              <w:marLeft w:val="0"/>
              <w:marRight w:val="0"/>
              <w:marTop w:val="0"/>
              <w:marBottom w:val="0"/>
              <w:divBdr>
                <w:top w:val="none" w:sz="0" w:space="0" w:color="auto"/>
                <w:left w:val="none" w:sz="0" w:space="0" w:color="auto"/>
                <w:bottom w:val="none" w:sz="0" w:space="0" w:color="auto"/>
                <w:right w:val="none" w:sz="0" w:space="0" w:color="auto"/>
              </w:divBdr>
            </w:div>
            <w:div w:id="1842695980">
              <w:marLeft w:val="0"/>
              <w:marRight w:val="0"/>
              <w:marTop w:val="0"/>
              <w:marBottom w:val="0"/>
              <w:divBdr>
                <w:top w:val="none" w:sz="0" w:space="0" w:color="auto"/>
                <w:left w:val="none" w:sz="0" w:space="0" w:color="auto"/>
                <w:bottom w:val="none" w:sz="0" w:space="0" w:color="auto"/>
                <w:right w:val="none" w:sz="0" w:space="0" w:color="auto"/>
              </w:divBdr>
            </w:div>
            <w:div w:id="2035108412">
              <w:marLeft w:val="0"/>
              <w:marRight w:val="0"/>
              <w:marTop w:val="0"/>
              <w:marBottom w:val="0"/>
              <w:divBdr>
                <w:top w:val="none" w:sz="0" w:space="0" w:color="auto"/>
                <w:left w:val="none" w:sz="0" w:space="0" w:color="auto"/>
                <w:bottom w:val="none" w:sz="0" w:space="0" w:color="auto"/>
                <w:right w:val="none" w:sz="0" w:space="0" w:color="auto"/>
              </w:divBdr>
            </w:div>
            <w:div w:id="1290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0676">
      <w:bodyDiv w:val="1"/>
      <w:marLeft w:val="0"/>
      <w:marRight w:val="0"/>
      <w:marTop w:val="0"/>
      <w:marBottom w:val="0"/>
      <w:divBdr>
        <w:top w:val="none" w:sz="0" w:space="0" w:color="auto"/>
        <w:left w:val="none" w:sz="0" w:space="0" w:color="auto"/>
        <w:bottom w:val="none" w:sz="0" w:space="0" w:color="auto"/>
        <w:right w:val="none" w:sz="0" w:space="0" w:color="auto"/>
      </w:divBdr>
    </w:div>
    <w:div w:id="1506624628">
      <w:bodyDiv w:val="1"/>
      <w:marLeft w:val="0"/>
      <w:marRight w:val="0"/>
      <w:marTop w:val="0"/>
      <w:marBottom w:val="0"/>
      <w:divBdr>
        <w:top w:val="none" w:sz="0" w:space="0" w:color="auto"/>
        <w:left w:val="none" w:sz="0" w:space="0" w:color="auto"/>
        <w:bottom w:val="none" w:sz="0" w:space="0" w:color="auto"/>
        <w:right w:val="none" w:sz="0" w:space="0" w:color="auto"/>
      </w:divBdr>
    </w:div>
    <w:div w:id="1512720407">
      <w:marLeft w:val="0"/>
      <w:marRight w:val="0"/>
      <w:marTop w:val="0"/>
      <w:marBottom w:val="0"/>
      <w:divBdr>
        <w:top w:val="none" w:sz="0" w:space="0" w:color="auto"/>
        <w:left w:val="none" w:sz="0" w:space="0" w:color="auto"/>
        <w:bottom w:val="none" w:sz="0" w:space="0" w:color="auto"/>
        <w:right w:val="none" w:sz="0" w:space="0" w:color="auto"/>
      </w:divBdr>
      <w:divsChild>
        <w:div w:id="36053744">
          <w:marLeft w:val="0"/>
          <w:marRight w:val="0"/>
          <w:marTop w:val="0"/>
          <w:marBottom w:val="0"/>
          <w:divBdr>
            <w:top w:val="none" w:sz="0" w:space="0" w:color="auto"/>
            <w:left w:val="none" w:sz="0" w:space="0" w:color="auto"/>
            <w:bottom w:val="none" w:sz="0" w:space="0" w:color="auto"/>
            <w:right w:val="none" w:sz="0" w:space="0" w:color="auto"/>
          </w:divBdr>
        </w:div>
      </w:divsChild>
    </w:div>
    <w:div w:id="1513838349">
      <w:bodyDiv w:val="1"/>
      <w:marLeft w:val="0"/>
      <w:marRight w:val="0"/>
      <w:marTop w:val="0"/>
      <w:marBottom w:val="0"/>
      <w:divBdr>
        <w:top w:val="none" w:sz="0" w:space="0" w:color="auto"/>
        <w:left w:val="none" w:sz="0" w:space="0" w:color="auto"/>
        <w:bottom w:val="none" w:sz="0" w:space="0" w:color="auto"/>
        <w:right w:val="none" w:sz="0" w:space="0" w:color="auto"/>
      </w:divBdr>
    </w:div>
    <w:div w:id="1517571228">
      <w:marLeft w:val="0"/>
      <w:marRight w:val="0"/>
      <w:marTop w:val="0"/>
      <w:marBottom w:val="0"/>
      <w:divBdr>
        <w:top w:val="none" w:sz="0" w:space="0" w:color="auto"/>
        <w:left w:val="none" w:sz="0" w:space="0" w:color="auto"/>
        <w:bottom w:val="none" w:sz="0" w:space="0" w:color="auto"/>
        <w:right w:val="none" w:sz="0" w:space="0" w:color="auto"/>
      </w:divBdr>
      <w:divsChild>
        <w:div w:id="2107996508">
          <w:marLeft w:val="0"/>
          <w:marRight w:val="0"/>
          <w:marTop w:val="0"/>
          <w:marBottom w:val="0"/>
          <w:divBdr>
            <w:top w:val="none" w:sz="0" w:space="0" w:color="auto"/>
            <w:left w:val="none" w:sz="0" w:space="0" w:color="auto"/>
            <w:bottom w:val="none" w:sz="0" w:space="0" w:color="auto"/>
            <w:right w:val="none" w:sz="0" w:space="0" w:color="auto"/>
          </w:divBdr>
        </w:div>
      </w:divsChild>
    </w:div>
    <w:div w:id="1520048652">
      <w:bodyDiv w:val="1"/>
      <w:marLeft w:val="0"/>
      <w:marRight w:val="0"/>
      <w:marTop w:val="0"/>
      <w:marBottom w:val="0"/>
      <w:divBdr>
        <w:top w:val="none" w:sz="0" w:space="0" w:color="auto"/>
        <w:left w:val="none" w:sz="0" w:space="0" w:color="auto"/>
        <w:bottom w:val="none" w:sz="0" w:space="0" w:color="auto"/>
        <w:right w:val="none" w:sz="0" w:space="0" w:color="auto"/>
      </w:divBdr>
    </w:div>
    <w:div w:id="1524514585">
      <w:marLeft w:val="0"/>
      <w:marRight w:val="0"/>
      <w:marTop w:val="0"/>
      <w:marBottom w:val="0"/>
      <w:divBdr>
        <w:top w:val="none" w:sz="0" w:space="0" w:color="auto"/>
        <w:left w:val="none" w:sz="0" w:space="0" w:color="auto"/>
        <w:bottom w:val="none" w:sz="0" w:space="0" w:color="auto"/>
        <w:right w:val="none" w:sz="0" w:space="0" w:color="auto"/>
      </w:divBdr>
      <w:divsChild>
        <w:div w:id="1587958959">
          <w:marLeft w:val="0"/>
          <w:marRight w:val="0"/>
          <w:marTop w:val="0"/>
          <w:marBottom w:val="0"/>
          <w:divBdr>
            <w:top w:val="none" w:sz="0" w:space="0" w:color="auto"/>
            <w:left w:val="none" w:sz="0" w:space="0" w:color="auto"/>
            <w:bottom w:val="none" w:sz="0" w:space="0" w:color="auto"/>
            <w:right w:val="none" w:sz="0" w:space="0" w:color="auto"/>
          </w:divBdr>
        </w:div>
      </w:divsChild>
    </w:div>
    <w:div w:id="1526557563">
      <w:marLeft w:val="0"/>
      <w:marRight w:val="0"/>
      <w:marTop w:val="0"/>
      <w:marBottom w:val="0"/>
      <w:divBdr>
        <w:top w:val="none" w:sz="0" w:space="0" w:color="auto"/>
        <w:left w:val="none" w:sz="0" w:space="0" w:color="auto"/>
        <w:bottom w:val="none" w:sz="0" w:space="0" w:color="auto"/>
        <w:right w:val="none" w:sz="0" w:space="0" w:color="auto"/>
      </w:divBdr>
      <w:divsChild>
        <w:div w:id="1655598150">
          <w:marLeft w:val="0"/>
          <w:marRight w:val="0"/>
          <w:marTop w:val="0"/>
          <w:marBottom w:val="0"/>
          <w:divBdr>
            <w:top w:val="none" w:sz="0" w:space="0" w:color="auto"/>
            <w:left w:val="none" w:sz="0" w:space="0" w:color="auto"/>
            <w:bottom w:val="none" w:sz="0" w:space="0" w:color="auto"/>
            <w:right w:val="none" w:sz="0" w:space="0" w:color="auto"/>
          </w:divBdr>
        </w:div>
      </w:divsChild>
    </w:div>
    <w:div w:id="1527791934">
      <w:marLeft w:val="0"/>
      <w:marRight w:val="0"/>
      <w:marTop w:val="0"/>
      <w:marBottom w:val="0"/>
      <w:divBdr>
        <w:top w:val="none" w:sz="0" w:space="0" w:color="auto"/>
        <w:left w:val="none" w:sz="0" w:space="0" w:color="auto"/>
        <w:bottom w:val="none" w:sz="0" w:space="0" w:color="auto"/>
        <w:right w:val="none" w:sz="0" w:space="0" w:color="auto"/>
      </w:divBdr>
      <w:divsChild>
        <w:div w:id="1498500684">
          <w:marLeft w:val="0"/>
          <w:marRight w:val="0"/>
          <w:marTop w:val="0"/>
          <w:marBottom w:val="0"/>
          <w:divBdr>
            <w:top w:val="none" w:sz="0" w:space="0" w:color="auto"/>
            <w:left w:val="none" w:sz="0" w:space="0" w:color="auto"/>
            <w:bottom w:val="none" w:sz="0" w:space="0" w:color="auto"/>
            <w:right w:val="none" w:sz="0" w:space="0" w:color="auto"/>
          </w:divBdr>
        </w:div>
      </w:divsChild>
    </w:div>
    <w:div w:id="1529369807">
      <w:bodyDiv w:val="1"/>
      <w:marLeft w:val="0"/>
      <w:marRight w:val="0"/>
      <w:marTop w:val="0"/>
      <w:marBottom w:val="0"/>
      <w:divBdr>
        <w:top w:val="none" w:sz="0" w:space="0" w:color="auto"/>
        <w:left w:val="none" w:sz="0" w:space="0" w:color="auto"/>
        <w:bottom w:val="none" w:sz="0" w:space="0" w:color="auto"/>
        <w:right w:val="none" w:sz="0" w:space="0" w:color="auto"/>
      </w:divBdr>
    </w:div>
    <w:div w:id="1530875841">
      <w:marLeft w:val="0"/>
      <w:marRight w:val="0"/>
      <w:marTop w:val="0"/>
      <w:marBottom w:val="0"/>
      <w:divBdr>
        <w:top w:val="none" w:sz="0" w:space="0" w:color="auto"/>
        <w:left w:val="none" w:sz="0" w:space="0" w:color="auto"/>
        <w:bottom w:val="none" w:sz="0" w:space="0" w:color="auto"/>
        <w:right w:val="none" w:sz="0" w:space="0" w:color="auto"/>
      </w:divBdr>
      <w:divsChild>
        <w:div w:id="1524630704">
          <w:marLeft w:val="0"/>
          <w:marRight w:val="0"/>
          <w:marTop w:val="0"/>
          <w:marBottom w:val="0"/>
          <w:divBdr>
            <w:top w:val="none" w:sz="0" w:space="0" w:color="auto"/>
            <w:left w:val="none" w:sz="0" w:space="0" w:color="auto"/>
            <w:bottom w:val="none" w:sz="0" w:space="0" w:color="auto"/>
            <w:right w:val="none" w:sz="0" w:space="0" w:color="auto"/>
          </w:divBdr>
        </w:div>
      </w:divsChild>
    </w:div>
    <w:div w:id="1531798352">
      <w:marLeft w:val="0"/>
      <w:marRight w:val="0"/>
      <w:marTop w:val="0"/>
      <w:marBottom w:val="0"/>
      <w:divBdr>
        <w:top w:val="none" w:sz="0" w:space="0" w:color="auto"/>
        <w:left w:val="none" w:sz="0" w:space="0" w:color="auto"/>
        <w:bottom w:val="none" w:sz="0" w:space="0" w:color="auto"/>
        <w:right w:val="none" w:sz="0" w:space="0" w:color="auto"/>
      </w:divBdr>
      <w:divsChild>
        <w:div w:id="2024866225">
          <w:marLeft w:val="0"/>
          <w:marRight w:val="0"/>
          <w:marTop w:val="0"/>
          <w:marBottom w:val="0"/>
          <w:divBdr>
            <w:top w:val="none" w:sz="0" w:space="0" w:color="auto"/>
            <w:left w:val="none" w:sz="0" w:space="0" w:color="auto"/>
            <w:bottom w:val="none" w:sz="0" w:space="0" w:color="auto"/>
            <w:right w:val="none" w:sz="0" w:space="0" w:color="auto"/>
          </w:divBdr>
        </w:div>
      </w:divsChild>
    </w:div>
    <w:div w:id="1531993574">
      <w:bodyDiv w:val="1"/>
      <w:marLeft w:val="0"/>
      <w:marRight w:val="0"/>
      <w:marTop w:val="0"/>
      <w:marBottom w:val="0"/>
      <w:divBdr>
        <w:top w:val="none" w:sz="0" w:space="0" w:color="auto"/>
        <w:left w:val="none" w:sz="0" w:space="0" w:color="auto"/>
        <w:bottom w:val="none" w:sz="0" w:space="0" w:color="auto"/>
        <w:right w:val="none" w:sz="0" w:space="0" w:color="auto"/>
      </w:divBdr>
    </w:div>
    <w:div w:id="1534150909">
      <w:bodyDiv w:val="1"/>
      <w:marLeft w:val="0"/>
      <w:marRight w:val="0"/>
      <w:marTop w:val="0"/>
      <w:marBottom w:val="0"/>
      <w:divBdr>
        <w:top w:val="none" w:sz="0" w:space="0" w:color="auto"/>
        <w:left w:val="none" w:sz="0" w:space="0" w:color="auto"/>
        <w:bottom w:val="none" w:sz="0" w:space="0" w:color="auto"/>
        <w:right w:val="none" w:sz="0" w:space="0" w:color="auto"/>
      </w:divBdr>
    </w:div>
    <w:div w:id="1536578817">
      <w:marLeft w:val="0"/>
      <w:marRight w:val="0"/>
      <w:marTop w:val="0"/>
      <w:marBottom w:val="0"/>
      <w:divBdr>
        <w:top w:val="none" w:sz="0" w:space="0" w:color="auto"/>
        <w:left w:val="none" w:sz="0" w:space="0" w:color="auto"/>
        <w:bottom w:val="none" w:sz="0" w:space="0" w:color="auto"/>
        <w:right w:val="none" w:sz="0" w:space="0" w:color="auto"/>
      </w:divBdr>
      <w:divsChild>
        <w:div w:id="465515803">
          <w:marLeft w:val="0"/>
          <w:marRight w:val="0"/>
          <w:marTop w:val="0"/>
          <w:marBottom w:val="0"/>
          <w:divBdr>
            <w:top w:val="none" w:sz="0" w:space="0" w:color="auto"/>
            <w:left w:val="none" w:sz="0" w:space="0" w:color="auto"/>
            <w:bottom w:val="none" w:sz="0" w:space="0" w:color="auto"/>
            <w:right w:val="none" w:sz="0" w:space="0" w:color="auto"/>
          </w:divBdr>
        </w:div>
      </w:divsChild>
    </w:div>
    <w:div w:id="1536650878">
      <w:marLeft w:val="0"/>
      <w:marRight w:val="150"/>
      <w:marTop w:val="0"/>
      <w:marBottom w:val="0"/>
      <w:divBdr>
        <w:top w:val="none" w:sz="0" w:space="0" w:color="auto"/>
        <w:left w:val="none" w:sz="0" w:space="0" w:color="auto"/>
        <w:bottom w:val="none" w:sz="0" w:space="0" w:color="auto"/>
        <w:right w:val="none" w:sz="0" w:space="0" w:color="auto"/>
      </w:divBdr>
      <w:divsChild>
        <w:div w:id="239100607">
          <w:marLeft w:val="0"/>
          <w:marRight w:val="150"/>
          <w:marTop w:val="0"/>
          <w:marBottom w:val="0"/>
          <w:divBdr>
            <w:top w:val="none" w:sz="0" w:space="0" w:color="auto"/>
            <w:left w:val="none" w:sz="0" w:space="0" w:color="auto"/>
            <w:bottom w:val="none" w:sz="0" w:space="0" w:color="auto"/>
            <w:right w:val="none" w:sz="0" w:space="0" w:color="auto"/>
          </w:divBdr>
        </w:div>
      </w:divsChild>
    </w:div>
    <w:div w:id="1542134089">
      <w:marLeft w:val="0"/>
      <w:marRight w:val="0"/>
      <w:marTop w:val="0"/>
      <w:marBottom w:val="0"/>
      <w:divBdr>
        <w:top w:val="none" w:sz="0" w:space="0" w:color="auto"/>
        <w:left w:val="none" w:sz="0" w:space="0" w:color="auto"/>
        <w:bottom w:val="none" w:sz="0" w:space="0" w:color="auto"/>
        <w:right w:val="none" w:sz="0" w:space="0" w:color="auto"/>
      </w:divBdr>
      <w:divsChild>
        <w:div w:id="581529447">
          <w:marLeft w:val="0"/>
          <w:marRight w:val="0"/>
          <w:marTop w:val="0"/>
          <w:marBottom w:val="0"/>
          <w:divBdr>
            <w:top w:val="none" w:sz="0" w:space="0" w:color="auto"/>
            <w:left w:val="none" w:sz="0" w:space="0" w:color="auto"/>
            <w:bottom w:val="none" w:sz="0" w:space="0" w:color="auto"/>
            <w:right w:val="none" w:sz="0" w:space="0" w:color="auto"/>
          </w:divBdr>
        </w:div>
      </w:divsChild>
    </w:div>
    <w:div w:id="1548368519">
      <w:marLeft w:val="0"/>
      <w:marRight w:val="0"/>
      <w:marTop w:val="0"/>
      <w:marBottom w:val="0"/>
      <w:divBdr>
        <w:top w:val="none" w:sz="0" w:space="0" w:color="auto"/>
        <w:left w:val="none" w:sz="0" w:space="0" w:color="auto"/>
        <w:bottom w:val="none" w:sz="0" w:space="0" w:color="auto"/>
        <w:right w:val="none" w:sz="0" w:space="0" w:color="auto"/>
      </w:divBdr>
      <w:divsChild>
        <w:div w:id="582450083">
          <w:marLeft w:val="0"/>
          <w:marRight w:val="0"/>
          <w:marTop w:val="0"/>
          <w:marBottom w:val="0"/>
          <w:divBdr>
            <w:top w:val="none" w:sz="0" w:space="0" w:color="auto"/>
            <w:left w:val="none" w:sz="0" w:space="0" w:color="auto"/>
            <w:bottom w:val="none" w:sz="0" w:space="0" w:color="auto"/>
            <w:right w:val="none" w:sz="0" w:space="0" w:color="auto"/>
          </w:divBdr>
        </w:div>
      </w:divsChild>
    </w:div>
    <w:div w:id="1548685066">
      <w:bodyDiv w:val="1"/>
      <w:marLeft w:val="0"/>
      <w:marRight w:val="0"/>
      <w:marTop w:val="0"/>
      <w:marBottom w:val="0"/>
      <w:divBdr>
        <w:top w:val="none" w:sz="0" w:space="0" w:color="auto"/>
        <w:left w:val="none" w:sz="0" w:space="0" w:color="auto"/>
        <w:bottom w:val="none" w:sz="0" w:space="0" w:color="auto"/>
        <w:right w:val="none" w:sz="0" w:space="0" w:color="auto"/>
      </w:divBdr>
    </w:div>
    <w:div w:id="1560939044">
      <w:marLeft w:val="0"/>
      <w:marRight w:val="0"/>
      <w:marTop w:val="0"/>
      <w:marBottom w:val="0"/>
      <w:divBdr>
        <w:top w:val="none" w:sz="0" w:space="0" w:color="auto"/>
        <w:left w:val="none" w:sz="0" w:space="0" w:color="auto"/>
        <w:bottom w:val="none" w:sz="0" w:space="0" w:color="auto"/>
        <w:right w:val="none" w:sz="0" w:space="0" w:color="auto"/>
      </w:divBdr>
      <w:divsChild>
        <w:div w:id="1759904006">
          <w:marLeft w:val="0"/>
          <w:marRight w:val="0"/>
          <w:marTop w:val="0"/>
          <w:marBottom w:val="0"/>
          <w:divBdr>
            <w:top w:val="none" w:sz="0" w:space="0" w:color="auto"/>
            <w:left w:val="none" w:sz="0" w:space="0" w:color="auto"/>
            <w:bottom w:val="none" w:sz="0" w:space="0" w:color="auto"/>
            <w:right w:val="none" w:sz="0" w:space="0" w:color="auto"/>
          </w:divBdr>
        </w:div>
      </w:divsChild>
    </w:div>
    <w:div w:id="1562013768">
      <w:bodyDiv w:val="1"/>
      <w:marLeft w:val="0"/>
      <w:marRight w:val="0"/>
      <w:marTop w:val="0"/>
      <w:marBottom w:val="0"/>
      <w:divBdr>
        <w:top w:val="none" w:sz="0" w:space="0" w:color="auto"/>
        <w:left w:val="none" w:sz="0" w:space="0" w:color="auto"/>
        <w:bottom w:val="none" w:sz="0" w:space="0" w:color="auto"/>
        <w:right w:val="none" w:sz="0" w:space="0" w:color="auto"/>
      </w:divBdr>
    </w:div>
    <w:div w:id="1566140029">
      <w:marLeft w:val="0"/>
      <w:marRight w:val="0"/>
      <w:marTop w:val="0"/>
      <w:marBottom w:val="0"/>
      <w:divBdr>
        <w:top w:val="none" w:sz="0" w:space="0" w:color="auto"/>
        <w:left w:val="none" w:sz="0" w:space="0" w:color="auto"/>
        <w:bottom w:val="none" w:sz="0" w:space="0" w:color="auto"/>
        <w:right w:val="none" w:sz="0" w:space="0" w:color="auto"/>
      </w:divBdr>
      <w:divsChild>
        <w:div w:id="1195852924">
          <w:marLeft w:val="0"/>
          <w:marRight w:val="0"/>
          <w:marTop w:val="0"/>
          <w:marBottom w:val="0"/>
          <w:divBdr>
            <w:top w:val="none" w:sz="0" w:space="0" w:color="auto"/>
            <w:left w:val="none" w:sz="0" w:space="0" w:color="auto"/>
            <w:bottom w:val="none" w:sz="0" w:space="0" w:color="auto"/>
            <w:right w:val="none" w:sz="0" w:space="0" w:color="auto"/>
          </w:divBdr>
        </w:div>
      </w:divsChild>
    </w:div>
    <w:div w:id="1566718398">
      <w:marLeft w:val="0"/>
      <w:marRight w:val="0"/>
      <w:marTop w:val="0"/>
      <w:marBottom w:val="0"/>
      <w:divBdr>
        <w:top w:val="none" w:sz="0" w:space="0" w:color="auto"/>
        <w:left w:val="none" w:sz="0" w:space="0" w:color="auto"/>
        <w:bottom w:val="none" w:sz="0" w:space="0" w:color="auto"/>
        <w:right w:val="none" w:sz="0" w:space="0" w:color="auto"/>
      </w:divBdr>
      <w:divsChild>
        <w:div w:id="240724063">
          <w:marLeft w:val="0"/>
          <w:marRight w:val="0"/>
          <w:marTop w:val="0"/>
          <w:marBottom w:val="0"/>
          <w:divBdr>
            <w:top w:val="none" w:sz="0" w:space="0" w:color="auto"/>
            <w:left w:val="none" w:sz="0" w:space="0" w:color="auto"/>
            <w:bottom w:val="none" w:sz="0" w:space="0" w:color="auto"/>
            <w:right w:val="none" w:sz="0" w:space="0" w:color="auto"/>
          </w:divBdr>
        </w:div>
      </w:divsChild>
    </w:div>
    <w:div w:id="1568109313">
      <w:marLeft w:val="0"/>
      <w:marRight w:val="0"/>
      <w:marTop w:val="0"/>
      <w:marBottom w:val="0"/>
      <w:divBdr>
        <w:top w:val="none" w:sz="0" w:space="0" w:color="auto"/>
        <w:left w:val="none" w:sz="0" w:space="0" w:color="auto"/>
        <w:bottom w:val="none" w:sz="0" w:space="0" w:color="auto"/>
        <w:right w:val="none" w:sz="0" w:space="0" w:color="auto"/>
      </w:divBdr>
      <w:divsChild>
        <w:div w:id="129517992">
          <w:marLeft w:val="0"/>
          <w:marRight w:val="0"/>
          <w:marTop w:val="0"/>
          <w:marBottom w:val="0"/>
          <w:divBdr>
            <w:top w:val="none" w:sz="0" w:space="0" w:color="auto"/>
            <w:left w:val="none" w:sz="0" w:space="0" w:color="auto"/>
            <w:bottom w:val="none" w:sz="0" w:space="0" w:color="auto"/>
            <w:right w:val="none" w:sz="0" w:space="0" w:color="auto"/>
          </w:divBdr>
        </w:div>
      </w:divsChild>
    </w:div>
    <w:div w:id="1570340048">
      <w:bodyDiv w:val="1"/>
      <w:marLeft w:val="0"/>
      <w:marRight w:val="0"/>
      <w:marTop w:val="0"/>
      <w:marBottom w:val="0"/>
      <w:divBdr>
        <w:top w:val="none" w:sz="0" w:space="0" w:color="auto"/>
        <w:left w:val="none" w:sz="0" w:space="0" w:color="auto"/>
        <w:bottom w:val="none" w:sz="0" w:space="0" w:color="auto"/>
        <w:right w:val="none" w:sz="0" w:space="0" w:color="auto"/>
      </w:divBdr>
    </w:div>
    <w:div w:id="1570652981">
      <w:bodyDiv w:val="1"/>
      <w:marLeft w:val="0"/>
      <w:marRight w:val="0"/>
      <w:marTop w:val="0"/>
      <w:marBottom w:val="0"/>
      <w:divBdr>
        <w:top w:val="none" w:sz="0" w:space="0" w:color="auto"/>
        <w:left w:val="none" w:sz="0" w:space="0" w:color="auto"/>
        <w:bottom w:val="none" w:sz="0" w:space="0" w:color="auto"/>
        <w:right w:val="none" w:sz="0" w:space="0" w:color="auto"/>
      </w:divBdr>
    </w:div>
    <w:div w:id="1572810984">
      <w:marLeft w:val="0"/>
      <w:marRight w:val="0"/>
      <w:marTop w:val="0"/>
      <w:marBottom w:val="0"/>
      <w:divBdr>
        <w:top w:val="none" w:sz="0" w:space="0" w:color="auto"/>
        <w:left w:val="none" w:sz="0" w:space="0" w:color="auto"/>
        <w:bottom w:val="none" w:sz="0" w:space="0" w:color="auto"/>
        <w:right w:val="none" w:sz="0" w:space="0" w:color="auto"/>
      </w:divBdr>
      <w:divsChild>
        <w:div w:id="450169886">
          <w:marLeft w:val="0"/>
          <w:marRight w:val="0"/>
          <w:marTop w:val="0"/>
          <w:marBottom w:val="0"/>
          <w:divBdr>
            <w:top w:val="none" w:sz="0" w:space="0" w:color="auto"/>
            <w:left w:val="none" w:sz="0" w:space="0" w:color="auto"/>
            <w:bottom w:val="none" w:sz="0" w:space="0" w:color="auto"/>
            <w:right w:val="none" w:sz="0" w:space="0" w:color="auto"/>
          </w:divBdr>
        </w:div>
      </w:divsChild>
    </w:div>
    <w:div w:id="1572959384">
      <w:marLeft w:val="0"/>
      <w:marRight w:val="0"/>
      <w:marTop w:val="0"/>
      <w:marBottom w:val="0"/>
      <w:divBdr>
        <w:top w:val="none" w:sz="0" w:space="0" w:color="auto"/>
        <w:left w:val="none" w:sz="0" w:space="0" w:color="auto"/>
        <w:bottom w:val="none" w:sz="0" w:space="0" w:color="auto"/>
        <w:right w:val="none" w:sz="0" w:space="0" w:color="auto"/>
      </w:divBdr>
      <w:divsChild>
        <w:div w:id="997074856">
          <w:marLeft w:val="0"/>
          <w:marRight w:val="0"/>
          <w:marTop w:val="0"/>
          <w:marBottom w:val="0"/>
          <w:divBdr>
            <w:top w:val="none" w:sz="0" w:space="0" w:color="auto"/>
            <w:left w:val="none" w:sz="0" w:space="0" w:color="auto"/>
            <w:bottom w:val="none" w:sz="0" w:space="0" w:color="auto"/>
            <w:right w:val="none" w:sz="0" w:space="0" w:color="auto"/>
          </w:divBdr>
        </w:div>
      </w:divsChild>
    </w:div>
    <w:div w:id="1574320021">
      <w:bodyDiv w:val="1"/>
      <w:marLeft w:val="0"/>
      <w:marRight w:val="0"/>
      <w:marTop w:val="0"/>
      <w:marBottom w:val="0"/>
      <w:divBdr>
        <w:top w:val="none" w:sz="0" w:space="0" w:color="auto"/>
        <w:left w:val="none" w:sz="0" w:space="0" w:color="auto"/>
        <w:bottom w:val="none" w:sz="0" w:space="0" w:color="auto"/>
        <w:right w:val="none" w:sz="0" w:space="0" w:color="auto"/>
      </w:divBdr>
    </w:div>
    <w:div w:id="1576742098">
      <w:bodyDiv w:val="1"/>
      <w:marLeft w:val="0"/>
      <w:marRight w:val="0"/>
      <w:marTop w:val="0"/>
      <w:marBottom w:val="0"/>
      <w:divBdr>
        <w:top w:val="none" w:sz="0" w:space="0" w:color="auto"/>
        <w:left w:val="none" w:sz="0" w:space="0" w:color="auto"/>
        <w:bottom w:val="none" w:sz="0" w:space="0" w:color="auto"/>
        <w:right w:val="none" w:sz="0" w:space="0" w:color="auto"/>
      </w:divBdr>
    </w:div>
    <w:div w:id="1578245940">
      <w:bodyDiv w:val="1"/>
      <w:marLeft w:val="0"/>
      <w:marRight w:val="0"/>
      <w:marTop w:val="0"/>
      <w:marBottom w:val="0"/>
      <w:divBdr>
        <w:top w:val="none" w:sz="0" w:space="0" w:color="auto"/>
        <w:left w:val="none" w:sz="0" w:space="0" w:color="auto"/>
        <w:bottom w:val="none" w:sz="0" w:space="0" w:color="auto"/>
        <w:right w:val="none" w:sz="0" w:space="0" w:color="auto"/>
      </w:divBdr>
    </w:div>
    <w:div w:id="1585534633">
      <w:bodyDiv w:val="1"/>
      <w:marLeft w:val="0"/>
      <w:marRight w:val="0"/>
      <w:marTop w:val="0"/>
      <w:marBottom w:val="0"/>
      <w:divBdr>
        <w:top w:val="none" w:sz="0" w:space="0" w:color="auto"/>
        <w:left w:val="none" w:sz="0" w:space="0" w:color="auto"/>
        <w:bottom w:val="none" w:sz="0" w:space="0" w:color="auto"/>
        <w:right w:val="none" w:sz="0" w:space="0" w:color="auto"/>
      </w:divBdr>
    </w:div>
    <w:div w:id="1590504582">
      <w:marLeft w:val="0"/>
      <w:marRight w:val="0"/>
      <w:marTop w:val="0"/>
      <w:marBottom w:val="0"/>
      <w:divBdr>
        <w:top w:val="none" w:sz="0" w:space="0" w:color="auto"/>
        <w:left w:val="none" w:sz="0" w:space="0" w:color="auto"/>
        <w:bottom w:val="none" w:sz="0" w:space="0" w:color="auto"/>
        <w:right w:val="none" w:sz="0" w:space="0" w:color="auto"/>
      </w:divBdr>
      <w:divsChild>
        <w:div w:id="991567303">
          <w:marLeft w:val="0"/>
          <w:marRight w:val="0"/>
          <w:marTop w:val="0"/>
          <w:marBottom w:val="0"/>
          <w:divBdr>
            <w:top w:val="none" w:sz="0" w:space="0" w:color="auto"/>
            <w:left w:val="none" w:sz="0" w:space="0" w:color="auto"/>
            <w:bottom w:val="none" w:sz="0" w:space="0" w:color="auto"/>
            <w:right w:val="none" w:sz="0" w:space="0" w:color="auto"/>
          </w:divBdr>
        </w:div>
      </w:divsChild>
    </w:div>
    <w:div w:id="1604994226">
      <w:bodyDiv w:val="1"/>
      <w:marLeft w:val="0"/>
      <w:marRight w:val="0"/>
      <w:marTop w:val="0"/>
      <w:marBottom w:val="0"/>
      <w:divBdr>
        <w:top w:val="none" w:sz="0" w:space="0" w:color="auto"/>
        <w:left w:val="none" w:sz="0" w:space="0" w:color="auto"/>
        <w:bottom w:val="none" w:sz="0" w:space="0" w:color="auto"/>
        <w:right w:val="none" w:sz="0" w:space="0" w:color="auto"/>
      </w:divBdr>
    </w:div>
    <w:div w:id="1604995242">
      <w:marLeft w:val="0"/>
      <w:marRight w:val="0"/>
      <w:marTop w:val="0"/>
      <w:marBottom w:val="0"/>
      <w:divBdr>
        <w:top w:val="none" w:sz="0" w:space="0" w:color="auto"/>
        <w:left w:val="none" w:sz="0" w:space="0" w:color="auto"/>
        <w:bottom w:val="none" w:sz="0" w:space="0" w:color="auto"/>
        <w:right w:val="none" w:sz="0" w:space="0" w:color="auto"/>
      </w:divBdr>
      <w:divsChild>
        <w:div w:id="1039546644">
          <w:marLeft w:val="0"/>
          <w:marRight w:val="0"/>
          <w:marTop w:val="0"/>
          <w:marBottom w:val="0"/>
          <w:divBdr>
            <w:top w:val="none" w:sz="0" w:space="0" w:color="auto"/>
            <w:left w:val="none" w:sz="0" w:space="0" w:color="auto"/>
            <w:bottom w:val="none" w:sz="0" w:space="0" w:color="auto"/>
            <w:right w:val="none" w:sz="0" w:space="0" w:color="auto"/>
          </w:divBdr>
        </w:div>
      </w:divsChild>
    </w:div>
    <w:div w:id="1606309116">
      <w:marLeft w:val="0"/>
      <w:marRight w:val="0"/>
      <w:marTop w:val="0"/>
      <w:marBottom w:val="0"/>
      <w:divBdr>
        <w:top w:val="none" w:sz="0" w:space="0" w:color="auto"/>
        <w:left w:val="none" w:sz="0" w:space="0" w:color="auto"/>
        <w:bottom w:val="none" w:sz="0" w:space="0" w:color="auto"/>
        <w:right w:val="none" w:sz="0" w:space="0" w:color="auto"/>
      </w:divBdr>
      <w:divsChild>
        <w:div w:id="830482811">
          <w:marLeft w:val="0"/>
          <w:marRight w:val="0"/>
          <w:marTop w:val="0"/>
          <w:marBottom w:val="0"/>
          <w:divBdr>
            <w:top w:val="none" w:sz="0" w:space="0" w:color="auto"/>
            <w:left w:val="none" w:sz="0" w:space="0" w:color="auto"/>
            <w:bottom w:val="none" w:sz="0" w:space="0" w:color="auto"/>
            <w:right w:val="none" w:sz="0" w:space="0" w:color="auto"/>
          </w:divBdr>
        </w:div>
      </w:divsChild>
    </w:div>
    <w:div w:id="1606570674">
      <w:marLeft w:val="0"/>
      <w:marRight w:val="0"/>
      <w:marTop w:val="0"/>
      <w:marBottom w:val="0"/>
      <w:divBdr>
        <w:top w:val="none" w:sz="0" w:space="0" w:color="auto"/>
        <w:left w:val="none" w:sz="0" w:space="0" w:color="auto"/>
        <w:bottom w:val="none" w:sz="0" w:space="0" w:color="auto"/>
        <w:right w:val="none" w:sz="0" w:space="0" w:color="auto"/>
      </w:divBdr>
      <w:divsChild>
        <w:div w:id="1340042136">
          <w:marLeft w:val="0"/>
          <w:marRight w:val="0"/>
          <w:marTop w:val="0"/>
          <w:marBottom w:val="0"/>
          <w:divBdr>
            <w:top w:val="none" w:sz="0" w:space="0" w:color="auto"/>
            <w:left w:val="none" w:sz="0" w:space="0" w:color="auto"/>
            <w:bottom w:val="none" w:sz="0" w:space="0" w:color="auto"/>
            <w:right w:val="none" w:sz="0" w:space="0" w:color="auto"/>
          </w:divBdr>
        </w:div>
      </w:divsChild>
    </w:div>
    <w:div w:id="1611276430">
      <w:marLeft w:val="0"/>
      <w:marRight w:val="0"/>
      <w:marTop w:val="0"/>
      <w:marBottom w:val="0"/>
      <w:divBdr>
        <w:top w:val="none" w:sz="0" w:space="0" w:color="auto"/>
        <w:left w:val="none" w:sz="0" w:space="0" w:color="auto"/>
        <w:bottom w:val="none" w:sz="0" w:space="0" w:color="auto"/>
        <w:right w:val="none" w:sz="0" w:space="0" w:color="auto"/>
      </w:divBdr>
      <w:divsChild>
        <w:div w:id="367949284">
          <w:marLeft w:val="0"/>
          <w:marRight w:val="0"/>
          <w:marTop w:val="0"/>
          <w:marBottom w:val="0"/>
          <w:divBdr>
            <w:top w:val="none" w:sz="0" w:space="0" w:color="auto"/>
            <w:left w:val="none" w:sz="0" w:space="0" w:color="auto"/>
            <w:bottom w:val="none" w:sz="0" w:space="0" w:color="auto"/>
            <w:right w:val="none" w:sz="0" w:space="0" w:color="auto"/>
          </w:divBdr>
        </w:div>
      </w:divsChild>
    </w:div>
    <w:div w:id="1618170948">
      <w:marLeft w:val="0"/>
      <w:marRight w:val="0"/>
      <w:marTop w:val="0"/>
      <w:marBottom w:val="0"/>
      <w:divBdr>
        <w:top w:val="none" w:sz="0" w:space="0" w:color="auto"/>
        <w:left w:val="none" w:sz="0" w:space="0" w:color="auto"/>
        <w:bottom w:val="none" w:sz="0" w:space="0" w:color="auto"/>
        <w:right w:val="none" w:sz="0" w:space="0" w:color="auto"/>
      </w:divBdr>
      <w:divsChild>
        <w:div w:id="1998727277">
          <w:marLeft w:val="0"/>
          <w:marRight w:val="0"/>
          <w:marTop w:val="0"/>
          <w:marBottom w:val="0"/>
          <w:divBdr>
            <w:top w:val="none" w:sz="0" w:space="0" w:color="auto"/>
            <w:left w:val="none" w:sz="0" w:space="0" w:color="auto"/>
            <w:bottom w:val="none" w:sz="0" w:space="0" w:color="auto"/>
            <w:right w:val="none" w:sz="0" w:space="0" w:color="auto"/>
          </w:divBdr>
        </w:div>
      </w:divsChild>
    </w:div>
    <w:div w:id="1619332184">
      <w:marLeft w:val="0"/>
      <w:marRight w:val="0"/>
      <w:marTop w:val="0"/>
      <w:marBottom w:val="0"/>
      <w:divBdr>
        <w:top w:val="none" w:sz="0" w:space="0" w:color="auto"/>
        <w:left w:val="none" w:sz="0" w:space="0" w:color="auto"/>
        <w:bottom w:val="none" w:sz="0" w:space="0" w:color="auto"/>
        <w:right w:val="none" w:sz="0" w:space="0" w:color="auto"/>
      </w:divBdr>
      <w:divsChild>
        <w:div w:id="422383252">
          <w:marLeft w:val="0"/>
          <w:marRight w:val="0"/>
          <w:marTop w:val="0"/>
          <w:marBottom w:val="0"/>
          <w:divBdr>
            <w:top w:val="none" w:sz="0" w:space="0" w:color="auto"/>
            <w:left w:val="none" w:sz="0" w:space="0" w:color="auto"/>
            <w:bottom w:val="none" w:sz="0" w:space="0" w:color="auto"/>
            <w:right w:val="none" w:sz="0" w:space="0" w:color="auto"/>
          </w:divBdr>
        </w:div>
      </w:divsChild>
    </w:div>
    <w:div w:id="1619950361">
      <w:marLeft w:val="0"/>
      <w:marRight w:val="0"/>
      <w:marTop w:val="0"/>
      <w:marBottom w:val="0"/>
      <w:divBdr>
        <w:top w:val="none" w:sz="0" w:space="0" w:color="auto"/>
        <w:left w:val="none" w:sz="0" w:space="0" w:color="auto"/>
        <w:bottom w:val="none" w:sz="0" w:space="0" w:color="auto"/>
        <w:right w:val="none" w:sz="0" w:space="0" w:color="auto"/>
      </w:divBdr>
      <w:divsChild>
        <w:div w:id="438917739">
          <w:marLeft w:val="0"/>
          <w:marRight w:val="0"/>
          <w:marTop w:val="0"/>
          <w:marBottom w:val="0"/>
          <w:divBdr>
            <w:top w:val="none" w:sz="0" w:space="0" w:color="auto"/>
            <w:left w:val="none" w:sz="0" w:space="0" w:color="auto"/>
            <w:bottom w:val="none" w:sz="0" w:space="0" w:color="auto"/>
            <w:right w:val="none" w:sz="0" w:space="0" w:color="auto"/>
          </w:divBdr>
        </w:div>
      </w:divsChild>
    </w:div>
    <w:div w:id="1620648011">
      <w:marLeft w:val="0"/>
      <w:marRight w:val="0"/>
      <w:marTop w:val="0"/>
      <w:marBottom w:val="0"/>
      <w:divBdr>
        <w:top w:val="none" w:sz="0" w:space="0" w:color="auto"/>
        <w:left w:val="none" w:sz="0" w:space="0" w:color="auto"/>
        <w:bottom w:val="none" w:sz="0" w:space="0" w:color="auto"/>
        <w:right w:val="none" w:sz="0" w:space="0" w:color="auto"/>
      </w:divBdr>
      <w:divsChild>
        <w:div w:id="1254045599">
          <w:marLeft w:val="0"/>
          <w:marRight w:val="0"/>
          <w:marTop w:val="0"/>
          <w:marBottom w:val="0"/>
          <w:divBdr>
            <w:top w:val="none" w:sz="0" w:space="0" w:color="auto"/>
            <w:left w:val="none" w:sz="0" w:space="0" w:color="auto"/>
            <w:bottom w:val="none" w:sz="0" w:space="0" w:color="auto"/>
            <w:right w:val="none" w:sz="0" w:space="0" w:color="auto"/>
          </w:divBdr>
        </w:div>
      </w:divsChild>
    </w:div>
    <w:div w:id="1627737907">
      <w:marLeft w:val="0"/>
      <w:marRight w:val="0"/>
      <w:marTop w:val="0"/>
      <w:marBottom w:val="0"/>
      <w:divBdr>
        <w:top w:val="none" w:sz="0" w:space="0" w:color="auto"/>
        <w:left w:val="none" w:sz="0" w:space="0" w:color="auto"/>
        <w:bottom w:val="none" w:sz="0" w:space="0" w:color="auto"/>
        <w:right w:val="none" w:sz="0" w:space="0" w:color="auto"/>
      </w:divBdr>
      <w:divsChild>
        <w:div w:id="522668540">
          <w:marLeft w:val="0"/>
          <w:marRight w:val="0"/>
          <w:marTop w:val="0"/>
          <w:marBottom w:val="0"/>
          <w:divBdr>
            <w:top w:val="none" w:sz="0" w:space="0" w:color="auto"/>
            <w:left w:val="none" w:sz="0" w:space="0" w:color="auto"/>
            <w:bottom w:val="none" w:sz="0" w:space="0" w:color="auto"/>
            <w:right w:val="none" w:sz="0" w:space="0" w:color="auto"/>
          </w:divBdr>
        </w:div>
      </w:divsChild>
    </w:div>
    <w:div w:id="1632904695">
      <w:bodyDiv w:val="1"/>
      <w:marLeft w:val="0"/>
      <w:marRight w:val="0"/>
      <w:marTop w:val="0"/>
      <w:marBottom w:val="0"/>
      <w:divBdr>
        <w:top w:val="none" w:sz="0" w:space="0" w:color="auto"/>
        <w:left w:val="none" w:sz="0" w:space="0" w:color="auto"/>
        <w:bottom w:val="none" w:sz="0" w:space="0" w:color="auto"/>
        <w:right w:val="none" w:sz="0" w:space="0" w:color="auto"/>
      </w:divBdr>
      <w:divsChild>
        <w:div w:id="1321346553">
          <w:marLeft w:val="0"/>
          <w:marRight w:val="0"/>
          <w:marTop w:val="0"/>
          <w:marBottom w:val="0"/>
          <w:divBdr>
            <w:top w:val="none" w:sz="0" w:space="0" w:color="auto"/>
            <w:left w:val="none" w:sz="0" w:space="0" w:color="auto"/>
            <w:bottom w:val="none" w:sz="0" w:space="0" w:color="auto"/>
            <w:right w:val="none" w:sz="0" w:space="0" w:color="auto"/>
          </w:divBdr>
          <w:divsChild>
            <w:div w:id="565606254">
              <w:marLeft w:val="0"/>
              <w:marRight w:val="0"/>
              <w:marTop w:val="0"/>
              <w:marBottom w:val="0"/>
              <w:divBdr>
                <w:top w:val="none" w:sz="0" w:space="0" w:color="auto"/>
                <w:left w:val="none" w:sz="0" w:space="0" w:color="auto"/>
                <w:bottom w:val="none" w:sz="0" w:space="0" w:color="auto"/>
                <w:right w:val="none" w:sz="0" w:space="0" w:color="auto"/>
              </w:divBdr>
            </w:div>
            <w:div w:id="1958369706">
              <w:marLeft w:val="0"/>
              <w:marRight w:val="0"/>
              <w:marTop w:val="0"/>
              <w:marBottom w:val="0"/>
              <w:divBdr>
                <w:top w:val="none" w:sz="0" w:space="0" w:color="auto"/>
                <w:left w:val="none" w:sz="0" w:space="0" w:color="auto"/>
                <w:bottom w:val="none" w:sz="0" w:space="0" w:color="auto"/>
                <w:right w:val="none" w:sz="0" w:space="0" w:color="auto"/>
              </w:divBdr>
            </w:div>
            <w:div w:id="1879194336">
              <w:marLeft w:val="0"/>
              <w:marRight w:val="0"/>
              <w:marTop w:val="0"/>
              <w:marBottom w:val="0"/>
              <w:divBdr>
                <w:top w:val="none" w:sz="0" w:space="0" w:color="auto"/>
                <w:left w:val="none" w:sz="0" w:space="0" w:color="auto"/>
                <w:bottom w:val="none" w:sz="0" w:space="0" w:color="auto"/>
                <w:right w:val="none" w:sz="0" w:space="0" w:color="auto"/>
              </w:divBdr>
            </w:div>
            <w:div w:id="1291323424">
              <w:marLeft w:val="0"/>
              <w:marRight w:val="0"/>
              <w:marTop w:val="0"/>
              <w:marBottom w:val="0"/>
              <w:divBdr>
                <w:top w:val="none" w:sz="0" w:space="0" w:color="auto"/>
                <w:left w:val="none" w:sz="0" w:space="0" w:color="auto"/>
                <w:bottom w:val="none" w:sz="0" w:space="0" w:color="auto"/>
                <w:right w:val="none" w:sz="0" w:space="0" w:color="auto"/>
              </w:divBdr>
            </w:div>
            <w:div w:id="1306088709">
              <w:marLeft w:val="0"/>
              <w:marRight w:val="0"/>
              <w:marTop w:val="0"/>
              <w:marBottom w:val="0"/>
              <w:divBdr>
                <w:top w:val="none" w:sz="0" w:space="0" w:color="auto"/>
                <w:left w:val="none" w:sz="0" w:space="0" w:color="auto"/>
                <w:bottom w:val="none" w:sz="0" w:space="0" w:color="auto"/>
                <w:right w:val="none" w:sz="0" w:space="0" w:color="auto"/>
              </w:divBdr>
            </w:div>
            <w:div w:id="1370033581">
              <w:marLeft w:val="0"/>
              <w:marRight w:val="0"/>
              <w:marTop w:val="0"/>
              <w:marBottom w:val="0"/>
              <w:divBdr>
                <w:top w:val="none" w:sz="0" w:space="0" w:color="auto"/>
                <w:left w:val="none" w:sz="0" w:space="0" w:color="auto"/>
                <w:bottom w:val="none" w:sz="0" w:space="0" w:color="auto"/>
                <w:right w:val="none" w:sz="0" w:space="0" w:color="auto"/>
              </w:divBdr>
            </w:div>
            <w:div w:id="783157760">
              <w:marLeft w:val="0"/>
              <w:marRight w:val="0"/>
              <w:marTop w:val="0"/>
              <w:marBottom w:val="0"/>
              <w:divBdr>
                <w:top w:val="none" w:sz="0" w:space="0" w:color="auto"/>
                <w:left w:val="none" w:sz="0" w:space="0" w:color="auto"/>
                <w:bottom w:val="none" w:sz="0" w:space="0" w:color="auto"/>
                <w:right w:val="none" w:sz="0" w:space="0" w:color="auto"/>
              </w:divBdr>
            </w:div>
            <w:div w:id="514004280">
              <w:marLeft w:val="0"/>
              <w:marRight w:val="0"/>
              <w:marTop w:val="0"/>
              <w:marBottom w:val="0"/>
              <w:divBdr>
                <w:top w:val="none" w:sz="0" w:space="0" w:color="auto"/>
                <w:left w:val="none" w:sz="0" w:space="0" w:color="auto"/>
                <w:bottom w:val="none" w:sz="0" w:space="0" w:color="auto"/>
                <w:right w:val="none" w:sz="0" w:space="0" w:color="auto"/>
              </w:divBdr>
            </w:div>
            <w:div w:id="195894219">
              <w:marLeft w:val="0"/>
              <w:marRight w:val="0"/>
              <w:marTop w:val="0"/>
              <w:marBottom w:val="0"/>
              <w:divBdr>
                <w:top w:val="none" w:sz="0" w:space="0" w:color="auto"/>
                <w:left w:val="none" w:sz="0" w:space="0" w:color="auto"/>
                <w:bottom w:val="none" w:sz="0" w:space="0" w:color="auto"/>
                <w:right w:val="none" w:sz="0" w:space="0" w:color="auto"/>
              </w:divBdr>
            </w:div>
            <w:div w:id="1504977297">
              <w:marLeft w:val="0"/>
              <w:marRight w:val="0"/>
              <w:marTop w:val="0"/>
              <w:marBottom w:val="0"/>
              <w:divBdr>
                <w:top w:val="none" w:sz="0" w:space="0" w:color="auto"/>
                <w:left w:val="none" w:sz="0" w:space="0" w:color="auto"/>
                <w:bottom w:val="none" w:sz="0" w:space="0" w:color="auto"/>
                <w:right w:val="none" w:sz="0" w:space="0" w:color="auto"/>
              </w:divBdr>
            </w:div>
            <w:div w:id="1125586901">
              <w:marLeft w:val="0"/>
              <w:marRight w:val="0"/>
              <w:marTop w:val="0"/>
              <w:marBottom w:val="0"/>
              <w:divBdr>
                <w:top w:val="none" w:sz="0" w:space="0" w:color="auto"/>
                <w:left w:val="none" w:sz="0" w:space="0" w:color="auto"/>
                <w:bottom w:val="none" w:sz="0" w:space="0" w:color="auto"/>
                <w:right w:val="none" w:sz="0" w:space="0" w:color="auto"/>
              </w:divBdr>
            </w:div>
            <w:div w:id="1446925316">
              <w:marLeft w:val="0"/>
              <w:marRight w:val="0"/>
              <w:marTop w:val="0"/>
              <w:marBottom w:val="0"/>
              <w:divBdr>
                <w:top w:val="none" w:sz="0" w:space="0" w:color="auto"/>
                <w:left w:val="none" w:sz="0" w:space="0" w:color="auto"/>
                <w:bottom w:val="none" w:sz="0" w:space="0" w:color="auto"/>
                <w:right w:val="none" w:sz="0" w:space="0" w:color="auto"/>
              </w:divBdr>
            </w:div>
            <w:div w:id="744645143">
              <w:marLeft w:val="0"/>
              <w:marRight w:val="0"/>
              <w:marTop w:val="0"/>
              <w:marBottom w:val="0"/>
              <w:divBdr>
                <w:top w:val="none" w:sz="0" w:space="0" w:color="auto"/>
                <w:left w:val="none" w:sz="0" w:space="0" w:color="auto"/>
                <w:bottom w:val="none" w:sz="0" w:space="0" w:color="auto"/>
                <w:right w:val="none" w:sz="0" w:space="0" w:color="auto"/>
              </w:divBdr>
            </w:div>
            <w:div w:id="591549460">
              <w:marLeft w:val="0"/>
              <w:marRight w:val="0"/>
              <w:marTop w:val="0"/>
              <w:marBottom w:val="0"/>
              <w:divBdr>
                <w:top w:val="none" w:sz="0" w:space="0" w:color="auto"/>
                <w:left w:val="none" w:sz="0" w:space="0" w:color="auto"/>
                <w:bottom w:val="none" w:sz="0" w:space="0" w:color="auto"/>
                <w:right w:val="none" w:sz="0" w:space="0" w:color="auto"/>
              </w:divBdr>
            </w:div>
            <w:div w:id="359211194">
              <w:marLeft w:val="0"/>
              <w:marRight w:val="0"/>
              <w:marTop w:val="0"/>
              <w:marBottom w:val="0"/>
              <w:divBdr>
                <w:top w:val="none" w:sz="0" w:space="0" w:color="auto"/>
                <w:left w:val="none" w:sz="0" w:space="0" w:color="auto"/>
                <w:bottom w:val="none" w:sz="0" w:space="0" w:color="auto"/>
                <w:right w:val="none" w:sz="0" w:space="0" w:color="auto"/>
              </w:divBdr>
            </w:div>
            <w:div w:id="1711463">
              <w:marLeft w:val="0"/>
              <w:marRight w:val="0"/>
              <w:marTop w:val="0"/>
              <w:marBottom w:val="0"/>
              <w:divBdr>
                <w:top w:val="none" w:sz="0" w:space="0" w:color="auto"/>
                <w:left w:val="none" w:sz="0" w:space="0" w:color="auto"/>
                <w:bottom w:val="none" w:sz="0" w:space="0" w:color="auto"/>
                <w:right w:val="none" w:sz="0" w:space="0" w:color="auto"/>
              </w:divBdr>
            </w:div>
            <w:div w:id="387459580">
              <w:marLeft w:val="0"/>
              <w:marRight w:val="0"/>
              <w:marTop w:val="0"/>
              <w:marBottom w:val="0"/>
              <w:divBdr>
                <w:top w:val="none" w:sz="0" w:space="0" w:color="auto"/>
                <w:left w:val="none" w:sz="0" w:space="0" w:color="auto"/>
                <w:bottom w:val="none" w:sz="0" w:space="0" w:color="auto"/>
                <w:right w:val="none" w:sz="0" w:space="0" w:color="auto"/>
              </w:divBdr>
            </w:div>
            <w:div w:id="793641110">
              <w:marLeft w:val="0"/>
              <w:marRight w:val="0"/>
              <w:marTop w:val="0"/>
              <w:marBottom w:val="0"/>
              <w:divBdr>
                <w:top w:val="none" w:sz="0" w:space="0" w:color="auto"/>
                <w:left w:val="none" w:sz="0" w:space="0" w:color="auto"/>
                <w:bottom w:val="none" w:sz="0" w:space="0" w:color="auto"/>
                <w:right w:val="none" w:sz="0" w:space="0" w:color="auto"/>
              </w:divBdr>
            </w:div>
            <w:div w:id="1942488961">
              <w:marLeft w:val="0"/>
              <w:marRight w:val="0"/>
              <w:marTop w:val="0"/>
              <w:marBottom w:val="0"/>
              <w:divBdr>
                <w:top w:val="none" w:sz="0" w:space="0" w:color="auto"/>
                <w:left w:val="none" w:sz="0" w:space="0" w:color="auto"/>
                <w:bottom w:val="none" w:sz="0" w:space="0" w:color="auto"/>
                <w:right w:val="none" w:sz="0" w:space="0" w:color="auto"/>
              </w:divBdr>
            </w:div>
            <w:div w:id="1820730360">
              <w:marLeft w:val="0"/>
              <w:marRight w:val="0"/>
              <w:marTop w:val="0"/>
              <w:marBottom w:val="0"/>
              <w:divBdr>
                <w:top w:val="none" w:sz="0" w:space="0" w:color="auto"/>
                <w:left w:val="none" w:sz="0" w:space="0" w:color="auto"/>
                <w:bottom w:val="none" w:sz="0" w:space="0" w:color="auto"/>
                <w:right w:val="none" w:sz="0" w:space="0" w:color="auto"/>
              </w:divBdr>
            </w:div>
            <w:div w:id="16962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3563">
      <w:marLeft w:val="0"/>
      <w:marRight w:val="0"/>
      <w:marTop w:val="0"/>
      <w:marBottom w:val="0"/>
      <w:divBdr>
        <w:top w:val="none" w:sz="0" w:space="0" w:color="auto"/>
        <w:left w:val="none" w:sz="0" w:space="0" w:color="auto"/>
        <w:bottom w:val="none" w:sz="0" w:space="0" w:color="auto"/>
        <w:right w:val="none" w:sz="0" w:space="0" w:color="auto"/>
      </w:divBdr>
      <w:divsChild>
        <w:div w:id="626929883">
          <w:marLeft w:val="0"/>
          <w:marRight w:val="0"/>
          <w:marTop w:val="0"/>
          <w:marBottom w:val="0"/>
          <w:divBdr>
            <w:top w:val="none" w:sz="0" w:space="0" w:color="auto"/>
            <w:left w:val="none" w:sz="0" w:space="0" w:color="auto"/>
            <w:bottom w:val="none" w:sz="0" w:space="0" w:color="auto"/>
            <w:right w:val="none" w:sz="0" w:space="0" w:color="auto"/>
          </w:divBdr>
        </w:div>
      </w:divsChild>
    </w:div>
    <w:div w:id="1633319742">
      <w:marLeft w:val="0"/>
      <w:marRight w:val="0"/>
      <w:marTop w:val="0"/>
      <w:marBottom w:val="0"/>
      <w:divBdr>
        <w:top w:val="none" w:sz="0" w:space="0" w:color="auto"/>
        <w:left w:val="none" w:sz="0" w:space="0" w:color="auto"/>
        <w:bottom w:val="none" w:sz="0" w:space="0" w:color="auto"/>
        <w:right w:val="none" w:sz="0" w:space="0" w:color="auto"/>
      </w:divBdr>
      <w:divsChild>
        <w:div w:id="537161331">
          <w:marLeft w:val="0"/>
          <w:marRight w:val="0"/>
          <w:marTop w:val="0"/>
          <w:marBottom w:val="0"/>
          <w:divBdr>
            <w:top w:val="none" w:sz="0" w:space="0" w:color="auto"/>
            <w:left w:val="none" w:sz="0" w:space="0" w:color="auto"/>
            <w:bottom w:val="none" w:sz="0" w:space="0" w:color="auto"/>
            <w:right w:val="none" w:sz="0" w:space="0" w:color="auto"/>
          </w:divBdr>
        </w:div>
      </w:divsChild>
    </w:div>
    <w:div w:id="1633829363">
      <w:bodyDiv w:val="1"/>
      <w:marLeft w:val="0"/>
      <w:marRight w:val="0"/>
      <w:marTop w:val="0"/>
      <w:marBottom w:val="0"/>
      <w:divBdr>
        <w:top w:val="none" w:sz="0" w:space="0" w:color="auto"/>
        <w:left w:val="none" w:sz="0" w:space="0" w:color="auto"/>
        <w:bottom w:val="none" w:sz="0" w:space="0" w:color="auto"/>
        <w:right w:val="none" w:sz="0" w:space="0" w:color="auto"/>
      </w:divBdr>
    </w:div>
    <w:div w:id="1641422400">
      <w:marLeft w:val="0"/>
      <w:marRight w:val="0"/>
      <w:marTop w:val="0"/>
      <w:marBottom w:val="0"/>
      <w:divBdr>
        <w:top w:val="none" w:sz="0" w:space="0" w:color="auto"/>
        <w:left w:val="none" w:sz="0" w:space="0" w:color="auto"/>
        <w:bottom w:val="none" w:sz="0" w:space="0" w:color="auto"/>
        <w:right w:val="none" w:sz="0" w:space="0" w:color="auto"/>
      </w:divBdr>
      <w:divsChild>
        <w:div w:id="2048722610">
          <w:marLeft w:val="0"/>
          <w:marRight w:val="0"/>
          <w:marTop w:val="0"/>
          <w:marBottom w:val="0"/>
          <w:divBdr>
            <w:top w:val="none" w:sz="0" w:space="0" w:color="auto"/>
            <w:left w:val="none" w:sz="0" w:space="0" w:color="auto"/>
            <w:bottom w:val="none" w:sz="0" w:space="0" w:color="auto"/>
            <w:right w:val="none" w:sz="0" w:space="0" w:color="auto"/>
          </w:divBdr>
        </w:div>
      </w:divsChild>
    </w:div>
    <w:div w:id="1643609565">
      <w:bodyDiv w:val="1"/>
      <w:marLeft w:val="0"/>
      <w:marRight w:val="0"/>
      <w:marTop w:val="0"/>
      <w:marBottom w:val="0"/>
      <w:divBdr>
        <w:top w:val="none" w:sz="0" w:space="0" w:color="auto"/>
        <w:left w:val="none" w:sz="0" w:space="0" w:color="auto"/>
        <w:bottom w:val="none" w:sz="0" w:space="0" w:color="auto"/>
        <w:right w:val="none" w:sz="0" w:space="0" w:color="auto"/>
      </w:divBdr>
      <w:divsChild>
        <w:div w:id="600989869">
          <w:marLeft w:val="0"/>
          <w:marRight w:val="0"/>
          <w:marTop w:val="0"/>
          <w:marBottom w:val="0"/>
          <w:divBdr>
            <w:top w:val="none" w:sz="0" w:space="0" w:color="auto"/>
            <w:left w:val="none" w:sz="0" w:space="0" w:color="auto"/>
            <w:bottom w:val="none" w:sz="0" w:space="0" w:color="auto"/>
            <w:right w:val="none" w:sz="0" w:space="0" w:color="auto"/>
          </w:divBdr>
          <w:divsChild>
            <w:div w:id="1467627321">
              <w:marLeft w:val="0"/>
              <w:marRight w:val="0"/>
              <w:marTop w:val="0"/>
              <w:marBottom w:val="0"/>
              <w:divBdr>
                <w:top w:val="none" w:sz="0" w:space="0" w:color="auto"/>
                <w:left w:val="none" w:sz="0" w:space="0" w:color="auto"/>
                <w:bottom w:val="none" w:sz="0" w:space="0" w:color="auto"/>
                <w:right w:val="none" w:sz="0" w:space="0" w:color="auto"/>
              </w:divBdr>
            </w:div>
            <w:div w:id="766072488">
              <w:marLeft w:val="0"/>
              <w:marRight w:val="0"/>
              <w:marTop w:val="0"/>
              <w:marBottom w:val="0"/>
              <w:divBdr>
                <w:top w:val="none" w:sz="0" w:space="0" w:color="auto"/>
                <w:left w:val="none" w:sz="0" w:space="0" w:color="auto"/>
                <w:bottom w:val="none" w:sz="0" w:space="0" w:color="auto"/>
                <w:right w:val="none" w:sz="0" w:space="0" w:color="auto"/>
              </w:divBdr>
            </w:div>
            <w:div w:id="160586542">
              <w:marLeft w:val="0"/>
              <w:marRight w:val="0"/>
              <w:marTop w:val="0"/>
              <w:marBottom w:val="0"/>
              <w:divBdr>
                <w:top w:val="none" w:sz="0" w:space="0" w:color="auto"/>
                <w:left w:val="none" w:sz="0" w:space="0" w:color="auto"/>
                <w:bottom w:val="none" w:sz="0" w:space="0" w:color="auto"/>
                <w:right w:val="none" w:sz="0" w:space="0" w:color="auto"/>
              </w:divBdr>
            </w:div>
            <w:div w:id="247812371">
              <w:marLeft w:val="0"/>
              <w:marRight w:val="0"/>
              <w:marTop w:val="0"/>
              <w:marBottom w:val="0"/>
              <w:divBdr>
                <w:top w:val="none" w:sz="0" w:space="0" w:color="auto"/>
                <w:left w:val="none" w:sz="0" w:space="0" w:color="auto"/>
                <w:bottom w:val="none" w:sz="0" w:space="0" w:color="auto"/>
                <w:right w:val="none" w:sz="0" w:space="0" w:color="auto"/>
              </w:divBdr>
            </w:div>
            <w:div w:id="2009820835">
              <w:marLeft w:val="0"/>
              <w:marRight w:val="0"/>
              <w:marTop w:val="0"/>
              <w:marBottom w:val="0"/>
              <w:divBdr>
                <w:top w:val="none" w:sz="0" w:space="0" w:color="auto"/>
                <w:left w:val="none" w:sz="0" w:space="0" w:color="auto"/>
                <w:bottom w:val="none" w:sz="0" w:space="0" w:color="auto"/>
                <w:right w:val="none" w:sz="0" w:space="0" w:color="auto"/>
              </w:divBdr>
            </w:div>
            <w:div w:id="19743031">
              <w:marLeft w:val="0"/>
              <w:marRight w:val="0"/>
              <w:marTop w:val="0"/>
              <w:marBottom w:val="0"/>
              <w:divBdr>
                <w:top w:val="none" w:sz="0" w:space="0" w:color="auto"/>
                <w:left w:val="none" w:sz="0" w:space="0" w:color="auto"/>
                <w:bottom w:val="none" w:sz="0" w:space="0" w:color="auto"/>
                <w:right w:val="none" w:sz="0" w:space="0" w:color="auto"/>
              </w:divBdr>
            </w:div>
            <w:div w:id="86045">
              <w:marLeft w:val="0"/>
              <w:marRight w:val="0"/>
              <w:marTop w:val="0"/>
              <w:marBottom w:val="0"/>
              <w:divBdr>
                <w:top w:val="none" w:sz="0" w:space="0" w:color="auto"/>
                <w:left w:val="none" w:sz="0" w:space="0" w:color="auto"/>
                <w:bottom w:val="none" w:sz="0" w:space="0" w:color="auto"/>
                <w:right w:val="none" w:sz="0" w:space="0" w:color="auto"/>
              </w:divBdr>
            </w:div>
            <w:div w:id="1985771687">
              <w:marLeft w:val="0"/>
              <w:marRight w:val="0"/>
              <w:marTop w:val="0"/>
              <w:marBottom w:val="0"/>
              <w:divBdr>
                <w:top w:val="none" w:sz="0" w:space="0" w:color="auto"/>
                <w:left w:val="none" w:sz="0" w:space="0" w:color="auto"/>
                <w:bottom w:val="none" w:sz="0" w:space="0" w:color="auto"/>
                <w:right w:val="none" w:sz="0" w:space="0" w:color="auto"/>
              </w:divBdr>
            </w:div>
            <w:div w:id="1418483539">
              <w:marLeft w:val="0"/>
              <w:marRight w:val="0"/>
              <w:marTop w:val="0"/>
              <w:marBottom w:val="0"/>
              <w:divBdr>
                <w:top w:val="none" w:sz="0" w:space="0" w:color="auto"/>
                <w:left w:val="none" w:sz="0" w:space="0" w:color="auto"/>
                <w:bottom w:val="none" w:sz="0" w:space="0" w:color="auto"/>
                <w:right w:val="none" w:sz="0" w:space="0" w:color="auto"/>
              </w:divBdr>
            </w:div>
            <w:div w:id="617948913">
              <w:marLeft w:val="0"/>
              <w:marRight w:val="0"/>
              <w:marTop w:val="0"/>
              <w:marBottom w:val="0"/>
              <w:divBdr>
                <w:top w:val="none" w:sz="0" w:space="0" w:color="auto"/>
                <w:left w:val="none" w:sz="0" w:space="0" w:color="auto"/>
                <w:bottom w:val="none" w:sz="0" w:space="0" w:color="auto"/>
                <w:right w:val="none" w:sz="0" w:space="0" w:color="auto"/>
              </w:divBdr>
            </w:div>
            <w:div w:id="271205010">
              <w:marLeft w:val="0"/>
              <w:marRight w:val="0"/>
              <w:marTop w:val="0"/>
              <w:marBottom w:val="0"/>
              <w:divBdr>
                <w:top w:val="none" w:sz="0" w:space="0" w:color="auto"/>
                <w:left w:val="none" w:sz="0" w:space="0" w:color="auto"/>
                <w:bottom w:val="none" w:sz="0" w:space="0" w:color="auto"/>
                <w:right w:val="none" w:sz="0" w:space="0" w:color="auto"/>
              </w:divBdr>
            </w:div>
            <w:div w:id="1948804577">
              <w:marLeft w:val="0"/>
              <w:marRight w:val="0"/>
              <w:marTop w:val="0"/>
              <w:marBottom w:val="0"/>
              <w:divBdr>
                <w:top w:val="none" w:sz="0" w:space="0" w:color="auto"/>
                <w:left w:val="none" w:sz="0" w:space="0" w:color="auto"/>
                <w:bottom w:val="none" w:sz="0" w:space="0" w:color="auto"/>
                <w:right w:val="none" w:sz="0" w:space="0" w:color="auto"/>
              </w:divBdr>
            </w:div>
            <w:div w:id="90972643">
              <w:marLeft w:val="0"/>
              <w:marRight w:val="0"/>
              <w:marTop w:val="0"/>
              <w:marBottom w:val="0"/>
              <w:divBdr>
                <w:top w:val="none" w:sz="0" w:space="0" w:color="auto"/>
                <w:left w:val="none" w:sz="0" w:space="0" w:color="auto"/>
                <w:bottom w:val="none" w:sz="0" w:space="0" w:color="auto"/>
                <w:right w:val="none" w:sz="0" w:space="0" w:color="auto"/>
              </w:divBdr>
            </w:div>
            <w:div w:id="59989260">
              <w:marLeft w:val="0"/>
              <w:marRight w:val="0"/>
              <w:marTop w:val="0"/>
              <w:marBottom w:val="0"/>
              <w:divBdr>
                <w:top w:val="none" w:sz="0" w:space="0" w:color="auto"/>
                <w:left w:val="none" w:sz="0" w:space="0" w:color="auto"/>
                <w:bottom w:val="none" w:sz="0" w:space="0" w:color="auto"/>
                <w:right w:val="none" w:sz="0" w:space="0" w:color="auto"/>
              </w:divBdr>
            </w:div>
            <w:div w:id="645860014">
              <w:marLeft w:val="0"/>
              <w:marRight w:val="0"/>
              <w:marTop w:val="0"/>
              <w:marBottom w:val="0"/>
              <w:divBdr>
                <w:top w:val="none" w:sz="0" w:space="0" w:color="auto"/>
                <w:left w:val="none" w:sz="0" w:space="0" w:color="auto"/>
                <w:bottom w:val="none" w:sz="0" w:space="0" w:color="auto"/>
                <w:right w:val="none" w:sz="0" w:space="0" w:color="auto"/>
              </w:divBdr>
            </w:div>
            <w:div w:id="1373578674">
              <w:marLeft w:val="0"/>
              <w:marRight w:val="0"/>
              <w:marTop w:val="0"/>
              <w:marBottom w:val="0"/>
              <w:divBdr>
                <w:top w:val="none" w:sz="0" w:space="0" w:color="auto"/>
                <w:left w:val="none" w:sz="0" w:space="0" w:color="auto"/>
                <w:bottom w:val="none" w:sz="0" w:space="0" w:color="auto"/>
                <w:right w:val="none" w:sz="0" w:space="0" w:color="auto"/>
              </w:divBdr>
            </w:div>
            <w:div w:id="935284615">
              <w:marLeft w:val="0"/>
              <w:marRight w:val="0"/>
              <w:marTop w:val="0"/>
              <w:marBottom w:val="0"/>
              <w:divBdr>
                <w:top w:val="none" w:sz="0" w:space="0" w:color="auto"/>
                <w:left w:val="none" w:sz="0" w:space="0" w:color="auto"/>
                <w:bottom w:val="none" w:sz="0" w:space="0" w:color="auto"/>
                <w:right w:val="none" w:sz="0" w:space="0" w:color="auto"/>
              </w:divBdr>
            </w:div>
            <w:div w:id="143475834">
              <w:marLeft w:val="0"/>
              <w:marRight w:val="0"/>
              <w:marTop w:val="0"/>
              <w:marBottom w:val="0"/>
              <w:divBdr>
                <w:top w:val="none" w:sz="0" w:space="0" w:color="auto"/>
                <w:left w:val="none" w:sz="0" w:space="0" w:color="auto"/>
                <w:bottom w:val="none" w:sz="0" w:space="0" w:color="auto"/>
                <w:right w:val="none" w:sz="0" w:space="0" w:color="auto"/>
              </w:divBdr>
            </w:div>
            <w:div w:id="602764674">
              <w:marLeft w:val="0"/>
              <w:marRight w:val="0"/>
              <w:marTop w:val="0"/>
              <w:marBottom w:val="0"/>
              <w:divBdr>
                <w:top w:val="none" w:sz="0" w:space="0" w:color="auto"/>
                <w:left w:val="none" w:sz="0" w:space="0" w:color="auto"/>
                <w:bottom w:val="none" w:sz="0" w:space="0" w:color="auto"/>
                <w:right w:val="none" w:sz="0" w:space="0" w:color="auto"/>
              </w:divBdr>
            </w:div>
            <w:div w:id="939482860">
              <w:marLeft w:val="0"/>
              <w:marRight w:val="0"/>
              <w:marTop w:val="0"/>
              <w:marBottom w:val="0"/>
              <w:divBdr>
                <w:top w:val="none" w:sz="0" w:space="0" w:color="auto"/>
                <w:left w:val="none" w:sz="0" w:space="0" w:color="auto"/>
                <w:bottom w:val="none" w:sz="0" w:space="0" w:color="auto"/>
                <w:right w:val="none" w:sz="0" w:space="0" w:color="auto"/>
              </w:divBdr>
            </w:div>
            <w:div w:id="9064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87634">
      <w:bodyDiv w:val="1"/>
      <w:marLeft w:val="0"/>
      <w:marRight w:val="0"/>
      <w:marTop w:val="0"/>
      <w:marBottom w:val="0"/>
      <w:divBdr>
        <w:top w:val="none" w:sz="0" w:space="0" w:color="auto"/>
        <w:left w:val="none" w:sz="0" w:space="0" w:color="auto"/>
        <w:bottom w:val="none" w:sz="0" w:space="0" w:color="auto"/>
        <w:right w:val="none" w:sz="0" w:space="0" w:color="auto"/>
      </w:divBdr>
    </w:div>
    <w:div w:id="1646616913">
      <w:bodyDiv w:val="1"/>
      <w:marLeft w:val="0"/>
      <w:marRight w:val="0"/>
      <w:marTop w:val="0"/>
      <w:marBottom w:val="0"/>
      <w:divBdr>
        <w:top w:val="none" w:sz="0" w:space="0" w:color="auto"/>
        <w:left w:val="none" w:sz="0" w:space="0" w:color="auto"/>
        <w:bottom w:val="none" w:sz="0" w:space="0" w:color="auto"/>
        <w:right w:val="none" w:sz="0" w:space="0" w:color="auto"/>
      </w:divBdr>
    </w:div>
    <w:div w:id="1646661483">
      <w:marLeft w:val="0"/>
      <w:marRight w:val="0"/>
      <w:marTop w:val="0"/>
      <w:marBottom w:val="0"/>
      <w:divBdr>
        <w:top w:val="none" w:sz="0" w:space="0" w:color="auto"/>
        <w:left w:val="none" w:sz="0" w:space="0" w:color="auto"/>
        <w:bottom w:val="none" w:sz="0" w:space="0" w:color="auto"/>
        <w:right w:val="none" w:sz="0" w:space="0" w:color="auto"/>
      </w:divBdr>
      <w:divsChild>
        <w:div w:id="809981400">
          <w:marLeft w:val="0"/>
          <w:marRight w:val="0"/>
          <w:marTop w:val="0"/>
          <w:marBottom w:val="0"/>
          <w:divBdr>
            <w:top w:val="none" w:sz="0" w:space="0" w:color="auto"/>
            <w:left w:val="none" w:sz="0" w:space="0" w:color="auto"/>
            <w:bottom w:val="none" w:sz="0" w:space="0" w:color="auto"/>
            <w:right w:val="none" w:sz="0" w:space="0" w:color="auto"/>
          </w:divBdr>
        </w:div>
      </w:divsChild>
    </w:div>
    <w:div w:id="1646742999">
      <w:bodyDiv w:val="1"/>
      <w:marLeft w:val="0"/>
      <w:marRight w:val="0"/>
      <w:marTop w:val="0"/>
      <w:marBottom w:val="0"/>
      <w:divBdr>
        <w:top w:val="none" w:sz="0" w:space="0" w:color="auto"/>
        <w:left w:val="none" w:sz="0" w:space="0" w:color="auto"/>
        <w:bottom w:val="none" w:sz="0" w:space="0" w:color="auto"/>
        <w:right w:val="none" w:sz="0" w:space="0" w:color="auto"/>
      </w:divBdr>
    </w:div>
    <w:div w:id="1647853742">
      <w:bodyDiv w:val="1"/>
      <w:marLeft w:val="0"/>
      <w:marRight w:val="0"/>
      <w:marTop w:val="0"/>
      <w:marBottom w:val="0"/>
      <w:divBdr>
        <w:top w:val="none" w:sz="0" w:space="0" w:color="auto"/>
        <w:left w:val="none" w:sz="0" w:space="0" w:color="auto"/>
        <w:bottom w:val="none" w:sz="0" w:space="0" w:color="auto"/>
        <w:right w:val="none" w:sz="0" w:space="0" w:color="auto"/>
      </w:divBdr>
    </w:div>
    <w:div w:id="1648242908">
      <w:marLeft w:val="0"/>
      <w:marRight w:val="0"/>
      <w:marTop w:val="0"/>
      <w:marBottom w:val="0"/>
      <w:divBdr>
        <w:top w:val="none" w:sz="0" w:space="0" w:color="auto"/>
        <w:left w:val="none" w:sz="0" w:space="0" w:color="auto"/>
        <w:bottom w:val="none" w:sz="0" w:space="0" w:color="auto"/>
        <w:right w:val="none" w:sz="0" w:space="0" w:color="auto"/>
      </w:divBdr>
      <w:divsChild>
        <w:div w:id="181359384">
          <w:marLeft w:val="0"/>
          <w:marRight w:val="0"/>
          <w:marTop w:val="0"/>
          <w:marBottom w:val="0"/>
          <w:divBdr>
            <w:top w:val="none" w:sz="0" w:space="0" w:color="auto"/>
            <w:left w:val="none" w:sz="0" w:space="0" w:color="auto"/>
            <w:bottom w:val="none" w:sz="0" w:space="0" w:color="auto"/>
            <w:right w:val="none" w:sz="0" w:space="0" w:color="auto"/>
          </w:divBdr>
        </w:div>
      </w:divsChild>
    </w:div>
    <w:div w:id="1653174650">
      <w:marLeft w:val="0"/>
      <w:marRight w:val="0"/>
      <w:marTop w:val="0"/>
      <w:marBottom w:val="0"/>
      <w:divBdr>
        <w:top w:val="none" w:sz="0" w:space="0" w:color="auto"/>
        <w:left w:val="none" w:sz="0" w:space="0" w:color="auto"/>
        <w:bottom w:val="none" w:sz="0" w:space="0" w:color="auto"/>
        <w:right w:val="none" w:sz="0" w:space="0" w:color="auto"/>
      </w:divBdr>
      <w:divsChild>
        <w:div w:id="1047801825">
          <w:marLeft w:val="0"/>
          <w:marRight w:val="0"/>
          <w:marTop w:val="0"/>
          <w:marBottom w:val="0"/>
          <w:divBdr>
            <w:top w:val="none" w:sz="0" w:space="0" w:color="auto"/>
            <w:left w:val="none" w:sz="0" w:space="0" w:color="auto"/>
            <w:bottom w:val="none" w:sz="0" w:space="0" w:color="auto"/>
            <w:right w:val="none" w:sz="0" w:space="0" w:color="auto"/>
          </w:divBdr>
        </w:div>
      </w:divsChild>
    </w:div>
    <w:div w:id="1662076041">
      <w:bodyDiv w:val="1"/>
      <w:marLeft w:val="0"/>
      <w:marRight w:val="0"/>
      <w:marTop w:val="0"/>
      <w:marBottom w:val="0"/>
      <w:divBdr>
        <w:top w:val="none" w:sz="0" w:space="0" w:color="auto"/>
        <w:left w:val="none" w:sz="0" w:space="0" w:color="auto"/>
        <w:bottom w:val="none" w:sz="0" w:space="0" w:color="auto"/>
        <w:right w:val="none" w:sz="0" w:space="0" w:color="auto"/>
      </w:divBdr>
    </w:div>
    <w:div w:id="1666392147">
      <w:marLeft w:val="0"/>
      <w:marRight w:val="0"/>
      <w:marTop w:val="0"/>
      <w:marBottom w:val="0"/>
      <w:divBdr>
        <w:top w:val="none" w:sz="0" w:space="0" w:color="auto"/>
        <w:left w:val="none" w:sz="0" w:space="0" w:color="auto"/>
        <w:bottom w:val="none" w:sz="0" w:space="0" w:color="auto"/>
        <w:right w:val="none" w:sz="0" w:space="0" w:color="auto"/>
      </w:divBdr>
      <w:divsChild>
        <w:div w:id="1353342555">
          <w:marLeft w:val="0"/>
          <w:marRight w:val="0"/>
          <w:marTop w:val="0"/>
          <w:marBottom w:val="0"/>
          <w:divBdr>
            <w:top w:val="none" w:sz="0" w:space="0" w:color="auto"/>
            <w:left w:val="none" w:sz="0" w:space="0" w:color="auto"/>
            <w:bottom w:val="none" w:sz="0" w:space="0" w:color="auto"/>
            <w:right w:val="none" w:sz="0" w:space="0" w:color="auto"/>
          </w:divBdr>
        </w:div>
      </w:divsChild>
    </w:div>
    <w:div w:id="1670131646">
      <w:bodyDiv w:val="1"/>
      <w:marLeft w:val="0"/>
      <w:marRight w:val="0"/>
      <w:marTop w:val="0"/>
      <w:marBottom w:val="0"/>
      <w:divBdr>
        <w:top w:val="none" w:sz="0" w:space="0" w:color="auto"/>
        <w:left w:val="none" w:sz="0" w:space="0" w:color="auto"/>
        <w:bottom w:val="none" w:sz="0" w:space="0" w:color="auto"/>
        <w:right w:val="none" w:sz="0" w:space="0" w:color="auto"/>
      </w:divBdr>
    </w:div>
    <w:div w:id="1670139812">
      <w:bodyDiv w:val="1"/>
      <w:marLeft w:val="0"/>
      <w:marRight w:val="0"/>
      <w:marTop w:val="0"/>
      <w:marBottom w:val="0"/>
      <w:divBdr>
        <w:top w:val="none" w:sz="0" w:space="0" w:color="auto"/>
        <w:left w:val="none" w:sz="0" w:space="0" w:color="auto"/>
        <w:bottom w:val="none" w:sz="0" w:space="0" w:color="auto"/>
        <w:right w:val="none" w:sz="0" w:space="0" w:color="auto"/>
      </w:divBdr>
    </w:div>
    <w:div w:id="1672566574">
      <w:marLeft w:val="0"/>
      <w:marRight w:val="0"/>
      <w:marTop w:val="0"/>
      <w:marBottom w:val="0"/>
      <w:divBdr>
        <w:top w:val="none" w:sz="0" w:space="0" w:color="auto"/>
        <w:left w:val="none" w:sz="0" w:space="0" w:color="auto"/>
        <w:bottom w:val="none" w:sz="0" w:space="0" w:color="auto"/>
        <w:right w:val="none" w:sz="0" w:space="0" w:color="auto"/>
      </w:divBdr>
      <w:divsChild>
        <w:div w:id="1568153648">
          <w:marLeft w:val="0"/>
          <w:marRight w:val="0"/>
          <w:marTop w:val="0"/>
          <w:marBottom w:val="0"/>
          <w:divBdr>
            <w:top w:val="none" w:sz="0" w:space="0" w:color="auto"/>
            <w:left w:val="none" w:sz="0" w:space="0" w:color="auto"/>
            <w:bottom w:val="none" w:sz="0" w:space="0" w:color="auto"/>
            <w:right w:val="none" w:sz="0" w:space="0" w:color="auto"/>
          </w:divBdr>
        </w:div>
      </w:divsChild>
    </w:div>
    <w:div w:id="1674457273">
      <w:marLeft w:val="0"/>
      <w:marRight w:val="0"/>
      <w:marTop w:val="0"/>
      <w:marBottom w:val="0"/>
      <w:divBdr>
        <w:top w:val="none" w:sz="0" w:space="0" w:color="auto"/>
        <w:left w:val="none" w:sz="0" w:space="0" w:color="auto"/>
        <w:bottom w:val="none" w:sz="0" w:space="0" w:color="auto"/>
        <w:right w:val="none" w:sz="0" w:space="0" w:color="auto"/>
      </w:divBdr>
      <w:divsChild>
        <w:div w:id="1756902286">
          <w:marLeft w:val="0"/>
          <w:marRight w:val="0"/>
          <w:marTop w:val="0"/>
          <w:marBottom w:val="0"/>
          <w:divBdr>
            <w:top w:val="none" w:sz="0" w:space="0" w:color="auto"/>
            <w:left w:val="none" w:sz="0" w:space="0" w:color="auto"/>
            <w:bottom w:val="none" w:sz="0" w:space="0" w:color="auto"/>
            <w:right w:val="none" w:sz="0" w:space="0" w:color="auto"/>
          </w:divBdr>
        </w:div>
      </w:divsChild>
    </w:div>
    <w:div w:id="1674642650">
      <w:bodyDiv w:val="1"/>
      <w:marLeft w:val="0"/>
      <w:marRight w:val="0"/>
      <w:marTop w:val="0"/>
      <w:marBottom w:val="0"/>
      <w:divBdr>
        <w:top w:val="none" w:sz="0" w:space="0" w:color="auto"/>
        <w:left w:val="none" w:sz="0" w:space="0" w:color="auto"/>
        <w:bottom w:val="none" w:sz="0" w:space="0" w:color="auto"/>
        <w:right w:val="none" w:sz="0" w:space="0" w:color="auto"/>
      </w:divBdr>
      <w:divsChild>
        <w:div w:id="169754484">
          <w:marLeft w:val="0"/>
          <w:marRight w:val="0"/>
          <w:marTop w:val="0"/>
          <w:marBottom w:val="0"/>
          <w:divBdr>
            <w:top w:val="none" w:sz="0" w:space="0" w:color="auto"/>
            <w:left w:val="none" w:sz="0" w:space="0" w:color="auto"/>
            <w:bottom w:val="none" w:sz="0" w:space="0" w:color="auto"/>
            <w:right w:val="none" w:sz="0" w:space="0" w:color="auto"/>
          </w:divBdr>
          <w:divsChild>
            <w:div w:id="1022442296">
              <w:marLeft w:val="0"/>
              <w:marRight w:val="0"/>
              <w:marTop w:val="0"/>
              <w:marBottom w:val="0"/>
              <w:divBdr>
                <w:top w:val="none" w:sz="0" w:space="0" w:color="auto"/>
                <w:left w:val="none" w:sz="0" w:space="0" w:color="auto"/>
                <w:bottom w:val="none" w:sz="0" w:space="0" w:color="auto"/>
                <w:right w:val="none" w:sz="0" w:space="0" w:color="auto"/>
              </w:divBdr>
            </w:div>
            <w:div w:id="1635330084">
              <w:marLeft w:val="0"/>
              <w:marRight w:val="0"/>
              <w:marTop w:val="0"/>
              <w:marBottom w:val="0"/>
              <w:divBdr>
                <w:top w:val="none" w:sz="0" w:space="0" w:color="auto"/>
                <w:left w:val="none" w:sz="0" w:space="0" w:color="auto"/>
                <w:bottom w:val="none" w:sz="0" w:space="0" w:color="auto"/>
                <w:right w:val="none" w:sz="0" w:space="0" w:color="auto"/>
              </w:divBdr>
            </w:div>
            <w:div w:id="219874963">
              <w:marLeft w:val="0"/>
              <w:marRight w:val="0"/>
              <w:marTop w:val="0"/>
              <w:marBottom w:val="0"/>
              <w:divBdr>
                <w:top w:val="none" w:sz="0" w:space="0" w:color="auto"/>
                <w:left w:val="none" w:sz="0" w:space="0" w:color="auto"/>
                <w:bottom w:val="none" w:sz="0" w:space="0" w:color="auto"/>
                <w:right w:val="none" w:sz="0" w:space="0" w:color="auto"/>
              </w:divBdr>
            </w:div>
            <w:div w:id="1158617096">
              <w:marLeft w:val="0"/>
              <w:marRight w:val="0"/>
              <w:marTop w:val="0"/>
              <w:marBottom w:val="0"/>
              <w:divBdr>
                <w:top w:val="none" w:sz="0" w:space="0" w:color="auto"/>
                <w:left w:val="none" w:sz="0" w:space="0" w:color="auto"/>
                <w:bottom w:val="none" w:sz="0" w:space="0" w:color="auto"/>
                <w:right w:val="none" w:sz="0" w:space="0" w:color="auto"/>
              </w:divBdr>
            </w:div>
            <w:div w:id="2142920125">
              <w:marLeft w:val="0"/>
              <w:marRight w:val="0"/>
              <w:marTop w:val="0"/>
              <w:marBottom w:val="0"/>
              <w:divBdr>
                <w:top w:val="none" w:sz="0" w:space="0" w:color="auto"/>
                <w:left w:val="none" w:sz="0" w:space="0" w:color="auto"/>
                <w:bottom w:val="none" w:sz="0" w:space="0" w:color="auto"/>
                <w:right w:val="none" w:sz="0" w:space="0" w:color="auto"/>
              </w:divBdr>
            </w:div>
            <w:div w:id="879709105">
              <w:marLeft w:val="0"/>
              <w:marRight w:val="0"/>
              <w:marTop w:val="0"/>
              <w:marBottom w:val="0"/>
              <w:divBdr>
                <w:top w:val="none" w:sz="0" w:space="0" w:color="auto"/>
                <w:left w:val="none" w:sz="0" w:space="0" w:color="auto"/>
                <w:bottom w:val="none" w:sz="0" w:space="0" w:color="auto"/>
                <w:right w:val="none" w:sz="0" w:space="0" w:color="auto"/>
              </w:divBdr>
            </w:div>
            <w:div w:id="1593472244">
              <w:marLeft w:val="0"/>
              <w:marRight w:val="0"/>
              <w:marTop w:val="0"/>
              <w:marBottom w:val="0"/>
              <w:divBdr>
                <w:top w:val="none" w:sz="0" w:space="0" w:color="auto"/>
                <w:left w:val="none" w:sz="0" w:space="0" w:color="auto"/>
                <w:bottom w:val="none" w:sz="0" w:space="0" w:color="auto"/>
                <w:right w:val="none" w:sz="0" w:space="0" w:color="auto"/>
              </w:divBdr>
            </w:div>
            <w:div w:id="1443187529">
              <w:marLeft w:val="0"/>
              <w:marRight w:val="0"/>
              <w:marTop w:val="0"/>
              <w:marBottom w:val="0"/>
              <w:divBdr>
                <w:top w:val="none" w:sz="0" w:space="0" w:color="auto"/>
                <w:left w:val="none" w:sz="0" w:space="0" w:color="auto"/>
                <w:bottom w:val="none" w:sz="0" w:space="0" w:color="auto"/>
                <w:right w:val="none" w:sz="0" w:space="0" w:color="auto"/>
              </w:divBdr>
            </w:div>
            <w:div w:id="1078862961">
              <w:marLeft w:val="0"/>
              <w:marRight w:val="0"/>
              <w:marTop w:val="0"/>
              <w:marBottom w:val="0"/>
              <w:divBdr>
                <w:top w:val="none" w:sz="0" w:space="0" w:color="auto"/>
                <w:left w:val="none" w:sz="0" w:space="0" w:color="auto"/>
                <w:bottom w:val="none" w:sz="0" w:space="0" w:color="auto"/>
                <w:right w:val="none" w:sz="0" w:space="0" w:color="auto"/>
              </w:divBdr>
            </w:div>
            <w:div w:id="521940551">
              <w:marLeft w:val="0"/>
              <w:marRight w:val="0"/>
              <w:marTop w:val="0"/>
              <w:marBottom w:val="0"/>
              <w:divBdr>
                <w:top w:val="none" w:sz="0" w:space="0" w:color="auto"/>
                <w:left w:val="none" w:sz="0" w:space="0" w:color="auto"/>
                <w:bottom w:val="none" w:sz="0" w:space="0" w:color="auto"/>
                <w:right w:val="none" w:sz="0" w:space="0" w:color="auto"/>
              </w:divBdr>
            </w:div>
            <w:div w:id="24452312">
              <w:marLeft w:val="0"/>
              <w:marRight w:val="0"/>
              <w:marTop w:val="0"/>
              <w:marBottom w:val="0"/>
              <w:divBdr>
                <w:top w:val="none" w:sz="0" w:space="0" w:color="auto"/>
                <w:left w:val="none" w:sz="0" w:space="0" w:color="auto"/>
                <w:bottom w:val="none" w:sz="0" w:space="0" w:color="auto"/>
                <w:right w:val="none" w:sz="0" w:space="0" w:color="auto"/>
              </w:divBdr>
            </w:div>
            <w:div w:id="131560159">
              <w:marLeft w:val="0"/>
              <w:marRight w:val="0"/>
              <w:marTop w:val="0"/>
              <w:marBottom w:val="0"/>
              <w:divBdr>
                <w:top w:val="none" w:sz="0" w:space="0" w:color="auto"/>
                <w:left w:val="none" w:sz="0" w:space="0" w:color="auto"/>
                <w:bottom w:val="none" w:sz="0" w:space="0" w:color="auto"/>
                <w:right w:val="none" w:sz="0" w:space="0" w:color="auto"/>
              </w:divBdr>
            </w:div>
            <w:div w:id="1915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7835">
      <w:marLeft w:val="0"/>
      <w:marRight w:val="0"/>
      <w:marTop w:val="0"/>
      <w:marBottom w:val="0"/>
      <w:divBdr>
        <w:top w:val="none" w:sz="0" w:space="0" w:color="auto"/>
        <w:left w:val="none" w:sz="0" w:space="0" w:color="auto"/>
        <w:bottom w:val="none" w:sz="0" w:space="0" w:color="auto"/>
        <w:right w:val="none" w:sz="0" w:space="0" w:color="auto"/>
      </w:divBdr>
      <w:divsChild>
        <w:div w:id="13969857">
          <w:marLeft w:val="0"/>
          <w:marRight w:val="0"/>
          <w:marTop w:val="0"/>
          <w:marBottom w:val="0"/>
          <w:divBdr>
            <w:top w:val="none" w:sz="0" w:space="0" w:color="auto"/>
            <w:left w:val="none" w:sz="0" w:space="0" w:color="auto"/>
            <w:bottom w:val="none" w:sz="0" w:space="0" w:color="auto"/>
            <w:right w:val="none" w:sz="0" w:space="0" w:color="auto"/>
          </w:divBdr>
        </w:div>
      </w:divsChild>
    </w:div>
    <w:div w:id="1677996040">
      <w:marLeft w:val="0"/>
      <w:marRight w:val="0"/>
      <w:marTop w:val="0"/>
      <w:marBottom w:val="0"/>
      <w:divBdr>
        <w:top w:val="none" w:sz="0" w:space="0" w:color="auto"/>
        <w:left w:val="none" w:sz="0" w:space="0" w:color="auto"/>
        <w:bottom w:val="none" w:sz="0" w:space="0" w:color="auto"/>
        <w:right w:val="none" w:sz="0" w:space="0" w:color="auto"/>
      </w:divBdr>
      <w:divsChild>
        <w:div w:id="1909995360">
          <w:marLeft w:val="0"/>
          <w:marRight w:val="0"/>
          <w:marTop w:val="0"/>
          <w:marBottom w:val="0"/>
          <w:divBdr>
            <w:top w:val="none" w:sz="0" w:space="0" w:color="auto"/>
            <w:left w:val="none" w:sz="0" w:space="0" w:color="auto"/>
            <w:bottom w:val="none" w:sz="0" w:space="0" w:color="auto"/>
            <w:right w:val="none" w:sz="0" w:space="0" w:color="auto"/>
          </w:divBdr>
        </w:div>
      </w:divsChild>
    </w:div>
    <w:div w:id="1680496899">
      <w:bodyDiv w:val="1"/>
      <w:marLeft w:val="0"/>
      <w:marRight w:val="0"/>
      <w:marTop w:val="0"/>
      <w:marBottom w:val="0"/>
      <w:divBdr>
        <w:top w:val="none" w:sz="0" w:space="0" w:color="auto"/>
        <w:left w:val="none" w:sz="0" w:space="0" w:color="auto"/>
        <w:bottom w:val="none" w:sz="0" w:space="0" w:color="auto"/>
        <w:right w:val="none" w:sz="0" w:space="0" w:color="auto"/>
      </w:divBdr>
    </w:div>
    <w:div w:id="1683242888">
      <w:marLeft w:val="0"/>
      <w:marRight w:val="0"/>
      <w:marTop w:val="0"/>
      <w:marBottom w:val="0"/>
      <w:divBdr>
        <w:top w:val="none" w:sz="0" w:space="0" w:color="auto"/>
        <w:left w:val="none" w:sz="0" w:space="0" w:color="auto"/>
        <w:bottom w:val="none" w:sz="0" w:space="0" w:color="auto"/>
        <w:right w:val="none" w:sz="0" w:space="0" w:color="auto"/>
      </w:divBdr>
      <w:divsChild>
        <w:div w:id="1897428369">
          <w:marLeft w:val="0"/>
          <w:marRight w:val="0"/>
          <w:marTop w:val="0"/>
          <w:marBottom w:val="0"/>
          <w:divBdr>
            <w:top w:val="none" w:sz="0" w:space="0" w:color="auto"/>
            <w:left w:val="none" w:sz="0" w:space="0" w:color="auto"/>
            <w:bottom w:val="none" w:sz="0" w:space="0" w:color="auto"/>
            <w:right w:val="none" w:sz="0" w:space="0" w:color="auto"/>
          </w:divBdr>
        </w:div>
      </w:divsChild>
    </w:div>
    <w:div w:id="1686594754">
      <w:marLeft w:val="0"/>
      <w:marRight w:val="0"/>
      <w:marTop w:val="0"/>
      <w:marBottom w:val="0"/>
      <w:divBdr>
        <w:top w:val="none" w:sz="0" w:space="0" w:color="auto"/>
        <w:left w:val="none" w:sz="0" w:space="0" w:color="auto"/>
        <w:bottom w:val="none" w:sz="0" w:space="0" w:color="auto"/>
        <w:right w:val="none" w:sz="0" w:space="0" w:color="auto"/>
      </w:divBdr>
      <w:divsChild>
        <w:div w:id="1855149298">
          <w:marLeft w:val="0"/>
          <w:marRight w:val="0"/>
          <w:marTop w:val="0"/>
          <w:marBottom w:val="0"/>
          <w:divBdr>
            <w:top w:val="none" w:sz="0" w:space="0" w:color="auto"/>
            <w:left w:val="none" w:sz="0" w:space="0" w:color="auto"/>
            <w:bottom w:val="none" w:sz="0" w:space="0" w:color="auto"/>
            <w:right w:val="none" w:sz="0" w:space="0" w:color="auto"/>
          </w:divBdr>
        </w:div>
      </w:divsChild>
    </w:div>
    <w:div w:id="1690715678">
      <w:marLeft w:val="0"/>
      <w:marRight w:val="0"/>
      <w:marTop w:val="0"/>
      <w:marBottom w:val="0"/>
      <w:divBdr>
        <w:top w:val="none" w:sz="0" w:space="0" w:color="auto"/>
        <w:left w:val="none" w:sz="0" w:space="0" w:color="auto"/>
        <w:bottom w:val="none" w:sz="0" w:space="0" w:color="auto"/>
        <w:right w:val="none" w:sz="0" w:space="0" w:color="auto"/>
      </w:divBdr>
      <w:divsChild>
        <w:div w:id="619341203">
          <w:marLeft w:val="0"/>
          <w:marRight w:val="0"/>
          <w:marTop w:val="0"/>
          <w:marBottom w:val="0"/>
          <w:divBdr>
            <w:top w:val="none" w:sz="0" w:space="0" w:color="auto"/>
            <w:left w:val="none" w:sz="0" w:space="0" w:color="auto"/>
            <w:bottom w:val="none" w:sz="0" w:space="0" w:color="auto"/>
            <w:right w:val="none" w:sz="0" w:space="0" w:color="auto"/>
          </w:divBdr>
        </w:div>
      </w:divsChild>
    </w:div>
    <w:div w:id="1695962256">
      <w:marLeft w:val="0"/>
      <w:marRight w:val="0"/>
      <w:marTop w:val="0"/>
      <w:marBottom w:val="0"/>
      <w:divBdr>
        <w:top w:val="none" w:sz="0" w:space="0" w:color="auto"/>
        <w:left w:val="none" w:sz="0" w:space="0" w:color="auto"/>
        <w:bottom w:val="none" w:sz="0" w:space="0" w:color="auto"/>
        <w:right w:val="none" w:sz="0" w:space="0" w:color="auto"/>
      </w:divBdr>
      <w:divsChild>
        <w:div w:id="300157278">
          <w:marLeft w:val="0"/>
          <w:marRight w:val="0"/>
          <w:marTop w:val="0"/>
          <w:marBottom w:val="0"/>
          <w:divBdr>
            <w:top w:val="none" w:sz="0" w:space="0" w:color="auto"/>
            <w:left w:val="none" w:sz="0" w:space="0" w:color="auto"/>
            <w:bottom w:val="none" w:sz="0" w:space="0" w:color="auto"/>
            <w:right w:val="none" w:sz="0" w:space="0" w:color="auto"/>
          </w:divBdr>
        </w:div>
      </w:divsChild>
    </w:div>
    <w:div w:id="1700348755">
      <w:marLeft w:val="0"/>
      <w:marRight w:val="0"/>
      <w:marTop w:val="0"/>
      <w:marBottom w:val="0"/>
      <w:divBdr>
        <w:top w:val="none" w:sz="0" w:space="0" w:color="auto"/>
        <w:left w:val="none" w:sz="0" w:space="0" w:color="auto"/>
        <w:bottom w:val="none" w:sz="0" w:space="0" w:color="auto"/>
        <w:right w:val="none" w:sz="0" w:space="0" w:color="auto"/>
      </w:divBdr>
      <w:divsChild>
        <w:div w:id="295910670">
          <w:marLeft w:val="0"/>
          <w:marRight w:val="0"/>
          <w:marTop w:val="0"/>
          <w:marBottom w:val="0"/>
          <w:divBdr>
            <w:top w:val="none" w:sz="0" w:space="0" w:color="auto"/>
            <w:left w:val="none" w:sz="0" w:space="0" w:color="auto"/>
            <w:bottom w:val="none" w:sz="0" w:space="0" w:color="auto"/>
            <w:right w:val="none" w:sz="0" w:space="0" w:color="auto"/>
          </w:divBdr>
        </w:div>
      </w:divsChild>
    </w:div>
    <w:div w:id="1707216735">
      <w:bodyDiv w:val="1"/>
      <w:marLeft w:val="0"/>
      <w:marRight w:val="0"/>
      <w:marTop w:val="0"/>
      <w:marBottom w:val="0"/>
      <w:divBdr>
        <w:top w:val="none" w:sz="0" w:space="0" w:color="auto"/>
        <w:left w:val="none" w:sz="0" w:space="0" w:color="auto"/>
        <w:bottom w:val="none" w:sz="0" w:space="0" w:color="auto"/>
        <w:right w:val="none" w:sz="0" w:space="0" w:color="auto"/>
      </w:divBdr>
      <w:divsChild>
        <w:div w:id="2006011632">
          <w:marLeft w:val="0"/>
          <w:marRight w:val="0"/>
          <w:marTop w:val="0"/>
          <w:marBottom w:val="0"/>
          <w:divBdr>
            <w:top w:val="none" w:sz="0" w:space="0" w:color="auto"/>
            <w:left w:val="none" w:sz="0" w:space="0" w:color="auto"/>
            <w:bottom w:val="none" w:sz="0" w:space="0" w:color="auto"/>
            <w:right w:val="none" w:sz="0" w:space="0" w:color="auto"/>
          </w:divBdr>
          <w:divsChild>
            <w:div w:id="57216891">
              <w:marLeft w:val="0"/>
              <w:marRight w:val="0"/>
              <w:marTop w:val="0"/>
              <w:marBottom w:val="0"/>
              <w:divBdr>
                <w:top w:val="none" w:sz="0" w:space="0" w:color="auto"/>
                <w:left w:val="none" w:sz="0" w:space="0" w:color="auto"/>
                <w:bottom w:val="none" w:sz="0" w:space="0" w:color="auto"/>
                <w:right w:val="none" w:sz="0" w:space="0" w:color="auto"/>
              </w:divBdr>
            </w:div>
            <w:div w:id="1606231032">
              <w:marLeft w:val="0"/>
              <w:marRight w:val="0"/>
              <w:marTop w:val="0"/>
              <w:marBottom w:val="0"/>
              <w:divBdr>
                <w:top w:val="none" w:sz="0" w:space="0" w:color="auto"/>
                <w:left w:val="none" w:sz="0" w:space="0" w:color="auto"/>
                <w:bottom w:val="none" w:sz="0" w:space="0" w:color="auto"/>
                <w:right w:val="none" w:sz="0" w:space="0" w:color="auto"/>
              </w:divBdr>
            </w:div>
            <w:div w:id="12534990">
              <w:marLeft w:val="0"/>
              <w:marRight w:val="0"/>
              <w:marTop w:val="0"/>
              <w:marBottom w:val="0"/>
              <w:divBdr>
                <w:top w:val="none" w:sz="0" w:space="0" w:color="auto"/>
                <w:left w:val="none" w:sz="0" w:space="0" w:color="auto"/>
                <w:bottom w:val="none" w:sz="0" w:space="0" w:color="auto"/>
                <w:right w:val="none" w:sz="0" w:space="0" w:color="auto"/>
              </w:divBdr>
            </w:div>
            <w:div w:id="1042635543">
              <w:marLeft w:val="0"/>
              <w:marRight w:val="0"/>
              <w:marTop w:val="0"/>
              <w:marBottom w:val="0"/>
              <w:divBdr>
                <w:top w:val="none" w:sz="0" w:space="0" w:color="auto"/>
                <w:left w:val="none" w:sz="0" w:space="0" w:color="auto"/>
                <w:bottom w:val="none" w:sz="0" w:space="0" w:color="auto"/>
                <w:right w:val="none" w:sz="0" w:space="0" w:color="auto"/>
              </w:divBdr>
            </w:div>
            <w:div w:id="617296212">
              <w:marLeft w:val="0"/>
              <w:marRight w:val="0"/>
              <w:marTop w:val="0"/>
              <w:marBottom w:val="0"/>
              <w:divBdr>
                <w:top w:val="none" w:sz="0" w:space="0" w:color="auto"/>
                <w:left w:val="none" w:sz="0" w:space="0" w:color="auto"/>
                <w:bottom w:val="none" w:sz="0" w:space="0" w:color="auto"/>
                <w:right w:val="none" w:sz="0" w:space="0" w:color="auto"/>
              </w:divBdr>
            </w:div>
            <w:div w:id="144703938">
              <w:marLeft w:val="0"/>
              <w:marRight w:val="0"/>
              <w:marTop w:val="0"/>
              <w:marBottom w:val="0"/>
              <w:divBdr>
                <w:top w:val="none" w:sz="0" w:space="0" w:color="auto"/>
                <w:left w:val="none" w:sz="0" w:space="0" w:color="auto"/>
                <w:bottom w:val="none" w:sz="0" w:space="0" w:color="auto"/>
                <w:right w:val="none" w:sz="0" w:space="0" w:color="auto"/>
              </w:divBdr>
            </w:div>
            <w:div w:id="1740899650">
              <w:marLeft w:val="0"/>
              <w:marRight w:val="0"/>
              <w:marTop w:val="0"/>
              <w:marBottom w:val="0"/>
              <w:divBdr>
                <w:top w:val="none" w:sz="0" w:space="0" w:color="auto"/>
                <w:left w:val="none" w:sz="0" w:space="0" w:color="auto"/>
                <w:bottom w:val="none" w:sz="0" w:space="0" w:color="auto"/>
                <w:right w:val="none" w:sz="0" w:space="0" w:color="auto"/>
              </w:divBdr>
            </w:div>
            <w:div w:id="1136875509">
              <w:marLeft w:val="0"/>
              <w:marRight w:val="0"/>
              <w:marTop w:val="0"/>
              <w:marBottom w:val="0"/>
              <w:divBdr>
                <w:top w:val="none" w:sz="0" w:space="0" w:color="auto"/>
                <w:left w:val="none" w:sz="0" w:space="0" w:color="auto"/>
                <w:bottom w:val="none" w:sz="0" w:space="0" w:color="auto"/>
                <w:right w:val="none" w:sz="0" w:space="0" w:color="auto"/>
              </w:divBdr>
            </w:div>
            <w:div w:id="2125927897">
              <w:marLeft w:val="0"/>
              <w:marRight w:val="0"/>
              <w:marTop w:val="0"/>
              <w:marBottom w:val="0"/>
              <w:divBdr>
                <w:top w:val="none" w:sz="0" w:space="0" w:color="auto"/>
                <w:left w:val="none" w:sz="0" w:space="0" w:color="auto"/>
                <w:bottom w:val="none" w:sz="0" w:space="0" w:color="auto"/>
                <w:right w:val="none" w:sz="0" w:space="0" w:color="auto"/>
              </w:divBdr>
            </w:div>
            <w:div w:id="1175069137">
              <w:marLeft w:val="0"/>
              <w:marRight w:val="0"/>
              <w:marTop w:val="0"/>
              <w:marBottom w:val="0"/>
              <w:divBdr>
                <w:top w:val="none" w:sz="0" w:space="0" w:color="auto"/>
                <w:left w:val="none" w:sz="0" w:space="0" w:color="auto"/>
                <w:bottom w:val="none" w:sz="0" w:space="0" w:color="auto"/>
                <w:right w:val="none" w:sz="0" w:space="0" w:color="auto"/>
              </w:divBdr>
            </w:div>
            <w:div w:id="1564486528">
              <w:marLeft w:val="0"/>
              <w:marRight w:val="0"/>
              <w:marTop w:val="0"/>
              <w:marBottom w:val="0"/>
              <w:divBdr>
                <w:top w:val="none" w:sz="0" w:space="0" w:color="auto"/>
                <w:left w:val="none" w:sz="0" w:space="0" w:color="auto"/>
                <w:bottom w:val="none" w:sz="0" w:space="0" w:color="auto"/>
                <w:right w:val="none" w:sz="0" w:space="0" w:color="auto"/>
              </w:divBdr>
            </w:div>
            <w:div w:id="1745685901">
              <w:marLeft w:val="0"/>
              <w:marRight w:val="0"/>
              <w:marTop w:val="0"/>
              <w:marBottom w:val="0"/>
              <w:divBdr>
                <w:top w:val="none" w:sz="0" w:space="0" w:color="auto"/>
                <w:left w:val="none" w:sz="0" w:space="0" w:color="auto"/>
                <w:bottom w:val="none" w:sz="0" w:space="0" w:color="auto"/>
                <w:right w:val="none" w:sz="0" w:space="0" w:color="auto"/>
              </w:divBdr>
            </w:div>
            <w:div w:id="1987278323">
              <w:marLeft w:val="0"/>
              <w:marRight w:val="0"/>
              <w:marTop w:val="0"/>
              <w:marBottom w:val="0"/>
              <w:divBdr>
                <w:top w:val="none" w:sz="0" w:space="0" w:color="auto"/>
                <w:left w:val="none" w:sz="0" w:space="0" w:color="auto"/>
                <w:bottom w:val="none" w:sz="0" w:space="0" w:color="auto"/>
                <w:right w:val="none" w:sz="0" w:space="0" w:color="auto"/>
              </w:divBdr>
            </w:div>
            <w:div w:id="690759053">
              <w:marLeft w:val="0"/>
              <w:marRight w:val="0"/>
              <w:marTop w:val="0"/>
              <w:marBottom w:val="0"/>
              <w:divBdr>
                <w:top w:val="none" w:sz="0" w:space="0" w:color="auto"/>
                <w:left w:val="none" w:sz="0" w:space="0" w:color="auto"/>
                <w:bottom w:val="none" w:sz="0" w:space="0" w:color="auto"/>
                <w:right w:val="none" w:sz="0" w:space="0" w:color="auto"/>
              </w:divBdr>
            </w:div>
            <w:div w:id="519465580">
              <w:marLeft w:val="0"/>
              <w:marRight w:val="0"/>
              <w:marTop w:val="0"/>
              <w:marBottom w:val="0"/>
              <w:divBdr>
                <w:top w:val="none" w:sz="0" w:space="0" w:color="auto"/>
                <w:left w:val="none" w:sz="0" w:space="0" w:color="auto"/>
                <w:bottom w:val="none" w:sz="0" w:space="0" w:color="auto"/>
                <w:right w:val="none" w:sz="0" w:space="0" w:color="auto"/>
              </w:divBdr>
            </w:div>
            <w:div w:id="1759013759">
              <w:marLeft w:val="0"/>
              <w:marRight w:val="0"/>
              <w:marTop w:val="0"/>
              <w:marBottom w:val="0"/>
              <w:divBdr>
                <w:top w:val="none" w:sz="0" w:space="0" w:color="auto"/>
                <w:left w:val="none" w:sz="0" w:space="0" w:color="auto"/>
                <w:bottom w:val="none" w:sz="0" w:space="0" w:color="auto"/>
                <w:right w:val="none" w:sz="0" w:space="0" w:color="auto"/>
              </w:divBdr>
            </w:div>
            <w:div w:id="260340510">
              <w:marLeft w:val="0"/>
              <w:marRight w:val="0"/>
              <w:marTop w:val="0"/>
              <w:marBottom w:val="0"/>
              <w:divBdr>
                <w:top w:val="none" w:sz="0" w:space="0" w:color="auto"/>
                <w:left w:val="none" w:sz="0" w:space="0" w:color="auto"/>
                <w:bottom w:val="none" w:sz="0" w:space="0" w:color="auto"/>
                <w:right w:val="none" w:sz="0" w:space="0" w:color="auto"/>
              </w:divBdr>
            </w:div>
            <w:div w:id="1206256421">
              <w:marLeft w:val="0"/>
              <w:marRight w:val="0"/>
              <w:marTop w:val="0"/>
              <w:marBottom w:val="0"/>
              <w:divBdr>
                <w:top w:val="none" w:sz="0" w:space="0" w:color="auto"/>
                <w:left w:val="none" w:sz="0" w:space="0" w:color="auto"/>
                <w:bottom w:val="none" w:sz="0" w:space="0" w:color="auto"/>
                <w:right w:val="none" w:sz="0" w:space="0" w:color="auto"/>
              </w:divBdr>
            </w:div>
            <w:div w:id="930159353">
              <w:marLeft w:val="0"/>
              <w:marRight w:val="0"/>
              <w:marTop w:val="0"/>
              <w:marBottom w:val="0"/>
              <w:divBdr>
                <w:top w:val="none" w:sz="0" w:space="0" w:color="auto"/>
                <w:left w:val="none" w:sz="0" w:space="0" w:color="auto"/>
                <w:bottom w:val="none" w:sz="0" w:space="0" w:color="auto"/>
                <w:right w:val="none" w:sz="0" w:space="0" w:color="auto"/>
              </w:divBdr>
            </w:div>
            <w:div w:id="1131559032">
              <w:marLeft w:val="0"/>
              <w:marRight w:val="0"/>
              <w:marTop w:val="0"/>
              <w:marBottom w:val="0"/>
              <w:divBdr>
                <w:top w:val="none" w:sz="0" w:space="0" w:color="auto"/>
                <w:left w:val="none" w:sz="0" w:space="0" w:color="auto"/>
                <w:bottom w:val="none" w:sz="0" w:space="0" w:color="auto"/>
                <w:right w:val="none" w:sz="0" w:space="0" w:color="auto"/>
              </w:divBdr>
            </w:div>
            <w:div w:id="1694651551">
              <w:marLeft w:val="0"/>
              <w:marRight w:val="0"/>
              <w:marTop w:val="0"/>
              <w:marBottom w:val="0"/>
              <w:divBdr>
                <w:top w:val="none" w:sz="0" w:space="0" w:color="auto"/>
                <w:left w:val="none" w:sz="0" w:space="0" w:color="auto"/>
                <w:bottom w:val="none" w:sz="0" w:space="0" w:color="auto"/>
                <w:right w:val="none" w:sz="0" w:space="0" w:color="auto"/>
              </w:divBdr>
            </w:div>
            <w:div w:id="2055427906">
              <w:marLeft w:val="0"/>
              <w:marRight w:val="0"/>
              <w:marTop w:val="0"/>
              <w:marBottom w:val="0"/>
              <w:divBdr>
                <w:top w:val="none" w:sz="0" w:space="0" w:color="auto"/>
                <w:left w:val="none" w:sz="0" w:space="0" w:color="auto"/>
                <w:bottom w:val="none" w:sz="0" w:space="0" w:color="auto"/>
                <w:right w:val="none" w:sz="0" w:space="0" w:color="auto"/>
              </w:divBdr>
            </w:div>
            <w:div w:id="699823939">
              <w:marLeft w:val="0"/>
              <w:marRight w:val="0"/>
              <w:marTop w:val="0"/>
              <w:marBottom w:val="0"/>
              <w:divBdr>
                <w:top w:val="none" w:sz="0" w:space="0" w:color="auto"/>
                <w:left w:val="none" w:sz="0" w:space="0" w:color="auto"/>
                <w:bottom w:val="none" w:sz="0" w:space="0" w:color="auto"/>
                <w:right w:val="none" w:sz="0" w:space="0" w:color="auto"/>
              </w:divBdr>
            </w:div>
            <w:div w:id="1638296828">
              <w:marLeft w:val="0"/>
              <w:marRight w:val="0"/>
              <w:marTop w:val="0"/>
              <w:marBottom w:val="0"/>
              <w:divBdr>
                <w:top w:val="none" w:sz="0" w:space="0" w:color="auto"/>
                <w:left w:val="none" w:sz="0" w:space="0" w:color="auto"/>
                <w:bottom w:val="none" w:sz="0" w:space="0" w:color="auto"/>
                <w:right w:val="none" w:sz="0" w:space="0" w:color="auto"/>
              </w:divBdr>
            </w:div>
            <w:div w:id="912662507">
              <w:marLeft w:val="0"/>
              <w:marRight w:val="0"/>
              <w:marTop w:val="0"/>
              <w:marBottom w:val="0"/>
              <w:divBdr>
                <w:top w:val="none" w:sz="0" w:space="0" w:color="auto"/>
                <w:left w:val="none" w:sz="0" w:space="0" w:color="auto"/>
                <w:bottom w:val="none" w:sz="0" w:space="0" w:color="auto"/>
                <w:right w:val="none" w:sz="0" w:space="0" w:color="auto"/>
              </w:divBdr>
            </w:div>
            <w:div w:id="190729650">
              <w:marLeft w:val="0"/>
              <w:marRight w:val="0"/>
              <w:marTop w:val="0"/>
              <w:marBottom w:val="0"/>
              <w:divBdr>
                <w:top w:val="none" w:sz="0" w:space="0" w:color="auto"/>
                <w:left w:val="none" w:sz="0" w:space="0" w:color="auto"/>
                <w:bottom w:val="none" w:sz="0" w:space="0" w:color="auto"/>
                <w:right w:val="none" w:sz="0" w:space="0" w:color="auto"/>
              </w:divBdr>
            </w:div>
            <w:div w:id="1164735646">
              <w:marLeft w:val="0"/>
              <w:marRight w:val="0"/>
              <w:marTop w:val="0"/>
              <w:marBottom w:val="0"/>
              <w:divBdr>
                <w:top w:val="none" w:sz="0" w:space="0" w:color="auto"/>
                <w:left w:val="none" w:sz="0" w:space="0" w:color="auto"/>
                <w:bottom w:val="none" w:sz="0" w:space="0" w:color="auto"/>
                <w:right w:val="none" w:sz="0" w:space="0" w:color="auto"/>
              </w:divBdr>
            </w:div>
            <w:div w:id="9068883">
              <w:marLeft w:val="0"/>
              <w:marRight w:val="0"/>
              <w:marTop w:val="0"/>
              <w:marBottom w:val="0"/>
              <w:divBdr>
                <w:top w:val="none" w:sz="0" w:space="0" w:color="auto"/>
                <w:left w:val="none" w:sz="0" w:space="0" w:color="auto"/>
                <w:bottom w:val="none" w:sz="0" w:space="0" w:color="auto"/>
                <w:right w:val="none" w:sz="0" w:space="0" w:color="auto"/>
              </w:divBdr>
            </w:div>
            <w:div w:id="1441990318">
              <w:marLeft w:val="0"/>
              <w:marRight w:val="0"/>
              <w:marTop w:val="0"/>
              <w:marBottom w:val="0"/>
              <w:divBdr>
                <w:top w:val="none" w:sz="0" w:space="0" w:color="auto"/>
                <w:left w:val="none" w:sz="0" w:space="0" w:color="auto"/>
                <w:bottom w:val="none" w:sz="0" w:space="0" w:color="auto"/>
                <w:right w:val="none" w:sz="0" w:space="0" w:color="auto"/>
              </w:divBdr>
            </w:div>
            <w:div w:id="1258053664">
              <w:marLeft w:val="0"/>
              <w:marRight w:val="0"/>
              <w:marTop w:val="0"/>
              <w:marBottom w:val="0"/>
              <w:divBdr>
                <w:top w:val="none" w:sz="0" w:space="0" w:color="auto"/>
                <w:left w:val="none" w:sz="0" w:space="0" w:color="auto"/>
                <w:bottom w:val="none" w:sz="0" w:space="0" w:color="auto"/>
                <w:right w:val="none" w:sz="0" w:space="0" w:color="auto"/>
              </w:divBdr>
            </w:div>
            <w:div w:id="1521430536">
              <w:marLeft w:val="0"/>
              <w:marRight w:val="0"/>
              <w:marTop w:val="0"/>
              <w:marBottom w:val="0"/>
              <w:divBdr>
                <w:top w:val="none" w:sz="0" w:space="0" w:color="auto"/>
                <w:left w:val="none" w:sz="0" w:space="0" w:color="auto"/>
                <w:bottom w:val="none" w:sz="0" w:space="0" w:color="auto"/>
                <w:right w:val="none" w:sz="0" w:space="0" w:color="auto"/>
              </w:divBdr>
            </w:div>
            <w:div w:id="1169371762">
              <w:marLeft w:val="0"/>
              <w:marRight w:val="0"/>
              <w:marTop w:val="0"/>
              <w:marBottom w:val="0"/>
              <w:divBdr>
                <w:top w:val="none" w:sz="0" w:space="0" w:color="auto"/>
                <w:left w:val="none" w:sz="0" w:space="0" w:color="auto"/>
                <w:bottom w:val="none" w:sz="0" w:space="0" w:color="auto"/>
                <w:right w:val="none" w:sz="0" w:space="0" w:color="auto"/>
              </w:divBdr>
            </w:div>
            <w:div w:id="1600791580">
              <w:marLeft w:val="0"/>
              <w:marRight w:val="0"/>
              <w:marTop w:val="0"/>
              <w:marBottom w:val="0"/>
              <w:divBdr>
                <w:top w:val="none" w:sz="0" w:space="0" w:color="auto"/>
                <w:left w:val="none" w:sz="0" w:space="0" w:color="auto"/>
                <w:bottom w:val="none" w:sz="0" w:space="0" w:color="auto"/>
                <w:right w:val="none" w:sz="0" w:space="0" w:color="auto"/>
              </w:divBdr>
            </w:div>
            <w:div w:id="1423451217">
              <w:marLeft w:val="0"/>
              <w:marRight w:val="0"/>
              <w:marTop w:val="0"/>
              <w:marBottom w:val="0"/>
              <w:divBdr>
                <w:top w:val="none" w:sz="0" w:space="0" w:color="auto"/>
                <w:left w:val="none" w:sz="0" w:space="0" w:color="auto"/>
                <w:bottom w:val="none" w:sz="0" w:space="0" w:color="auto"/>
                <w:right w:val="none" w:sz="0" w:space="0" w:color="auto"/>
              </w:divBdr>
            </w:div>
            <w:div w:id="1252740419">
              <w:marLeft w:val="0"/>
              <w:marRight w:val="0"/>
              <w:marTop w:val="0"/>
              <w:marBottom w:val="0"/>
              <w:divBdr>
                <w:top w:val="none" w:sz="0" w:space="0" w:color="auto"/>
                <w:left w:val="none" w:sz="0" w:space="0" w:color="auto"/>
                <w:bottom w:val="none" w:sz="0" w:space="0" w:color="auto"/>
                <w:right w:val="none" w:sz="0" w:space="0" w:color="auto"/>
              </w:divBdr>
            </w:div>
            <w:div w:id="325716748">
              <w:marLeft w:val="0"/>
              <w:marRight w:val="0"/>
              <w:marTop w:val="0"/>
              <w:marBottom w:val="0"/>
              <w:divBdr>
                <w:top w:val="none" w:sz="0" w:space="0" w:color="auto"/>
                <w:left w:val="none" w:sz="0" w:space="0" w:color="auto"/>
                <w:bottom w:val="none" w:sz="0" w:space="0" w:color="auto"/>
                <w:right w:val="none" w:sz="0" w:space="0" w:color="auto"/>
              </w:divBdr>
            </w:div>
            <w:div w:id="1510948560">
              <w:marLeft w:val="0"/>
              <w:marRight w:val="0"/>
              <w:marTop w:val="0"/>
              <w:marBottom w:val="0"/>
              <w:divBdr>
                <w:top w:val="none" w:sz="0" w:space="0" w:color="auto"/>
                <w:left w:val="none" w:sz="0" w:space="0" w:color="auto"/>
                <w:bottom w:val="none" w:sz="0" w:space="0" w:color="auto"/>
                <w:right w:val="none" w:sz="0" w:space="0" w:color="auto"/>
              </w:divBdr>
            </w:div>
            <w:div w:id="1572617313">
              <w:marLeft w:val="0"/>
              <w:marRight w:val="0"/>
              <w:marTop w:val="0"/>
              <w:marBottom w:val="0"/>
              <w:divBdr>
                <w:top w:val="none" w:sz="0" w:space="0" w:color="auto"/>
                <w:left w:val="none" w:sz="0" w:space="0" w:color="auto"/>
                <w:bottom w:val="none" w:sz="0" w:space="0" w:color="auto"/>
                <w:right w:val="none" w:sz="0" w:space="0" w:color="auto"/>
              </w:divBdr>
            </w:div>
            <w:div w:id="1783722950">
              <w:marLeft w:val="0"/>
              <w:marRight w:val="0"/>
              <w:marTop w:val="0"/>
              <w:marBottom w:val="0"/>
              <w:divBdr>
                <w:top w:val="none" w:sz="0" w:space="0" w:color="auto"/>
                <w:left w:val="none" w:sz="0" w:space="0" w:color="auto"/>
                <w:bottom w:val="none" w:sz="0" w:space="0" w:color="auto"/>
                <w:right w:val="none" w:sz="0" w:space="0" w:color="auto"/>
              </w:divBdr>
            </w:div>
            <w:div w:id="460926210">
              <w:marLeft w:val="0"/>
              <w:marRight w:val="0"/>
              <w:marTop w:val="0"/>
              <w:marBottom w:val="0"/>
              <w:divBdr>
                <w:top w:val="none" w:sz="0" w:space="0" w:color="auto"/>
                <w:left w:val="none" w:sz="0" w:space="0" w:color="auto"/>
                <w:bottom w:val="none" w:sz="0" w:space="0" w:color="auto"/>
                <w:right w:val="none" w:sz="0" w:space="0" w:color="auto"/>
              </w:divBdr>
            </w:div>
            <w:div w:id="1273783299">
              <w:marLeft w:val="0"/>
              <w:marRight w:val="0"/>
              <w:marTop w:val="0"/>
              <w:marBottom w:val="0"/>
              <w:divBdr>
                <w:top w:val="none" w:sz="0" w:space="0" w:color="auto"/>
                <w:left w:val="none" w:sz="0" w:space="0" w:color="auto"/>
                <w:bottom w:val="none" w:sz="0" w:space="0" w:color="auto"/>
                <w:right w:val="none" w:sz="0" w:space="0" w:color="auto"/>
              </w:divBdr>
            </w:div>
            <w:div w:id="1796679068">
              <w:marLeft w:val="0"/>
              <w:marRight w:val="0"/>
              <w:marTop w:val="0"/>
              <w:marBottom w:val="0"/>
              <w:divBdr>
                <w:top w:val="none" w:sz="0" w:space="0" w:color="auto"/>
                <w:left w:val="none" w:sz="0" w:space="0" w:color="auto"/>
                <w:bottom w:val="none" w:sz="0" w:space="0" w:color="auto"/>
                <w:right w:val="none" w:sz="0" w:space="0" w:color="auto"/>
              </w:divBdr>
            </w:div>
            <w:div w:id="1443720856">
              <w:marLeft w:val="0"/>
              <w:marRight w:val="0"/>
              <w:marTop w:val="0"/>
              <w:marBottom w:val="0"/>
              <w:divBdr>
                <w:top w:val="none" w:sz="0" w:space="0" w:color="auto"/>
                <w:left w:val="none" w:sz="0" w:space="0" w:color="auto"/>
                <w:bottom w:val="none" w:sz="0" w:space="0" w:color="auto"/>
                <w:right w:val="none" w:sz="0" w:space="0" w:color="auto"/>
              </w:divBdr>
            </w:div>
            <w:div w:id="1463573164">
              <w:marLeft w:val="0"/>
              <w:marRight w:val="0"/>
              <w:marTop w:val="0"/>
              <w:marBottom w:val="0"/>
              <w:divBdr>
                <w:top w:val="none" w:sz="0" w:space="0" w:color="auto"/>
                <w:left w:val="none" w:sz="0" w:space="0" w:color="auto"/>
                <w:bottom w:val="none" w:sz="0" w:space="0" w:color="auto"/>
                <w:right w:val="none" w:sz="0" w:space="0" w:color="auto"/>
              </w:divBdr>
            </w:div>
            <w:div w:id="491918438">
              <w:marLeft w:val="0"/>
              <w:marRight w:val="0"/>
              <w:marTop w:val="0"/>
              <w:marBottom w:val="0"/>
              <w:divBdr>
                <w:top w:val="none" w:sz="0" w:space="0" w:color="auto"/>
                <w:left w:val="none" w:sz="0" w:space="0" w:color="auto"/>
                <w:bottom w:val="none" w:sz="0" w:space="0" w:color="auto"/>
                <w:right w:val="none" w:sz="0" w:space="0" w:color="auto"/>
              </w:divBdr>
            </w:div>
            <w:div w:id="276987454">
              <w:marLeft w:val="0"/>
              <w:marRight w:val="0"/>
              <w:marTop w:val="0"/>
              <w:marBottom w:val="0"/>
              <w:divBdr>
                <w:top w:val="none" w:sz="0" w:space="0" w:color="auto"/>
                <w:left w:val="none" w:sz="0" w:space="0" w:color="auto"/>
                <w:bottom w:val="none" w:sz="0" w:space="0" w:color="auto"/>
                <w:right w:val="none" w:sz="0" w:space="0" w:color="auto"/>
              </w:divBdr>
            </w:div>
            <w:div w:id="825829272">
              <w:marLeft w:val="0"/>
              <w:marRight w:val="0"/>
              <w:marTop w:val="0"/>
              <w:marBottom w:val="0"/>
              <w:divBdr>
                <w:top w:val="none" w:sz="0" w:space="0" w:color="auto"/>
                <w:left w:val="none" w:sz="0" w:space="0" w:color="auto"/>
                <w:bottom w:val="none" w:sz="0" w:space="0" w:color="auto"/>
                <w:right w:val="none" w:sz="0" w:space="0" w:color="auto"/>
              </w:divBdr>
            </w:div>
            <w:div w:id="269044496">
              <w:marLeft w:val="0"/>
              <w:marRight w:val="0"/>
              <w:marTop w:val="0"/>
              <w:marBottom w:val="0"/>
              <w:divBdr>
                <w:top w:val="none" w:sz="0" w:space="0" w:color="auto"/>
                <w:left w:val="none" w:sz="0" w:space="0" w:color="auto"/>
                <w:bottom w:val="none" w:sz="0" w:space="0" w:color="auto"/>
                <w:right w:val="none" w:sz="0" w:space="0" w:color="auto"/>
              </w:divBdr>
            </w:div>
            <w:div w:id="1348020681">
              <w:marLeft w:val="0"/>
              <w:marRight w:val="0"/>
              <w:marTop w:val="0"/>
              <w:marBottom w:val="0"/>
              <w:divBdr>
                <w:top w:val="none" w:sz="0" w:space="0" w:color="auto"/>
                <w:left w:val="none" w:sz="0" w:space="0" w:color="auto"/>
                <w:bottom w:val="none" w:sz="0" w:space="0" w:color="auto"/>
                <w:right w:val="none" w:sz="0" w:space="0" w:color="auto"/>
              </w:divBdr>
            </w:div>
            <w:div w:id="501895099">
              <w:marLeft w:val="0"/>
              <w:marRight w:val="0"/>
              <w:marTop w:val="0"/>
              <w:marBottom w:val="0"/>
              <w:divBdr>
                <w:top w:val="none" w:sz="0" w:space="0" w:color="auto"/>
                <w:left w:val="none" w:sz="0" w:space="0" w:color="auto"/>
                <w:bottom w:val="none" w:sz="0" w:space="0" w:color="auto"/>
                <w:right w:val="none" w:sz="0" w:space="0" w:color="auto"/>
              </w:divBdr>
            </w:div>
            <w:div w:id="1365522803">
              <w:marLeft w:val="0"/>
              <w:marRight w:val="0"/>
              <w:marTop w:val="0"/>
              <w:marBottom w:val="0"/>
              <w:divBdr>
                <w:top w:val="none" w:sz="0" w:space="0" w:color="auto"/>
                <w:left w:val="none" w:sz="0" w:space="0" w:color="auto"/>
                <w:bottom w:val="none" w:sz="0" w:space="0" w:color="auto"/>
                <w:right w:val="none" w:sz="0" w:space="0" w:color="auto"/>
              </w:divBdr>
            </w:div>
            <w:div w:id="2127770252">
              <w:marLeft w:val="0"/>
              <w:marRight w:val="0"/>
              <w:marTop w:val="0"/>
              <w:marBottom w:val="0"/>
              <w:divBdr>
                <w:top w:val="none" w:sz="0" w:space="0" w:color="auto"/>
                <w:left w:val="none" w:sz="0" w:space="0" w:color="auto"/>
                <w:bottom w:val="none" w:sz="0" w:space="0" w:color="auto"/>
                <w:right w:val="none" w:sz="0" w:space="0" w:color="auto"/>
              </w:divBdr>
            </w:div>
            <w:div w:id="1258053546">
              <w:marLeft w:val="0"/>
              <w:marRight w:val="0"/>
              <w:marTop w:val="0"/>
              <w:marBottom w:val="0"/>
              <w:divBdr>
                <w:top w:val="none" w:sz="0" w:space="0" w:color="auto"/>
                <w:left w:val="none" w:sz="0" w:space="0" w:color="auto"/>
                <w:bottom w:val="none" w:sz="0" w:space="0" w:color="auto"/>
                <w:right w:val="none" w:sz="0" w:space="0" w:color="auto"/>
              </w:divBdr>
            </w:div>
            <w:div w:id="250432031">
              <w:marLeft w:val="0"/>
              <w:marRight w:val="0"/>
              <w:marTop w:val="0"/>
              <w:marBottom w:val="0"/>
              <w:divBdr>
                <w:top w:val="none" w:sz="0" w:space="0" w:color="auto"/>
                <w:left w:val="none" w:sz="0" w:space="0" w:color="auto"/>
                <w:bottom w:val="none" w:sz="0" w:space="0" w:color="auto"/>
                <w:right w:val="none" w:sz="0" w:space="0" w:color="auto"/>
              </w:divBdr>
            </w:div>
            <w:div w:id="628823706">
              <w:marLeft w:val="0"/>
              <w:marRight w:val="0"/>
              <w:marTop w:val="0"/>
              <w:marBottom w:val="0"/>
              <w:divBdr>
                <w:top w:val="none" w:sz="0" w:space="0" w:color="auto"/>
                <w:left w:val="none" w:sz="0" w:space="0" w:color="auto"/>
                <w:bottom w:val="none" w:sz="0" w:space="0" w:color="auto"/>
                <w:right w:val="none" w:sz="0" w:space="0" w:color="auto"/>
              </w:divBdr>
            </w:div>
            <w:div w:id="643506348">
              <w:marLeft w:val="0"/>
              <w:marRight w:val="0"/>
              <w:marTop w:val="0"/>
              <w:marBottom w:val="0"/>
              <w:divBdr>
                <w:top w:val="none" w:sz="0" w:space="0" w:color="auto"/>
                <w:left w:val="none" w:sz="0" w:space="0" w:color="auto"/>
                <w:bottom w:val="none" w:sz="0" w:space="0" w:color="auto"/>
                <w:right w:val="none" w:sz="0" w:space="0" w:color="auto"/>
              </w:divBdr>
            </w:div>
            <w:div w:id="2095784885">
              <w:marLeft w:val="0"/>
              <w:marRight w:val="0"/>
              <w:marTop w:val="0"/>
              <w:marBottom w:val="0"/>
              <w:divBdr>
                <w:top w:val="none" w:sz="0" w:space="0" w:color="auto"/>
                <w:left w:val="none" w:sz="0" w:space="0" w:color="auto"/>
                <w:bottom w:val="none" w:sz="0" w:space="0" w:color="auto"/>
                <w:right w:val="none" w:sz="0" w:space="0" w:color="auto"/>
              </w:divBdr>
            </w:div>
            <w:div w:id="1505242318">
              <w:marLeft w:val="0"/>
              <w:marRight w:val="0"/>
              <w:marTop w:val="0"/>
              <w:marBottom w:val="0"/>
              <w:divBdr>
                <w:top w:val="none" w:sz="0" w:space="0" w:color="auto"/>
                <w:left w:val="none" w:sz="0" w:space="0" w:color="auto"/>
                <w:bottom w:val="none" w:sz="0" w:space="0" w:color="auto"/>
                <w:right w:val="none" w:sz="0" w:space="0" w:color="auto"/>
              </w:divBdr>
            </w:div>
            <w:div w:id="1794010856">
              <w:marLeft w:val="0"/>
              <w:marRight w:val="0"/>
              <w:marTop w:val="0"/>
              <w:marBottom w:val="0"/>
              <w:divBdr>
                <w:top w:val="none" w:sz="0" w:space="0" w:color="auto"/>
                <w:left w:val="none" w:sz="0" w:space="0" w:color="auto"/>
                <w:bottom w:val="none" w:sz="0" w:space="0" w:color="auto"/>
                <w:right w:val="none" w:sz="0" w:space="0" w:color="auto"/>
              </w:divBdr>
            </w:div>
            <w:div w:id="1758088413">
              <w:marLeft w:val="0"/>
              <w:marRight w:val="0"/>
              <w:marTop w:val="0"/>
              <w:marBottom w:val="0"/>
              <w:divBdr>
                <w:top w:val="none" w:sz="0" w:space="0" w:color="auto"/>
                <w:left w:val="none" w:sz="0" w:space="0" w:color="auto"/>
                <w:bottom w:val="none" w:sz="0" w:space="0" w:color="auto"/>
                <w:right w:val="none" w:sz="0" w:space="0" w:color="auto"/>
              </w:divBdr>
            </w:div>
            <w:div w:id="1297487752">
              <w:marLeft w:val="0"/>
              <w:marRight w:val="0"/>
              <w:marTop w:val="0"/>
              <w:marBottom w:val="0"/>
              <w:divBdr>
                <w:top w:val="none" w:sz="0" w:space="0" w:color="auto"/>
                <w:left w:val="none" w:sz="0" w:space="0" w:color="auto"/>
                <w:bottom w:val="none" w:sz="0" w:space="0" w:color="auto"/>
                <w:right w:val="none" w:sz="0" w:space="0" w:color="auto"/>
              </w:divBdr>
            </w:div>
            <w:div w:id="1548253136">
              <w:marLeft w:val="0"/>
              <w:marRight w:val="0"/>
              <w:marTop w:val="0"/>
              <w:marBottom w:val="0"/>
              <w:divBdr>
                <w:top w:val="none" w:sz="0" w:space="0" w:color="auto"/>
                <w:left w:val="none" w:sz="0" w:space="0" w:color="auto"/>
                <w:bottom w:val="none" w:sz="0" w:space="0" w:color="auto"/>
                <w:right w:val="none" w:sz="0" w:space="0" w:color="auto"/>
              </w:divBdr>
            </w:div>
            <w:div w:id="121535979">
              <w:marLeft w:val="0"/>
              <w:marRight w:val="0"/>
              <w:marTop w:val="0"/>
              <w:marBottom w:val="0"/>
              <w:divBdr>
                <w:top w:val="none" w:sz="0" w:space="0" w:color="auto"/>
                <w:left w:val="none" w:sz="0" w:space="0" w:color="auto"/>
                <w:bottom w:val="none" w:sz="0" w:space="0" w:color="auto"/>
                <w:right w:val="none" w:sz="0" w:space="0" w:color="auto"/>
              </w:divBdr>
            </w:div>
            <w:div w:id="1305044076">
              <w:marLeft w:val="0"/>
              <w:marRight w:val="0"/>
              <w:marTop w:val="0"/>
              <w:marBottom w:val="0"/>
              <w:divBdr>
                <w:top w:val="none" w:sz="0" w:space="0" w:color="auto"/>
                <w:left w:val="none" w:sz="0" w:space="0" w:color="auto"/>
                <w:bottom w:val="none" w:sz="0" w:space="0" w:color="auto"/>
                <w:right w:val="none" w:sz="0" w:space="0" w:color="auto"/>
              </w:divBdr>
            </w:div>
            <w:div w:id="903225536">
              <w:marLeft w:val="0"/>
              <w:marRight w:val="0"/>
              <w:marTop w:val="0"/>
              <w:marBottom w:val="0"/>
              <w:divBdr>
                <w:top w:val="none" w:sz="0" w:space="0" w:color="auto"/>
                <w:left w:val="none" w:sz="0" w:space="0" w:color="auto"/>
                <w:bottom w:val="none" w:sz="0" w:space="0" w:color="auto"/>
                <w:right w:val="none" w:sz="0" w:space="0" w:color="auto"/>
              </w:divBdr>
            </w:div>
            <w:div w:id="2109041771">
              <w:marLeft w:val="0"/>
              <w:marRight w:val="0"/>
              <w:marTop w:val="0"/>
              <w:marBottom w:val="0"/>
              <w:divBdr>
                <w:top w:val="none" w:sz="0" w:space="0" w:color="auto"/>
                <w:left w:val="none" w:sz="0" w:space="0" w:color="auto"/>
                <w:bottom w:val="none" w:sz="0" w:space="0" w:color="auto"/>
                <w:right w:val="none" w:sz="0" w:space="0" w:color="auto"/>
              </w:divBdr>
            </w:div>
            <w:div w:id="2065638291">
              <w:marLeft w:val="0"/>
              <w:marRight w:val="0"/>
              <w:marTop w:val="0"/>
              <w:marBottom w:val="0"/>
              <w:divBdr>
                <w:top w:val="none" w:sz="0" w:space="0" w:color="auto"/>
                <w:left w:val="none" w:sz="0" w:space="0" w:color="auto"/>
                <w:bottom w:val="none" w:sz="0" w:space="0" w:color="auto"/>
                <w:right w:val="none" w:sz="0" w:space="0" w:color="auto"/>
              </w:divBdr>
            </w:div>
            <w:div w:id="1601445128">
              <w:marLeft w:val="0"/>
              <w:marRight w:val="0"/>
              <w:marTop w:val="0"/>
              <w:marBottom w:val="0"/>
              <w:divBdr>
                <w:top w:val="none" w:sz="0" w:space="0" w:color="auto"/>
                <w:left w:val="none" w:sz="0" w:space="0" w:color="auto"/>
                <w:bottom w:val="none" w:sz="0" w:space="0" w:color="auto"/>
                <w:right w:val="none" w:sz="0" w:space="0" w:color="auto"/>
              </w:divBdr>
            </w:div>
            <w:div w:id="1578898807">
              <w:marLeft w:val="0"/>
              <w:marRight w:val="0"/>
              <w:marTop w:val="0"/>
              <w:marBottom w:val="0"/>
              <w:divBdr>
                <w:top w:val="none" w:sz="0" w:space="0" w:color="auto"/>
                <w:left w:val="none" w:sz="0" w:space="0" w:color="auto"/>
                <w:bottom w:val="none" w:sz="0" w:space="0" w:color="auto"/>
                <w:right w:val="none" w:sz="0" w:space="0" w:color="auto"/>
              </w:divBdr>
            </w:div>
            <w:div w:id="2131587904">
              <w:marLeft w:val="0"/>
              <w:marRight w:val="0"/>
              <w:marTop w:val="0"/>
              <w:marBottom w:val="0"/>
              <w:divBdr>
                <w:top w:val="none" w:sz="0" w:space="0" w:color="auto"/>
                <w:left w:val="none" w:sz="0" w:space="0" w:color="auto"/>
                <w:bottom w:val="none" w:sz="0" w:space="0" w:color="auto"/>
                <w:right w:val="none" w:sz="0" w:space="0" w:color="auto"/>
              </w:divBdr>
            </w:div>
            <w:div w:id="107816134">
              <w:marLeft w:val="0"/>
              <w:marRight w:val="0"/>
              <w:marTop w:val="0"/>
              <w:marBottom w:val="0"/>
              <w:divBdr>
                <w:top w:val="none" w:sz="0" w:space="0" w:color="auto"/>
                <w:left w:val="none" w:sz="0" w:space="0" w:color="auto"/>
                <w:bottom w:val="none" w:sz="0" w:space="0" w:color="auto"/>
                <w:right w:val="none" w:sz="0" w:space="0" w:color="auto"/>
              </w:divBdr>
            </w:div>
            <w:div w:id="1522082703">
              <w:marLeft w:val="0"/>
              <w:marRight w:val="0"/>
              <w:marTop w:val="0"/>
              <w:marBottom w:val="0"/>
              <w:divBdr>
                <w:top w:val="none" w:sz="0" w:space="0" w:color="auto"/>
                <w:left w:val="none" w:sz="0" w:space="0" w:color="auto"/>
                <w:bottom w:val="none" w:sz="0" w:space="0" w:color="auto"/>
                <w:right w:val="none" w:sz="0" w:space="0" w:color="auto"/>
              </w:divBdr>
            </w:div>
            <w:div w:id="646007335">
              <w:marLeft w:val="0"/>
              <w:marRight w:val="0"/>
              <w:marTop w:val="0"/>
              <w:marBottom w:val="0"/>
              <w:divBdr>
                <w:top w:val="none" w:sz="0" w:space="0" w:color="auto"/>
                <w:left w:val="none" w:sz="0" w:space="0" w:color="auto"/>
                <w:bottom w:val="none" w:sz="0" w:space="0" w:color="auto"/>
                <w:right w:val="none" w:sz="0" w:space="0" w:color="auto"/>
              </w:divBdr>
            </w:div>
            <w:div w:id="1757048918">
              <w:marLeft w:val="0"/>
              <w:marRight w:val="0"/>
              <w:marTop w:val="0"/>
              <w:marBottom w:val="0"/>
              <w:divBdr>
                <w:top w:val="none" w:sz="0" w:space="0" w:color="auto"/>
                <w:left w:val="none" w:sz="0" w:space="0" w:color="auto"/>
                <w:bottom w:val="none" w:sz="0" w:space="0" w:color="auto"/>
                <w:right w:val="none" w:sz="0" w:space="0" w:color="auto"/>
              </w:divBdr>
            </w:div>
            <w:div w:id="1137336467">
              <w:marLeft w:val="0"/>
              <w:marRight w:val="0"/>
              <w:marTop w:val="0"/>
              <w:marBottom w:val="0"/>
              <w:divBdr>
                <w:top w:val="none" w:sz="0" w:space="0" w:color="auto"/>
                <w:left w:val="none" w:sz="0" w:space="0" w:color="auto"/>
                <w:bottom w:val="none" w:sz="0" w:space="0" w:color="auto"/>
                <w:right w:val="none" w:sz="0" w:space="0" w:color="auto"/>
              </w:divBdr>
            </w:div>
            <w:div w:id="31275785">
              <w:marLeft w:val="0"/>
              <w:marRight w:val="0"/>
              <w:marTop w:val="0"/>
              <w:marBottom w:val="0"/>
              <w:divBdr>
                <w:top w:val="none" w:sz="0" w:space="0" w:color="auto"/>
                <w:left w:val="none" w:sz="0" w:space="0" w:color="auto"/>
                <w:bottom w:val="none" w:sz="0" w:space="0" w:color="auto"/>
                <w:right w:val="none" w:sz="0" w:space="0" w:color="auto"/>
              </w:divBdr>
            </w:div>
            <w:div w:id="1480927436">
              <w:marLeft w:val="0"/>
              <w:marRight w:val="0"/>
              <w:marTop w:val="0"/>
              <w:marBottom w:val="0"/>
              <w:divBdr>
                <w:top w:val="none" w:sz="0" w:space="0" w:color="auto"/>
                <w:left w:val="none" w:sz="0" w:space="0" w:color="auto"/>
                <w:bottom w:val="none" w:sz="0" w:space="0" w:color="auto"/>
                <w:right w:val="none" w:sz="0" w:space="0" w:color="auto"/>
              </w:divBdr>
            </w:div>
            <w:div w:id="633484781">
              <w:marLeft w:val="0"/>
              <w:marRight w:val="0"/>
              <w:marTop w:val="0"/>
              <w:marBottom w:val="0"/>
              <w:divBdr>
                <w:top w:val="none" w:sz="0" w:space="0" w:color="auto"/>
                <w:left w:val="none" w:sz="0" w:space="0" w:color="auto"/>
                <w:bottom w:val="none" w:sz="0" w:space="0" w:color="auto"/>
                <w:right w:val="none" w:sz="0" w:space="0" w:color="auto"/>
              </w:divBdr>
            </w:div>
            <w:div w:id="1554927920">
              <w:marLeft w:val="0"/>
              <w:marRight w:val="0"/>
              <w:marTop w:val="0"/>
              <w:marBottom w:val="0"/>
              <w:divBdr>
                <w:top w:val="none" w:sz="0" w:space="0" w:color="auto"/>
                <w:left w:val="none" w:sz="0" w:space="0" w:color="auto"/>
                <w:bottom w:val="none" w:sz="0" w:space="0" w:color="auto"/>
                <w:right w:val="none" w:sz="0" w:space="0" w:color="auto"/>
              </w:divBdr>
            </w:div>
            <w:div w:id="1173954862">
              <w:marLeft w:val="0"/>
              <w:marRight w:val="0"/>
              <w:marTop w:val="0"/>
              <w:marBottom w:val="0"/>
              <w:divBdr>
                <w:top w:val="none" w:sz="0" w:space="0" w:color="auto"/>
                <w:left w:val="none" w:sz="0" w:space="0" w:color="auto"/>
                <w:bottom w:val="none" w:sz="0" w:space="0" w:color="auto"/>
                <w:right w:val="none" w:sz="0" w:space="0" w:color="auto"/>
              </w:divBdr>
            </w:div>
            <w:div w:id="2049328060">
              <w:marLeft w:val="0"/>
              <w:marRight w:val="0"/>
              <w:marTop w:val="0"/>
              <w:marBottom w:val="0"/>
              <w:divBdr>
                <w:top w:val="none" w:sz="0" w:space="0" w:color="auto"/>
                <w:left w:val="none" w:sz="0" w:space="0" w:color="auto"/>
                <w:bottom w:val="none" w:sz="0" w:space="0" w:color="auto"/>
                <w:right w:val="none" w:sz="0" w:space="0" w:color="auto"/>
              </w:divBdr>
            </w:div>
            <w:div w:id="280382765">
              <w:marLeft w:val="0"/>
              <w:marRight w:val="0"/>
              <w:marTop w:val="0"/>
              <w:marBottom w:val="0"/>
              <w:divBdr>
                <w:top w:val="none" w:sz="0" w:space="0" w:color="auto"/>
                <w:left w:val="none" w:sz="0" w:space="0" w:color="auto"/>
                <w:bottom w:val="none" w:sz="0" w:space="0" w:color="auto"/>
                <w:right w:val="none" w:sz="0" w:space="0" w:color="auto"/>
              </w:divBdr>
            </w:div>
            <w:div w:id="1577007747">
              <w:marLeft w:val="0"/>
              <w:marRight w:val="0"/>
              <w:marTop w:val="0"/>
              <w:marBottom w:val="0"/>
              <w:divBdr>
                <w:top w:val="none" w:sz="0" w:space="0" w:color="auto"/>
                <w:left w:val="none" w:sz="0" w:space="0" w:color="auto"/>
                <w:bottom w:val="none" w:sz="0" w:space="0" w:color="auto"/>
                <w:right w:val="none" w:sz="0" w:space="0" w:color="auto"/>
              </w:divBdr>
            </w:div>
            <w:div w:id="1287809950">
              <w:marLeft w:val="0"/>
              <w:marRight w:val="0"/>
              <w:marTop w:val="0"/>
              <w:marBottom w:val="0"/>
              <w:divBdr>
                <w:top w:val="none" w:sz="0" w:space="0" w:color="auto"/>
                <w:left w:val="none" w:sz="0" w:space="0" w:color="auto"/>
                <w:bottom w:val="none" w:sz="0" w:space="0" w:color="auto"/>
                <w:right w:val="none" w:sz="0" w:space="0" w:color="auto"/>
              </w:divBdr>
            </w:div>
            <w:div w:id="667557155">
              <w:marLeft w:val="0"/>
              <w:marRight w:val="0"/>
              <w:marTop w:val="0"/>
              <w:marBottom w:val="0"/>
              <w:divBdr>
                <w:top w:val="none" w:sz="0" w:space="0" w:color="auto"/>
                <w:left w:val="none" w:sz="0" w:space="0" w:color="auto"/>
                <w:bottom w:val="none" w:sz="0" w:space="0" w:color="auto"/>
                <w:right w:val="none" w:sz="0" w:space="0" w:color="auto"/>
              </w:divBdr>
            </w:div>
            <w:div w:id="1274165249">
              <w:marLeft w:val="0"/>
              <w:marRight w:val="0"/>
              <w:marTop w:val="0"/>
              <w:marBottom w:val="0"/>
              <w:divBdr>
                <w:top w:val="none" w:sz="0" w:space="0" w:color="auto"/>
                <w:left w:val="none" w:sz="0" w:space="0" w:color="auto"/>
                <w:bottom w:val="none" w:sz="0" w:space="0" w:color="auto"/>
                <w:right w:val="none" w:sz="0" w:space="0" w:color="auto"/>
              </w:divBdr>
            </w:div>
            <w:div w:id="156699216">
              <w:marLeft w:val="0"/>
              <w:marRight w:val="0"/>
              <w:marTop w:val="0"/>
              <w:marBottom w:val="0"/>
              <w:divBdr>
                <w:top w:val="none" w:sz="0" w:space="0" w:color="auto"/>
                <w:left w:val="none" w:sz="0" w:space="0" w:color="auto"/>
                <w:bottom w:val="none" w:sz="0" w:space="0" w:color="auto"/>
                <w:right w:val="none" w:sz="0" w:space="0" w:color="auto"/>
              </w:divBdr>
            </w:div>
            <w:div w:id="485510104">
              <w:marLeft w:val="0"/>
              <w:marRight w:val="0"/>
              <w:marTop w:val="0"/>
              <w:marBottom w:val="0"/>
              <w:divBdr>
                <w:top w:val="none" w:sz="0" w:space="0" w:color="auto"/>
                <w:left w:val="none" w:sz="0" w:space="0" w:color="auto"/>
                <w:bottom w:val="none" w:sz="0" w:space="0" w:color="auto"/>
                <w:right w:val="none" w:sz="0" w:space="0" w:color="auto"/>
              </w:divBdr>
            </w:div>
            <w:div w:id="841893575">
              <w:marLeft w:val="0"/>
              <w:marRight w:val="0"/>
              <w:marTop w:val="0"/>
              <w:marBottom w:val="0"/>
              <w:divBdr>
                <w:top w:val="none" w:sz="0" w:space="0" w:color="auto"/>
                <w:left w:val="none" w:sz="0" w:space="0" w:color="auto"/>
                <w:bottom w:val="none" w:sz="0" w:space="0" w:color="auto"/>
                <w:right w:val="none" w:sz="0" w:space="0" w:color="auto"/>
              </w:divBdr>
            </w:div>
            <w:div w:id="1354107399">
              <w:marLeft w:val="0"/>
              <w:marRight w:val="0"/>
              <w:marTop w:val="0"/>
              <w:marBottom w:val="0"/>
              <w:divBdr>
                <w:top w:val="none" w:sz="0" w:space="0" w:color="auto"/>
                <w:left w:val="none" w:sz="0" w:space="0" w:color="auto"/>
                <w:bottom w:val="none" w:sz="0" w:space="0" w:color="auto"/>
                <w:right w:val="none" w:sz="0" w:space="0" w:color="auto"/>
              </w:divBdr>
            </w:div>
            <w:div w:id="931358047">
              <w:marLeft w:val="0"/>
              <w:marRight w:val="0"/>
              <w:marTop w:val="0"/>
              <w:marBottom w:val="0"/>
              <w:divBdr>
                <w:top w:val="none" w:sz="0" w:space="0" w:color="auto"/>
                <w:left w:val="none" w:sz="0" w:space="0" w:color="auto"/>
                <w:bottom w:val="none" w:sz="0" w:space="0" w:color="auto"/>
                <w:right w:val="none" w:sz="0" w:space="0" w:color="auto"/>
              </w:divBdr>
            </w:div>
            <w:div w:id="23139045">
              <w:marLeft w:val="0"/>
              <w:marRight w:val="0"/>
              <w:marTop w:val="0"/>
              <w:marBottom w:val="0"/>
              <w:divBdr>
                <w:top w:val="none" w:sz="0" w:space="0" w:color="auto"/>
                <w:left w:val="none" w:sz="0" w:space="0" w:color="auto"/>
                <w:bottom w:val="none" w:sz="0" w:space="0" w:color="auto"/>
                <w:right w:val="none" w:sz="0" w:space="0" w:color="auto"/>
              </w:divBdr>
            </w:div>
            <w:div w:id="1534033058">
              <w:marLeft w:val="0"/>
              <w:marRight w:val="0"/>
              <w:marTop w:val="0"/>
              <w:marBottom w:val="0"/>
              <w:divBdr>
                <w:top w:val="none" w:sz="0" w:space="0" w:color="auto"/>
                <w:left w:val="none" w:sz="0" w:space="0" w:color="auto"/>
                <w:bottom w:val="none" w:sz="0" w:space="0" w:color="auto"/>
                <w:right w:val="none" w:sz="0" w:space="0" w:color="auto"/>
              </w:divBdr>
            </w:div>
            <w:div w:id="1919435319">
              <w:marLeft w:val="0"/>
              <w:marRight w:val="0"/>
              <w:marTop w:val="0"/>
              <w:marBottom w:val="0"/>
              <w:divBdr>
                <w:top w:val="none" w:sz="0" w:space="0" w:color="auto"/>
                <w:left w:val="none" w:sz="0" w:space="0" w:color="auto"/>
                <w:bottom w:val="none" w:sz="0" w:space="0" w:color="auto"/>
                <w:right w:val="none" w:sz="0" w:space="0" w:color="auto"/>
              </w:divBdr>
            </w:div>
            <w:div w:id="1485243154">
              <w:marLeft w:val="0"/>
              <w:marRight w:val="0"/>
              <w:marTop w:val="0"/>
              <w:marBottom w:val="0"/>
              <w:divBdr>
                <w:top w:val="none" w:sz="0" w:space="0" w:color="auto"/>
                <w:left w:val="none" w:sz="0" w:space="0" w:color="auto"/>
                <w:bottom w:val="none" w:sz="0" w:space="0" w:color="auto"/>
                <w:right w:val="none" w:sz="0" w:space="0" w:color="auto"/>
              </w:divBdr>
            </w:div>
            <w:div w:id="1529290139">
              <w:marLeft w:val="0"/>
              <w:marRight w:val="0"/>
              <w:marTop w:val="0"/>
              <w:marBottom w:val="0"/>
              <w:divBdr>
                <w:top w:val="none" w:sz="0" w:space="0" w:color="auto"/>
                <w:left w:val="none" w:sz="0" w:space="0" w:color="auto"/>
                <w:bottom w:val="none" w:sz="0" w:space="0" w:color="auto"/>
                <w:right w:val="none" w:sz="0" w:space="0" w:color="auto"/>
              </w:divBdr>
            </w:div>
            <w:div w:id="1670206835">
              <w:marLeft w:val="0"/>
              <w:marRight w:val="0"/>
              <w:marTop w:val="0"/>
              <w:marBottom w:val="0"/>
              <w:divBdr>
                <w:top w:val="none" w:sz="0" w:space="0" w:color="auto"/>
                <w:left w:val="none" w:sz="0" w:space="0" w:color="auto"/>
                <w:bottom w:val="none" w:sz="0" w:space="0" w:color="auto"/>
                <w:right w:val="none" w:sz="0" w:space="0" w:color="auto"/>
              </w:divBdr>
            </w:div>
            <w:div w:id="1163400804">
              <w:marLeft w:val="0"/>
              <w:marRight w:val="0"/>
              <w:marTop w:val="0"/>
              <w:marBottom w:val="0"/>
              <w:divBdr>
                <w:top w:val="none" w:sz="0" w:space="0" w:color="auto"/>
                <w:left w:val="none" w:sz="0" w:space="0" w:color="auto"/>
                <w:bottom w:val="none" w:sz="0" w:space="0" w:color="auto"/>
                <w:right w:val="none" w:sz="0" w:space="0" w:color="auto"/>
              </w:divBdr>
            </w:div>
            <w:div w:id="305857640">
              <w:marLeft w:val="0"/>
              <w:marRight w:val="0"/>
              <w:marTop w:val="0"/>
              <w:marBottom w:val="0"/>
              <w:divBdr>
                <w:top w:val="none" w:sz="0" w:space="0" w:color="auto"/>
                <w:left w:val="none" w:sz="0" w:space="0" w:color="auto"/>
                <w:bottom w:val="none" w:sz="0" w:space="0" w:color="auto"/>
                <w:right w:val="none" w:sz="0" w:space="0" w:color="auto"/>
              </w:divBdr>
            </w:div>
            <w:div w:id="639579174">
              <w:marLeft w:val="0"/>
              <w:marRight w:val="0"/>
              <w:marTop w:val="0"/>
              <w:marBottom w:val="0"/>
              <w:divBdr>
                <w:top w:val="none" w:sz="0" w:space="0" w:color="auto"/>
                <w:left w:val="none" w:sz="0" w:space="0" w:color="auto"/>
                <w:bottom w:val="none" w:sz="0" w:space="0" w:color="auto"/>
                <w:right w:val="none" w:sz="0" w:space="0" w:color="auto"/>
              </w:divBdr>
            </w:div>
            <w:div w:id="631207907">
              <w:marLeft w:val="0"/>
              <w:marRight w:val="0"/>
              <w:marTop w:val="0"/>
              <w:marBottom w:val="0"/>
              <w:divBdr>
                <w:top w:val="none" w:sz="0" w:space="0" w:color="auto"/>
                <w:left w:val="none" w:sz="0" w:space="0" w:color="auto"/>
                <w:bottom w:val="none" w:sz="0" w:space="0" w:color="auto"/>
                <w:right w:val="none" w:sz="0" w:space="0" w:color="auto"/>
              </w:divBdr>
            </w:div>
            <w:div w:id="1915776919">
              <w:marLeft w:val="0"/>
              <w:marRight w:val="0"/>
              <w:marTop w:val="0"/>
              <w:marBottom w:val="0"/>
              <w:divBdr>
                <w:top w:val="none" w:sz="0" w:space="0" w:color="auto"/>
                <w:left w:val="none" w:sz="0" w:space="0" w:color="auto"/>
                <w:bottom w:val="none" w:sz="0" w:space="0" w:color="auto"/>
                <w:right w:val="none" w:sz="0" w:space="0" w:color="auto"/>
              </w:divBdr>
            </w:div>
            <w:div w:id="499270599">
              <w:marLeft w:val="0"/>
              <w:marRight w:val="0"/>
              <w:marTop w:val="0"/>
              <w:marBottom w:val="0"/>
              <w:divBdr>
                <w:top w:val="none" w:sz="0" w:space="0" w:color="auto"/>
                <w:left w:val="none" w:sz="0" w:space="0" w:color="auto"/>
                <w:bottom w:val="none" w:sz="0" w:space="0" w:color="auto"/>
                <w:right w:val="none" w:sz="0" w:space="0" w:color="auto"/>
              </w:divBdr>
            </w:div>
            <w:div w:id="1328560870">
              <w:marLeft w:val="0"/>
              <w:marRight w:val="0"/>
              <w:marTop w:val="0"/>
              <w:marBottom w:val="0"/>
              <w:divBdr>
                <w:top w:val="none" w:sz="0" w:space="0" w:color="auto"/>
                <w:left w:val="none" w:sz="0" w:space="0" w:color="auto"/>
                <w:bottom w:val="none" w:sz="0" w:space="0" w:color="auto"/>
                <w:right w:val="none" w:sz="0" w:space="0" w:color="auto"/>
              </w:divBdr>
            </w:div>
            <w:div w:id="744104252">
              <w:marLeft w:val="0"/>
              <w:marRight w:val="0"/>
              <w:marTop w:val="0"/>
              <w:marBottom w:val="0"/>
              <w:divBdr>
                <w:top w:val="none" w:sz="0" w:space="0" w:color="auto"/>
                <w:left w:val="none" w:sz="0" w:space="0" w:color="auto"/>
                <w:bottom w:val="none" w:sz="0" w:space="0" w:color="auto"/>
                <w:right w:val="none" w:sz="0" w:space="0" w:color="auto"/>
              </w:divBdr>
            </w:div>
            <w:div w:id="194274091">
              <w:marLeft w:val="0"/>
              <w:marRight w:val="0"/>
              <w:marTop w:val="0"/>
              <w:marBottom w:val="0"/>
              <w:divBdr>
                <w:top w:val="none" w:sz="0" w:space="0" w:color="auto"/>
                <w:left w:val="none" w:sz="0" w:space="0" w:color="auto"/>
                <w:bottom w:val="none" w:sz="0" w:space="0" w:color="auto"/>
                <w:right w:val="none" w:sz="0" w:space="0" w:color="auto"/>
              </w:divBdr>
            </w:div>
            <w:div w:id="157498668">
              <w:marLeft w:val="0"/>
              <w:marRight w:val="0"/>
              <w:marTop w:val="0"/>
              <w:marBottom w:val="0"/>
              <w:divBdr>
                <w:top w:val="none" w:sz="0" w:space="0" w:color="auto"/>
                <w:left w:val="none" w:sz="0" w:space="0" w:color="auto"/>
                <w:bottom w:val="none" w:sz="0" w:space="0" w:color="auto"/>
                <w:right w:val="none" w:sz="0" w:space="0" w:color="auto"/>
              </w:divBdr>
            </w:div>
            <w:div w:id="1566379651">
              <w:marLeft w:val="0"/>
              <w:marRight w:val="0"/>
              <w:marTop w:val="0"/>
              <w:marBottom w:val="0"/>
              <w:divBdr>
                <w:top w:val="none" w:sz="0" w:space="0" w:color="auto"/>
                <w:left w:val="none" w:sz="0" w:space="0" w:color="auto"/>
                <w:bottom w:val="none" w:sz="0" w:space="0" w:color="auto"/>
                <w:right w:val="none" w:sz="0" w:space="0" w:color="auto"/>
              </w:divBdr>
            </w:div>
            <w:div w:id="1231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5319">
      <w:marLeft w:val="0"/>
      <w:marRight w:val="0"/>
      <w:marTop w:val="0"/>
      <w:marBottom w:val="0"/>
      <w:divBdr>
        <w:top w:val="none" w:sz="0" w:space="0" w:color="auto"/>
        <w:left w:val="none" w:sz="0" w:space="0" w:color="auto"/>
        <w:bottom w:val="none" w:sz="0" w:space="0" w:color="auto"/>
        <w:right w:val="none" w:sz="0" w:space="0" w:color="auto"/>
      </w:divBdr>
      <w:divsChild>
        <w:div w:id="2003048876">
          <w:marLeft w:val="0"/>
          <w:marRight w:val="0"/>
          <w:marTop w:val="0"/>
          <w:marBottom w:val="0"/>
          <w:divBdr>
            <w:top w:val="none" w:sz="0" w:space="0" w:color="auto"/>
            <w:left w:val="none" w:sz="0" w:space="0" w:color="auto"/>
            <w:bottom w:val="none" w:sz="0" w:space="0" w:color="auto"/>
            <w:right w:val="none" w:sz="0" w:space="0" w:color="auto"/>
          </w:divBdr>
        </w:div>
      </w:divsChild>
    </w:div>
    <w:div w:id="1708484154">
      <w:marLeft w:val="0"/>
      <w:marRight w:val="0"/>
      <w:marTop w:val="0"/>
      <w:marBottom w:val="0"/>
      <w:divBdr>
        <w:top w:val="none" w:sz="0" w:space="0" w:color="auto"/>
        <w:left w:val="none" w:sz="0" w:space="0" w:color="auto"/>
        <w:bottom w:val="none" w:sz="0" w:space="0" w:color="auto"/>
        <w:right w:val="none" w:sz="0" w:space="0" w:color="auto"/>
      </w:divBdr>
      <w:divsChild>
        <w:div w:id="893349485">
          <w:marLeft w:val="0"/>
          <w:marRight w:val="0"/>
          <w:marTop w:val="0"/>
          <w:marBottom w:val="0"/>
          <w:divBdr>
            <w:top w:val="none" w:sz="0" w:space="0" w:color="auto"/>
            <w:left w:val="none" w:sz="0" w:space="0" w:color="auto"/>
            <w:bottom w:val="none" w:sz="0" w:space="0" w:color="auto"/>
            <w:right w:val="none" w:sz="0" w:space="0" w:color="auto"/>
          </w:divBdr>
        </w:div>
      </w:divsChild>
    </w:div>
    <w:div w:id="1715083446">
      <w:marLeft w:val="0"/>
      <w:marRight w:val="0"/>
      <w:marTop w:val="0"/>
      <w:marBottom w:val="0"/>
      <w:divBdr>
        <w:top w:val="none" w:sz="0" w:space="0" w:color="auto"/>
        <w:left w:val="none" w:sz="0" w:space="0" w:color="auto"/>
        <w:bottom w:val="none" w:sz="0" w:space="0" w:color="auto"/>
        <w:right w:val="none" w:sz="0" w:space="0" w:color="auto"/>
      </w:divBdr>
      <w:divsChild>
        <w:div w:id="1002395083">
          <w:marLeft w:val="0"/>
          <w:marRight w:val="0"/>
          <w:marTop w:val="0"/>
          <w:marBottom w:val="0"/>
          <w:divBdr>
            <w:top w:val="none" w:sz="0" w:space="0" w:color="auto"/>
            <w:left w:val="none" w:sz="0" w:space="0" w:color="auto"/>
            <w:bottom w:val="none" w:sz="0" w:space="0" w:color="auto"/>
            <w:right w:val="none" w:sz="0" w:space="0" w:color="auto"/>
          </w:divBdr>
        </w:div>
      </w:divsChild>
    </w:div>
    <w:div w:id="1715227619">
      <w:bodyDiv w:val="1"/>
      <w:marLeft w:val="0"/>
      <w:marRight w:val="0"/>
      <w:marTop w:val="0"/>
      <w:marBottom w:val="0"/>
      <w:divBdr>
        <w:top w:val="none" w:sz="0" w:space="0" w:color="auto"/>
        <w:left w:val="none" w:sz="0" w:space="0" w:color="auto"/>
        <w:bottom w:val="none" w:sz="0" w:space="0" w:color="auto"/>
        <w:right w:val="none" w:sz="0" w:space="0" w:color="auto"/>
      </w:divBdr>
    </w:div>
    <w:div w:id="1716735021">
      <w:bodyDiv w:val="1"/>
      <w:marLeft w:val="0"/>
      <w:marRight w:val="0"/>
      <w:marTop w:val="0"/>
      <w:marBottom w:val="0"/>
      <w:divBdr>
        <w:top w:val="none" w:sz="0" w:space="0" w:color="auto"/>
        <w:left w:val="none" w:sz="0" w:space="0" w:color="auto"/>
        <w:bottom w:val="none" w:sz="0" w:space="0" w:color="auto"/>
        <w:right w:val="none" w:sz="0" w:space="0" w:color="auto"/>
      </w:divBdr>
    </w:div>
    <w:div w:id="1719742233">
      <w:marLeft w:val="0"/>
      <w:marRight w:val="0"/>
      <w:marTop w:val="0"/>
      <w:marBottom w:val="0"/>
      <w:divBdr>
        <w:top w:val="none" w:sz="0" w:space="0" w:color="auto"/>
        <w:left w:val="none" w:sz="0" w:space="0" w:color="auto"/>
        <w:bottom w:val="none" w:sz="0" w:space="0" w:color="auto"/>
        <w:right w:val="none" w:sz="0" w:space="0" w:color="auto"/>
      </w:divBdr>
      <w:divsChild>
        <w:div w:id="2019845907">
          <w:marLeft w:val="0"/>
          <w:marRight w:val="0"/>
          <w:marTop w:val="0"/>
          <w:marBottom w:val="0"/>
          <w:divBdr>
            <w:top w:val="none" w:sz="0" w:space="0" w:color="auto"/>
            <w:left w:val="none" w:sz="0" w:space="0" w:color="auto"/>
            <w:bottom w:val="none" w:sz="0" w:space="0" w:color="auto"/>
            <w:right w:val="none" w:sz="0" w:space="0" w:color="auto"/>
          </w:divBdr>
        </w:div>
      </w:divsChild>
    </w:div>
    <w:div w:id="1723290267">
      <w:bodyDiv w:val="1"/>
      <w:marLeft w:val="0"/>
      <w:marRight w:val="0"/>
      <w:marTop w:val="0"/>
      <w:marBottom w:val="0"/>
      <w:divBdr>
        <w:top w:val="none" w:sz="0" w:space="0" w:color="auto"/>
        <w:left w:val="none" w:sz="0" w:space="0" w:color="auto"/>
        <w:bottom w:val="none" w:sz="0" w:space="0" w:color="auto"/>
        <w:right w:val="none" w:sz="0" w:space="0" w:color="auto"/>
      </w:divBdr>
    </w:div>
    <w:div w:id="1724401867">
      <w:bodyDiv w:val="1"/>
      <w:marLeft w:val="0"/>
      <w:marRight w:val="0"/>
      <w:marTop w:val="0"/>
      <w:marBottom w:val="0"/>
      <w:divBdr>
        <w:top w:val="none" w:sz="0" w:space="0" w:color="auto"/>
        <w:left w:val="none" w:sz="0" w:space="0" w:color="auto"/>
        <w:bottom w:val="none" w:sz="0" w:space="0" w:color="auto"/>
        <w:right w:val="none" w:sz="0" w:space="0" w:color="auto"/>
      </w:divBdr>
    </w:div>
    <w:div w:id="1726178777">
      <w:bodyDiv w:val="1"/>
      <w:marLeft w:val="0"/>
      <w:marRight w:val="0"/>
      <w:marTop w:val="0"/>
      <w:marBottom w:val="0"/>
      <w:divBdr>
        <w:top w:val="none" w:sz="0" w:space="0" w:color="auto"/>
        <w:left w:val="none" w:sz="0" w:space="0" w:color="auto"/>
        <w:bottom w:val="none" w:sz="0" w:space="0" w:color="auto"/>
        <w:right w:val="none" w:sz="0" w:space="0" w:color="auto"/>
      </w:divBdr>
    </w:div>
    <w:div w:id="1726292151">
      <w:marLeft w:val="0"/>
      <w:marRight w:val="0"/>
      <w:marTop w:val="0"/>
      <w:marBottom w:val="0"/>
      <w:divBdr>
        <w:top w:val="none" w:sz="0" w:space="0" w:color="auto"/>
        <w:left w:val="none" w:sz="0" w:space="0" w:color="auto"/>
        <w:bottom w:val="none" w:sz="0" w:space="0" w:color="auto"/>
        <w:right w:val="none" w:sz="0" w:space="0" w:color="auto"/>
      </w:divBdr>
      <w:divsChild>
        <w:div w:id="1656758787">
          <w:marLeft w:val="0"/>
          <w:marRight w:val="0"/>
          <w:marTop w:val="0"/>
          <w:marBottom w:val="0"/>
          <w:divBdr>
            <w:top w:val="none" w:sz="0" w:space="0" w:color="auto"/>
            <w:left w:val="none" w:sz="0" w:space="0" w:color="auto"/>
            <w:bottom w:val="none" w:sz="0" w:space="0" w:color="auto"/>
            <w:right w:val="none" w:sz="0" w:space="0" w:color="auto"/>
          </w:divBdr>
        </w:div>
      </w:divsChild>
    </w:div>
    <w:div w:id="1729575267">
      <w:marLeft w:val="0"/>
      <w:marRight w:val="0"/>
      <w:marTop w:val="0"/>
      <w:marBottom w:val="0"/>
      <w:divBdr>
        <w:top w:val="none" w:sz="0" w:space="0" w:color="auto"/>
        <w:left w:val="none" w:sz="0" w:space="0" w:color="auto"/>
        <w:bottom w:val="none" w:sz="0" w:space="0" w:color="auto"/>
        <w:right w:val="none" w:sz="0" w:space="0" w:color="auto"/>
      </w:divBdr>
      <w:divsChild>
        <w:div w:id="1713074210">
          <w:marLeft w:val="0"/>
          <w:marRight w:val="0"/>
          <w:marTop w:val="0"/>
          <w:marBottom w:val="0"/>
          <w:divBdr>
            <w:top w:val="none" w:sz="0" w:space="0" w:color="auto"/>
            <w:left w:val="none" w:sz="0" w:space="0" w:color="auto"/>
            <w:bottom w:val="none" w:sz="0" w:space="0" w:color="auto"/>
            <w:right w:val="none" w:sz="0" w:space="0" w:color="auto"/>
          </w:divBdr>
        </w:div>
      </w:divsChild>
    </w:div>
    <w:div w:id="1733196033">
      <w:bodyDiv w:val="1"/>
      <w:marLeft w:val="0"/>
      <w:marRight w:val="0"/>
      <w:marTop w:val="0"/>
      <w:marBottom w:val="0"/>
      <w:divBdr>
        <w:top w:val="none" w:sz="0" w:space="0" w:color="auto"/>
        <w:left w:val="none" w:sz="0" w:space="0" w:color="auto"/>
        <w:bottom w:val="none" w:sz="0" w:space="0" w:color="auto"/>
        <w:right w:val="none" w:sz="0" w:space="0" w:color="auto"/>
      </w:divBdr>
    </w:div>
    <w:div w:id="1736900804">
      <w:bodyDiv w:val="1"/>
      <w:marLeft w:val="0"/>
      <w:marRight w:val="0"/>
      <w:marTop w:val="0"/>
      <w:marBottom w:val="0"/>
      <w:divBdr>
        <w:top w:val="none" w:sz="0" w:space="0" w:color="auto"/>
        <w:left w:val="none" w:sz="0" w:space="0" w:color="auto"/>
        <w:bottom w:val="none" w:sz="0" w:space="0" w:color="auto"/>
        <w:right w:val="none" w:sz="0" w:space="0" w:color="auto"/>
      </w:divBdr>
    </w:div>
    <w:div w:id="1739012495">
      <w:bodyDiv w:val="1"/>
      <w:marLeft w:val="0"/>
      <w:marRight w:val="0"/>
      <w:marTop w:val="0"/>
      <w:marBottom w:val="0"/>
      <w:divBdr>
        <w:top w:val="none" w:sz="0" w:space="0" w:color="auto"/>
        <w:left w:val="none" w:sz="0" w:space="0" w:color="auto"/>
        <w:bottom w:val="none" w:sz="0" w:space="0" w:color="auto"/>
        <w:right w:val="none" w:sz="0" w:space="0" w:color="auto"/>
      </w:divBdr>
    </w:div>
    <w:div w:id="1739597823">
      <w:bodyDiv w:val="1"/>
      <w:marLeft w:val="0"/>
      <w:marRight w:val="0"/>
      <w:marTop w:val="0"/>
      <w:marBottom w:val="0"/>
      <w:divBdr>
        <w:top w:val="none" w:sz="0" w:space="0" w:color="auto"/>
        <w:left w:val="none" w:sz="0" w:space="0" w:color="auto"/>
        <w:bottom w:val="none" w:sz="0" w:space="0" w:color="auto"/>
        <w:right w:val="none" w:sz="0" w:space="0" w:color="auto"/>
      </w:divBdr>
      <w:divsChild>
        <w:div w:id="128254668">
          <w:marLeft w:val="0"/>
          <w:marRight w:val="0"/>
          <w:marTop w:val="0"/>
          <w:marBottom w:val="0"/>
          <w:divBdr>
            <w:top w:val="none" w:sz="0" w:space="0" w:color="auto"/>
            <w:left w:val="none" w:sz="0" w:space="0" w:color="auto"/>
            <w:bottom w:val="none" w:sz="0" w:space="0" w:color="auto"/>
            <w:right w:val="none" w:sz="0" w:space="0" w:color="auto"/>
          </w:divBdr>
          <w:divsChild>
            <w:div w:id="1083452050">
              <w:marLeft w:val="0"/>
              <w:marRight w:val="0"/>
              <w:marTop w:val="0"/>
              <w:marBottom w:val="0"/>
              <w:divBdr>
                <w:top w:val="none" w:sz="0" w:space="0" w:color="auto"/>
                <w:left w:val="none" w:sz="0" w:space="0" w:color="auto"/>
                <w:bottom w:val="none" w:sz="0" w:space="0" w:color="auto"/>
                <w:right w:val="none" w:sz="0" w:space="0" w:color="auto"/>
              </w:divBdr>
            </w:div>
            <w:div w:id="1019430189">
              <w:marLeft w:val="0"/>
              <w:marRight w:val="0"/>
              <w:marTop w:val="0"/>
              <w:marBottom w:val="0"/>
              <w:divBdr>
                <w:top w:val="none" w:sz="0" w:space="0" w:color="auto"/>
                <w:left w:val="none" w:sz="0" w:space="0" w:color="auto"/>
                <w:bottom w:val="none" w:sz="0" w:space="0" w:color="auto"/>
                <w:right w:val="none" w:sz="0" w:space="0" w:color="auto"/>
              </w:divBdr>
            </w:div>
            <w:div w:id="2122067471">
              <w:marLeft w:val="0"/>
              <w:marRight w:val="0"/>
              <w:marTop w:val="0"/>
              <w:marBottom w:val="0"/>
              <w:divBdr>
                <w:top w:val="none" w:sz="0" w:space="0" w:color="auto"/>
                <w:left w:val="none" w:sz="0" w:space="0" w:color="auto"/>
                <w:bottom w:val="none" w:sz="0" w:space="0" w:color="auto"/>
                <w:right w:val="none" w:sz="0" w:space="0" w:color="auto"/>
              </w:divBdr>
            </w:div>
            <w:div w:id="2119988506">
              <w:marLeft w:val="0"/>
              <w:marRight w:val="0"/>
              <w:marTop w:val="0"/>
              <w:marBottom w:val="0"/>
              <w:divBdr>
                <w:top w:val="none" w:sz="0" w:space="0" w:color="auto"/>
                <w:left w:val="none" w:sz="0" w:space="0" w:color="auto"/>
                <w:bottom w:val="none" w:sz="0" w:space="0" w:color="auto"/>
                <w:right w:val="none" w:sz="0" w:space="0" w:color="auto"/>
              </w:divBdr>
            </w:div>
            <w:div w:id="525409917">
              <w:marLeft w:val="0"/>
              <w:marRight w:val="0"/>
              <w:marTop w:val="0"/>
              <w:marBottom w:val="0"/>
              <w:divBdr>
                <w:top w:val="none" w:sz="0" w:space="0" w:color="auto"/>
                <w:left w:val="none" w:sz="0" w:space="0" w:color="auto"/>
                <w:bottom w:val="none" w:sz="0" w:space="0" w:color="auto"/>
                <w:right w:val="none" w:sz="0" w:space="0" w:color="auto"/>
              </w:divBdr>
            </w:div>
            <w:div w:id="730999462">
              <w:marLeft w:val="0"/>
              <w:marRight w:val="0"/>
              <w:marTop w:val="0"/>
              <w:marBottom w:val="0"/>
              <w:divBdr>
                <w:top w:val="none" w:sz="0" w:space="0" w:color="auto"/>
                <w:left w:val="none" w:sz="0" w:space="0" w:color="auto"/>
                <w:bottom w:val="none" w:sz="0" w:space="0" w:color="auto"/>
                <w:right w:val="none" w:sz="0" w:space="0" w:color="auto"/>
              </w:divBdr>
            </w:div>
            <w:div w:id="863059447">
              <w:marLeft w:val="0"/>
              <w:marRight w:val="0"/>
              <w:marTop w:val="0"/>
              <w:marBottom w:val="0"/>
              <w:divBdr>
                <w:top w:val="none" w:sz="0" w:space="0" w:color="auto"/>
                <w:left w:val="none" w:sz="0" w:space="0" w:color="auto"/>
                <w:bottom w:val="none" w:sz="0" w:space="0" w:color="auto"/>
                <w:right w:val="none" w:sz="0" w:space="0" w:color="auto"/>
              </w:divBdr>
            </w:div>
            <w:div w:id="911814565">
              <w:marLeft w:val="0"/>
              <w:marRight w:val="0"/>
              <w:marTop w:val="0"/>
              <w:marBottom w:val="0"/>
              <w:divBdr>
                <w:top w:val="none" w:sz="0" w:space="0" w:color="auto"/>
                <w:left w:val="none" w:sz="0" w:space="0" w:color="auto"/>
                <w:bottom w:val="none" w:sz="0" w:space="0" w:color="auto"/>
                <w:right w:val="none" w:sz="0" w:space="0" w:color="auto"/>
              </w:divBdr>
            </w:div>
            <w:div w:id="1360813218">
              <w:marLeft w:val="0"/>
              <w:marRight w:val="0"/>
              <w:marTop w:val="0"/>
              <w:marBottom w:val="0"/>
              <w:divBdr>
                <w:top w:val="none" w:sz="0" w:space="0" w:color="auto"/>
                <w:left w:val="none" w:sz="0" w:space="0" w:color="auto"/>
                <w:bottom w:val="none" w:sz="0" w:space="0" w:color="auto"/>
                <w:right w:val="none" w:sz="0" w:space="0" w:color="auto"/>
              </w:divBdr>
            </w:div>
            <w:div w:id="1191332596">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1648317667">
              <w:marLeft w:val="0"/>
              <w:marRight w:val="0"/>
              <w:marTop w:val="0"/>
              <w:marBottom w:val="0"/>
              <w:divBdr>
                <w:top w:val="none" w:sz="0" w:space="0" w:color="auto"/>
                <w:left w:val="none" w:sz="0" w:space="0" w:color="auto"/>
                <w:bottom w:val="none" w:sz="0" w:space="0" w:color="auto"/>
                <w:right w:val="none" w:sz="0" w:space="0" w:color="auto"/>
              </w:divBdr>
            </w:div>
            <w:div w:id="463425597">
              <w:marLeft w:val="0"/>
              <w:marRight w:val="0"/>
              <w:marTop w:val="0"/>
              <w:marBottom w:val="0"/>
              <w:divBdr>
                <w:top w:val="none" w:sz="0" w:space="0" w:color="auto"/>
                <w:left w:val="none" w:sz="0" w:space="0" w:color="auto"/>
                <w:bottom w:val="none" w:sz="0" w:space="0" w:color="auto"/>
                <w:right w:val="none" w:sz="0" w:space="0" w:color="auto"/>
              </w:divBdr>
            </w:div>
            <w:div w:id="1261570322">
              <w:marLeft w:val="0"/>
              <w:marRight w:val="0"/>
              <w:marTop w:val="0"/>
              <w:marBottom w:val="0"/>
              <w:divBdr>
                <w:top w:val="none" w:sz="0" w:space="0" w:color="auto"/>
                <w:left w:val="none" w:sz="0" w:space="0" w:color="auto"/>
                <w:bottom w:val="none" w:sz="0" w:space="0" w:color="auto"/>
                <w:right w:val="none" w:sz="0" w:space="0" w:color="auto"/>
              </w:divBdr>
            </w:div>
            <w:div w:id="2049408105">
              <w:marLeft w:val="0"/>
              <w:marRight w:val="0"/>
              <w:marTop w:val="0"/>
              <w:marBottom w:val="0"/>
              <w:divBdr>
                <w:top w:val="none" w:sz="0" w:space="0" w:color="auto"/>
                <w:left w:val="none" w:sz="0" w:space="0" w:color="auto"/>
                <w:bottom w:val="none" w:sz="0" w:space="0" w:color="auto"/>
                <w:right w:val="none" w:sz="0" w:space="0" w:color="auto"/>
              </w:divBdr>
            </w:div>
            <w:div w:id="1877497575">
              <w:marLeft w:val="0"/>
              <w:marRight w:val="0"/>
              <w:marTop w:val="0"/>
              <w:marBottom w:val="0"/>
              <w:divBdr>
                <w:top w:val="none" w:sz="0" w:space="0" w:color="auto"/>
                <w:left w:val="none" w:sz="0" w:space="0" w:color="auto"/>
                <w:bottom w:val="none" w:sz="0" w:space="0" w:color="auto"/>
                <w:right w:val="none" w:sz="0" w:space="0" w:color="auto"/>
              </w:divBdr>
            </w:div>
            <w:div w:id="221136390">
              <w:marLeft w:val="0"/>
              <w:marRight w:val="0"/>
              <w:marTop w:val="0"/>
              <w:marBottom w:val="0"/>
              <w:divBdr>
                <w:top w:val="none" w:sz="0" w:space="0" w:color="auto"/>
                <w:left w:val="none" w:sz="0" w:space="0" w:color="auto"/>
                <w:bottom w:val="none" w:sz="0" w:space="0" w:color="auto"/>
                <w:right w:val="none" w:sz="0" w:space="0" w:color="auto"/>
              </w:divBdr>
            </w:div>
            <w:div w:id="1870488046">
              <w:marLeft w:val="0"/>
              <w:marRight w:val="0"/>
              <w:marTop w:val="0"/>
              <w:marBottom w:val="0"/>
              <w:divBdr>
                <w:top w:val="none" w:sz="0" w:space="0" w:color="auto"/>
                <w:left w:val="none" w:sz="0" w:space="0" w:color="auto"/>
                <w:bottom w:val="none" w:sz="0" w:space="0" w:color="auto"/>
                <w:right w:val="none" w:sz="0" w:space="0" w:color="auto"/>
              </w:divBdr>
            </w:div>
            <w:div w:id="2129465774">
              <w:marLeft w:val="0"/>
              <w:marRight w:val="0"/>
              <w:marTop w:val="0"/>
              <w:marBottom w:val="0"/>
              <w:divBdr>
                <w:top w:val="none" w:sz="0" w:space="0" w:color="auto"/>
                <w:left w:val="none" w:sz="0" w:space="0" w:color="auto"/>
                <w:bottom w:val="none" w:sz="0" w:space="0" w:color="auto"/>
                <w:right w:val="none" w:sz="0" w:space="0" w:color="auto"/>
              </w:divBdr>
            </w:div>
            <w:div w:id="1256326771">
              <w:marLeft w:val="0"/>
              <w:marRight w:val="0"/>
              <w:marTop w:val="0"/>
              <w:marBottom w:val="0"/>
              <w:divBdr>
                <w:top w:val="none" w:sz="0" w:space="0" w:color="auto"/>
                <w:left w:val="none" w:sz="0" w:space="0" w:color="auto"/>
                <w:bottom w:val="none" w:sz="0" w:space="0" w:color="auto"/>
                <w:right w:val="none" w:sz="0" w:space="0" w:color="auto"/>
              </w:divBdr>
            </w:div>
            <w:div w:id="20760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816">
      <w:marLeft w:val="0"/>
      <w:marRight w:val="150"/>
      <w:marTop w:val="0"/>
      <w:marBottom w:val="0"/>
      <w:divBdr>
        <w:top w:val="none" w:sz="0" w:space="0" w:color="auto"/>
        <w:left w:val="none" w:sz="0" w:space="0" w:color="auto"/>
        <w:bottom w:val="none" w:sz="0" w:space="0" w:color="auto"/>
        <w:right w:val="none" w:sz="0" w:space="0" w:color="auto"/>
      </w:divBdr>
      <w:divsChild>
        <w:div w:id="634944173">
          <w:marLeft w:val="0"/>
          <w:marRight w:val="150"/>
          <w:marTop w:val="0"/>
          <w:marBottom w:val="0"/>
          <w:divBdr>
            <w:top w:val="none" w:sz="0" w:space="0" w:color="auto"/>
            <w:left w:val="none" w:sz="0" w:space="0" w:color="auto"/>
            <w:bottom w:val="none" w:sz="0" w:space="0" w:color="auto"/>
            <w:right w:val="none" w:sz="0" w:space="0" w:color="auto"/>
          </w:divBdr>
        </w:div>
      </w:divsChild>
    </w:div>
    <w:div w:id="1754934329">
      <w:marLeft w:val="0"/>
      <w:marRight w:val="0"/>
      <w:marTop w:val="0"/>
      <w:marBottom w:val="0"/>
      <w:divBdr>
        <w:top w:val="none" w:sz="0" w:space="0" w:color="auto"/>
        <w:left w:val="none" w:sz="0" w:space="0" w:color="auto"/>
        <w:bottom w:val="none" w:sz="0" w:space="0" w:color="auto"/>
        <w:right w:val="none" w:sz="0" w:space="0" w:color="auto"/>
      </w:divBdr>
      <w:divsChild>
        <w:div w:id="794953501">
          <w:marLeft w:val="0"/>
          <w:marRight w:val="0"/>
          <w:marTop w:val="0"/>
          <w:marBottom w:val="0"/>
          <w:divBdr>
            <w:top w:val="none" w:sz="0" w:space="0" w:color="auto"/>
            <w:left w:val="none" w:sz="0" w:space="0" w:color="auto"/>
            <w:bottom w:val="none" w:sz="0" w:space="0" w:color="auto"/>
            <w:right w:val="none" w:sz="0" w:space="0" w:color="auto"/>
          </w:divBdr>
        </w:div>
      </w:divsChild>
    </w:div>
    <w:div w:id="1755855897">
      <w:marLeft w:val="0"/>
      <w:marRight w:val="0"/>
      <w:marTop w:val="0"/>
      <w:marBottom w:val="0"/>
      <w:divBdr>
        <w:top w:val="none" w:sz="0" w:space="0" w:color="auto"/>
        <w:left w:val="none" w:sz="0" w:space="0" w:color="auto"/>
        <w:bottom w:val="none" w:sz="0" w:space="0" w:color="auto"/>
        <w:right w:val="none" w:sz="0" w:space="0" w:color="auto"/>
      </w:divBdr>
      <w:divsChild>
        <w:div w:id="1027826327">
          <w:marLeft w:val="0"/>
          <w:marRight w:val="0"/>
          <w:marTop w:val="0"/>
          <w:marBottom w:val="0"/>
          <w:divBdr>
            <w:top w:val="none" w:sz="0" w:space="0" w:color="auto"/>
            <w:left w:val="none" w:sz="0" w:space="0" w:color="auto"/>
            <w:bottom w:val="none" w:sz="0" w:space="0" w:color="auto"/>
            <w:right w:val="none" w:sz="0" w:space="0" w:color="auto"/>
          </w:divBdr>
        </w:div>
      </w:divsChild>
    </w:div>
    <w:div w:id="1756826904">
      <w:bodyDiv w:val="1"/>
      <w:marLeft w:val="0"/>
      <w:marRight w:val="0"/>
      <w:marTop w:val="0"/>
      <w:marBottom w:val="0"/>
      <w:divBdr>
        <w:top w:val="none" w:sz="0" w:space="0" w:color="auto"/>
        <w:left w:val="none" w:sz="0" w:space="0" w:color="auto"/>
        <w:bottom w:val="none" w:sz="0" w:space="0" w:color="auto"/>
        <w:right w:val="none" w:sz="0" w:space="0" w:color="auto"/>
      </w:divBdr>
    </w:div>
    <w:div w:id="1758549928">
      <w:marLeft w:val="0"/>
      <w:marRight w:val="0"/>
      <w:marTop w:val="0"/>
      <w:marBottom w:val="0"/>
      <w:divBdr>
        <w:top w:val="none" w:sz="0" w:space="0" w:color="auto"/>
        <w:left w:val="none" w:sz="0" w:space="0" w:color="auto"/>
        <w:bottom w:val="none" w:sz="0" w:space="0" w:color="auto"/>
        <w:right w:val="none" w:sz="0" w:space="0" w:color="auto"/>
      </w:divBdr>
      <w:divsChild>
        <w:div w:id="1993484750">
          <w:marLeft w:val="0"/>
          <w:marRight w:val="0"/>
          <w:marTop w:val="0"/>
          <w:marBottom w:val="0"/>
          <w:divBdr>
            <w:top w:val="none" w:sz="0" w:space="0" w:color="auto"/>
            <w:left w:val="none" w:sz="0" w:space="0" w:color="auto"/>
            <w:bottom w:val="none" w:sz="0" w:space="0" w:color="auto"/>
            <w:right w:val="none" w:sz="0" w:space="0" w:color="auto"/>
          </w:divBdr>
        </w:div>
      </w:divsChild>
    </w:div>
    <w:div w:id="1760056250">
      <w:marLeft w:val="0"/>
      <w:marRight w:val="0"/>
      <w:marTop w:val="0"/>
      <w:marBottom w:val="0"/>
      <w:divBdr>
        <w:top w:val="none" w:sz="0" w:space="0" w:color="auto"/>
        <w:left w:val="none" w:sz="0" w:space="0" w:color="auto"/>
        <w:bottom w:val="none" w:sz="0" w:space="0" w:color="auto"/>
        <w:right w:val="none" w:sz="0" w:space="0" w:color="auto"/>
      </w:divBdr>
      <w:divsChild>
        <w:div w:id="589237615">
          <w:marLeft w:val="0"/>
          <w:marRight w:val="0"/>
          <w:marTop w:val="0"/>
          <w:marBottom w:val="0"/>
          <w:divBdr>
            <w:top w:val="none" w:sz="0" w:space="0" w:color="auto"/>
            <w:left w:val="none" w:sz="0" w:space="0" w:color="auto"/>
            <w:bottom w:val="none" w:sz="0" w:space="0" w:color="auto"/>
            <w:right w:val="none" w:sz="0" w:space="0" w:color="auto"/>
          </w:divBdr>
        </w:div>
      </w:divsChild>
    </w:div>
    <w:div w:id="1762337242">
      <w:bodyDiv w:val="1"/>
      <w:marLeft w:val="0"/>
      <w:marRight w:val="0"/>
      <w:marTop w:val="0"/>
      <w:marBottom w:val="0"/>
      <w:divBdr>
        <w:top w:val="none" w:sz="0" w:space="0" w:color="auto"/>
        <w:left w:val="none" w:sz="0" w:space="0" w:color="auto"/>
        <w:bottom w:val="none" w:sz="0" w:space="0" w:color="auto"/>
        <w:right w:val="none" w:sz="0" w:space="0" w:color="auto"/>
      </w:divBdr>
    </w:div>
    <w:div w:id="1765301009">
      <w:bodyDiv w:val="1"/>
      <w:marLeft w:val="0"/>
      <w:marRight w:val="0"/>
      <w:marTop w:val="0"/>
      <w:marBottom w:val="0"/>
      <w:divBdr>
        <w:top w:val="none" w:sz="0" w:space="0" w:color="auto"/>
        <w:left w:val="none" w:sz="0" w:space="0" w:color="auto"/>
        <w:bottom w:val="none" w:sz="0" w:space="0" w:color="auto"/>
        <w:right w:val="none" w:sz="0" w:space="0" w:color="auto"/>
      </w:divBdr>
    </w:div>
    <w:div w:id="1776713055">
      <w:marLeft w:val="0"/>
      <w:marRight w:val="150"/>
      <w:marTop w:val="0"/>
      <w:marBottom w:val="0"/>
      <w:divBdr>
        <w:top w:val="none" w:sz="0" w:space="0" w:color="auto"/>
        <w:left w:val="none" w:sz="0" w:space="0" w:color="auto"/>
        <w:bottom w:val="none" w:sz="0" w:space="0" w:color="auto"/>
        <w:right w:val="none" w:sz="0" w:space="0" w:color="auto"/>
      </w:divBdr>
      <w:divsChild>
        <w:div w:id="1673952034">
          <w:marLeft w:val="0"/>
          <w:marRight w:val="150"/>
          <w:marTop w:val="0"/>
          <w:marBottom w:val="0"/>
          <w:divBdr>
            <w:top w:val="none" w:sz="0" w:space="0" w:color="auto"/>
            <w:left w:val="none" w:sz="0" w:space="0" w:color="auto"/>
            <w:bottom w:val="none" w:sz="0" w:space="0" w:color="auto"/>
            <w:right w:val="none" w:sz="0" w:space="0" w:color="auto"/>
          </w:divBdr>
        </w:div>
      </w:divsChild>
    </w:div>
    <w:div w:id="1785462927">
      <w:marLeft w:val="0"/>
      <w:marRight w:val="0"/>
      <w:marTop w:val="0"/>
      <w:marBottom w:val="0"/>
      <w:divBdr>
        <w:top w:val="none" w:sz="0" w:space="0" w:color="auto"/>
        <w:left w:val="none" w:sz="0" w:space="0" w:color="auto"/>
        <w:bottom w:val="none" w:sz="0" w:space="0" w:color="auto"/>
        <w:right w:val="none" w:sz="0" w:space="0" w:color="auto"/>
      </w:divBdr>
      <w:divsChild>
        <w:div w:id="302463640">
          <w:marLeft w:val="0"/>
          <w:marRight w:val="0"/>
          <w:marTop w:val="0"/>
          <w:marBottom w:val="0"/>
          <w:divBdr>
            <w:top w:val="none" w:sz="0" w:space="0" w:color="auto"/>
            <w:left w:val="none" w:sz="0" w:space="0" w:color="auto"/>
            <w:bottom w:val="none" w:sz="0" w:space="0" w:color="auto"/>
            <w:right w:val="none" w:sz="0" w:space="0" w:color="auto"/>
          </w:divBdr>
        </w:div>
      </w:divsChild>
    </w:div>
    <w:div w:id="1788741304">
      <w:marLeft w:val="0"/>
      <w:marRight w:val="0"/>
      <w:marTop w:val="0"/>
      <w:marBottom w:val="0"/>
      <w:divBdr>
        <w:top w:val="none" w:sz="0" w:space="0" w:color="auto"/>
        <w:left w:val="none" w:sz="0" w:space="0" w:color="auto"/>
        <w:bottom w:val="none" w:sz="0" w:space="0" w:color="auto"/>
        <w:right w:val="none" w:sz="0" w:space="0" w:color="auto"/>
      </w:divBdr>
      <w:divsChild>
        <w:div w:id="1028264377">
          <w:marLeft w:val="0"/>
          <w:marRight w:val="0"/>
          <w:marTop w:val="0"/>
          <w:marBottom w:val="0"/>
          <w:divBdr>
            <w:top w:val="none" w:sz="0" w:space="0" w:color="auto"/>
            <w:left w:val="none" w:sz="0" w:space="0" w:color="auto"/>
            <w:bottom w:val="none" w:sz="0" w:space="0" w:color="auto"/>
            <w:right w:val="none" w:sz="0" w:space="0" w:color="auto"/>
          </w:divBdr>
        </w:div>
      </w:divsChild>
    </w:div>
    <w:div w:id="1789229480">
      <w:bodyDiv w:val="1"/>
      <w:marLeft w:val="0"/>
      <w:marRight w:val="0"/>
      <w:marTop w:val="0"/>
      <w:marBottom w:val="0"/>
      <w:divBdr>
        <w:top w:val="none" w:sz="0" w:space="0" w:color="auto"/>
        <w:left w:val="none" w:sz="0" w:space="0" w:color="auto"/>
        <w:bottom w:val="none" w:sz="0" w:space="0" w:color="auto"/>
        <w:right w:val="none" w:sz="0" w:space="0" w:color="auto"/>
      </w:divBdr>
    </w:div>
    <w:div w:id="1789818356">
      <w:bodyDiv w:val="1"/>
      <w:marLeft w:val="0"/>
      <w:marRight w:val="0"/>
      <w:marTop w:val="0"/>
      <w:marBottom w:val="0"/>
      <w:divBdr>
        <w:top w:val="none" w:sz="0" w:space="0" w:color="auto"/>
        <w:left w:val="none" w:sz="0" w:space="0" w:color="auto"/>
        <w:bottom w:val="none" w:sz="0" w:space="0" w:color="auto"/>
        <w:right w:val="none" w:sz="0" w:space="0" w:color="auto"/>
      </w:divBdr>
    </w:div>
    <w:div w:id="1794519572">
      <w:marLeft w:val="0"/>
      <w:marRight w:val="0"/>
      <w:marTop w:val="0"/>
      <w:marBottom w:val="0"/>
      <w:divBdr>
        <w:top w:val="none" w:sz="0" w:space="0" w:color="auto"/>
        <w:left w:val="none" w:sz="0" w:space="0" w:color="auto"/>
        <w:bottom w:val="none" w:sz="0" w:space="0" w:color="auto"/>
        <w:right w:val="none" w:sz="0" w:space="0" w:color="auto"/>
      </w:divBdr>
      <w:divsChild>
        <w:div w:id="228465932">
          <w:marLeft w:val="0"/>
          <w:marRight w:val="0"/>
          <w:marTop w:val="0"/>
          <w:marBottom w:val="0"/>
          <w:divBdr>
            <w:top w:val="none" w:sz="0" w:space="0" w:color="auto"/>
            <w:left w:val="none" w:sz="0" w:space="0" w:color="auto"/>
            <w:bottom w:val="none" w:sz="0" w:space="0" w:color="auto"/>
            <w:right w:val="none" w:sz="0" w:space="0" w:color="auto"/>
          </w:divBdr>
        </w:div>
      </w:divsChild>
    </w:div>
    <w:div w:id="1795639589">
      <w:bodyDiv w:val="1"/>
      <w:marLeft w:val="0"/>
      <w:marRight w:val="0"/>
      <w:marTop w:val="0"/>
      <w:marBottom w:val="0"/>
      <w:divBdr>
        <w:top w:val="none" w:sz="0" w:space="0" w:color="auto"/>
        <w:left w:val="none" w:sz="0" w:space="0" w:color="auto"/>
        <w:bottom w:val="none" w:sz="0" w:space="0" w:color="auto"/>
        <w:right w:val="none" w:sz="0" w:space="0" w:color="auto"/>
      </w:divBdr>
      <w:divsChild>
        <w:div w:id="51585799">
          <w:marLeft w:val="446"/>
          <w:marRight w:val="0"/>
          <w:marTop w:val="0"/>
          <w:marBottom w:val="0"/>
          <w:divBdr>
            <w:top w:val="none" w:sz="0" w:space="0" w:color="auto"/>
            <w:left w:val="none" w:sz="0" w:space="0" w:color="auto"/>
            <w:bottom w:val="none" w:sz="0" w:space="0" w:color="auto"/>
            <w:right w:val="none" w:sz="0" w:space="0" w:color="auto"/>
          </w:divBdr>
        </w:div>
        <w:div w:id="1567378977">
          <w:marLeft w:val="446"/>
          <w:marRight w:val="0"/>
          <w:marTop w:val="0"/>
          <w:marBottom w:val="0"/>
          <w:divBdr>
            <w:top w:val="none" w:sz="0" w:space="0" w:color="auto"/>
            <w:left w:val="none" w:sz="0" w:space="0" w:color="auto"/>
            <w:bottom w:val="none" w:sz="0" w:space="0" w:color="auto"/>
            <w:right w:val="none" w:sz="0" w:space="0" w:color="auto"/>
          </w:divBdr>
        </w:div>
        <w:div w:id="1636370180">
          <w:marLeft w:val="446"/>
          <w:marRight w:val="0"/>
          <w:marTop w:val="0"/>
          <w:marBottom w:val="0"/>
          <w:divBdr>
            <w:top w:val="none" w:sz="0" w:space="0" w:color="auto"/>
            <w:left w:val="none" w:sz="0" w:space="0" w:color="auto"/>
            <w:bottom w:val="none" w:sz="0" w:space="0" w:color="auto"/>
            <w:right w:val="none" w:sz="0" w:space="0" w:color="auto"/>
          </w:divBdr>
        </w:div>
        <w:div w:id="1664698509">
          <w:marLeft w:val="446"/>
          <w:marRight w:val="0"/>
          <w:marTop w:val="0"/>
          <w:marBottom w:val="0"/>
          <w:divBdr>
            <w:top w:val="none" w:sz="0" w:space="0" w:color="auto"/>
            <w:left w:val="none" w:sz="0" w:space="0" w:color="auto"/>
            <w:bottom w:val="none" w:sz="0" w:space="0" w:color="auto"/>
            <w:right w:val="none" w:sz="0" w:space="0" w:color="auto"/>
          </w:divBdr>
        </w:div>
        <w:div w:id="1836534571">
          <w:marLeft w:val="446"/>
          <w:marRight w:val="0"/>
          <w:marTop w:val="0"/>
          <w:marBottom w:val="0"/>
          <w:divBdr>
            <w:top w:val="none" w:sz="0" w:space="0" w:color="auto"/>
            <w:left w:val="none" w:sz="0" w:space="0" w:color="auto"/>
            <w:bottom w:val="none" w:sz="0" w:space="0" w:color="auto"/>
            <w:right w:val="none" w:sz="0" w:space="0" w:color="auto"/>
          </w:divBdr>
        </w:div>
        <w:div w:id="2138451370">
          <w:marLeft w:val="446"/>
          <w:marRight w:val="0"/>
          <w:marTop w:val="0"/>
          <w:marBottom w:val="0"/>
          <w:divBdr>
            <w:top w:val="none" w:sz="0" w:space="0" w:color="auto"/>
            <w:left w:val="none" w:sz="0" w:space="0" w:color="auto"/>
            <w:bottom w:val="none" w:sz="0" w:space="0" w:color="auto"/>
            <w:right w:val="none" w:sz="0" w:space="0" w:color="auto"/>
          </w:divBdr>
        </w:div>
      </w:divsChild>
    </w:div>
    <w:div w:id="1801537837">
      <w:bodyDiv w:val="1"/>
      <w:marLeft w:val="0"/>
      <w:marRight w:val="0"/>
      <w:marTop w:val="0"/>
      <w:marBottom w:val="0"/>
      <w:divBdr>
        <w:top w:val="none" w:sz="0" w:space="0" w:color="auto"/>
        <w:left w:val="none" w:sz="0" w:space="0" w:color="auto"/>
        <w:bottom w:val="none" w:sz="0" w:space="0" w:color="auto"/>
        <w:right w:val="none" w:sz="0" w:space="0" w:color="auto"/>
      </w:divBdr>
    </w:div>
    <w:div w:id="1801728489">
      <w:marLeft w:val="0"/>
      <w:marRight w:val="0"/>
      <w:marTop w:val="0"/>
      <w:marBottom w:val="0"/>
      <w:divBdr>
        <w:top w:val="none" w:sz="0" w:space="0" w:color="auto"/>
        <w:left w:val="none" w:sz="0" w:space="0" w:color="auto"/>
        <w:bottom w:val="none" w:sz="0" w:space="0" w:color="auto"/>
        <w:right w:val="none" w:sz="0" w:space="0" w:color="auto"/>
      </w:divBdr>
      <w:divsChild>
        <w:div w:id="707491981">
          <w:marLeft w:val="0"/>
          <w:marRight w:val="0"/>
          <w:marTop w:val="0"/>
          <w:marBottom w:val="0"/>
          <w:divBdr>
            <w:top w:val="none" w:sz="0" w:space="0" w:color="auto"/>
            <w:left w:val="none" w:sz="0" w:space="0" w:color="auto"/>
            <w:bottom w:val="none" w:sz="0" w:space="0" w:color="auto"/>
            <w:right w:val="none" w:sz="0" w:space="0" w:color="auto"/>
          </w:divBdr>
        </w:div>
      </w:divsChild>
    </w:div>
    <w:div w:id="1801801239">
      <w:marLeft w:val="0"/>
      <w:marRight w:val="0"/>
      <w:marTop w:val="0"/>
      <w:marBottom w:val="0"/>
      <w:divBdr>
        <w:top w:val="none" w:sz="0" w:space="0" w:color="auto"/>
        <w:left w:val="none" w:sz="0" w:space="0" w:color="auto"/>
        <w:bottom w:val="none" w:sz="0" w:space="0" w:color="auto"/>
        <w:right w:val="none" w:sz="0" w:space="0" w:color="auto"/>
      </w:divBdr>
      <w:divsChild>
        <w:div w:id="1083794495">
          <w:marLeft w:val="0"/>
          <w:marRight w:val="0"/>
          <w:marTop w:val="0"/>
          <w:marBottom w:val="0"/>
          <w:divBdr>
            <w:top w:val="none" w:sz="0" w:space="0" w:color="auto"/>
            <w:left w:val="none" w:sz="0" w:space="0" w:color="auto"/>
            <w:bottom w:val="none" w:sz="0" w:space="0" w:color="auto"/>
            <w:right w:val="none" w:sz="0" w:space="0" w:color="auto"/>
          </w:divBdr>
        </w:div>
      </w:divsChild>
    </w:div>
    <w:div w:id="1804233369">
      <w:bodyDiv w:val="1"/>
      <w:marLeft w:val="0"/>
      <w:marRight w:val="0"/>
      <w:marTop w:val="0"/>
      <w:marBottom w:val="0"/>
      <w:divBdr>
        <w:top w:val="none" w:sz="0" w:space="0" w:color="auto"/>
        <w:left w:val="none" w:sz="0" w:space="0" w:color="auto"/>
        <w:bottom w:val="none" w:sz="0" w:space="0" w:color="auto"/>
        <w:right w:val="none" w:sz="0" w:space="0" w:color="auto"/>
      </w:divBdr>
      <w:divsChild>
        <w:div w:id="1825779681">
          <w:marLeft w:val="0"/>
          <w:marRight w:val="0"/>
          <w:marTop w:val="0"/>
          <w:marBottom w:val="0"/>
          <w:divBdr>
            <w:top w:val="none" w:sz="0" w:space="0" w:color="auto"/>
            <w:left w:val="none" w:sz="0" w:space="0" w:color="auto"/>
            <w:bottom w:val="none" w:sz="0" w:space="0" w:color="auto"/>
            <w:right w:val="none" w:sz="0" w:space="0" w:color="auto"/>
          </w:divBdr>
          <w:divsChild>
            <w:div w:id="990450184">
              <w:marLeft w:val="0"/>
              <w:marRight w:val="0"/>
              <w:marTop w:val="0"/>
              <w:marBottom w:val="0"/>
              <w:divBdr>
                <w:top w:val="none" w:sz="0" w:space="0" w:color="auto"/>
                <w:left w:val="none" w:sz="0" w:space="0" w:color="auto"/>
                <w:bottom w:val="none" w:sz="0" w:space="0" w:color="auto"/>
                <w:right w:val="none" w:sz="0" w:space="0" w:color="auto"/>
              </w:divBdr>
            </w:div>
            <w:div w:id="1378771838">
              <w:marLeft w:val="0"/>
              <w:marRight w:val="0"/>
              <w:marTop w:val="0"/>
              <w:marBottom w:val="0"/>
              <w:divBdr>
                <w:top w:val="none" w:sz="0" w:space="0" w:color="auto"/>
                <w:left w:val="none" w:sz="0" w:space="0" w:color="auto"/>
                <w:bottom w:val="none" w:sz="0" w:space="0" w:color="auto"/>
                <w:right w:val="none" w:sz="0" w:space="0" w:color="auto"/>
              </w:divBdr>
            </w:div>
            <w:div w:id="1992903628">
              <w:marLeft w:val="0"/>
              <w:marRight w:val="0"/>
              <w:marTop w:val="0"/>
              <w:marBottom w:val="0"/>
              <w:divBdr>
                <w:top w:val="none" w:sz="0" w:space="0" w:color="auto"/>
                <w:left w:val="none" w:sz="0" w:space="0" w:color="auto"/>
                <w:bottom w:val="none" w:sz="0" w:space="0" w:color="auto"/>
                <w:right w:val="none" w:sz="0" w:space="0" w:color="auto"/>
              </w:divBdr>
            </w:div>
            <w:div w:id="1561136377">
              <w:marLeft w:val="0"/>
              <w:marRight w:val="0"/>
              <w:marTop w:val="0"/>
              <w:marBottom w:val="0"/>
              <w:divBdr>
                <w:top w:val="none" w:sz="0" w:space="0" w:color="auto"/>
                <w:left w:val="none" w:sz="0" w:space="0" w:color="auto"/>
                <w:bottom w:val="none" w:sz="0" w:space="0" w:color="auto"/>
                <w:right w:val="none" w:sz="0" w:space="0" w:color="auto"/>
              </w:divBdr>
            </w:div>
            <w:div w:id="925727795">
              <w:marLeft w:val="0"/>
              <w:marRight w:val="0"/>
              <w:marTop w:val="0"/>
              <w:marBottom w:val="0"/>
              <w:divBdr>
                <w:top w:val="none" w:sz="0" w:space="0" w:color="auto"/>
                <w:left w:val="none" w:sz="0" w:space="0" w:color="auto"/>
                <w:bottom w:val="none" w:sz="0" w:space="0" w:color="auto"/>
                <w:right w:val="none" w:sz="0" w:space="0" w:color="auto"/>
              </w:divBdr>
            </w:div>
            <w:div w:id="1402211102">
              <w:marLeft w:val="0"/>
              <w:marRight w:val="0"/>
              <w:marTop w:val="0"/>
              <w:marBottom w:val="0"/>
              <w:divBdr>
                <w:top w:val="none" w:sz="0" w:space="0" w:color="auto"/>
                <w:left w:val="none" w:sz="0" w:space="0" w:color="auto"/>
                <w:bottom w:val="none" w:sz="0" w:space="0" w:color="auto"/>
                <w:right w:val="none" w:sz="0" w:space="0" w:color="auto"/>
              </w:divBdr>
            </w:div>
            <w:div w:id="2113276788">
              <w:marLeft w:val="0"/>
              <w:marRight w:val="0"/>
              <w:marTop w:val="0"/>
              <w:marBottom w:val="0"/>
              <w:divBdr>
                <w:top w:val="none" w:sz="0" w:space="0" w:color="auto"/>
                <w:left w:val="none" w:sz="0" w:space="0" w:color="auto"/>
                <w:bottom w:val="none" w:sz="0" w:space="0" w:color="auto"/>
                <w:right w:val="none" w:sz="0" w:space="0" w:color="auto"/>
              </w:divBdr>
            </w:div>
            <w:div w:id="1760710397">
              <w:marLeft w:val="0"/>
              <w:marRight w:val="0"/>
              <w:marTop w:val="0"/>
              <w:marBottom w:val="0"/>
              <w:divBdr>
                <w:top w:val="none" w:sz="0" w:space="0" w:color="auto"/>
                <w:left w:val="none" w:sz="0" w:space="0" w:color="auto"/>
                <w:bottom w:val="none" w:sz="0" w:space="0" w:color="auto"/>
                <w:right w:val="none" w:sz="0" w:space="0" w:color="auto"/>
              </w:divBdr>
            </w:div>
            <w:div w:id="1713311501">
              <w:marLeft w:val="0"/>
              <w:marRight w:val="0"/>
              <w:marTop w:val="0"/>
              <w:marBottom w:val="0"/>
              <w:divBdr>
                <w:top w:val="none" w:sz="0" w:space="0" w:color="auto"/>
                <w:left w:val="none" w:sz="0" w:space="0" w:color="auto"/>
                <w:bottom w:val="none" w:sz="0" w:space="0" w:color="auto"/>
                <w:right w:val="none" w:sz="0" w:space="0" w:color="auto"/>
              </w:divBdr>
            </w:div>
            <w:div w:id="2019916280">
              <w:marLeft w:val="0"/>
              <w:marRight w:val="0"/>
              <w:marTop w:val="0"/>
              <w:marBottom w:val="0"/>
              <w:divBdr>
                <w:top w:val="none" w:sz="0" w:space="0" w:color="auto"/>
                <w:left w:val="none" w:sz="0" w:space="0" w:color="auto"/>
                <w:bottom w:val="none" w:sz="0" w:space="0" w:color="auto"/>
                <w:right w:val="none" w:sz="0" w:space="0" w:color="auto"/>
              </w:divBdr>
            </w:div>
            <w:div w:id="1131824365">
              <w:marLeft w:val="0"/>
              <w:marRight w:val="0"/>
              <w:marTop w:val="0"/>
              <w:marBottom w:val="0"/>
              <w:divBdr>
                <w:top w:val="none" w:sz="0" w:space="0" w:color="auto"/>
                <w:left w:val="none" w:sz="0" w:space="0" w:color="auto"/>
                <w:bottom w:val="none" w:sz="0" w:space="0" w:color="auto"/>
                <w:right w:val="none" w:sz="0" w:space="0" w:color="auto"/>
              </w:divBdr>
            </w:div>
            <w:div w:id="1391271622">
              <w:marLeft w:val="0"/>
              <w:marRight w:val="0"/>
              <w:marTop w:val="0"/>
              <w:marBottom w:val="0"/>
              <w:divBdr>
                <w:top w:val="none" w:sz="0" w:space="0" w:color="auto"/>
                <w:left w:val="none" w:sz="0" w:space="0" w:color="auto"/>
                <w:bottom w:val="none" w:sz="0" w:space="0" w:color="auto"/>
                <w:right w:val="none" w:sz="0" w:space="0" w:color="auto"/>
              </w:divBdr>
            </w:div>
            <w:div w:id="887835447">
              <w:marLeft w:val="0"/>
              <w:marRight w:val="0"/>
              <w:marTop w:val="0"/>
              <w:marBottom w:val="0"/>
              <w:divBdr>
                <w:top w:val="none" w:sz="0" w:space="0" w:color="auto"/>
                <w:left w:val="none" w:sz="0" w:space="0" w:color="auto"/>
                <w:bottom w:val="none" w:sz="0" w:space="0" w:color="auto"/>
                <w:right w:val="none" w:sz="0" w:space="0" w:color="auto"/>
              </w:divBdr>
            </w:div>
            <w:div w:id="293683384">
              <w:marLeft w:val="0"/>
              <w:marRight w:val="0"/>
              <w:marTop w:val="0"/>
              <w:marBottom w:val="0"/>
              <w:divBdr>
                <w:top w:val="none" w:sz="0" w:space="0" w:color="auto"/>
                <w:left w:val="none" w:sz="0" w:space="0" w:color="auto"/>
                <w:bottom w:val="none" w:sz="0" w:space="0" w:color="auto"/>
                <w:right w:val="none" w:sz="0" w:space="0" w:color="auto"/>
              </w:divBdr>
            </w:div>
            <w:div w:id="2014264480">
              <w:marLeft w:val="0"/>
              <w:marRight w:val="0"/>
              <w:marTop w:val="0"/>
              <w:marBottom w:val="0"/>
              <w:divBdr>
                <w:top w:val="none" w:sz="0" w:space="0" w:color="auto"/>
                <w:left w:val="none" w:sz="0" w:space="0" w:color="auto"/>
                <w:bottom w:val="none" w:sz="0" w:space="0" w:color="auto"/>
                <w:right w:val="none" w:sz="0" w:space="0" w:color="auto"/>
              </w:divBdr>
            </w:div>
            <w:div w:id="1703088474">
              <w:marLeft w:val="0"/>
              <w:marRight w:val="0"/>
              <w:marTop w:val="0"/>
              <w:marBottom w:val="0"/>
              <w:divBdr>
                <w:top w:val="none" w:sz="0" w:space="0" w:color="auto"/>
                <w:left w:val="none" w:sz="0" w:space="0" w:color="auto"/>
                <w:bottom w:val="none" w:sz="0" w:space="0" w:color="auto"/>
                <w:right w:val="none" w:sz="0" w:space="0" w:color="auto"/>
              </w:divBdr>
            </w:div>
            <w:div w:id="928973840">
              <w:marLeft w:val="0"/>
              <w:marRight w:val="0"/>
              <w:marTop w:val="0"/>
              <w:marBottom w:val="0"/>
              <w:divBdr>
                <w:top w:val="none" w:sz="0" w:space="0" w:color="auto"/>
                <w:left w:val="none" w:sz="0" w:space="0" w:color="auto"/>
                <w:bottom w:val="none" w:sz="0" w:space="0" w:color="auto"/>
                <w:right w:val="none" w:sz="0" w:space="0" w:color="auto"/>
              </w:divBdr>
            </w:div>
            <w:div w:id="1602646389">
              <w:marLeft w:val="0"/>
              <w:marRight w:val="0"/>
              <w:marTop w:val="0"/>
              <w:marBottom w:val="0"/>
              <w:divBdr>
                <w:top w:val="none" w:sz="0" w:space="0" w:color="auto"/>
                <w:left w:val="none" w:sz="0" w:space="0" w:color="auto"/>
                <w:bottom w:val="none" w:sz="0" w:space="0" w:color="auto"/>
                <w:right w:val="none" w:sz="0" w:space="0" w:color="auto"/>
              </w:divBdr>
            </w:div>
            <w:div w:id="752311663">
              <w:marLeft w:val="0"/>
              <w:marRight w:val="0"/>
              <w:marTop w:val="0"/>
              <w:marBottom w:val="0"/>
              <w:divBdr>
                <w:top w:val="none" w:sz="0" w:space="0" w:color="auto"/>
                <w:left w:val="none" w:sz="0" w:space="0" w:color="auto"/>
                <w:bottom w:val="none" w:sz="0" w:space="0" w:color="auto"/>
                <w:right w:val="none" w:sz="0" w:space="0" w:color="auto"/>
              </w:divBdr>
            </w:div>
            <w:div w:id="198586315">
              <w:marLeft w:val="0"/>
              <w:marRight w:val="0"/>
              <w:marTop w:val="0"/>
              <w:marBottom w:val="0"/>
              <w:divBdr>
                <w:top w:val="none" w:sz="0" w:space="0" w:color="auto"/>
                <w:left w:val="none" w:sz="0" w:space="0" w:color="auto"/>
                <w:bottom w:val="none" w:sz="0" w:space="0" w:color="auto"/>
                <w:right w:val="none" w:sz="0" w:space="0" w:color="auto"/>
              </w:divBdr>
            </w:div>
            <w:div w:id="6686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6182">
      <w:marLeft w:val="0"/>
      <w:marRight w:val="0"/>
      <w:marTop w:val="0"/>
      <w:marBottom w:val="0"/>
      <w:divBdr>
        <w:top w:val="none" w:sz="0" w:space="0" w:color="auto"/>
        <w:left w:val="none" w:sz="0" w:space="0" w:color="auto"/>
        <w:bottom w:val="none" w:sz="0" w:space="0" w:color="auto"/>
        <w:right w:val="none" w:sz="0" w:space="0" w:color="auto"/>
      </w:divBdr>
      <w:divsChild>
        <w:div w:id="823353817">
          <w:marLeft w:val="0"/>
          <w:marRight w:val="0"/>
          <w:marTop w:val="0"/>
          <w:marBottom w:val="0"/>
          <w:divBdr>
            <w:top w:val="none" w:sz="0" w:space="0" w:color="auto"/>
            <w:left w:val="none" w:sz="0" w:space="0" w:color="auto"/>
            <w:bottom w:val="none" w:sz="0" w:space="0" w:color="auto"/>
            <w:right w:val="none" w:sz="0" w:space="0" w:color="auto"/>
          </w:divBdr>
        </w:div>
      </w:divsChild>
    </w:div>
    <w:div w:id="1810902809">
      <w:marLeft w:val="0"/>
      <w:marRight w:val="0"/>
      <w:marTop w:val="0"/>
      <w:marBottom w:val="0"/>
      <w:divBdr>
        <w:top w:val="none" w:sz="0" w:space="0" w:color="auto"/>
        <w:left w:val="none" w:sz="0" w:space="0" w:color="auto"/>
        <w:bottom w:val="none" w:sz="0" w:space="0" w:color="auto"/>
        <w:right w:val="none" w:sz="0" w:space="0" w:color="auto"/>
      </w:divBdr>
      <w:divsChild>
        <w:div w:id="1100031188">
          <w:marLeft w:val="0"/>
          <w:marRight w:val="0"/>
          <w:marTop w:val="0"/>
          <w:marBottom w:val="0"/>
          <w:divBdr>
            <w:top w:val="none" w:sz="0" w:space="0" w:color="auto"/>
            <w:left w:val="none" w:sz="0" w:space="0" w:color="auto"/>
            <w:bottom w:val="none" w:sz="0" w:space="0" w:color="auto"/>
            <w:right w:val="none" w:sz="0" w:space="0" w:color="auto"/>
          </w:divBdr>
        </w:div>
      </w:divsChild>
    </w:div>
    <w:div w:id="1813710097">
      <w:bodyDiv w:val="1"/>
      <w:marLeft w:val="0"/>
      <w:marRight w:val="0"/>
      <w:marTop w:val="0"/>
      <w:marBottom w:val="0"/>
      <w:divBdr>
        <w:top w:val="none" w:sz="0" w:space="0" w:color="auto"/>
        <w:left w:val="none" w:sz="0" w:space="0" w:color="auto"/>
        <w:bottom w:val="none" w:sz="0" w:space="0" w:color="auto"/>
        <w:right w:val="none" w:sz="0" w:space="0" w:color="auto"/>
      </w:divBdr>
    </w:div>
    <w:div w:id="1815829931">
      <w:marLeft w:val="0"/>
      <w:marRight w:val="0"/>
      <w:marTop w:val="0"/>
      <w:marBottom w:val="0"/>
      <w:divBdr>
        <w:top w:val="none" w:sz="0" w:space="0" w:color="auto"/>
        <w:left w:val="none" w:sz="0" w:space="0" w:color="auto"/>
        <w:bottom w:val="none" w:sz="0" w:space="0" w:color="auto"/>
        <w:right w:val="none" w:sz="0" w:space="0" w:color="auto"/>
      </w:divBdr>
      <w:divsChild>
        <w:div w:id="1982804918">
          <w:marLeft w:val="0"/>
          <w:marRight w:val="0"/>
          <w:marTop w:val="0"/>
          <w:marBottom w:val="0"/>
          <w:divBdr>
            <w:top w:val="none" w:sz="0" w:space="0" w:color="auto"/>
            <w:left w:val="none" w:sz="0" w:space="0" w:color="auto"/>
            <w:bottom w:val="none" w:sz="0" w:space="0" w:color="auto"/>
            <w:right w:val="none" w:sz="0" w:space="0" w:color="auto"/>
          </w:divBdr>
        </w:div>
      </w:divsChild>
    </w:div>
    <w:div w:id="1816331828">
      <w:bodyDiv w:val="1"/>
      <w:marLeft w:val="0"/>
      <w:marRight w:val="0"/>
      <w:marTop w:val="0"/>
      <w:marBottom w:val="0"/>
      <w:divBdr>
        <w:top w:val="none" w:sz="0" w:space="0" w:color="auto"/>
        <w:left w:val="none" w:sz="0" w:space="0" w:color="auto"/>
        <w:bottom w:val="none" w:sz="0" w:space="0" w:color="auto"/>
        <w:right w:val="none" w:sz="0" w:space="0" w:color="auto"/>
      </w:divBdr>
    </w:div>
    <w:div w:id="1816682598">
      <w:marLeft w:val="0"/>
      <w:marRight w:val="0"/>
      <w:marTop w:val="0"/>
      <w:marBottom w:val="0"/>
      <w:divBdr>
        <w:top w:val="none" w:sz="0" w:space="0" w:color="auto"/>
        <w:left w:val="none" w:sz="0" w:space="0" w:color="auto"/>
        <w:bottom w:val="none" w:sz="0" w:space="0" w:color="auto"/>
        <w:right w:val="none" w:sz="0" w:space="0" w:color="auto"/>
      </w:divBdr>
      <w:divsChild>
        <w:div w:id="1631786639">
          <w:marLeft w:val="0"/>
          <w:marRight w:val="0"/>
          <w:marTop w:val="0"/>
          <w:marBottom w:val="0"/>
          <w:divBdr>
            <w:top w:val="none" w:sz="0" w:space="0" w:color="auto"/>
            <w:left w:val="none" w:sz="0" w:space="0" w:color="auto"/>
            <w:bottom w:val="none" w:sz="0" w:space="0" w:color="auto"/>
            <w:right w:val="none" w:sz="0" w:space="0" w:color="auto"/>
          </w:divBdr>
        </w:div>
      </w:divsChild>
    </w:div>
    <w:div w:id="1817987019">
      <w:marLeft w:val="0"/>
      <w:marRight w:val="0"/>
      <w:marTop w:val="0"/>
      <w:marBottom w:val="0"/>
      <w:divBdr>
        <w:top w:val="none" w:sz="0" w:space="0" w:color="auto"/>
        <w:left w:val="none" w:sz="0" w:space="0" w:color="auto"/>
        <w:bottom w:val="none" w:sz="0" w:space="0" w:color="auto"/>
        <w:right w:val="none" w:sz="0" w:space="0" w:color="auto"/>
      </w:divBdr>
      <w:divsChild>
        <w:div w:id="242178330">
          <w:marLeft w:val="0"/>
          <w:marRight w:val="0"/>
          <w:marTop w:val="0"/>
          <w:marBottom w:val="0"/>
          <w:divBdr>
            <w:top w:val="none" w:sz="0" w:space="0" w:color="auto"/>
            <w:left w:val="none" w:sz="0" w:space="0" w:color="auto"/>
            <w:bottom w:val="none" w:sz="0" w:space="0" w:color="auto"/>
            <w:right w:val="none" w:sz="0" w:space="0" w:color="auto"/>
          </w:divBdr>
        </w:div>
      </w:divsChild>
    </w:div>
    <w:div w:id="1817994905">
      <w:marLeft w:val="0"/>
      <w:marRight w:val="0"/>
      <w:marTop w:val="0"/>
      <w:marBottom w:val="0"/>
      <w:divBdr>
        <w:top w:val="none" w:sz="0" w:space="0" w:color="auto"/>
        <w:left w:val="none" w:sz="0" w:space="0" w:color="auto"/>
        <w:bottom w:val="none" w:sz="0" w:space="0" w:color="auto"/>
        <w:right w:val="none" w:sz="0" w:space="0" w:color="auto"/>
      </w:divBdr>
      <w:divsChild>
        <w:div w:id="2133010120">
          <w:marLeft w:val="0"/>
          <w:marRight w:val="0"/>
          <w:marTop w:val="0"/>
          <w:marBottom w:val="0"/>
          <w:divBdr>
            <w:top w:val="none" w:sz="0" w:space="0" w:color="auto"/>
            <w:left w:val="none" w:sz="0" w:space="0" w:color="auto"/>
            <w:bottom w:val="none" w:sz="0" w:space="0" w:color="auto"/>
            <w:right w:val="none" w:sz="0" w:space="0" w:color="auto"/>
          </w:divBdr>
        </w:div>
      </w:divsChild>
    </w:div>
    <w:div w:id="1818300951">
      <w:marLeft w:val="0"/>
      <w:marRight w:val="0"/>
      <w:marTop w:val="0"/>
      <w:marBottom w:val="0"/>
      <w:divBdr>
        <w:top w:val="none" w:sz="0" w:space="0" w:color="auto"/>
        <w:left w:val="none" w:sz="0" w:space="0" w:color="auto"/>
        <w:bottom w:val="none" w:sz="0" w:space="0" w:color="auto"/>
        <w:right w:val="none" w:sz="0" w:space="0" w:color="auto"/>
      </w:divBdr>
      <w:divsChild>
        <w:div w:id="1250852022">
          <w:marLeft w:val="0"/>
          <w:marRight w:val="0"/>
          <w:marTop w:val="0"/>
          <w:marBottom w:val="0"/>
          <w:divBdr>
            <w:top w:val="none" w:sz="0" w:space="0" w:color="auto"/>
            <w:left w:val="none" w:sz="0" w:space="0" w:color="auto"/>
            <w:bottom w:val="none" w:sz="0" w:space="0" w:color="auto"/>
            <w:right w:val="none" w:sz="0" w:space="0" w:color="auto"/>
          </w:divBdr>
        </w:div>
      </w:divsChild>
    </w:div>
    <w:div w:id="1825588084">
      <w:marLeft w:val="0"/>
      <w:marRight w:val="0"/>
      <w:marTop w:val="0"/>
      <w:marBottom w:val="0"/>
      <w:divBdr>
        <w:top w:val="none" w:sz="0" w:space="0" w:color="auto"/>
        <w:left w:val="none" w:sz="0" w:space="0" w:color="auto"/>
        <w:bottom w:val="none" w:sz="0" w:space="0" w:color="auto"/>
        <w:right w:val="none" w:sz="0" w:space="0" w:color="auto"/>
      </w:divBdr>
      <w:divsChild>
        <w:div w:id="583994779">
          <w:marLeft w:val="0"/>
          <w:marRight w:val="0"/>
          <w:marTop w:val="0"/>
          <w:marBottom w:val="0"/>
          <w:divBdr>
            <w:top w:val="none" w:sz="0" w:space="0" w:color="auto"/>
            <w:left w:val="none" w:sz="0" w:space="0" w:color="auto"/>
            <w:bottom w:val="none" w:sz="0" w:space="0" w:color="auto"/>
            <w:right w:val="none" w:sz="0" w:space="0" w:color="auto"/>
          </w:divBdr>
        </w:div>
      </w:divsChild>
    </w:div>
    <w:div w:id="1825849367">
      <w:marLeft w:val="0"/>
      <w:marRight w:val="150"/>
      <w:marTop w:val="0"/>
      <w:marBottom w:val="0"/>
      <w:divBdr>
        <w:top w:val="none" w:sz="0" w:space="0" w:color="auto"/>
        <w:left w:val="none" w:sz="0" w:space="0" w:color="auto"/>
        <w:bottom w:val="none" w:sz="0" w:space="0" w:color="auto"/>
        <w:right w:val="none" w:sz="0" w:space="0" w:color="auto"/>
      </w:divBdr>
      <w:divsChild>
        <w:div w:id="10180463">
          <w:marLeft w:val="0"/>
          <w:marRight w:val="150"/>
          <w:marTop w:val="0"/>
          <w:marBottom w:val="0"/>
          <w:divBdr>
            <w:top w:val="none" w:sz="0" w:space="0" w:color="auto"/>
            <w:left w:val="none" w:sz="0" w:space="0" w:color="auto"/>
            <w:bottom w:val="none" w:sz="0" w:space="0" w:color="auto"/>
            <w:right w:val="none" w:sz="0" w:space="0" w:color="auto"/>
          </w:divBdr>
        </w:div>
      </w:divsChild>
    </w:div>
    <w:div w:id="1828863065">
      <w:marLeft w:val="0"/>
      <w:marRight w:val="0"/>
      <w:marTop w:val="0"/>
      <w:marBottom w:val="0"/>
      <w:divBdr>
        <w:top w:val="none" w:sz="0" w:space="0" w:color="auto"/>
        <w:left w:val="none" w:sz="0" w:space="0" w:color="auto"/>
        <w:bottom w:val="none" w:sz="0" w:space="0" w:color="auto"/>
        <w:right w:val="none" w:sz="0" w:space="0" w:color="auto"/>
      </w:divBdr>
      <w:divsChild>
        <w:div w:id="1388650114">
          <w:marLeft w:val="0"/>
          <w:marRight w:val="0"/>
          <w:marTop w:val="0"/>
          <w:marBottom w:val="0"/>
          <w:divBdr>
            <w:top w:val="none" w:sz="0" w:space="0" w:color="auto"/>
            <w:left w:val="none" w:sz="0" w:space="0" w:color="auto"/>
            <w:bottom w:val="none" w:sz="0" w:space="0" w:color="auto"/>
            <w:right w:val="none" w:sz="0" w:space="0" w:color="auto"/>
          </w:divBdr>
        </w:div>
      </w:divsChild>
    </w:div>
    <w:div w:id="1831404185">
      <w:marLeft w:val="0"/>
      <w:marRight w:val="0"/>
      <w:marTop w:val="0"/>
      <w:marBottom w:val="0"/>
      <w:divBdr>
        <w:top w:val="none" w:sz="0" w:space="0" w:color="auto"/>
        <w:left w:val="none" w:sz="0" w:space="0" w:color="auto"/>
        <w:bottom w:val="none" w:sz="0" w:space="0" w:color="auto"/>
        <w:right w:val="none" w:sz="0" w:space="0" w:color="auto"/>
      </w:divBdr>
      <w:divsChild>
        <w:div w:id="1702247781">
          <w:marLeft w:val="0"/>
          <w:marRight w:val="0"/>
          <w:marTop w:val="0"/>
          <w:marBottom w:val="0"/>
          <w:divBdr>
            <w:top w:val="none" w:sz="0" w:space="0" w:color="auto"/>
            <w:left w:val="none" w:sz="0" w:space="0" w:color="auto"/>
            <w:bottom w:val="none" w:sz="0" w:space="0" w:color="auto"/>
            <w:right w:val="none" w:sz="0" w:space="0" w:color="auto"/>
          </w:divBdr>
        </w:div>
      </w:divsChild>
    </w:div>
    <w:div w:id="1834641491">
      <w:marLeft w:val="0"/>
      <w:marRight w:val="0"/>
      <w:marTop w:val="0"/>
      <w:marBottom w:val="0"/>
      <w:divBdr>
        <w:top w:val="none" w:sz="0" w:space="0" w:color="auto"/>
        <w:left w:val="none" w:sz="0" w:space="0" w:color="auto"/>
        <w:bottom w:val="none" w:sz="0" w:space="0" w:color="auto"/>
        <w:right w:val="none" w:sz="0" w:space="0" w:color="auto"/>
      </w:divBdr>
      <w:divsChild>
        <w:div w:id="1504782025">
          <w:marLeft w:val="0"/>
          <w:marRight w:val="0"/>
          <w:marTop w:val="0"/>
          <w:marBottom w:val="0"/>
          <w:divBdr>
            <w:top w:val="none" w:sz="0" w:space="0" w:color="auto"/>
            <w:left w:val="none" w:sz="0" w:space="0" w:color="auto"/>
            <w:bottom w:val="none" w:sz="0" w:space="0" w:color="auto"/>
            <w:right w:val="none" w:sz="0" w:space="0" w:color="auto"/>
          </w:divBdr>
        </w:div>
      </w:divsChild>
    </w:div>
    <w:div w:id="1839886678">
      <w:marLeft w:val="0"/>
      <w:marRight w:val="0"/>
      <w:marTop w:val="0"/>
      <w:marBottom w:val="0"/>
      <w:divBdr>
        <w:top w:val="none" w:sz="0" w:space="0" w:color="auto"/>
        <w:left w:val="none" w:sz="0" w:space="0" w:color="auto"/>
        <w:bottom w:val="none" w:sz="0" w:space="0" w:color="auto"/>
        <w:right w:val="none" w:sz="0" w:space="0" w:color="auto"/>
      </w:divBdr>
      <w:divsChild>
        <w:div w:id="1067606242">
          <w:marLeft w:val="0"/>
          <w:marRight w:val="0"/>
          <w:marTop w:val="0"/>
          <w:marBottom w:val="0"/>
          <w:divBdr>
            <w:top w:val="none" w:sz="0" w:space="0" w:color="auto"/>
            <w:left w:val="none" w:sz="0" w:space="0" w:color="auto"/>
            <w:bottom w:val="none" w:sz="0" w:space="0" w:color="auto"/>
            <w:right w:val="none" w:sz="0" w:space="0" w:color="auto"/>
          </w:divBdr>
        </w:div>
      </w:divsChild>
    </w:div>
    <w:div w:id="1842965828">
      <w:bodyDiv w:val="1"/>
      <w:marLeft w:val="0"/>
      <w:marRight w:val="0"/>
      <w:marTop w:val="0"/>
      <w:marBottom w:val="0"/>
      <w:divBdr>
        <w:top w:val="none" w:sz="0" w:space="0" w:color="auto"/>
        <w:left w:val="none" w:sz="0" w:space="0" w:color="auto"/>
        <w:bottom w:val="none" w:sz="0" w:space="0" w:color="auto"/>
        <w:right w:val="none" w:sz="0" w:space="0" w:color="auto"/>
      </w:divBdr>
    </w:div>
    <w:div w:id="1843659781">
      <w:bodyDiv w:val="1"/>
      <w:marLeft w:val="0"/>
      <w:marRight w:val="0"/>
      <w:marTop w:val="0"/>
      <w:marBottom w:val="0"/>
      <w:divBdr>
        <w:top w:val="none" w:sz="0" w:space="0" w:color="auto"/>
        <w:left w:val="none" w:sz="0" w:space="0" w:color="auto"/>
        <w:bottom w:val="none" w:sz="0" w:space="0" w:color="auto"/>
        <w:right w:val="none" w:sz="0" w:space="0" w:color="auto"/>
      </w:divBdr>
    </w:div>
    <w:div w:id="1846239929">
      <w:bodyDiv w:val="1"/>
      <w:marLeft w:val="0"/>
      <w:marRight w:val="0"/>
      <w:marTop w:val="0"/>
      <w:marBottom w:val="0"/>
      <w:divBdr>
        <w:top w:val="none" w:sz="0" w:space="0" w:color="auto"/>
        <w:left w:val="none" w:sz="0" w:space="0" w:color="auto"/>
        <w:bottom w:val="none" w:sz="0" w:space="0" w:color="auto"/>
        <w:right w:val="none" w:sz="0" w:space="0" w:color="auto"/>
      </w:divBdr>
    </w:div>
    <w:div w:id="1850412473">
      <w:marLeft w:val="0"/>
      <w:marRight w:val="0"/>
      <w:marTop w:val="0"/>
      <w:marBottom w:val="0"/>
      <w:divBdr>
        <w:top w:val="none" w:sz="0" w:space="0" w:color="auto"/>
        <w:left w:val="none" w:sz="0" w:space="0" w:color="auto"/>
        <w:bottom w:val="none" w:sz="0" w:space="0" w:color="auto"/>
        <w:right w:val="none" w:sz="0" w:space="0" w:color="auto"/>
      </w:divBdr>
      <w:divsChild>
        <w:div w:id="45186006">
          <w:marLeft w:val="0"/>
          <w:marRight w:val="0"/>
          <w:marTop w:val="0"/>
          <w:marBottom w:val="0"/>
          <w:divBdr>
            <w:top w:val="none" w:sz="0" w:space="0" w:color="auto"/>
            <w:left w:val="none" w:sz="0" w:space="0" w:color="auto"/>
            <w:bottom w:val="none" w:sz="0" w:space="0" w:color="auto"/>
            <w:right w:val="none" w:sz="0" w:space="0" w:color="auto"/>
          </w:divBdr>
        </w:div>
      </w:divsChild>
    </w:div>
    <w:div w:id="1850828459">
      <w:bodyDiv w:val="1"/>
      <w:marLeft w:val="0"/>
      <w:marRight w:val="0"/>
      <w:marTop w:val="0"/>
      <w:marBottom w:val="0"/>
      <w:divBdr>
        <w:top w:val="none" w:sz="0" w:space="0" w:color="auto"/>
        <w:left w:val="none" w:sz="0" w:space="0" w:color="auto"/>
        <w:bottom w:val="none" w:sz="0" w:space="0" w:color="auto"/>
        <w:right w:val="none" w:sz="0" w:space="0" w:color="auto"/>
      </w:divBdr>
      <w:divsChild>
        <w:div w:id="774835871">
          <w:marLeft w:val="0"/>
          <w:marRight w:val="0"/>
          <w:marTop w:val="0"/>
          <w:marBottom w:val="0"/>
          <w:divBdr>
            <w:top w:val="none" w:sz="0" w:space="0" w:color="auto"/>
            <w:left w:val="none" w:sz="0" w:space="0" w:color="auto"/>
            <w:bottom w:val="none" w:sz="0" w:space="0" w:color="auto"/>
            <w:right w:val="none" w:sz="0" w:space="0" w:color="auto"/>
          </w:divBdr>
          <w:divsChild>
            <w:div w:id="52893486">
              <w:marLeft w:val="0"/>
              <w:marRight w:val="0"/>
              <w:marTop w:val="0"/>
              <w:marBottom w:val="0"/>
              <w:divBdr>
                <w:top w:val="none" w:sz="0" w:space="0" w:color="auto"/>
                <w:left w:val="none" w:sz="0" w:space="0" w:color="auto"/>
                <w:bottom w:val="none" w:sz="0" w:space="0" w:color="auto"/>
                <w:right w:val="none" w:sz="0" w:space="0" w:color="auto"/>
              </w:divBdr>
            </w:div>
            <w:div w:id="1533759221">
              <w:marLeft w:val="0"/>
              <w:marRight w:val="0"/>
              <w:marTop w:val="0"/>
              <w:marBottom w:val="0"/>
              <w:divBdr>
                <w:top w:val="none" w:sz="0" w:space="0" w:color="auto"/>
                <w:left w:val="none" w:sz="0" w:space="0" w:color="auto"/>
                <w:bottom w:val="none" w:sz="0" w:space="0" w:color="auto"/>
                <w:right w:val="none" w:sz="0" w:space="0" w:color="auto"/>
              </w:divBdr>
            </w:div>
            <w:div w:id="735854421">
              <w:marLeft w:val="0"/>
              <w:marRight w:val="0"/>
              <w:marTop w:val="0"/>
              <w:marBottom w:val="0"/>
              <w:divBdr>
                <w:top w:val="none" w:sz="0" w:space="0" w:color="auto"/>
                <w:left w:val="none" w:sz="0" w:space="0" w:color="auto"/>
                <w:bottom w:val="none" w:sz="0" w:space="0" w:color="auto"/>
                <w:right w:val="none" w:sz="0" w:space="0" w:color="auto"/>
              </w:divBdr>
            </w:div>
            <w:div w:id="1241137983">
              <w:marLeft w:val="0"/>
              <w:marRight w:val="0"/>
              <w:marTop w:val="0"/>
              <w:marBottom w:val="0"/>
              <w:divBdr>
                <w:top w:val="none" w:sz="0" w:space="0" w:color="auto"/>
                <w:left w:val="none" w:sz="0" w:space="0" w:color="auto"/>
                <w:bottom w:val="none" w:sz="0" w:space="0" w:color="auto"/>
                <w:right w:val="none" w:sz="0" w:space="0" w:color="auto"/>
              </w:divBdr>
            </w:div>
            <w:div w:id="1873765706">
              <w:marLeft w:val="0"/>
              <w:marRight w:val="0"/>
              <w:marTop w:val="0"/>
              <w:marBottom w:val="0"/>
              <w:divBdr>
                <w:top w:val="none" w:sz="0" w:space="0" w:color="auto"/>
                <w:left w:val="none" w:sz="0" w:space="0" w:color="auto"/>
                <w:bottom w:val="none" w:sz="0" w:space="0" w:color="auto"/>
                <w:right w:val="none" w:sz="0" w:space="0" w:color="auto"/>
              </w:divBdr>
            </w:div>
            <w:div w:id="1605646070">
              <w:marLeft w:val="0"/>
              <w:marRight w:val="0"/>
              <w:marTop w:val="0"/>
              <w:marBottom w:val="0"/>
              <w:divBdr>
                <w:top w:val="none" w:sz="0" w:space="0" w:color="auto"/>
                <w:left w:val="none" w:sz="0" w:space="0" w:color="auto"/>
                <w:bottom w:val="none" w:sz="0" w:space="0" w:color="auto"/>
                <w:right w:val="none" w:sz="0" w:space="0" w:color="auto"/>
              </w:divBdr>
            </w:div>
            <w:div w:id="435904828">
              <w:marLeft w:val="0"/>
              <w:marRight w:val="0"/>
              <w:marTop w:val="0"/>
              <w:marBottom w:val="0"/>
              <w:divBdr>
                <w:top w:val="none" w:sz="0" w:space="0" w:color="auto"/>
                <w:left w:val="none" w:sz="0" w:space="0" w:color="auto"/>
                <w:bottom w:val="none" w:sz="0" w:space="0" w:color="auto"/>
                <w:right w:val="none" w:sz="0" w:space="0" w:color="auto"/>
              </w:divBdr>
            </w:div>
            <w:div w:id="1347168069">
              <w:marLeft w:val="0"/>
              <w:marRight w:val="0"/>
              <w:marTop w:val="0"/>
              <w:marBottom w:val="0"/>
              <w:divBdr>
                <w:top w:val="none" w:sz="0" w:space="0" w:color="auto"/>
                <w:left w:val="none" w:sz="0" w:space="0" w:color="auto"/>
                <w:bottom w:val="none" w:sz="0" w:space="0" w:color="auto"/>
                <w:right w:val="none" w:sz="0" w:space="0" w:color="auto"/>
              </w:divBdr>
            </w:div>
            <w:div w:id="581767320">
              <w:marLeft w:val="0"/>
              <w:marRight w:val="0"/>
              <w:marTop w:val="0"/>
              <w:marBottom w:val="0"/>
              <w:divBdr>
                <w:top w:val="none" w:sz="0" w:space="0" w:color="auto"/>
                <w:left w:val="none" w:sz="0" w:space="0" w:color="auto"/>
                <w:bottom w:val="none" w:sz="0" w:space="0" w:color="auto"/>
                <w:right w:val="none" w:sz="0" w:space="0" w:color="auto"/>
              </w:divBdr>
            </w:div>
            <w:div w:id="309677816">
              <w:marLeft w:val="0"/>
              <w:marRight w:val="0"/>
              <w:marTop w:val="0"/>
              <w:marBottom w:val="0"/>
              <w:divBdr>
                <w:top w:val="none" w:sz="0" w:space="0" w:color="auto"/>
                <w:left w:val="none" w:sz="0" w:space="0" w:color="auto"/>
                <w:bottom w:val="none" w:sz="0" w:space="0" w:color="auto"/>
                <w:right w:val="none" w:sz="0" w:space="0" w:color="auto"/>
              </w:divBdr>
            </w:div>
            <w:div w:id="529681784">
              <w:marLeft w:val="0"/>
              <w:marRight w:val="0"/>
              <w:marTop w:val="0"/>
              <w:marBottom w:val="0"/>
              <w:divBdr>
                <w:top w:val="none" w:sz="0" w:space="0" w:color="auto"/>
                <w:left w:val="none" w:sz="0" w:space="0" w:color="auto"/>
                <w:bottom w:val="none" w:sz="0" w:space="0" w:color="auto"/>
                <w:right w:val="none" w:sz="0" w:space="0" w:color="auto"/>
              </w:divBdr>
            </w:div>
            <w:div w:id="45764279">
              <w:marLeft w:val="0"/>
              <w:marRight w:val="0"/>
              <w:marTop w:val="0"/>
              <w:marBottom w:val="0"/>
              <w:divBdr>
                <w:top w:val="none" w:sz="0" w:space="0" w:color="auto"/>
                <w:left w:val="none" w:sz="0" w:space="0" w:color="auto"/>
                <w:bottom w:val="none" w:sz="0" w:space="0" w:color="auto"/>
                <w:right w:val="none" w:sz="0" w:space="0" w:color="auto"/>
              </w:divBdr>
            </w:div>
            <w:div w:id="1765684050">
              <w:marLeft w:val="0"/>
              <w:marRight w:val="0"/>
              <w:marTop w:val="0"/>
              <w:marBottom w:val="0"/>
              <w:divBdr>
                <w:top w:val="none" w:sz="0" w:space="0" w:color="auto"/>
                <w:left w:val="none" w:sz="0" w:space="0" w:color="auto"/>
                <w:bottom w:val="none" w:sz="0" w:space="0" w:color="auto"/>
                <w:right w:val="none" w:sz="0" w:space="0" w:color="auto"/>
              </w:divBdr>
            </w:div>
            <w:div w:id="1864247972">
              <w:marLeft w:val="0"/>
              <w:marRight w:val="0"/>
              <w:marTop w:val="0"/>
              <w:marBottom w:val="0"/>
              <w:divBdr>
                <w:top w:val="none" w:sz="0" w:space="0" w:color="auto"/>
                <w:left w:val="none" w:sz="0" w:space="0" w:color="auto"/>
                <w:bottom w:val="none" w:sz="0" w:space="0" w:color="auto"/>
                <w:right w:val="none" w:sz="0" w:space="0" w:color="auto"/>
              </w:divBdr>
            </w:div>
            <w:div w:id="1472745168">
              <w:marLeft w:val="0"/>
              <w:marRight w:val="0"/>
              <w:marTop w:val="0"/>
              <w:marBottom w:val="0"/>
              <w:divBdr>
                <w:top w:val="none" w:sz="0" w:space="0" w:color="auto"/>
                <w:left w:val="none" w:sz="0" w:space="0" w:color="auto"/>
                <w:bottom w:val="none" w:sz="0" w:space="0" w:color="auto"/>
                <w:right w:val="none" w:sz="0" w:space="0" w:color="auto"/>
              </w:divBdr>
            </w:div>
            <w:div w:id="785464919">
              <w:marLeft w:val="0"/>
              <w:marRight w:val="0"/>
              <w:marTop w:val="0"/>
              <w:marBottom w:val="0"/>
              <w:divBdr>
                <w:top w:val="none" w:sz="0" w:space="0" w:color="auto"/>
                <w:left w:val="none" w:sz="0" w:space="0" w:color="auto"/>
                <w:bottom w:val="none" w:sz="0" w:space="0" w:color="auto"/>
                <w:right w:val="none" w:sz="0" w:space="0" w:color="auto"/>
              </w:divBdr>
            </w:div>
            <w:div w:id="872351617">
              <w:marLeft w:val="0"/>
              <w:marRight w:val="0"/>
              <w:marTop w:val="0"/>
              <w:marBottom w:val="0"/>
              <w:divBdr>
                <w:top w:val="none" w:sz="0" w:space="0" w:color="auto"/>
                <w:left w:val="none" w:sz="0" w:space="0" w:color="auto"/>
                <w:bottom w:val="none" w:sz="0" w:space="0" w:color="auto"/>
                <w:right w:val="none" w:sz="0" w:space="0" w:color="auto"/>
              </w:divBdr>
            </w:div>
            <w:div w:id="1677146843">
              <w:marLeft w:val="0"/>
              <w:marRight w:val="0"/>
              <w:marTop w:val="0"/>
              <w:marBottom w:val="0"/>
              <w:divBdr>
                <w:top w:val="none" w:sz="0" w:space="0" w:color="auto"/>
                <w:left w:val="none" w:sz="0" w:space="0" w:color="auto"/>
                <w:bottom w:val="none" w:sz="0" w:space="0" w:color="auto"/>
                <w:right w:val="none" w:sz="0" w:space="0" w:color="auto"/>
              </w:divBdr>
            </w:div>
            <w:div w:id="1910066954">
              <w:marLeft w:val="0"/>
              <w:marRight w:val="0"/>
              <w:marTop w:val="0"/>
              <w:marBottom w:val="0"/>
              <w:divBdr>
                <w:top w:val="none" w:sz="0" w:space="0" w:color="auto"/>
                <w:left w:val="none" w:sz="0" w:space="0" w:color="auto"/>
                <w:bottom w:val="none" w:sz="0" w:space="0" w:color="auto"/>
                <w:right w:val="none" w:sz="0" w:space="0" w:color="auto"/>
              </w:divBdr>
            </w:div>
            <w:div w:id="1401635214">
              <w:marLeft w:val="0"/>
              <w:marRight w:val="0"/>
              <w:marTop w:val="0"/>
              <w:marBottom w:val="0"/>
              <w:divBdr>
                <w:top w:val="none" w:sz="0" w:space="0" w:color="auto"/>
                <w:left w:val="none" w:sz="0" w:space="0" w:color="auto"/>
                <w:bottom w:val="none" w:sz="0" w:space="0" w:color="auto"/>
                <w:right w:val="none" w:sz="0" w:space="0" w:color="auto"/>
              </w:divBdr>
            </w:div>
            <w:div w:id="1938561347">
              <w:marLeft w:val="0"/>
              <w:marRight w:val="0"/>
              <w:marTop w:val="0"/>
              <w:marBottom w:val="0"/>
              <w:divBdr>
                <w:top w:val="none" w:sz="0" w:space="0" w:color="auto"/>
                <w:left w:val="none" w:sz="0" w:space="0" w:color="auto"/>
                <w:bottom w:val="none" w:sz="0" w:space="0" w:color="auto"/>
                <w:right w:val="none" w:sz="0" w:space="0" w:color="auto"/>
              </w:divBdr>
            </w:div>
            <w:div w:id="724184423">
              <w:marLeft w:val="0"/>
              <w:marRight w:val="0"/>
              <w:marTop w:val="0"/>
              <w:marBottom w:val="0"/>
              <w:divBdr>
                <w:top w:val="none" w:sz="0" w:space="0" w:color="auto"/>
                <w:left w:val="none" w:sz="0" w:space="0" w:color="auto"/>
                <w:bottom w:val="none" w:sz="0" w:space="0" w:color="auto"/>
                <w:right w:val="none" w:sz="0" w:space="0" w:color="auto"/>
              </w:divBdr>
            </w:div>
            <w:div w:id="1822387305">
              <w:marLeft w:val="0"/>
              <w:marRight w:val="0"/>
              <w:marTop w:val="0"/>
              <w:marBottom w:val="0"/>
              <w:divBdr>
                <w:top w:val="none" w:sz="0" w:space="0" w:color="auto"/>
                <w:left w:val="none" w:sz="0" w:space="0" w:color="auto"/>
                <w:bottom w:val="none" w:sz="0" w:space="0" w:color="auto"/>
                <w:right w:val="none" w:sz="0" w:space="0" w:color="auto"/>
              </w:divBdr>
            </w:div>
            <w:div w:id="260576852">
              <w:marLeft w:val="0"/>
              <w:marRight w:val="0"/>
              <w:marTop w:val="0"/>
              <w:marBottom w:val="0"/>
              <w:divBdr>
                <w:top w:val="none" w:sz="0" w:space="0" w:color="auto"/>
                <w:left w:val="none" w:sz="0" w:space="0" w:color="auto"/>
                <w:bottom w:val="none" w:sz="0" w:space="0" w:color="auto"/>
                <w:right w:val="none" w:sz="0" w:space="0" w:color="auto"/>
              </w:divBdr>
            </w:div>
            <w:div w:id="700132401">
              <w:marLeft w:val="0"/>
              <w:marRight w:val="0"/>
              <w:marTop w:val="0"/>
              <w:marBottom w:val="0"/>
              <w:divBdr>
                <w:top w:val="none" w:sz="0" w:space="0" w:color="auto"/>
                <w:left w:val="none" w:sz="0" w:space="0" w:color="auto"/>
                <w:bottom w:val="none" w:sz="0" w:space="0" w:color="auto"/>
                <w:right w:val="none" w:sz="0" w:space="0" w:color="auto"/>
              </w:divBdr>
            </w:div>
            <w:div w:id="1638298051">
              <w:marLeft w:val="0"/>
              <w:marRight w:val="0"/>
              <w:marTop w:val="0"/>
              <w:marBottom w:val="0"/>
              <w:divBdr>
                <w:top w:val="none" w:sz="0" w:space="0" w:color="auto"/>
                <w:left w:val="none" w:sz="0" w:space="0" w:color="auto"/>
                <w:bottom w:val="none" w:sz="0" w:space="0" w:color="auto"/>
                <w:right w:val="none" w:sz="0" w:space="0" w:color="auto"/>
              </w:divBdr>
            </w:div>
            <w:div w:id="2120559702">
              <w:marLeft w:val="0"/>
              <w:marRight w:val="0"/>
              <w:marTop w:val="0"/>
              <w:marBottom w:val="0"/>
              <w:divBdr>
                <w:top w:val="none" w:sz="0" w:space="0" w:color="auto"/>
                <w:left w:val="none" w:sz="0" w:space="0" w:color="auto"/>
                <w:bottom w:val="none" w:sz="0" w:space="0" w:color="auto"/>
                <w:right w:val="none" w:sz="0" w:space="0" w:color="auto"/>
              </w:divBdr>
            </w:div>
            <w:div w:id="2032028977">
              <w:marLeft w:val="0"/>
              <w:marRight w:val="0"/>
              <w:marTop w:val="0"/>
              <w:marBottom w:val="0"/>
              <w:divBdr>
                <w:top w:val="none" w:sz="0" w:space="0" w:color="auto"/>
                <w:left w:val="none" w:sz="0" w:space="0" w:color="auto"/>
                <w:bottom w:val="none" w:sz="0" w:space="0" w:color="auto"/>
                <w:right w:val="none" w:sz="0" w:space="0" w:color="auto"/>
              </w:divBdr>
            </w:div>
            <w:div w:id="2026325130">
              <w:marLeft w:val="0"/>
              <w:marRight w:val="0"/>
              <w:marTop w:val="0"/>
              <w:marBottom w:val="0"/>
              <w:divBdr>
                <w:top w:val="none" w:sz="0" w:space="0" w:color="auto"/>
                <w:left w:val="none" w:sz="0" w:space="0" w:color="auto"/>
                <w:bottom w:val="none" w:sz="0" w:space="0" w:color="auto"/>
                <w:right w:val="none" w:sz="0" w:space="0" w:color="auto"/>
              </w:divBdr>
            </w:div>
            <w:div w:id="2068724345">
              <w:marLeft w:val="0"/>
              <w:marRight w:val="0"/>
              <w:marTop w:val="0"/>
              <w:marBottom w:val="0"/>
              <w:divBdr>
                <w:top w:val="none" w:sz="0" w:space="0" w:color="auto"/>
                <w:left w:val="none" w:sz="0" w:space="0" w:color="auto"/>
                <w:bottom w:val="none" w:sz="0" w:space="0" w:color="auto"/>
                <w:right w:val="none" w:sz="0" w:space="0" w:color="auto"/>
              </w:divBdr>
            </w:div>
            <w:div w:id="1282608307">
              <w:marLeft w:val="0"/>
              <w:marRight w:val="0"/>
              <w:marTop w:val="0"/>
              <w:marBottom w:val="0"/>
              <w:divBdr>
                <w:top w:val="none" w:sz="0" w:space="0" w:color="auto"/>
                <w:left w:val="none" w:sz="0" w:space="0" w:color="auto"/>
                <w:bottom w:val="none" w:sz="0" w:space="0" w:color="auto"/>
                <w:right w:val="none" w:sz="0" w:space="0" w:color="auto"/>
              </w:divBdr>
            </w:div>
            <w:div w:id="905460457">
              <w:marLeft w:val="0"/>
              <w:marRight w:val="0"/>
              <w:marTop w:val="0"/>
              <w:marBottom w:val="0"/>
              <w:divBdr>
                <w:top w:val="none" w:sz="0" w:space="0" w:color="auto"/>
                <w:left w:val="none" w:sz="0" w:space="0" w:color="auto"/>
                <w:bottom w:val="none" w:sz="0" w:space="0" w:color="auto"/>
                <w:right w:val="none" w:sz="0" w:space="0" w:color="auto"/>
              </w:divBdr>
            </w:div>
            <w:div w:id="341399466">
              <w:marLeft w:val="0"/>
              <w:marRight w:val="0"/>
              <w:marTop w:val="0"/>
              <w:marBottom w:val="0"/>
              <w:divBdr>
                <w:top w:val="none" w:sz="0" w:space="0" w:color="auto"/>
                <w:left w:val="none" w:sz="0" w:space="0" w:color="auto"/>
                <w:bottom w:val="none" w:sz="0" w:space="0" w:color="auto"/>
                <w:right w:val="none" w:sz="0" w:space="0" w:color="auto"/>
              </w:divBdr>
            </w:div>
            <w:div w:id="962030552">
              <w:marLeft w:val="0"/>
              <w:marRight w:val="0"/>
              <w:marTop w:val="0"/>
              <w:marBottom w:val="0"/>
              <w:divBdr>
                <w:top w:val="none" w:sz="0" w:space="0" w:color="auto"/>
                <w:left w:val="none" w:sz="0" w:space="0" w:color="auto"/>
                <w:bottom w:val="none" w:sz="0" w:space="0" w:color="auto"/>
                <w:right w:val="none" w:sz="0" w:space="0" w:color="auto"/>
              </w:divBdr>
            </w:div>
            <w:div w:id="1559709280">
              <w:marLeft w:val="0"/>
              <w:marRight w:val="0"/>
              <w:marTop w:val="0"/>
              <w:marBottom w:val="0"/>
              <w:divBdr>
                <w:top w:val="none" w:sz="0" w:space="0" w:color="auto"/>
                <w:left w:val="none" w:sz="0" w:space="0" w:color="auto"/>
                <w:bottom w:val="none" w:sz="0" w:space="0" w:color="auto"/>
                <w:right w:val="none" w:sz="0" w:space="0" w:color="auto"/>
              </w:divBdr>
            </w:div>
            <w:div w:id="1971087035">
              <w:marLeft w:val="0"/>
              <w:marRight w:val="0"/>
              <w:marTop w:val="0"/>
              <w:marBottom w:val="0"/>
              <w:divBdr>
                <w:top w:val="none" w:sz="0" w:space="0" w:color="auto"/>
                <w:left w:val="none" w:sz="0" w:space="0" w:color="auto"/>
                <w:bottom w:val="none" w:sz="0" w:space="0" w:color="auto"/>
                <w:right w:val="none" w:sz="0" w:space="0" w:color="auto"/>
              </w:divBdr>
            </w:div>
            <w:div w:id="990522471">
              <w:marLeft w:val="0"/>
              <w:marRight w:val="0"/>
              <w:marTop w:val="0"/>
              <w:marBottom w:val="0"/>
              <w:divBdr>
                <w:top w:val="none" w:sz="0" w:space="0" w:color="auto"/>
                <w:left w:val="none" w:sz="0" w:space="0" w:color="auto"/>
                <w:bottom w:val="none" w:sz="0" w:space="0" w:color="auto"/>
                <w:right w:val="none" w:sz="0" w:space="0" w:color="auto"/>
              </w:divBdr>
            </w:div>
            <w:div w:id="30880273">
              <w:marLeft w:val="0"/>
              <w:marRight w:val="0"/>
              <w:marTop w:val="0"/>
              <w:marBottom w:val="0"/>
              <w:divBdr>
                <w:top w:val="none" w:sz="0" w:space="0" w:color="auto"/>
                <w:left w:val="none" w:sz="0" w:space="0" w:color="auto"/>
                <w:bottom w:val="none" w:sz="0" w:space="0" w:color="auto"/>
                <w:right w:val="none" w:sz="0" w:space="0" w:color="auto"/>
              </w:divBdr>
            </w:div>
            <w:div w:id="1254171486">
              <w:marLeft w:val="0"/>
              <w:marRight w:val="0"/>
              <w:marTop w:val="0"/>
              <w:marBottom w:val="0"/>
              <w:divBdr>
                <w:top w:val="none" w:sz="0" w:space="0" w:color="auto"/>
                <w:left w:val="none" w:sz="0" w:space="0" w:color="auto"/>
                <w:bottom w:val="none" w:sz="0" w:space="0" w:color="auto"/>
                <w:right w:val="none" w:sz="0" w:space="0" w:color="auto"/>
              </w:divBdr>
            </w:div>
            <w:div w:id="1624774506">
              <w:marLeft w:val="0"/>
              <w:marRight w:val="0"/>
              <w:marTop w:val="0"/>
              <w:marBottom w:val="0"/>
              <w:divBdr>
                <w:top w:val="none" w:sz="0" w:space="0" w:color="auto"/>
                <w:left w:val="none" w:sz="0" w:space="0" w:color="auto"/>
                <w:bottom w:val="none" w:sz="0" w:space="0" w:color="auto"/>
                <w:right w:val="none" w:sz="0" w:space="0" w:color="auto"/>
              </w:divBdr>
            </w:div>
            <w:div w:id="1165510483">
              <w:marLeft w:val="0"/>
              <w:marRight w:val="0"/>
              <w:marTop w:val="0"/>
              <w:marBottom w:val="0"/>
              <w:divBdr>
                <w:top w:val="none" w:sz="0" w:space="0" w:color="auto"/>
                <w:left w:val="none" w:sz="0" w:space="0" w:color="auto"/>
                <w:bottom w:val="none" w:sz="0" w:space="0" w:color="auto"/>
                <w:right w:val="none" w:sz="0" w:space="0" w:color="auto"/>
              </w:divBdr>
            </w:div>
            <w:div w:id="1769039301">
              <w:marLeft w:val="0"/>
              <w:marRight w:val="0"/>
              <w:marTop w:val="0"/>
              <w:marBottom w:val="0"/>
              <w:divBdr>
                <w:top w:val="none" w:sz="0" w:space="0" w:color="auto"/>
                <w:left w:val="none" w:sz="0" w:space="0" w:color="auto"/>
                <w:bottom w:val="none" w:sz="0" w:space="0" w:color="auto"/>
                <w:right w:val="none" w:sz="0" w:space="0" w:color="auto"/>
              </w:divBdr>
            </w:div>
            <w:div w:id="1852793799">
              <w:marLeft w:val="0"/>
              <w:marRight w:val="0"/>
              <w:marTop w:val="0"/>
              <w:marBottom w:val="0"/>
              <w:divBdr>
                <w:top w:val="none" w:sz="0" w:space="0" w:color="auto"/>
                <w:left w:val="none" w:sz="0" w:space="0" w:color="auto"/>
                <w:bottom w:val="none" w:sz="0" w:space="0" w:color="auto"/>
                <w:right w:val="none" w:sz="0" w:space="0" w:color="auto"/>
              </w:divBdr>
            </w:div>
            <w:div w:id="2097051747">
              <w:marLeft w:val="0"/>
              <w:marRight w:val="0"/>
              <w:marTop w:val="0"/>
              <w:marBottom w:val="0"/>
              <w:divBdr>
                <w:top w:val="none" w:sz="0" w:space="0" w:color="auto"/>
                <w:left w:val="none" w:sz="0" w:space="0" w:color="auto"/>
                <w:bottom w:val="none" w:sz="0" w:space="0" w:color="auto"/>
                <w:right w:val="none" w:sz="0" w:space="0" w:color="auto"/>
              </w:divBdr>
            </w:div>
            <w:div w:id="251160158">
              <w:marLeft w:val="0"/>
              <w:marRight w:val="0"/>
              <w:marTop w:val="0"/>
              <w:marBottom w:val="0"/>
              <w:divBdr>
                <w:top w:val="none" w:sz="0" w:space="0" w:color="auto"/>
                <w:left w:val="none" w:sz="0" w:space="0" w:color="auto"/>
                <w:bottom w:val="none" w:sz="0" w:space="0" w:color="auto"/>
                <w:right w:val="none" w:sz="0" w:space="0" w:color="auto"/>
              </w:divBdr>
            </w:div>
            <w:div w:id="1505167381">
              <w:marLeft w:val="0"/>
              <w:marRight w:val="0"/>
              <w:marTop w:val="0"/>
              <w:marBottom w:val="0"/>
              <w:divBdr>
                <w:top w:val="none" w:sz="0" w:space="0" w:color="auto"/>
                <w:left w:val="none" w:sz="0" w:space="0" w:color="auto"/>
                <w:bottom w:val="none" w:sz="0" w:space="0" w:color="auto"/>
                <w:right w:val="none" w:sz="0" w:space="0" w:color="auto"/>
              </w:divBdr>
            </w:div>
            <w:div w:id="503715340">
              <w:marLeft w:val="0"/>
              <w:marRight w:val="0"/>
              <w:marTop w:val="0"/>
              <w:marBottom w:val="0"/>
              <w:divBdr>
                <w:top w:val="none" w:sz="0" w:space="0" w:color="auto"/>
                <w:left w:val="none" w:sz="0" w:space="0" w:color="auto"/>
                <w:bottom w:val="none" w:sz="0" w:space="0" w:color="auto"/>
                <w:right w:val="none" w:sz="0" w:space="0" w:color="auto"/>
              </w:divBdr>
            </w:div>
            <w:div w:id="1634873371">
              <w:marLeft w:val="0"/>
              <w:marRight w:val="0"/>
              <w:marTop w:val="0"/>
              <w:marBottom w:val="0"/>
              <w:divBdr>
                <w:top w:val="none" w:sz="0" w:space="0" w:color="auto"/>
                <w:left w:val="none" w:sz="0" w:space="0" w:color="auto"/>
                <w:bottom w:val="none" w:sz="0" w:space="0" w:color="auto"/>
                <w:right w:val="none" w:sz="0" w:space="0" w:color="auto"/>
              </w:divBdr>
            </w:div>
            <w:div w:id="463889395">
              <w:marLeft w:val="0"/>
              <w:marRight w:val="0"/>
              <w:marTop w:val="0"/>
              <w:marBottom w:val="0"/>
              <w:divBdr>
                <w:top w:val="none" w:sz="0" w:space="0" w:color="auto"/>
                <w:left w:val="none" w:sz="0" w:space="0" w:color="auto"/>
                <w:bottom w:val="none" w:sz="0" w:space="0" w:color="auto"/>
                <w:right w:val="none" w:sz="0" w:space="0" w:color="auto"/>
              </w:divBdr>
            </w:div>
            <w:div w:id="431365938">
              <w:marLeft w:val="0"/>
              <w:marRight w:val="0"/>
              <w:marTop w:val="0"/>
              <w:marBottom w:val="0"/>
              <w:divBdr>
                <w:top w:val="none" w:sz="0" w:space="0" w:color="auto"/>
                <w:left w:val="none" w:sz="0" w:space="0" w:color="auto"/>
                <w:bottom w:val="none" w:sz="0" w:space="0" w:color="auto"/>
                <w:right w:val="none" w:sz="0" w:space="0" w:color="auto"/>
              </w:divBdr>
            </w:div>
            <w:div w:id="1518302287">
              <w:marLeft w:val="0"/>
              <w:marRight w:val="0"/>
              <w:marTop w:val="0"/>
              <w:marBottom w:val="0"/>
              <w:divBdr>
                <w:top w:val="none" w:sz="0" w:space="0" w:color="auto"/>
                <w:left w:val="none" w:sz="0" w:space="0" w:color="auto"/>
                <w:bottom w:val="none" w:sz="0" w:space="0" w:color="auto"/>
                <w:right w:val="none" w:sz="0" w:space="0" w:color="auto"/>
              </w:divBdr>
            </w:div>
            <w:div w:id="703137176">
              <w:marLeft w:val="0"/>
              <w:marRight w:val="0"/>
              <w:marTop w:val="0"/>
              <w:marBottom w:val="0"/>
              <w:divBdr>
                <w:top w:val="none" w:sz="0" w:space="0" w:color="auto"/>
                <w:left w:val="none" w:sz="0" w:space="0" w:color="auto"/>
                <w:bottom w:val="none" w:sz="0" w:space="0" w:color="auto"/>
                <w:right w:val="none" w:sz="0" w:space="0" w:color="auto"/>
              </w:divBdr>
            </w:div>
            <w:div w:id="323777278">
              <w:marLeft w:val="0"/>
              <w:marRight w:val="0"/>
              <w:marTop w:val="0"/>
              <w:marBottom w:val="0"/>
              <w:divBdr>
                <w:top w:val="none" w:sz="0" w:space="0" w:color="auto"/>
                <w:left w:val="none" w:sz="0" w:space="0" w:color="auto"/>
                <w:bottom w:val="none" w:sz="0" w:space="0" w:color="auto"/>
                <w:right w:val="none" w:sz="0" w:space="0" w:color="auto"/>
              </w:divBdr>
            </w:div>
            <w:div w:id="621418622">
              <w:marLeft w:val="0"/>
              <w:marRight w:val="0"/>
              <w:marTop w:val="0"/>
              <w:marBottom w:val="0"/>
              <w:divBdr>
                <w:top w:val="none" w:sz="0" w:space="0" w:color="auto"/>
                <w:left w:val="none" w:sz="0" w:space="0" w:color="auto"/>
                <w:bottom w:val="none" w:sz="0" w:space="0" w:color="auto"/>
                <w:right w:val="none" w:sz="0" w:space="0" w:color="auto"/>
              </w:divBdr>
            </w:div>
            <w:div w:id="392312051">
              <w:marLeft w:val="0"/>
              <w:marRight w:val="0"/>
              <w:marTop w:val="0"/>
              <w:marBottom w:val="0"/>
              <w:divBdr>
                <w:top w:val="none" w:sz="0" w:space="0" w:color="auto"/>
                <w:left w:val="none" w:sz="0" w:space="0" w:color="auto"/>
                <w:bottom w:val="none" w:sz="0" w:space="0" w:color="auto"/>
                <w:right w:val="none" w:sz="0" w:space="0" w:color="auto"/>
              </w:divBdr>
            </w:div>
            <w:div w:id="2009213529">
              <w:marLeft w:val="0"/>
              <w:marRight w:val="0"/>
              <w:marTop w:val="0"/>
              <w:marBottom w:val="0"/>
              <w:divBdr>
                <w:top w:val="none" w:sz="0" w:space="0" w:color="auto"/>
                <w:left w:val="none" w:sz="0" w:space="0" w:color="auto"/>
                <w:bottom w:val="none" w:sz="0" w:space="0" w:color="auto"/>
                <w:right w:val="none" w:sz="0" w:space="0" w:color="auto"/>
              </w:divBdr>
            </w:div>
            <w:div w:id="990671635">
              <w:marLeft w:val="0"/>
              <w:marRight w:val="0"/>
              <w:marTop w:val="0"/>
              <w:marBottom w:val="0"/>
              <w:divBdr>
                <w:top w:val="none" w:sz="0" w:space="0" w:color="auto"/>
                <w:left w:val="none" w:sz="0" w:space="0" w:color="auto"/>
                <w:bottom w:val="none" w:sz="0" w:space="0" w:color="auto"/>
                <w:right w:val="none" w:sz="0" w:space="0" w:color="auto"/>
              </w:divBdr>
            </w:div>
            <w:div w:id="937833675">
              <w:marLeft w:val="0"/>
              <w:marRight w:val="0"/>
              <w:marTop w:val="0"/>
              <w:marBottom w:val="0"/>
              <w:divBdr>
                <w:top w:val="none" w:sz="0" w:space="0" w:color="auto"/>
                <w:left w:val="none" w:sz="0" w:space="0" w:color="auto"/>
                <w:bottom w:val="none" w:sz="0" w:space="0" w:color="auto"/>
                <w:right w:val="none" w:sz="0" w:space="0" w:color="auto"/>
              </w:divBdr>
            </w:div>
            <w:div w:id="2003074304">
              <w:marLeft w:val="0"/>
              <w:marRight w:val="0"/>
              <w:marTop w:val="0"/>
              <w:marBottom w:val="0"/>
              <w:divBdr>
                <w:top w:val="none" w:sz="0" w:space="0" w:color="auto"/>
                <w:left w:val="none" w:sz="0" w:space="0" w:color="auto"/>
                <w:bottom w:val="none" w:sz="0" w:space="0" w:color="auto"/>
                <w:right w:val="none" w:sz="0" w:space="0" w:color="auto"/>
              </w:divBdr>
            </w:div>
            <w:div w:id="686636775">
              <w:marLeft w:val="0"/>
              <w:marRight w:val="0"/>
              <w:marTop w:val="0"/>
              <w:marBottom w:val="0"/>
              <w:divBdr>
                <w:top w:val="none" w:sz="0" w:space="0" w:color="auto"/>
                <w:left w:val="none" w:sz="0" w:space="0" w:color="auto"/>
                <w:bottom w:val="none" w:sz="0" w:space="0" w:color="auto"/>
                <w:right w:val="none" w:sz="0" w:space="0" w:color="auto"/>
              </w:divBdr>
            </w:div>
            <w:div w:id="830364356">
              <w:marLeft w:val="0"/>
              <w:marRight w:val="0"/>
              <w:marTop w:val="0"/>
              <w:marBottom w:val="0"/>
              <w:divBdr>
                <w:top w:val="none" w:sz="0" w:space="0" w:color="auto"/>
                <w:left w:val="none" w:sz="0" w:space="0" w:color="auto"/>
                <w:bottom w:val="none" w:sz="0" w:space="0" w:color="auto"/>
                <w:right w:val="none" w:sz="0" w:space="0" w:color="auto"/>
              </w:divBdr>
            </w:div>
            <w:div w:id="845091500">
              <w:marLeft w:val="0"/>
              <w:marRight w:val="0"/>
              <w:marTop w:val="0"/>
              <w:marBottom w:val="0"/>
              <w:divBdr>
                <w:top w:val="none" w:sz="0" w:space="0" w:color="auto"/>
                <w:left w:val="none" w:sz="0" w:space="0" w:color="auto"/>
                <w:bottom w:val="none" w:sz="0" w:space="0" w:color="auto"/>
                <w:right w:val="none" w:sz="0" w:space="0" w:color="auto"/>
              </w:divBdr>
            </w:div>
            <w:div w:id="1359701372">
              <w:marLeft w:val="0"/>
              <w:marRight w:val="0"/>
              <w:marTop w:val="0"/>
              <w:marBottom w:val="0"/>
              <w:divBdr>
                <w:top w:val="none" w:sz="0" w:space="0" w:color="auto"/>
                <w:left w:val="none" w:sz="0" w:space="0" w:color="auto"/>
                <w:bottom w:val="none" w:sz="0" w:space="0" w:color="auto"/>
                <w:right w:val="none" w:sz="0" w:space="0" w:color="auto"/>
              </w:divBdr>
            </w:div>
            <w:div w:id="1592859979">
              <w:marLeft w:val="0"/>
              <w:marRight w:val="0"/>
              <w:marTop w:val="0"/>
              <w:marBottom w:val="0"/>
              <w:divBdr>
                <w:top w:val="none" w:sz="0" w:space="0" w:color="auto"/>
                <w:left w:val="none" w:sz="0" w:space="0" w:color="auto"/>
                <w:bottom w:val="none" w:sz="0" w:space="0" w:color="auto"/>
                <w:right w:val="none" w:sz="0" w:space="0" w:color="auto"/>
              </w:divBdr>
            </w:div>
            <w:div w:id="1256981958">
              <w:marLeft w:val="0"/>
              <w:marRight w:val="0"/>
              <w:marTop w:val="0"/>
              <w:marBottom w:val="0"/>
              <w:divBdr>
                <w:top w:val="none" w:sz="0" w:space="0" w:color="auto"/>
                <w:left w:val="none" w:sz="0" w:space="0" w:color="auto"/>
                <w:bottom w:val="none" w:sz="0" w:space="0" w:color="auto"/>
                <w:right w:val="none" w:sz="0" w:space="0" w:color="auto"/>
              </w:divBdr>
            </w:div>
            <w:div w:id="276766257">
              <w:marLeft w:val="0"/>
              <w:marRight w:val="0"/>
              <w:marTop w:val="0"/>
              <w:marBottom w:val="0"/>
              <w:divBdr>
                <w:top w:val="none" w:sz="0" w:space="0" w:color="auto"/>
                <w:left w:val="none" w:sz="0" w:space="0" w:color="auto"/>
                <w:bottom w:val="none" w:sz="0" w:space="0" w:color="auto"/>
                <w:right w:val="none" w:sz="0" w:space="0" w:color="auto"/>
              </w:divBdr>
            </w:div>
            <w:div w:id="1529298122">
              <w:marLeft w:val="0"/>
              <w:marRight w:val="0"/>
              <w:marTop w:val="0"/>
              <w:marBottom w:val="0"/>
              <w:divBdr>
                <w:top w:val="none" w:sz="0" w:space="0" w:color="auto"/>
                <w:left w:val="none" w:sz="0" w:space="0" w:color="auto"/>
                <w:bottom w:val="none" w:sz="0" w:space="0" w:color="auto"/>
                <w:right w:val="none" w:sz="0" w:space="0" w:color="auto"/>
              </w:divBdr>
            </w:div>
            <w:div w:id="418186216">
              <w:marLeft w:val="0"/>
              <w:marRight w:val="0"/>
              <w:marTop w:val="0"/>
              <w:marBottom w:val="0"/>
              <w:divBdr>
                <w:top w:val="none" w:sz="0" w:space="0" w:color="auto"/>
                <w:left w:val="none" w:sz="0" w:space="0" w:color="auto"/>
                <w:bottom w:val="none" w:sz="0" w:space="0" w:color="auto"/>
                <w:right w:val="none" w:sz="0" w:space="0" w:color="auto"/>
              </w:divBdr>
            </w:div>
            <w:div w:id="1402748510">
              <w:marLeft w:val="0"/>
              <w:marRight w:val="0"/>
              <w:marTop w:val="0"/>
              <w:marBottom w:val="0"/>
              <w:divBdr>
                <w:top w:val="none" w:sz="0" w:space="0" w:color="auto"/>
                <w:left w:val="none" w:sz="0" w:space="0" w:color="auto"/>
                <w:bottom w:val="none" w:sz="0" w:space="0" w:color="auto"/>
                <w:right w:val="none" w:sz="0" w:space="0" w:color="auto"/>
              </w:divBdr>
            </w:div>
            <w:div w:id="1161890488">
              <w:marLeft w:val="0"/>
              <w:marRight w:val="0"/>
              <w:marTop w:val="0"/>
              <w:marBottom w:val="0"/>
              <w:divBdr>
                <w:top w:val="none" w:sz="0" w:space="0" w:color="auto"/>
                <w:left w:val="none" w:sz="0" w:space="0" w:color="auto"/>
                <w:bottom w:val="none" w:sz="0" w:space="0" w:color="auto"/>
                <w:right w:val="none" w:sz="0" w:space="0" w:color="auto"/>
              </w:divBdr>
            </w:div>
            <w:div w:id="934706162">
              <w:marLeft w:val="0"/>
              <w:marRight w:val="0"/>
              <w:marTop w:val="0"/>
              <w:marBottom w:val="0"/>
              <w:divBdr>
                <w:top w:val="none" w:sz="0" w:space="0" w:color="auto"/>
                <w:left w:val="none" w:sz="0" w:space="0" w:color="auto"/>
                <w:bottom w:val="none" w:sz="0" w:space="0" w:color="auto"/>
                <w:right w:val="none" w:sz="0" w:space="0" w:color="auto"/>
              </w:divBdr>
            </w:div>
            <w:div w:id="842478429">
              <w:marLeft w:val="0"/>
              <w:marRight w:val="0"/>
              <w:marTop w:val="0"/>
              <w:marBottom w:val="0"/>
              <w:divBdr>
                <w:top w:val="none" w:sz="0" w:space="0" w:color="auto"/>
                <w:left w:val="none" w:sz="0" w:space="0" w:color="auto"/>
                <w:bottom w:val="none" w:sz="0" w:space="0" w:color="auto"/>
                <w:right w:val="none" w:sz="0" w:space="0" w:color="auto"/>
              </w:divBdr>
            </w:div>
            <w:div w:id="3486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1969">
      <w:marLeft w:val="0"/>
      <w:marRight w:val="0"/>
      <w:marTop w:val="0"/>
      <w:marBottom w:val="0"/>
      <w:divBdr>
        <w:top w:val="none" w:sz="0" w:space="0" w:color="auto"/>
        <w:left w:val="none" w:sz="0" w:space="0" w:color="auto"/>
        <w:bottom w:val="none" w:sz="0" w:space="0" w:color="auto"/>
        <w:right w:val="none" w:sz="0" w:space="0" w:color="auto"/>
      </w:divBdr>
      <w:divsChild>
        <w:div w:id="1447389491">
          <w:marLeft w:val="0"/>
          <w:marRight w:val="0"/>
          <w:marTop w:val="0"/>
          <w:marBottom w:val="0"/>
          <w:divBdr>
            <w:top w:val="none" w:sz="0" w:space="0" w:color="auto"/>
            <w:left w:val="none" w:sz="0" w:space="0" w:color="auto"/>
            <w:bottom w:val="none" w:sz="0" w:space="0" w:color="auto"/>
            <w:right w:val="none" w:sz="0" w:space="0" w:color="auto"/>
          </w:divBdr>
        </w:div>
      </w:divsChild>
    </w:div>
    <w:div w:id="1855654272">
      <w:marLeft w:val="0"/>
      <w:marRight w:val="0"/>
      <w:marTop w:val="0"/>
      <w:marBottom w:val="0"/>
      <w:divBdr>
        <w:top w:val="none" w:sz="0" w:space="0" w:color="auto"/>
        <w:left w:val="none" w:sz="0" w:space="0" w:color="auto"/>
        <w:bottom w:val="none" w:sz="0" w:space="0" w:color="auto"/>
        <w:right w:val="none" w:sz="0" w:space="0" w:color="auto"/>
      </w:divBdr>
      <w:divsChild>
        <w:div w:id="2067140061">
          <w:marLeft w:val="0"/>
          <w:marRight w:val="0"/>
          <w:marTop w:val="0"/>
          <w:marBottom w:val="0"/>
          <w:divBdr>
            <w:top w:val="none" w:sz="0" w:space="0" w:color="auto"/>
            <w:left w:val="none" w:sz="0" w:space="0" w:color="auto"/>
            <w:bottom w:val="none" w:sz="0" w:space="0" w:color="auto"/>
            <w:right w:val="none" w:sz="0" w:space="0" w:color="auto"/>
          </w:divBdr>
        </w:div>
      </w:divsChild>
    </w:div>
    <w:div w:id="1856339715">
      <w:marLeft w:val="0"/>
      <w:marRight w:val="0"/>
      <w:marTop w:val="0"/>
      <w:marBottom w:val="0"/>
      <w:divBdr>
        <w:top w:val="none" w:sz="0" w:space="0" w:color="auto"/>
        <w:left w:val="none" w:sz="0" w:space="0" w:color="auto"/>
        <w:bottom w:val="none" w:sz="0" w:space="0" w:color="auto"/>
        <w:right w:val="none" w:sz="0" w:space="0" w:color="auto"/>
      </w:divBdr>
      <w:divsChild>
        <w:div w:id="1936940235">
          <w:marLeft w:val="0"/>
          <w:marRight w:val="0"/>
          <w:marTop w:val="0"/>
          <w:marBottom w:val="0"/>
          <w:divBdr>
            <w:top w:val="none" w:sz="0" w:space="0" w:color="auto"/>
            <w:left w:val="none" w:sz="0" w:space="0" w:color="auto"/>
            <w:bottom w:val="none" w:sz="0" w:space="0" w:color="auto"/>
            <w:right w:val="none" w:sz="0" w:space="0" w:color="auto"/>
          </w:divBdr>
        </w:div>
      </w:divsChild>
    </w:div>
    <w:div w:id="1858305341">
      <w:marLeft w:val="0"/>
      <w:marRight w:val="0"/>
      <w:marTop w:val="0"/>
      <w:marBottom w:val="0"/>
      <w:divBdr>
        <w:top w:val="none" w:sz="0" w:space="0" w:color="auto"/>
        <w:left w:val="none" w:sz="0" w:space="0" w:color="auto"/>
        <w:bottom w:val="none" w:sz="0" w:space="0" w:color="auto"/>
        <w:right w:val="none" w:sz="0" w:space="0" w:color="auto"/>
      </w:divBdr>
      <w:divsChild>
        <w:div w:id="822964738">
          <w:marLeft w:val="0"/>
          <w:marRight w:val="0"/>
          <w:marTop w:val="0"/>
          <w:marBottom w:val="0"/>
          <w:divBdr>
            <w:top w:val="none" w:sz="0" w:space="0" w:color="auto"/>
            <w:left w:val="none" w:sz="0" w:space="0" w:color="auto"/>
            <w:bottom w:val="none" w:sz="0" w:space="0" w:color="auto"/>
            <w:right w:val="none" w:sz="0" w:space="0" w:color="auto"/>
          </w:divBdr>
        </w:div>
      </w:divsChild>
    </w:div>
    <w:div w:id="1861964115">
      <w:marLeft w:val="0"/>
      <w:marRight w:val="0"/>
      <w:marTop w:val="0"/>
      <w:marBottom w:val="0"/>
      <w:divBdr>
        <w:top w:val="none" w:sz="0" w:space="0" w:color="auto"/>
        <w:left w:val="none" w:sz="0" w:space="0" w:color="auto"/>
        <w:bottom w:val="none" w:sz="0" w:space="0" w:color="auto"/>
        <w:right w:val="none" w:sz="0" w:space="0" w:color="auto"/>
      </w:divBdr>
      <w:divsChild>
        <w:div w:id="1858814199">
          <w:marLeft w:val="0"/>
          <w:marRight w:val="0"/>
          <w:marTop w:val="0"/>
          <w:marBottom w:val="0"/>
          <w:divBdr>
            <w:top w:val="none" w:sz="0" w:space="0" w:color="auto"/>
            <w:left w:val="none" w:sz="0" w:space="0" w:color="auto"/>
            <w:bottom w:val="none" w:sz="0" w:space="0" w:color="auto"/>
            <w:right w:val="none" w:sz="0" w:space="0" w:color="auto"/>
          </w:divBdr>
        </w:div>
      </w:divsChild>
    </w:div>
    <w:div w:id="1863086916">
      <w:marLeft w:val="0"/>
      <w:marRight w:val="0"/>
      <w:marTop w:val="0"/>
      <w:marBottom w:val="0"/>
      <w:divBdr>
        <w:top w:val="none" w:sz="0" w:space="0" w:color="auto"/>
        <w:left w:val="none" w:sz="0" w:space="0" w:color="auto"/>
        <w:bottom w:val="none" w:sz="0" w:space="0" w:color="auto"/>
        <w:right w:val="none" w:sz="0" w:space="0" w:color="auto"/>
      </w:divBdr>
      <w:divsChild>
        <w:div w:id="1054155861">
          <w:marLeft w:val="0"/>
          <w:marRight w:val="0"/>
          <w:marTop w:val="0"/>
          <w:marBottom w:val="0"/>
          <w:divBdr>
            <w:top w:val="none" w:sz="0" w:space="0" w:color="auto"/>
            <w:left w:val="none" w:sz="0" w:space="0" w:color="auto"/>
            <w:bottom w:val="none" w:sz="0" w:space="0" w:color="auto"/>
            <w:right w:val="none" w:sz="0" w:space="0" w:color="auto"/>
          </w:divBdr>
        </w:div>
      </w:divsChild>
    </w:div>
    <w:div w:id="1868253024">
      <w:marLeft w:val="0"/>
      <w:marRight w:val="0"/>
      <w:marTop w:val="0"/>
      <w:marBottom w:val="0"/>
      <w:divBdr>
        <w:top w:val="none" w:sz="0" w:space="0" w:color="auto"/>
        <w:left w:val="none" w:sz="0" w:space="0" w:color="auto"/>
        <w:bottom w:val="none" w:sz="0" w:space="0" w:color="auto"/>
        <w:right w:val="none" w:sz="0" w:space="0" w:color="auto"/>
      </w:divBdr>
      <w:divsChild>
        <w:div w:id="568154178">
          <w:marLeft w:val="0"/>
          <w:marRight w:val="0"/>
          <w:marTop w:val="0"/>
          <w:marBottom w:val="0"/>
          <w:divBdr>
            <w:top w:val="none" w:sz="0" w:space="0" w:color="auto"/>
            <w:left w:val="none" w:sz="0" w:space="0" w:color="auto"/>
            <w:bottom w:val="none" w:sz="0" w:space="0" w:color="auto"/>
            <w:right w:val="none" w:sz="0" w:space="0" w:color="auto"/>
          </w:divBdr>
        </w:div>
      </w:divsChild>
    </w:div>
    <w:div w:id="1870947362">
      <w:bodyDiv w:val="1"/>
      <w:marLeft w:val="0"/>
      <w:marRight w:val="0"/>
      <w:marTop w:val="0"/>
      <w:marBottom w:val="0"/>
      <w:divBdr>
        <w:top w:val="none" w:sz="0" w:space="0" w:color="auto"/>
        <w:left w:val="none" w:sz="0" w:space="0" w:color="auto"/>
        <w:bottom w:val="none" w:sz="0" w:space="0" w:color="auto"/>
        <w:right w:val="none" w:sz="0" w:space="0" w:color="auto"/>
      </w:divBdr>
      <w:divsChild>
        <w:div w:id="1418599432">
          <w:marLeft w:val="0"/>
          <w:marRight w:val="0"/>
          <w:marTop w:val="0"/>
          <w:marBottom w:val="0"/>
          <w:divBdr>
            <w:top w:val="none" w:sz="0" w:space="0" w:color="auto"/>
            <w:left w:val="none" w:sz="0" w:space="0" w:color="auto"/>
            <w:bottom w:val="none" w:sz="0" w:space="0" w:color="auto"/>
            <w:right w:val="none" w:sz="0" w:space="0" w:color="auto"/>
          </w:divBdr>
          <w:divsChild>
            <w:div w:id="1487355471">
              <w:marLeft w:val="0"/>
              <w:marRight w:val="0"/>
              <w:marTop w:val="0"/>
              <w:marBottom w:val="0"/>
              <w:divBdr>
                <w:top w:val="none" w:sz="0" w:space="0" w:color="auto"/>
                <w:left w:val="none" w:sz="0" w:space="0" w:color="auto"/>
                <w:bottom w:val="none" w:sz="0" w:space="0" w:color="auto"/>
                <w:right w:val="none" w:sz="0" w:space="0" w:color="auto"/>
              </w:divBdr>
            </w:div>
            <w:div w:id="1899045323">
              <w:marLeft w:val="0"/>
              <w:marRight w:val="0"/>
              <w:marTop w:val="0"/>
              <w:marBottom w:val="0"/>
              <w:divBdr>
                <w:top w:val="none" w:sz="0" w:space="0" w:color="auto"/>
                <w:left w:val="none" w:sz="0" w:space="0" w:color="auto"/>
                <w:bottom w:val="none" w:sz="0" w:space="0" w:color="auto"/>
                <w:right w:val="none" w:sz="0" w:space="0" w:color="auto"/>
              </w:divBdr>
            </w:div>
            <w:div w:id="1909920979">
              <w:marLeft w:val="0"/>
              <w:marRight w:val="0"/>
              <w:marTop w:val="0"/>
              <w:marBottom w:val="0"/>
              <w:divBdr>
                <w:top w:val="none" w:sz="0" w:space="0" w:color="auto"/>
                <w:left w:val="none" w:sz="0" w:space="0" w:color="auto"/>
                <w:bottom w:val="none" w:sz="0" w:space="0" w:color="auto"/>
                <w:right w:val="none" w:sz="0" w:space="0" w:color="auto"/>
              </w:divBdr>
            </w:div>
            <w:div w:id="1879659672">
              <w:marLeft w:val="0"/>
              <w:marRight w:val="0"/>
              <w:marTop w:val="0"/>
              <w:marBottom w:val="0"/>
              <w:divBdr>
                <w:top w:val="none" w:sz="0" w:space="0" w:color="auto"/>
                <w:left w:val="none" w:sz="0" w:space="0" w:color="auto"/>
                <w:bottom w:val="none" w:sz="0" w:space="0" w:color="auto"/>
                <w:right w:val="none" w:sz="0" w:space="0" w:color="auto"/>
              </w:divBdr>
            </w:div>
            <w:div w:id="1843547506">
              <w:marLeft w:val="0"/>
              <w:marRight w:val="0"/>
              <w:marTop w:val="0"/>
              <w:marBottom w:val="0"/>
              <w:divBdr>
                <w:top w:val="none" w:sz="0" w:space="0" w:color="auto"/>
                <w:left w:val="none" w:sz="0" w:space="0" w:color="auto"/>
                <w:bottom w:val="none" w:sz="0" w:space="0" w:color="auto"/>
                <w:right w:val="none" w:sz="0" w:space="0" w:color="auto"/>
              </w:divBdr>
            </w:div>
            <w:div w:id="683046939">
              <w:marLeft w:val="0"/>
              <w:marRight w:val="0"/>
              <w:marTop w:val="0"/>
              <w:marBottom w:val="0"/>
              <w:divBdr>
                <w:top w:val="none" w:sz="0" w:space="0" w:color="auto"/>
                <w:left w:val="none" w:sz="0" w:space="0" w:color="auto"/>
                <w:bottom w:val="none" w:sz="0" w:space="0" w:color="auto"/>
                <w:right w:val="none" w:sz="0" w:space="0" w:color="auto"/>
              </w:divBdr>
            </w:div>
            <w:div w:id="1413552347">
              <w:marLeft w:val="0"/>
              <w:marRight w:val="0"/>
              <w:marTop w:val="0"/>
              <w:marBottom w:val="0"/>
              <w:divBdr>
                <w:top w:val="none" w:sz="0" w:space="0" w:color="auto"/>
                <w:left w:val="none" w:sz="0" w:space="0" w:color="auto"/>
                <w:bottom w:val="none" w:sz="0" w:space="0" w:color="auto"/>
                <w:right w:val="none" w:sz="0" w:space="0" w:color="auto"/>
              </w:divBdr>
            </w:div>
            <w:div w:id="536162382">
              <w:marLeft w:val="0"/>
              <w:marRight w:val="0"/>
              <w:marTop w:val="0"/>
              <w:marBottom w:val="0"/>
              <w:divBdr>
                <w:top w:val="none" w:sz="0" w:space="0" w:color="auto"/>
                <w:left w:val="none" w:sz="0" w:space="0" w:color="auto"/>
                <w:bottom w:val="none" w:sz="0" w:space="0" w:color="auto"/>
                <w:right w:val="none" w:sz="0" w:space="0" w:color="auto"/>
              </w:divBdr>
            </w:div>
            <w:div w:id="624579290">
              <w:marLeft w:val="0"/>
              <w:marRight w:val="0"/>
              <w:marTop w:val="0"/>
              <w:marBottom w:val="0"/>
              <w:divBdr>
                <w:top w:val="none" w:sz="0" w:space="0" w:color="auto"/>
                <w:left w:val="none" w:sz="0" w:space="0" w:color="auto"/>
                <w:bottom w:val="none" w:sz="0" w:space="0" w:color="auto"/>
                <w:right w:val="none" w:sz="0" w:space="0" w:color="auto"/>
              </w:divBdr>
            </w:div>
            <w:div w:id="485974266">
              <w:marLeft w:val="0"/>
              <w:marRight w:val="0"/>
              <w:marTop w:val="0"/>
              <w:marBottom w:val="0"/>
              <w:divBdr>
                <w:top w:val="none" w:sz="0" w:space="0" w:color="auto"/>
                <w:left w:val="none" w:sz="0" w:space="0" w:color="auto"/>
                <w:bottom w:val="none" w:sz="0" w:space="0" w:color="auto"/>
                <w:right w:val="none" w:sz="0" w:space="0" w:color="auto"/>
              </w:divBdr>
            </w:div>
            <w:div w:id="180317013">
              <w:marLeft w:val="0"/>
              <w:marRight w:val="0"/>
              <w:marTop w:val="0"/>
              <w:marBottom w:val="0"/>
              <w:divBdr>
                <w:top w:val="none" w:sz="0" w:space="0" w:color="auto"/>
                <w:left w:val="none" w:sz="0" w:space="0" w:color="auto"/>
                <w:bottom w:val="none" w:sz="0" w:space="0" w:color="auto"/>
                <w:right w:val="none" w:sz="0" w:space="0" w:color="auto"/>
              </w:divBdr>
            </w:div>
            <w:div w:id="1197935419">
              <w:marLeft w:val="0"/>
              <w:marRight w:val="0"/>
              <w:marTop w:val="0"/>
              <w:marBottom w:val="0"/>
              <w:divBdr>
                <w:top w:val="none" w:sz="0" w:space="0" w:color="auto"/>
                <w:left w:val="none" w:sz="0" w:space="0" w:color="auto"/>
                <w:bottom w:val="none" w:sz="0" w:space="0" w:color="auto"/>
                <w:right w:val="none" w:sz="0" w:space="0" w:color="auto"/>
              </w:divBdr>
            </w:div>
            <w:div w:id="19340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3214">
      <w:bodyDiv w:val="1"/>
      <w:marLeft w:val="0"/>
      <w:marRight w:val="0"/>
      <w:marTop w:val="0"/>
      <w:marBottom w:val="0"/>
      <w:divBdr>
        <w:top w:val="none" w:sz="0" w:space="0" w:color="auto"/>
        <w:left w:val="none" w:sz="0" w:space="0" w:color="auto"/>
        <w:bottom w:val="none" w:sz="0" w:space="0" w:color="auto"/>
        <w:right w:val="none" w:sz="0" w:space="0" w:color="auto"/>
      </w:divBdr>
      <w:divsChild>
        <w:div w:id="940723789">
          <w:marLeft w:val="0"/>
          <w:marRight w:val="0"/>
          <w:marTop w:val="0"/>
          <w:marBottom w:val="0"/>
          <w:divBdr>
            <w:top w:val="none" w:sz="0" w:space="0" w:color="auto"/>
            <w:left w:val="none" w:sz="0" w:space="0" w:color="auto"/>
            <w:bottom w:val="none" w:sz="0" w:space="0" w:color="auto"/>
            <w:right w:val="none" w:sz="0" w:space="0" w:color="auto"/>
          </w:divBdr>
          <w:divsChild>
            <w:div w:id="1600403916">
              <w:marLeft w:val="0"/>
              <w:marRight w:val="0"/>
              <w:marTop w:val="0"/>
              <w:marBottom w:val="0"/>
              <w:divBdr>
                <w:top w:val="none" w:sz="0" w:space="0" w:color="auto"/>
                <w:left w:val="none" w:sz="0" w:space="0" w:color="auto"/>
                <w:bottom w:val="none" w:sz="0" w:space="0" w:color="auto"/>
                <w:right w:val="none" w:sz="0" w:space="0" w:color="auto"/>
              </w:divBdr>
            </w:div>
            <w:div w:id="1790320266">
              <w:marLeft w:val="0"/>
              <w:marRight w:val="0"/>
              <w:marTop w:val="0"/>
              <w:marBottom w:val="0"/>
              <w:divBdr>
                <w:top w:val="none" w:sz="0" w:space="0" w:color="auto"/>
                <w:left w:val="none" w:sz="0" w:space="0" w:color="auto"/>
                <w:bottom w:val="none" w:sz="0" w:space="0" w:color="auto"/>
                <w:right w:val="none" w:sz="0" w:space="0" w:color="auto"/>
              </w:divBdr>
            </w:div>
            <w:div w:id="703405791">
              <w:marLeft w:val="0"/>
              <w:marRight w:val="0"/>
              <w:marTop w:val="0"/>
              <w:marBottom w:val="0"/>
              <w:divBdr>
                <w:top w:val="none" w:sz="0" w:space="0" w:color="auto"/>
                <w:left w:val="none" w:sz="0" w:space="0" w:color="auto"/>
                <w:bottom w:val="none" w:sz="0" w:space="0" w:color="auto"/>
                <w:right w:val="none" w:sz="0" w:space="0" w:color="auto"/>
              </w:divBdr>
            </w:div>
            <w:div w:id="1475292324">
              <w:marLeft w:val="0"/>
              <w:marRight w:val="0"/>
              <w:marTop w:val="0"/>
              <w:marBottom w:val="0"/>
              <w:divBdr>
                <w:top w:val="none" w:sz="0" w:space="0" w:color="auto"/>
                <w:left w:val="none" w:sz="0" w:space="0" w:color="auto"/>
                <w:bottom w:val="none" w:sz="0" w:space="0" w:color="auto"/>
                <w:right w:val="none" w:sz="0" w:space="0" w:color="auto"/>
              </w:divBdr>
            </w:div>
            <w:div w:id="452990440">
              <w:marLeft w:val="0"/>
              <w:marRight w:val="0"/>
              <w:marTop w:val="0"/>
              <w:marBottom w:val="0"/>
              <w:divBdr>
                <w:top w:val="none" w:sz="0" w:space="0" w:color="auto"/>
                <w:left w:val="none" w:sz="0" w:space="0" w:color="auto"/>
                <w:bottom w:val="none" w:sz="0" w:space="0" w:color="auto"/>
                <w:right w:val="none" w:sz="0" w:space="0" w:color="auto"/>
              </w:divBdr>
            </w:div>
            <w:div w:id="1974099076">
              <w:marLeft w:val="0"/>
              <w:marRight w:val="0"/>
              <w:marTop w:val="0"/>
              <w:marBottom w:val="0"/>
              <w:divBdr>
                <w:top w:val="none" w:sz="0" w:space="0" w:color="auto"/>
                <w:left w:val="none" w:sz="0" w:space="0" w:color="auto"/>
                <w:bottom w:val="none" w:sz="0" w:space="0" w:color="auto"/>
                <w:right w:val="none" w:sz="0" w:space="0" w:color="auto"/>
              </w:divBdr>
            </w:div>
            <w:div w:id="1486240568">
              <w:marLeft w:val="0"/>
              <w:marRight w:val="0"/>
              <w:marTop w:val="0"/>
              <w:marBottom w:val="0"/>
              <w:divBdr>
                <w:top w:val="none" w:sz="0" w:space="0" w:color="auto"/>
                <w:left w:val="none" w:sz="0" w:space="0" w:color="auto"/>
                <w:bottom w:val="none" w:sz="0" w:space="0" w:color="auto"/>
                <w:right w:val="none" w:sz="0" w:space="0" w:color="auto"/>
              </w:divBdr>
            </w:div>
            <w:div w:id="2136093812">
              <w:marLeft w:val="0"/>
              <w:marRight w:val="0"/>
              <w:marTop w:val="0"/>
              <w:marBottom w:val="0"/>
              <w:divBdr>
                <w:top w:val="none" w:sz="0" w:space="0" w:color="auto"/>
                <w:left w:val="none" w:sz="0" w:space="0" w:color="auto"/>
                <w:bottom w:val="none" w:sz="0" w:space="0" w:color="auto"/>
                <w:right w:val="none" w:sz="0" w:space="0" w:color="auto"/>
              </w:divBdr>
            </w:div>
            <w:div w:id="1867330045">
              <w:marLeft w:val="0"/>
              <w:marRight w:val="0"/>
              <w:marTop w:val="0"/>
              <w:marBottom w:val="0"/>
              <w:divBdr>
                <w:top w:val="none" w:sz="0" w:space="0" w:color="auto"/>
                <w:left w:val="none" w:sz="0" w:space="0" w:color="auto"/>
                <w:bottom w:val="none" w:sz="0" w:space="0" w:color="auto"/>
                <w:right w:val="none" w:sz="0" w:space="0" w:color="auto"/>
              </w:divBdr>
            </w:div>
            <w:div w:id="1188368148">
              <w:marLeft w:val="0"/>
              <w:marRight w:val="0"/>
              <w:marTop w:val="0"/>
              <w:marBottom w:val="0"/>
              <w:divBdr>
                <w:top w:val="none" w:sz="0" w:space="0" w:color="auto"/>
                <w:left w:val="none" w:sz="0" w:space="0" w:color="auto"/>
                <w:bottom w:val="none" w:sz="0" w:space="0" w:color="auto"/>
                <w:right w:val="none" w:sz="0" w:space="0" w:color="auto"/>
              </w:divBdr>
            </w:div>
            <w:div w:id="1904022375">
              <w:marLeft w:val="0"/>
              <w:marRight w:val="0"/>
              <w:marTop w:val="0"/>
              <w:marBottom w:val="0"/>
              <w:divBdr>
                <w:top w:val="none" w:sz="0" w:space="0" w:color="auto"/>
                <w:left w:val="none" w:sz="0" w:space="0" w:color="auto"/>
                <w:bottom w:val="none" w:sz="0" w:space="0" w:color="auto"/>
                <w:right w:val="none" w:sz="0" w:space="0" w:color="auto"/>
              </w:divBdr>
            </w:div>
            <w:div w:id="1708405371">
              <w:marLeft w:val="0"/>
              <w:marRight w:val="0"/>
              <w:marTop w:val="0"/>
              <w:marBottom w:val="0"/>
              <w:divBdr>
                <w:top w:val="none" w:sz="0" w:space="0" w:color="auto"/>
                <w:left w:val="none" w:sz="0" w:space="0" w:color="auto"/>
                <w:bottom w:val="none" w:sz="0" w:space="0" w:color="auto"/>
                <w:right w:val="none" w:sz="0" w:space="0" w:color="auto"/>
              </w:divBdr>
            </w:div>
            <w:div w:id="594826016">
              <w:marLeft w:val="0"/>
              <w:marRight w:val="0"/>
              <w:marTop w:val="0"/>
              <w:marBottom w:val="0"/>
              <w:divBdr>
                <w:top w:val="none" w:sz="0" w:space="0" w:color="auto"/>
                <w:left w:val="none" w:sz="0" w:space="0" w:color="auto"/>
                <w:bottom w:val="none" w:sz="0" w:space="0" w:color="auto"/>
                <w:right w:val="none" w:sz="0" w:space="0" w:color="auto"/>
              </w:divBdr>
            </w:div>
            <w:div w:id="177668891">
              <w:marLeft w:val="0"/>
              <w:marRight w:val="0"/>
              <w:marTop w:val="0"/>
              <w:marBottom w:val="0"/>
              <w:divBdr>
                <w:top w:val="none" w:sz="0" w:space="0" w:color="auto"/>
                <w:left w:val="none" w:sz="0" w:space="0" w:color="auto"/>
                <w:bottom w:val="none" w:sz="0" w:space="0" w:color="auto"/>
                <w:right w:val="none" w:sz="0" w:space="0" w:color="auto"/>
              </w:divBdr>
            </w:div>
            <w:div w:id="1022052773">
              <w:marLeft w:val="0"/>
              <w:marRight w:val="0"/>
              <w:marTop w:val="0"/>
              <w:marBottom w:val="0"/>
              <w:divBdr>
                <w:top w:val="none" w:sz="0" w:space="0" w:color="auto"/>
                <w:left w:val="none" w:sz="0" w:space="0" w:color="auto"/>
                <w:bottom w:val="none" w:sz="0" w:space="0" w:color="auto"/>
                <w:right w:val="none" w:sz="0" w:space="0" w:color="auto"/>
              </w:divBdr>
            </w:div>
            <w:div w:id="1434521569">
              <w:marLeft w:val="0"/>
              <w:marRight w:val="0"/>
              <w:marTop w:val="0"/>
              <w:marBottom w:val="0"/>
              <w:divBdr>
                <w:top w:val="none" w:sz="0" w:space="0" w:color="auto"/>
                <w:left w:val="none" w:sz="0" w:space="0" w:color="auto"/>
                <w:bottom w:val="none" w:sz="0" w:space="0" w:color="auto"/>
                <w:right w:val="none" w:sz="0" w:space="0" w:color="auto"/>
              </w:divBdr>
            </w:div>
            <w:div w:id="896474190">
              <w:marLeft w:val="0"/>
              <w:marRight w:val="0"/>
              <w:marTop w:val="0"/>
              <w:marBottom w:val="0"/>
              <w:divBdr>
                <w:top w:val="none" w:sz="0" w:space="0" w:color="auto"/>
                <w:left w:val="none" w:sz="0" w:space="0" w:color="auto"/>
                <w:bottom w:val="none" w:sz="0" w:space="0" w:color="auto"/>
                <w:right w:val="none" w:sz="0" w:space="0" w:color="auto"/>
              </w:divBdr>
            </w:div>
            <w:div w:id="1606308983">
              <w:marLeft w:val="0"/>
              <w:marRight w:val="0"/>
              <w:marTop w:val="0"/>
              <w:marBottom w:val="0"/>
              <w:divBdr>
                <w:top w:val="none" w:sz="0" w:space="0" w:color="auto"/>
                <w:left w:val="none" w:sz="0" w:space="0" w:color="auto"/>
                <w:bottom w:val="none" w:sz="0" w:space="0" w:color="auto"/>
                <w:right w:val="none" w:sz="0" w:space="0" w:color="auto"/>
              </w:divBdr>
            </w:div>
            <w:div w:id="77214160">
              <w:marLeft w:val="0"/>
              <w:marRight w:val="0"/>
              <w:marTop w:val="0"/>
              <w:marBottom w:val="0"/>
              <w:divBdr>
                <w:top w:val="none" w:sz="0" w:space="0" w:color="auto"/>
                <w:left w:val="none" w:sz="0" w:space="0" w:color="auto"/>
                <w:bottom w:val="none" w:sz="0" w:space="0" w:color="auto"/>
                <w:right w:val="none" w:sz="0" w:space="0" w:color="auto"/>
              </w:divBdr>
            </w:div>
            <w:div w:id="79912491">
              <w:marLeft w:val="0"/>
              <w:marRight w:val="0"/>
              <w:marTop w:val="0"/>
              <w:marBottom w:val="0"/>
              <w:divBdr>
                <w:top w:val="none" w:sz="0" w:space="0" w:color="auto"/>
                <w:left w:val="none" w:sz="0" w:space="0" w:color="auto"/>
                <w:bottom w:val="none" w:sz="0" w:space="0" w:color="auto"/>
                <w:right w:val="none" w:sz="0" w:space="0" w:color="auto"/>
              </w:divBdr>
            </w:div>
            <w:div w:id="11524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642">
      <w:marLeft w:val="0"/>
      <w:marRight w:val="0"/>
      <w:marTop w:val="0"/>
      <w:marBottom w:val="0"/>
      <w:divBdr>
        <w:top w:val="none" w:sz="0" w:space="0" w:color="auto"/>
        <w:left w:val="none" w:sz="0" w:space="0" w:color="auto"/>
        <w:bottom w:val="none" w:sz="0" w:space="0" w:color="auto"/>
        <w:right w:val="none" w:sz="0" w:space="0" w:color="auto"/>
      </w:divBdr>
      <w:divsChild>
        <w:div w:id="1643271283">
          <w:marLeft w:val="0"/>
          <w:marRight w:val="0"/>
          <w:marTop w:val="0"/>
          <w:marBottom w:val="0"/>
          <w:divBdr>
            <w:top w:val="none" w:sz="0" w:space="0" w:color="auto"/>
            <w:left w:val="none" w:sz="0" w:space="0" w:color="auto"/>
            <w:bottom w:val="none" w:sz="0" w:space="0" w:color="auto"/>
            <w:right w:val="none" w:sz="0" w:space="0" w:color="auto"/>
          </w:divBdr>
        </w:div>
      </w:divsChild>
    </w:div>
    <w:div w:id="1883320071">
      <w:bodyDiv w:val="1"/>
      <w:marLeft w:val="0"/>
      <w:marRight w:val="0"/>
      <w:marTop w:val="0"/>
      <w:marBottom w:val="0"/>
      <w:divBdr>
        <w:top w:val="none" w:sz="0" w:space="0" w:color="auto"/>
        <w:left w:val="none" w:sz="0" w:space="0" w:color="auto"/>
        <w:bottom w:val="none" w:sz="0" w:space="0" w:color="auto"/>
        <w:right w:val="none" w:sz="0" w:space="0" w:color="auto"/>
      </w:divBdr>
    </w:div>
    <w:div w:id="1883899184">
      <w:marLeft w:val="0"/>
      <w:marRight w:val="0"/>
      <w:marTop w:val="0"/>
      <w:marBottom w:val="0"/>
      <w:divBdr>
        <w:top w:val="none" w:sz="0" w:space="0" w:color="auto"/>
        <w:left w:val="none" w:sz="0" w:space="0" w:color="auto"/>
        <w:bottom w:val="none" w:sz="0" w:space="0" w:color="auto"/>
        <w:right w:val="none" w:sz="0" w:space="0" w:color="auto"/>
      </w:divBdr>
      <w:divsChild>
        <w:div w:id="1264190387">
          <w:marLeft w:val="0"/>
          <w:marRight w:val="0"/>
          <w:marTop w:val="0"/>
          <w:marBottom w:val="0"/>
          <w:divBdr>
            <w:top w:val="none" w:sz="0" w:space="0" w:color="auto"/>
            <w:left w:val="none" w:sz="0" w:space="0" w:color="auto"/>
            <w:bottom w:val="none" w:sz="0" w:space="0" w:color="auto"/>
            <w:right w:val="none" w:sz="0" w:space="0" w:color="auto"/>
          </w:divBdr>
        </w:div>
      </w:divsChild>
    </w:div>
    <w:div w:id="1886332381">
      <w:bodyDiv w:val="1"/>
      <w:marLeft w:val="0"/>
      <w:marRight w:val="0"/>
      <w:marTop w:val="0"/>
      <w:marBottom w:val="0"/>
      <w:divBdr>
        <w:top w:val="none" w:sz="0" w:space="0" w:color="auto"/>
        <w:left w:val="none" w:sz="0" w:space="0" w:color="auto"/>
        <w:bottom w:val="none" w:sz="0" w:space="0" w:color="auto"/>
        <w:right w:val="none" w:sz="0" w:space="0" w:color="auto"/>
      </w:divBdr>
    </w:div>
    <w:div w:id="1888224877">
      <w:marLeft w:val="0"/>
      <w:marRight w:val="0"/>
      <w:marTop w:val="0"/>
      <w:marBottom w:val="0"/>
      <w:divBdr>
        <w:top w:val="none" w:sz="0" w:space="0" w:color="auto"/>
        <w:left w:val="none" w:sz="0" w:space="0" w:color="auto"/>
        <w:bottom w:val="none" w:sz="0" w:space="0" w:color="auto"/>
        <w:right w:val="none" w:sz="0" w:space="0" w:color="auto"/>
      </w:divBdr>
      <w:divsChild>
        <w:div w:id="1029843610">
          <w:marLeft w:val="0"/>
          <w:marRight w:val="0"/>
          <w:marTop w:val="0"/>
          <w:marBottom w:val="0"/>
          <w:divBdr>
            <w:top w:val="none" w:sz="0" w:space="0" w:color="auto"/>
            <w:left w:val="none" w:sz="0" w:space="0" w:color="auto"/>
            <w:bottom w:val="none" w:sz="0" w:space="0" w:color="auto"/>
            <w:right w:val="none" w:sz="0" w:space="0" w:color="auto"/>
          </w:divBdr>
        </w:div>
      </w:divsChild>
    </w:div>
    <w:div w:id="1889797339">
      <w:marLeft w:val="0"/>
      <w:marRight w:val="0"/>
      <w:marTop w:val="0"/>
      <w:marBottom w:val="0"/>
      <w:divBdr>
        <w:top w:val="none" w:sz="0" w:space="0" w:color="auto"/>
        <w:left w:val="none" w:sz="0" w:space="0" w:color="auto"/>
        <w:bottom w:val="none" w:sz="0" w:space="0" w:color="auto"/>
        <w:right w:val="none" w:sz="0" w:space="0" w:color="auto"/>
      </w:divBdr>
      <w:divsChild>
        <w:div w:id="637804249">
          <w:marLeft w:val="0"/>
          <w:marRight w:val="0"/>
          <w:marTop w:val="0"/>
          <w:marBottom w:val="0"/>
          <w:divBdr>
            <w:top w:val="none" w:sz="0" w:space="0" w:color="auto"/>
            <w:left w:val="none" w:sz="0" w:space="0" w:color="auto"/>
            <w:bottom w:val="none" w:sz="0" w:space="0" w:color="auto"/>
            <w:right w:val="none" w:sz="0" w:space="0" w:color="auto"/>
          </w:divBdr>
        </w:div>
      </w:divsChild>
    </w:div>
    <w:div w:id="1891647362">
      <w:marLeft w:val="0"/>
      <w:marRight w:val="0"/>
      <w:marTop w:val="0"/>
      <w:marBottom w:val="0"/>
      <w:divBdr>
        <w:top w:val="none" w:sz="0" w:space="0" w:color="auto"/>
        <w:left w:val="none" w:sz="0" w:space="0" w:color="auto"/>
        <w:bottom w:val="none" w:sz="0" w:space="0" w:color="auto"/>
        <w:right w:val="none" w:sz="0" w:space="0" w:color="auto"/>
      </w:divBdr>
      <w:divsChild>
        <w:div w:id="367681586">
          <w:marLeft w:val="0"/>
          <w:marRight w:val="0"/>
          <w:marTop w:val="0"/>
          <w:marBottom w:val="0"/>
          <w:divBdr>
            <w:top w:val="none" w:sz="0" w:space="0" w:color="auto"/>
            <w:left w:val="none" w:sz="0" w:space="0" w:color="auto"/>
            <w:bottom w:val="none" w:sz="0" w:space="0" w:color="auto"/>
            <w:right w:val="none" w:sz="0" w:space="0" w:color="auto"/>
          </w:divBdr>
        </w:div>
      </w:divsChild>
    </w:div>
    <w:div w:id="1893272562">
      <w:marLeft w:val="0"/>
      <w:marRight w:val="0"/>
      <w:marTop w:val="0"/>
      <w:marBottom w:val="0"/>
      <w:divBdr>
        <w:top w:val="none" w:sz="0" w:space="0" w:color="auto"/>
        <w:left w:val="none" w:sz="0" w:space="0" w:color="auto"/>
        <w:bottom w:val="none" w:sz="0" w:space="0" w:color="auto"/>
        <w:right w:val="none" w:sz="0" w:space="0" w:color="auto"/>
      </w:divBdr>
      <w:divsChild>
        <w:div w:id="1900283981">
          <w:marLeft w:val="0"/>
          <w:marRight w:val="0"/>
          <w:marTop w:val="0"/>
          <w:marBottom w:val="0"/>
          <w:divBdr>
            <w:top w:val="none" w:sz="0" w:space="0" w:color="auto"/>
            <w:left w:val="none" w:sz="0" w:space="0" w:color="auto"/>
            <w:bottom w:val="none" w:sz="0" w:space="0" w:color="auto"/>
            <w:right w:val="none" w:sz="0" w:space="0" w:color="auto"/>
          </w:divBdr>
        </w:div>
      </w:divsChild>
    </w:div>
    <w:div w:id="1896357396">
      <w:bodyDiv w:val="1"/>
      <w:marLeft w:val="0"/>
      <w:marRight w:val="0"/>
      <w:marTop w:val="0"/>
      <w:marBottom w:val="0"/>
      <w:divBdr>
        <w:top w:val="none" w:sz="0" w:space="0" w:color="auto"/>
        <w:left w:val="none" w:sz="0" w:space="0" w:color="auto"/>
        <w:bottom w:val="none" w:sz="0" w:space="0" w:color="auto"/>
        <w:right w:val="none" w:sz="0" w:space="0" w:color="auto"/>
      </w:divBdr>
    </w:div>
    <w:div w:id="1897426174">
      <w:marLeft w:val="0"/>
      <w:marRight w:val="0"/>
      <w:marTop w:val="0"/>
      <w:marBottom w:val="0"/>
      <w:divBdr>
        <w:top w:val="none" w:sz="0" w:space="0" w:color="auto"/>
        <w:left w:val="none" w:sz="0" w:space="0" w:color="auto"/>
        <w:bottom w:val="none" w:sz="0" w:space="0" w:color="auto"/>
        <w:right w:val="none" w:sz="0" w:space="0" w:color="auto"/>
      </w:divBdr>
      <w:divsChild>
        <w:div w:id="1341545091">
          <w:marLeft w:val="0"/>
          <w:marRight w:val="0"/>
          <w:marTop w:val="0"/>
          <w:marBottom w:val="0"/>
          <w:divBdr>
            <w:top w:val="none" w:sz="0" w:space="0" w:color="auto"/>
            <w:left w:val="none" w:sz="0" w:space="0" w:color="auto"/>
            <w:bottom w:val="none" w:sz="0" w:space="0" w:color="auto"/>
            <w:right w:val="none" w:sz="0" w:space="0" w:color="auto"/>
          </w:divBdr>
        </w:div>
      </w:divsChild>
    </w:div>
    <w:div w:id="189742857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2057269">
      <w:marLeft w:val="0"/>
      <w:marRight w:val="0"/>
      <w:marTop w:val="0"/>
      <w:marBottom w:val="0"/>
      <w:divBdr>
        <w:top w:val="none" w:sz="0" w:space="0" w:color="auto"/>
        <w:left w:val="none" w:sz="0" w:space="0" w:color="auto"/>
        <w:bottom w:val="none" w:sz="0" w:space="0" w:color="auto"/>
        <w:right w:val="none" w:sz="0" w:space="0" w:color="auto"/>
      </w:divBdr>
      <w:divsChild>
        <w:div w:id="1482771878">
          <w:marLeft w:val="0"/>
          <w:marRight w:val="0"/>
          <w:marTop w:val="0"/>
          <w:marBottom w:val="0"/>
          <w:divBdr>
            <w:top w:val="none" w:sz="0" w:space="0" w:color="auto"/>
            <w:left w:val="none" w:sz="0" w:space="0" w:color="auto"/>
            <w:bottom w:val="none" w:sz="0" w:space="0" w:color="auto"/>
            <w:right w:val="none" w:sz="0" w:space="0" w:color="auto"/>
          </w:divBdr>
        </w:div>
      </w:divsChild>
    </w:div>
    <w:div w:id="1902590389">
      <w:bodyDiv w:val="1"/>
      <w:marLeft w:val="0"/>
      <w:marRight w:val="0"/>
      <w:marTop w:val="0"/>
      <w:marBottom w:val="0"/>
      <w:divBdr>
        <w:top w:val="none" w:sz="0" w:space="0" w:color="auto"/>
        <w:left w:val="none" w:sz="0" w:space="0" w:color="auto"/>
        <w:bottom w:val="none" w:sz="0" w:space="0" w:color="auto"/>
        <w:right w:val="none" w:sz="0" w:space="0" w:color="auto"/>
      </w:divBdr>
    </w:div>
    <w:div w:id="1912814197">
      <w:marLeft w:val="0"/>
      <w:marRight w:val="0"/>
      <w:marTop w:val="0"/>
      <w:marBottom w:val="0"/>
      <w:divBdr>
        <w:top w:val="none" w:sz="0" w:space="0" w:color="auto"/>
        <w:left w:val="none" w:sz="0" w:space="0" w:color="auto"/>
        <w:bottom w:val="none" w:sz="0" w:space="0" w:color="auto"/>
        <w:right w:val="none" w:sz="0" w:space="0" w:color="auto"/>
      </w:divBdr>
      <w:divsChild>
        <w:div w:id="915045541">
          <w:marLeft w:val="0"/>
          <w:marRight w:val="0"/>
          <w:marTop w:val="0"/>
          <w:marBottom w:val="0"/>
          <w:divBdr>
            <w:top w:val="none" w:sz="0" w:space="0" w:color="auto"/>
            <w:left w:val="none" w:sz="0" w:space="0" w:color="auto"/>
            <w:bottom w:val="none" w:sz="0" w:space="0" w:color="auto"/>
            <w:right w:val="none" w:sz="0" w:space="0" w:color="auto"/>
          </w:divBdr>
        </w:div>
      </w:divsChild>
    </w:div>
    <w:div w:id="1917401533">
      <w:marLeft w:val="0"/>
      <w:marRight w:val="150"/>
      <w:marTop w:val="0"/>
      <w:marBottom w:val="0"/>
      <w:divBdr>
        <w:top w:val="none" w:sz="0" w:space="0" w:color="auto"/>
        <w:left w:val="none" w:sz="0" w:space="0" w:color="auto"/>
        <w:bottom w:val="none" w:sz="0" w:space="0" w:color="auto"/>
        <w:right w:val="none" w:sz="0" w:space="0" w:color="auto"/>
      </w:divBdr>
      <w:divsChild>
        <w:div w:id="478115354">
          <w:marLeft w:val="0"/>
          <w:marRight w:val="150"/>
          <w:marTop w:val="0"/>
          <w:marBottom w:val="0"/>
          <w:divBdr>
            <w:top w:val="none" w:sz="0" w:space="0" w:color="auto"/>
            <w:left w:val="none" w:sz="0" w:space="0" w:color="auto"/>
            <w:bottom w:val="none" w:sz="0" w:space="0" w:color="auto"/>
            <w:right w:val="none" w:sz="0" w:space="0" w:color="auto"/>
          </w:divBdr>
        </w:div>
      </w:divsChild>
    </w:div>
    <w:div w:id="1919830286">
      <w:marLeft w:val="0"/>
      <w:marRight w:val="0"/>
      <w:marTop w:val="0"/>
      <w:marBottom w:val="0"/>
      <w:divBdr>
        <w:top w:val="none" w:sz="0" w:space="0" w:color="auto"/>
        <w:left w:val="none" w:sz="0" w:space="0" w:color="auto"/>
        <w:bottom w:val="none" w:sz="0" w:space="0" w:color="auto"/>
        <w:right w:val="none" w:sz="0" w:space="0" w:color="auto"/>
      </w:divBdr>
      <w:divsChild>
        <w:div w:id="148834351">
          <w:marLeft w:val="0"/>
          <w:marRight w:val="0"/>
          <w:marTop w:val="0"/>
          <w:marBottom w:val="0"/>
          <w:divBdr>
            <w:top w:val="none" w:sz="0" w:space="0" w:color="auto"/>
            <w:left w:val="none" w:sz="0" w:space="0" w:color="auto"/>
            <w:bottom w:val="none" w:sz="0" w:space="0" w:color="auto"/>
            <w:right w:val="none" w:sz="0" w:space="0" w:color="auto"/>
          </w:divBdr>
        </w:div>
      </w:divsChild>
    </w:div>
    <w:div w:id="1920433634">
      <w:marLeft w:val="0"/>
      <w:marRight w:val="0"/>
      <w:marTop w:val="0"/>
      <w:marBottom w:val="0"/>
      <w:divBdr>
        <w:top w:val="none" w:sz="0" w:space="0" w:color="auto"/>
        <w:left w:val="none" w:sz="0" w:space="0" w:color="auto"/>
        <w:bottom w:val="none" w:sz="0" w:space="0" w:color="auto"/>
        <w:right w:val="none" w:sz="0" w:space="0" w:color="auto"/>
      </w:divBdr>
      <w:divsChild>
        <w:div w:id="1483233045">
          <w:marLeft w:val="0"/>
          <w:marRight w:val="0"/>
          <w:marTop w:val="0"/>
          <w:marBottom w:val="0"/>
          <w:divBdr>
            <w:top w:val="none" w:sz="0" w:space="0" w:color="auto"/>
            <w:left w:val="none" w:sz="0" w:space="0" w:color="auto"/>
            <w:bottom w:val="none" w:sz="0" w:space="0" w:color="auto"/>
            <w:right w:val="none" w:sz="0" w:space="0" w:color="auto"/>
          </w:divBdr>
        </w:div>
      </w:divsChild>
    </w:div>
    <w:div w:id="1920794661">
      <w:bodyDiv w:val="1"/>
      <w:marLeft w:val="0"/>
      <w:marRight w:val="0"/>
      <w:marTop w:val="0"/>
      <w:marBottom w:val="0"/>
      <w:divBdr>
        <w:top w:val="none" w:sz="0" w:space="0" w:color="auto"/>
        <w:left w:val="none" w:sz="0" w:space="0" w:color="auto"/>
        <w:bottom w:val="none" w:sz="0" w:space="0" w:color="auto"/>
        <w:right w:val="none" w:sz="0" w:space="0" w:color="auto"/>
      </w:divBdr>
    </w:div>
    <w:div w:id="1921408041">
      <w:marLeft w:val="0"/>
      <w:marRight w:val="0"/>
      <w:marTop w:val="0"/>
      <w:marBottom w:val="0"/>
      <w:divBdr>
        <w:top w:val="none" w:sz="0" w:space="0" w:color="auto"/>
        <w:left w:val="none" w:sz="0" w:space="0" w:color="auto"/>
        <w:bottom w:val="none" w:sz="0" w:space="0" w:color="auto"/>
        <w:right w:val="none" w:sz="0" w:space="0" w:color="auto"/>
      </w:divBdr>
      <w:divsChild>
        <w:div w:id="1618411546">
          <w:marLeft w:val="0"/>
          <w:marRight w:val="0"/>
          <w:marTop w:val="0"/>
          <w:marBottom w:val="0"/>
          <w:divBdr>
            <w:top w:val="none" w:sz="0" w:space="0" w:color="auto"/>
            <w:left w:val="none" w:sz="0" w:space="0" w:color="auto"/>
            <w:bottom w:val="none" w:sz="0" w:space="0" w:color="auto"/>
            <w:right w:val="none" w:sz="0" w:space="0" w:color="auto"/>
          </w:divBdr>
        </w:div>
      </w:divsChild>
    </w:div>
    <w:div w:id="1922063455">
      <w:marLeft w:val="0"/>
      <w:marRight w:val="0"/>
      <w:marTop w:val="0"/>
      <w:marBottom w:val="0"/>
      <w:divBdr>
        <w:top w:val="none" w:sz="0" w:space="0" w:color="auto"/>
        <w:left w:val="none" w:sz="0" w:space="0" w:color="auto"/>
        <w:bottom w:val="none" w:sz="0" w:space="0" w:color="auto"/>
        <w:right w:val="none" w:sz="0" w:space="0" w:color="auto"/>
      </w:divBdr>
      <w:divsChild>
        <w:div w:id="504979816">
          <w:marLeft w:val="0"/>
          <w:marRight w:val="0"/>
          <w:marTop w:val="0"/>
          <w:marBottom w:val="0"/>
          <w:divBdr>
            <w:top w:val="none" w:sz="0" w:space="0" w:color="auto"/>
            <w:left w:val="none" w:sz="0" w:space="0" w:color="auto"/>
            <w:bottom w:val="none" w:sz="0" w:space="0" w:color="auto"/>
            <w:right w:val="none" w:sz="0" w:space="0" w:color="auto"/>
          </w:divBdr>
        </w:div>
      </w:divsChild>
    </w:div>
    <w:div w:id="1923250042">
      <w:marLeft w:val="0"/>
      <w:marRight w:val="0"/>
      <w:marTop w:val="0"/>
      <w:marBottom w:val="0"/>
      <w:divBdr>
        <w:top w:val="none" w:sz="0" w:space="0" w:color="auto"/>
        <w:left w:val="none" w:sz="0" w:space="0" w:color="auto"/>
        <w:bottom w:val="none" w:sz="0" w:space="0" w:color="auto"/>
        <w:right w:val="none" w:sz="0" w:space="0" w:color="auto"/>
      </w:divBdr>
      <w:divsChild>
        <w:div w:id="1326930079">
          <w:marLeft w:val="0"/>
          <w:marRight w:val="0"/>
          <w:marTop w:val="0"/>
          <w:marBottom w:val="0"/>
          <w:divBdr>
            <w:top w:val="none" w:sz="0" w:space="0" w:color="auto"/>
            <w:left w:val="none" w:sz="0" w:space="0" w:color="auto"/>
            <w:bottom w:val="none" w:sz="0" w:space="0" w:color="auto"/>
            <w:right w:val="none" w:sz="0" w:space="0" w:color="auto"/>
          </w:divBdr>
        </w:div>
      </w:divsChild>
    </w:div>
    <w:div w:id="1923878260">
      <w:marLeft w:val="0"/>
      <w:marRight w:val="0"/>
      <w:marTop w:val="0"/>
      <w:marBottom w:val="0"/>
      <w:divBdr>
        <w:top w:val="none" w:sz="0" w:space="0" w:color="auto"/>
        <w:left w:val="none" w:sz="0" w:space="0" w:color="auto"/>
        <w:bottom w:val="none" w:sz="0" w:space="0" w:color="auto"/>
        <w:right w:val="none" w:sz="0" w:space="0" w:color="auto"/>
      </w:divBdr>
      <w:divsChild>
        <w:div w:id="669454103">
          <w:marLeft w:val="0"/>
          <w:marRight w:val="0"/>
          <w:marTop w:val="0"/>
          <w:marBottom w:val="0"/>
          <w:divBdr>
            <w:top w:val="none" w:sz="0" w:space="0" w:color="auto"/>
            <w:left w:val="none" w:sz="0" w:space="0" w:color="auto"/>
            <w:bottom w:val="none" w:sz="0" w:space="0" w:color="auto"/>
            <w:right w:val="none" w:sz="0" w:space="0" w:color="auto"/>
          </w:divBdr>
        </w:div>
      </w:divsChild>
    </w:div>
    <w:div w:id="1932738134">
      <w:bodyDiv w:val="1"/>
      <w:marLeft w:val="0"/>
      <w:marRight w:val="0"/>
      <w:marTop w:val="0"/>
      <w:marBottom w:val="0"/>
      <w:divBdr>
        <w:top w:val="none" w:sz="0" w:space="0" w:color="auto"/>
        <w:left w:val="none" w:sz="0" w:space="0" w:color="auto"/>
        <w:bottom w:val="none" w:sz="0" w:space="0" w:color="auto"/>
        <w:right w:val="none" w:sz="0" w:space="0" w:color="auto"/>
      </w:divBdr>
    </w:div>
    <w:div w:id="1934045089">
      <w:marLeft w:val="0"/>
      <w:marRight w:val="0"/>
      <w:marTop w:val="0"/>
      <w:marBottom w:val="0"/>
      <w:divBdr>
        <w:top w:val="none" w:sz="0" w:space="0" w:color="auto"/>
        <w:left w:val="none" w:sz="0" w:space="0" w:color="auto"/>
        <w:bottom w:val="none" w:sz="0" w:space="0" w:color="auto"/>
        <w:right w:val="none" w:sz="0" w:space="0" w:color="auto"/>
      </w:divBdr>
      <w:divsChild>
        <w:div w:id="257177056">
          <w:marLeft w:val="0"/>
          <w:marRight w:val="0"/>
          <w:marTop w:val="0"/>
          <w:marBottom w:val="0"/>
          <w:divBdr>
            <w:top w:val="none" w:sz="0" w:space="0" w:color="auto"/>
            <w:left w:val="none" w:sz="0" w:space="0" w:color="auto"/>
            <w:bottom w:val="none" w:sz="0" w:space="0" w:color="auto"/>
            <w:right w:val="none" w:sz="0" w:space="0" w:color="auto"/>
          </w:divBdr>
        </w:div>
      </w:divsChild>
    </w:div>
    <w:div w:id="1936597909">
      <w:marLeft w:val="0"/>
      <w:marRight w:val="0"/>
      <w:marTop w:val="0"/>
      <w:marBottom w:val="0"/>
      <w:divBdr>
        <w:top w:val="none" w:sz="0" w:space="0" w:color="auto"/>
        <w:left w:val="none" w:sz="0" w:space="0" w:color="auto"/>
        <w:bottom w:val="none" w:sz="0" w:space="0" w:color="auto"/>
        <w:right w:val="none" w:sz="0" w:space="0" w:color="auto"/>
      </w:divBdr>
      <w:divsChild>
        <w:div w:id="957033785">
          <w:marLeft w:val="0"/>
          <w:marRight w:val="0"/>
          <w:marTop w:val="0"/>
          <w:marBottom w:val="0"/>
          <w:divBdr>
            <w:top w:val="none" w:sz="0" w:space="0" w:color="auto"/>
            <w:left w:val="none" w:sz="0" w:space="0" w:color="auto"/>
            <w:bottom w:val="none" w:sz="0" w:space="0" w:color="auto"/>
            <w:right w:val="none" w:sz="0" w:space="0" w:color="auto"/>
          </w:divBdr>
        </w:div>
      </w:divsChild>
    </w:div>
    <w:div w:id="1942571020">
      <w:marLeft w:val="0"/>
      <w:marRight w:val="0"/>
      <w:marTop w:val="0"/>
      <w:marBottom w:val="0"/>
      <w:divBdr>
        <w:top w:val="none" w:sz="0" w:space="0" w:color="auto"/>
        <w:left w:val="none" w:sz="0" w:space="0" w:color="auto"/>
        <w:bottom w:val="none" w:sz="0" w:space="0" w:color="auto"/>
        <w:right w:val="none" w:sz="0" w:space="0" w:color="auto"/>
      </w:divBdr>
      <w:divsChild>
        <w:div w:id="1484271062">
          <w:marLeft w:val="0"/>
          <w:marRight w:val="0"/>
          <w:marTop w:val="0"/>
          <w:marBottom w:val="0"/>
          <w:divBdr>
            <w:top w:val="none" w:sz="0" w:space="0" w:color="auto"/>
            <w:left w:val="none" w:sz="0" w:space="0" w:color="auto"/>
            <w:bottom w:val="none" w:sz="0" w:space="0" w:color="auto"/>
            <w:right w:val="none" w:sz="0" w:space="0" w:color="auto"/>
          </w:divBdr>
        </w:div>
      </w:divsChild>
    </w:div>
    <w:div w:id="1945074263">
      <w:bodyDiv w:val="1"/>
      <w:marLeft w:val="0"/>
      <w:marRight w:val="0"/>
      <w:marTop w:val="0"/>
      <w:marBottom w:val="0"/>
      <w:divBdr>
        <w:top w:val="none" w:sz="0" w:space="0" w:color="auto"/>
        <w:left w:val="none" w:sz="0" w:space="0" w:color="auto"/>
        <w:bottom w:val="none" w:sz="0" w:space="0" w:color="auto"/>
        <w:right w:val="none" w:sz="0" w:space="0" w:color="auto"/>
      </w:divBdr>
    </w:div>
    <w:div w:id="1945919932">
      <w:bodyDiv w:val="1"/>
      <w:marLeft w:val="0"/>
      <w:marRight w:val="0"/>
      <w:marTop w:val="0"/>
      <w:marBottom w:val="0"/>
      <w:divBdr>
        <w:top w:val="none" w:sz="0" w:space="0" w:color="auto"/>
        <w:left w:val="none" w:sz="0" w:space="0" w:color="auto"/>
        <w:bottom w:val="none" w:sz="0" w:space="0" w:color="auto"/>
        <w:right w:val="none" w:sz="0" w:space="0" w:color="auto"/>
      </w:divBdr>
    </w:div>
    <w:div w:id="1946377945">
      <w:marLeft w:val="0"/>
      <w:marRight w:val="0"/>
      <w:marTop w:val="0"/>
      <w:marBottom w:val="0"/>
      <w:divBdr>
        <w:top w:val="none" w:sz="0" w:space="0" w:color="auto"/>
        <w:left w:val="none" w:sz="0" w:space="0" w:color="auto"/>
        <w:bottom w:val="none" w:sz="0" w:space="0" w:color="auto"/>
        <w:right w:val="none" w:sz="0" w:space="0" w:color="auto"/>
      </w:divBdr>
      <w:divsChild>
        <w:div w:id="2016223758">
          <w:marLeft w:val="0"/>
          <w:marRight w:val="0"/>
          <w:marTop w:val="0"/>
          <w:marBottom w:val="0"/>
          <w:divBdr>
            <w:top w:val="none" w:sz="0" w:space="0" w:color="auto"/>
            <w:left w:val="none" w:sz="0" w:space="0" w:color="auto"/>
            <w:bottom w:val="none" w:sz="0" w:space="0" w:color="auto"/>
            <w:right w:val="none" w:sz="0" w:space="0" w:color="auto"/>
          </w:divBdr>
        </w:div>
      </w:divsChild>
    </w:div>
    <w:div w:id="1949118382">
      <w:bodyDiv w:val="1"/>
      <w:marLeft w:val="0"/>
      <w:marRight w:val="0"/>
      <w:marTop w:val="0"/>
      <w:marBottom w:val="0"/>
      <w:divBdr>
        <w:top w:val="none" w:sz="0" w:space="0" w:color="auto"/>
        <w:left w:val="none" w:sz="0" w:space="0" w:color="auto"/>
        <w:bottom w:val="none" w:sz="0" w:space="0" w:color="auto"/>
        <w:right w:val="none" w:sz="0" w:space="0" w:color="auto"/>
      </w:divBdr>
    </w:div>
    <w:div w:id="1956404636">
      <w:bodyDiv w:val="1"/>
      <w:marLeft w:val="0"/>
      <w:marRight w:val="0"/>
      <w:marTop w:val="0"/>
      <w:marBottom w:val="0"/>
      <w:divBdr>
        <w:top w:val="none" w:sz="0" w:space="0" w:color="auto"/>
        <w:left w:val="none" w:sz="0" w:space="0" w:color="auto"/>
        <w:bottom w:val="none" w:sz="0" w:space="0" w:color="auto"/>
        <w:right w:val="none" w:sz="0" w:space="0" w:color="auto"/>
      </w:divBdr>
    </w:div>
    <w:div w:id="1959095139">
      <w:marLeft w:val="0"/>
      <w:marRight w:val="150"/>
      <w:marTop w:val="0"/>
      <w:marBottom w:val="0"/>
      <w:divBdr>
        <w:top w:val="none" w:sz="0" w:space="0" w:color="auto"/>
        <w:left w:val="none" w:sz="0" w:space="0" w:color="auto"/>
        <w:bottom w:val="none" w:sz="0" w:space="0" w:color="auto"/>
        <w:right w:val="none" w:sz="0" w:space="0" w:color="auto"/>
      </w:divBdr>
      <w:divsChild>
        <w:div w:id="737049912">
          <w:marLeft w:val="0"/>
          <w:marRight w:val="150"/>
          <w:marTop w:val="0"/>
          <w:marBottom w:val="0"/>
          <w:divBdr>
            <w:top w:val="none" w:sz="0" w:space="0" w:color="auto"/>
            <w:left w:val="none" w:sz="0" w:space="0" w:color="auto"/>
            <w:bottom w:val="none" w:sz="0" w:space="0" w:color="auto"/>
            <w:right w:val="none" w:sz="0" w:space="0" w:color="auto"/>
          </w:divBdr>
        </w:div>
      </w:divsChild>
    </w:div>
    <w:div w:id="1963414810">
      <w:marLeft w:val="0"/>
      <w:marRight w:val="0"/>
      <w:marTop w:val="0"/>
      <w:marBottom w:val="0"/>
      <w:divBdr>
        <w:top w:val="none" w:sz="0" w:space="0" w:color="auto"/>
        <w:left w:val="none" w:sz="0" w:space="0" w:color="auto"/>
        <w:bottom w:val="none" w:sz="0" w:space="0" w:color="auto"/>
        <w:right w:val="none" w:sz="0" w:space="0" w:color="auto"/>
      </w:divBdr>
      <w:divsChild>
        <w:div w:id="654844953">
          <w:marLeft w:val="0"/>
          <w:marRight w:val="0"/>
          <w:marTop w:val="0"/>
          <w:marBottom w:val="0"/>
          <w:divBdr>
            <w:top w:val="none" w:sz="0" w:space="0" w:color="auto"/>
            <w:left w:val="none" w:sz="0" w:space="0" w:color="auto"/>
            <w:bottom w:val="none" w:sz="0" w:space="0" w:color="auto"/>
            <w:right w:val="none" w:sz="0" w:space="0" w:color="auto"/>
          </w:divBdr>
        </w:div>
      </w:divsChild>
    </w:div>
    <w:div w:id="1964143098">
      <w:bodyDiv w:val="1"/>
      <w:marLeft w:val="0"/>
      <w:marRight w:val="0"/>
      <w:marTop w:val="0"/>
      <w:marBottom w:val="0"/>
      <w:divBdr>
        <w:top w:val="none" w:sz="0" w:space="0" w:color="auto"/>
        <w:left w:val="none" w:sz="0" w:space="0" w:color="auto"/>
        <w:bottom w:val="none" w:sz="0" w:space="0" w:color="auto"/>
        <w:right w:val="none" w:sz="0" w:space="0" w:color="auto"/>
      </w:divBdr>
    </w:div>
    <w:div w:id="1964920783">
      <w:marLeft w:val="0"/>
      <w:marRight w:val="0"/>
      <w:marTop w:val="0"/>
      <w:marBottom w:val="0"/>
      <w:divBdr>
        <w:top w:val="none" w:sz="0" w:space="0" w:color="auto"/>
        <w:left w:val="none" w:sz="0" w:space="0" w:color="auto"/>
        <w:bottom w:val="none" w:sz="0" w:space="0" w:color="auto"/>
        <w:right w:val="none" w:sz="0" w:space="0" w:color="auto"/>
      </w:divBdr>
      <w:divsChild>
        <w:div w:id="1201279827">
          <w:marLeft w:val="0"/>
          <w:marRight w:val="0"/>
          <w:marTop w:val="0"/>
          <w:marBottom w:val="0"/>
          <w:divBdr>
            <w:top w:val="none" w:sz="0" w:space="0" w:color="auto"/>
            <w:left w:val="none" w:sz="0" w:space="0" w:color="auto"/>
            <w:bottom w:val="none" w:sz="0" w:space="0" w:color="auto"/>
            <w:right w:val="none" w:sz="0" w:space="0" w:color="auto"/>
          </w:divBdr>
        </w:div>
      </w:divsChild>
    </w:div>
    <w:div w:id="1967277991">
      <w:marLeft w:val="0"/>
      <w:marRight w:val="0"/>
      <w:marTop w:val="0"/>
      <w:marBottom w:val="0"/>
      <w:divBdr>
        <w:top w:val="none" w:sz="0" w:space="0" w:color="auto"/>
        <w:left w:val="none" w:sz="0" w:space="0" w:color="auto"/>
        <w:bottom w:val="none" w:sz="0" w:space="0" w:color="auto"/>
        <w:right w:val="none" w:sz="0" w:space="0" w:color="auto"/>
      </w:divBdr>
      <w:divsChild>
        <w:div w:id="73359917">
          <w:marLeft w:val="0"/>
          <w:marRight w:val="0"/>
          <w:marTop w:val="0"/>
          <w:marBottom w:val="0"/>
          <w:divBdr>
            <w:top w:val="none" w:sz="0" w:space="0" w:color="auto"/>
            <w:left w:val="none" w:sz="0" w:space="0" w:color="auto"/>
            <w:bottom w:val="none" w:sz="0" w:space="0" w:color="auto"/>
            <w:right w:val="none" w:sz="0" w:space="0" w:color="auto"/>
          </w:divBdr>
        </w:div>
      </w:divsChild>
    </w:div>
    <w:div w:id="1968316249">
      <w:marLeft w:val="0"/>
      <w:marRight w:val="0"/>
      <w:marTop w:val="0"/>
      <w:marBottom w:val="0"/>
      <w:divBdr>
        <w:top w:val="none" w:sz="0" w:space="0" w:color="auto"/>
        <w:left w:val="none" w:sz="0" w:space="0" w:color="auto"/>
        <w:bottom w:val="none" w:sz="0" w:space="0" w:color="auto"/>
        <w:right w:val="none" w:sz="0" w:space="0" w:color="auto"/>
      </w:divBdr>
      <w:divsChild>
        <w:div w:id="1197617058">
          <w:marLeft w:val="0"/>
          <w:marRight w:val="0"/>
          <w:marTop w:val="0"/>
          <w:marBottom w:val="0"/>
          <w:divBdr>
            <w:top w:val="none" w:sz="0" w:space="0" w:color="auto"/>
            <w:left w:val="none" w:sz="0" w:space="0" w:color="auto"/>
            <w:bottom w:val="none" w:sz="0" w:space="0" w:color="auto"/>
            <w:right w:val="none" w:sz="0" w:space="0" w:color="auto"/>
          </w:divBdr>
        </w:div>
      </w:divsChild>
    </w:div>
    <w:div w:id="1970670394">
      <w:marLeft w:val="0"/>
      <w:marRight w:val="0"/>
      <w:marTop w:val="0"/>
      <w:marBottom w:val="0"/>
      <w:divBdr>
        <w:top w:val="none" w:sz="0" w:space="0" w:color="auto"/>
        <w:left w:val="none" w:sz="0" w:space="0" w:color="auto"/>
        <w:bottom w:val="none" w:sz="0" w:space="0" w:color="auto"/>
        <w:right w:val="none" w:sz="0" w:space="0" w:color="auto"/>
      </w:divBdr>
      <w:divsChild>
        <w:div w:id="1903104361">
          <w:marLeft w:val="0"/>
          <w:marRight w:val="0"/>
          <w:marTop w:val="0"/>
          <w:marBottom w:val="0"/>
          <w:divBdr>
            <w:top w:val="none" w:sz="0" w:space="0" w:color="auto"/>
            <w:left w:val="none" w:sz="0" w:space="0" w:color="auto"/>
            <w:bottom w:val="none" w:sz="0" w:space="0" w:color="auto"/>
            <w:right w:val="none" w:sz="0" w:space="0" w:color="auto"/>
          </w:divBdr>
        </w:div>
      </w:divsChild>
    </w:div>
    <w:div w:id="1972438085">
      <w:bodyDiv w:val="1"/>
      <w:marLeft w:val="0"/>
      <w:marRight w:val="0"/>
      <w:marTop w:val="0"/>
      <w:marBottom w:val="0"/>
      <w:divBdr>
        <w:top w:val="none" w:sz="0" w:space="0" w:color="auto"/>
        <w:left w:val="none" w:sz="0" w:space="0" w:color="auto"/>
        <w:bottom w:val="none" w:sz="0" w:space="0" w:color="auto"/>
        <w:right w:val="none" w:sz="0" w:space="0" w:color="auto"/>
      </w:divBdr>
    </w:div>
    <w:div w:id="1972593161">
      <w:marLeft w:val="0"/>
      <w:marRight w:val="0"/>
      <w:marTop w:val="0"/>
      <w:marBottom w:val="0"/>
      <w:divBdr>
        <w:top w:val="none" w:sz="0" w:space="0" w:color="auto"/>
        <w:left w:val="none" w:sz="0" w:space="0" w:color="auto"/>
        <w:bottom w:val="none" w:sz="0" w:space="0" w:color="auto"/>
        <w:right w:val="none" w:sz="0" w:space="0" w:color="auto"/>
      </w:divBdr>
      <w:divsChild>
        <w:div w:id="679771711">
          <w:marLeft w:val="0"/>
          <w:marRight w:val="0"/>
          <w:marTop w:val="0"/>
          <w:marBottom w:val="0"/>
          <w:divBdr>
            <w:top w:val="none" w:sz="0" w:space="0" w:color="auto"/>
            <w:left w:val="none" w:sz="0" w:space="0" w:color="auto"/>
            <w:bottom w:val="none" w:sz="0" w:space="0" w:color="auto"/>
            <w:right w:val="none" w:sz="0" w:space="0" w:color="auto"/>
          </w:divBdr>
        </w:div>
      </w:divsChild>
    </w:div>
    <w:div w:id="1985623301">
      <w:marLeft w:val="0"/>
      <w:marRight w:val="0"/>
      <w:marTop w:val="0"/>
      <w:marBottom w:val="0"/>
      <w:divBdr>
        <w:top w:val="none" w:sz="0" w:space="0" w:color="auto"/>
        <w:left w:val="none" w:sz="0" w:space="0" w:color="auto"/>
        <w:bottom w:val="none" w:sz="0" w:space="0" w:color="auto"/>
        <w:right w:val="none" w:sz="0" w:space="0" w:color="auto"/>
      </w:divBdr>
      <w:divsChild>
        <w:div w:id="2008245285">
          <w:marLeft w:val="0"/>
          <w:marRight w:val="0"/>
          <w:marTop w:val="0"/>
          <w:marBottom w:val="0"/>
          <w:divBdr>
            <w:top w:val="none" w:sz="0" w:space="0" w:color="auto"/>
            <w:left w:val="none" w:sz="0" w:space="0" w:color="auto"/>
            <w:bottom w:val="none" w:sz="0" w:space="0" w:color="auto"/>
            <w:right w:val="none" w:sz="0" w:space="0" w:color="auto"/>
          </w:divBdr>
        </w:div>
      </w:divsChild>
    </w:div>
    <w:div w:id="1986625275">
      <w:bodyDiv w:val="1"/>
      <w:marLeft w:val="0"/>
      <w:marRight w:val="0"/>
      <w:marTop w:val="0"/>
      <w:marBottom w:val="0"/>
      <w:divBdr>
        <w:top w:val="none" w:sz="0" w:space="0" w:color="auto"/>
        <w:left w:val="none" w:sz="0" w:space="0" w:color="auto"/>
        <w:bottom w:val="none" w:sz="0" w:space="0" w:color="auto"/>
        <w:right w:val="none" w:sz="0" w:space="0" w:color="auto"/>
      </w:divBdr>
      <w:divsChild>
        <w:div w:id="1401171134">
          <w:marLeft w:val="0"/>
          <w:marRight w:val="0"/>
          <w:marTop w:val="0"/>
          <w:marBottom w:val="0"/>
          <w:divBdr>
            <w:top w:val="none" w:sz="0" w:space="0" w:color="auto"/>
            <w:left w:val="none" w:sz="0" w:space="0" w:color="auto"/>
            <w:bottom w:val="none" w:sz="0" w:space="0" w:color="auto"/>
            <w:right w:val="none" w:sz="0" w:space="0" w:color="auto"/>
          </w:divBdr>
          <w:divsChild>
            <w:div w:id="1791826421">
              <w:marLeft w:val="0"/>
              <w:marRight w:val="0"/>
              <w:marTop w:val="0"/>
              <w:marBottom w:val="0"/>
              <w:divBdr>
                <w:top w:val="none" w:sz="0" w:space="0" w:color="auto"/>
                <w:left w:val="none" w:sz="0" w:space="0" w:color="auto"/>
                <w:bottom w:val="none" w:sz="0" w:space="0" w:color="auto"/>
                <w:right w:val="none" w:sz="0" w:space="0" w:color="auto"/>
              </w:divBdr>
              <w:divsChild>
                <w:div w:id="1350181549">
                  <w:marLeft w:val="0"/>
                  <w:marRight w:val="150"/>
                  <w:marTop w:val="0"/>
                  <w:marBottom w:val="0"/>
                  <w:divBdr>
                    <w:top w:val="none" w:sz="0" w:space="0" w:color="auto"/>
                    <w:left w:val="none" w:sz="0" w:space="0" w:color="auto"/>
                    <w:bottom w:val="none" w:sz="0" w:space="0" w:color="auto"/>
                    <w:right w:val="none" w:sz="0" w:space="0" w:color="auto"/>
                  </w:divBdr>
                  <w:divsChild>
                    <w:div w:id="1475827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20042804">
          <w:marLeft w:val="0"/>
          <w:marRight w:val="150"/>
          <w:marTop w:val="0"/>
          <w:marBottom w:val="0"/>
          <w:divBdr>
            <w:top w:val="none" w:sz="0" w:space="0" w:color="auto"/>
            <w:left w:val="none" w:sz="0" w:space="0" w:color="auto"/>
            <w:bottom w:val="none" w:sz="0" w:space="0" w:color="auto"/>
            <w:right w:val="none" w:sz="0" w:space="0" w:color="auto"/>
          </w:divBdr>
          <w:divsChild>
            <w:div w:id="2081520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87397586">
      <w:marLeft w:val="0"/>
      <w:marRight w:val="0"/>
      <w:marTop w:val="0"/>
      <w:marBottom w:val="0"/>
      <w:divBdr>
        <w:top w:val="none" w:sz="0" w:space="0" w:color="auto"/>
        <w:left w:val="none" w:sz="0" w:space="0" w:color="auto"/>
        <w:bottom w:val="none" w:sz="0" w:space="0" w:color="auto"/>
        <w:right w:val="none" w:sz="0" w:space="0" w:color="auto"/>
      </w:divBdr>
      <w:divsChild>
        <w:div w:id="595284470">
          <w:marLeft w:val="0"/>
          <w:marRight w:val="0"/>
          <w:marTop w:val="0"/>
          <w:marBottom w:val="0"/>
          <w:divBdr>
            <w:top w:val="none" w:sz="0" w:space="0" w:color="auto"/>
            <w:left w:val="none" w:sz="0" w:space="0" w:color="auto"/>
            <w:bottom w:val="none" w:sz="0" w:space="0" w:color="auto"/>
            <w:right w:val="none" w:sz="0" w:space="0" w:color="auto"/>
          </w:divBdr>
        </w:div>
      </w:divsChild>
    </w:div>
    <w:div w:id="1991471768">
      <w:marLeft w:val="0"/>
      <w:marRight w:val="0"/>
      <w:marTop w:val="0"/>
      <w:marBottom w:val="0"/>
      <w:divBdr>
        <w:top w:val="none" w:sz="0" w:space="0" w:color="auto"/>
        <w:left w:val="none" w:sz="0" w:space="0" w:color="auto"/>
        <w:bottom w:val="none" w:sz="0" w:space="0" w:color="auto"/>
        <w:right w:val="none" w:sz="0" w:space="0" w:color="auto"/>
      </w:divBdr>
      <w:divsChild>
        <w:div w:id="1664822141">
          <w:marLeft w:val="0"/>
          <w:marRight w:val="0"/>
          <w:marTop w:val="0"/>
          <w:marBottom w:val="0"/>
          <w:divBdr>
            <w:top w:val="none" w:sz="0" w:space="0" w:color="auto"/>
            <w:left w:val="none" w:sz="0" w:space="0" w:color="auto"/>
            <w:bottom w:val="none" w:sz="0" w:space="0" w:color="auto"/>
            <w:right w:val="none" w:sz="0" w:space="0" w:color="auto"/>
          </w:divBdr>
        </w:div>
      </w:divsChild>
    </w:div>
    <w:div w:id="1992557924">
      <w:marLeft w:val="0"/>
      <w:marRight w:val="0"/>
      <w:marTop w:val="0"/>
      <w:marBottom w:val="0"/>
      <w:divBdr>
        <w:top w:val="none" w:sz="0" w:space="0" w:color="auto"/>
        <w:left w:val="none" w:sz="0" w:space="0" w:color="auto"/>
        <w:bottom w:val="none" w:sz="0" w:space="0" w:color="auto"/>
        <w:right w:val="none" w:sz="0" w:space="0" w:color="auto"/>
      </w:divBdr>
      <w:divsChild>
        <w:div w:id="467479618">
          <w:marLeft w:val="0"/>
          <w:marRight w:val="0"/>
          <w:marTop w:val="0"/>
          <w:marBottom w:val="0"/>
          <w:divBdr>
            <w:top w:val="none" w:sz="0" w:space="0" w:color="auto"/>
            <w:left w:val="none" w:sz="0" w:space="0" w:color="auto"/>
            <w:bottom w:val="none" w:sz="0" w:space="0" w:color="auto"/>
            <w:right w:val="none" w:sz="0" w:space="0" w:color="auto"/>
          </w:divBdr>
        </w:div>
      </w:divsChild>
    </w:div>
    <w:div w:id="1992564088">
      <w:marLeft w:val="0"/>
      <w:marRight w:val="0"/>
      <w:marTop w:val="0"/>
      <w:marBottom w:val="0"/>
      <w:divBdr>
        <w:top w:val="none" w:sz="0" w:space="0" w:color="auto"/>
        <w:left w:val="none" w:sz="0" w:space="0" w:color="auto"/>
        <w:bottom w:val="none" w:sz="0" w:space="0" w:color="auto"/>
        <w:right w:val="none" w:sz="0" w:space="0" w:color="auto"/>
      </w:divBdr>
      <w:divsChild>
        <w:div w:id="989402807">
          <w:marLeft w:val="0"/>
          <w:marRight w:val="0"/>
          <w:marTop w:val="0"/>
          <w:marBottom w:val="0"/>
          <w:divBdr>
            <w:top w:val="none" w:sz="0" w:space="0" w:color="auto"/>
            <w:left w:val="none" w:sz="0" w:space="0" w:color="auto"/>
            <w:bottom w:val="none" w:sz="0" w:space="0" w:color="auto"/>
            <w:right w:val="none" w:sz="0" w:space="0" w:color="auto"/>
          </w:divBdr>
        </w:div>
      </w:divsChild>
    </w:div>
    <w:div w:id="1996061827">
      <w:bodyDiv w:val="1"/>
      <w:marLeft w:val="0"/>
      <w:marRight w:val="0"/>
      <w:marTop w:val="0"/>
      <w:marBottom w:val="0"/>
      <w:divBdr>
        <w:top w:val="none" w:sz="0" w:space="0" w:color="auto"/>
        <w:left w:val="none" w:sz="0" w:space="0" w:color="auto"/>
        <w:bottom w:val="none" w:sz="0" w:space="0" w:color="auto"/>
        <w:right w:val="none" w:sz="0" w:space="0" w:color="auto"/>
      </w:divBdr>
    </w:div>
    <w:div w:id="1997145077">
      <w:bodyDiv w:val="1"/>
      <w:marLeft w:val="0"/>
      <w:marRight w:val="0"/>
      <w:marTop w:val="0"/>
      <w:marBottom w:val="0"/>
      <w:divBdr>
        <w:top w:val="none" w:sz="0" w:space="0" w:color="auto"/>
        <w:left w:val="none" w:sz="0" w:space="0" w:color="auto"/>
        <w:bottom w:val="none" w:sz="0" w:space="0" w:color="auto"/>
        <w:right w:val="none" w:sz="0" w:space="0" w:color="auto"/>
      </w:divBdr>
      <w:divsChild>
        <w:div w:id="760297681">
          <w:marLeft w:val="0"/>
          <w:marRight w:val="0"/>
          <w:marTop w:val="0"/>
          <w:marBottom w:val="0"/>
          <w:divBdr>
            <w:top w:val="none" w:sz="0" w:space="0" w:color="auto"/>
            <w:left w:val="none" w:sz="0" w:space="0" w:color="auto"/>
            <w:bottom w:val="none" w:sz="0" w:space="0" w:color="auto"/>
            <w:right w:val="none" w:sz="0" w:space="0" w:color="auto"/>
          </w:divBdr>
          <w:divsChild>
            <w:div w:id="1552568720">
              <w:marLeft w:val="0"/>
              <w:marRight w:val="0"/>
              <w:marTop w:val="0"/>
              <w:marBottom w:val="0"/>
              <w:divBdr>
                <w:top w:val="none" w:sz="0" w:space="0" w:color="auto"/>
                <w:left w:val="none" w:sz="0" w:space="0" w:color="auto"/>
                <w:bottom w:val="none" w:sz="0" w:space="0" w:color="auto"/>
                <w:right w:val="none" w:sz="0" w:space="0" w:color="auto"/>
              </w:divBdr>
              <w:divsChild>
                <w:div w:id="843203969">
                  <w:marLeft w:val="0"/>
                  <w:marRight w:val="0"/>
                  <w:marTop w:val="0"/>
                  <w:marBottom w:val="0"/>
                  <w:divBdr>
                    <w:top w:val="none" w:sz="0" w:space="0" w:color="auto"/>
                    <w:left w:val="none" w:sz="0" w:space="0" w:color="auto"/>
                    <w:bottom w:val="none" w:sz="0" w:space="0" w:color="auto"/>
                    <w:right w:val="none" w:sz="0" w:space="0" w:color="auto"/>
                  </w:divBdr>
                </w:div>
                <w:div w:id="2037658398">
                  <w:marLeft w:val="0"/>
                  <w:marRight w:val="0"/>
                  <w:marTop w:val="0"/>
                  <w:marBottom w:val="0"/>
                  <w:divBdr>
                    <w:top w:val="none" w:sz="0" w:space="0" w:color="auto"/>
                    <w:left w:val="none" w:sz="0" w:space="0" w:color="auto"/>
                    <w:bottom w:val="none" w:sz="0" w:space="0" w:color="auto"/>
                    <w:right w:val="none" w:sz="0" w:space="0" w:color="auto"/>
                  </w:divBdr>
                </w:div>
                <w:div w:id="692994657">
                  <w:marLeft w:val="0"/>
                  <w:marRight w:val="0"/>
                  <w:marTop w:val="0"/>
                  <w:marBottom w:val="0"/>
                  <w:divBdr>
                    <w:top w:val="none" w:sz="0" w:space="0" w:color="auto"/>
                    <w:left w:val="none" w:sz="0" w:space="0" w:color="auto"/>
                    <w:bottom w:val="none" w:sz="0" w:space="0" w:color="auto"/>
                    <w:right w:val="none" w:sz="0" w:space="0" w:color="auto"/>
                  </w:divBdr>
                </w:div>
                <w:div w:id="765155610">
                  <w:marLeft w:val="0"/>
                  <w:marRight w:val="0"/>
                  <w:marTop w:val="0"/>
                  <w:marBottom w:val="0"/>
                  <w:divBdr>
                    <w:top w:val="none" w:sz="0" w:space="0" w:color="auto"/>
                    <w:left w:val="none" w:sz="0" w:space="0" w:color="auto"/>
                    <w:bottom w:val="none" w:sz="0" w:space="0" w:color="auto"/>
                    <w:right w:val="none" w:sz="0" w:space="0" w:color="auto"/>
                  </w:divBdr>
                </w:div>
                <w:div w:id="1635286569">
                  <w:marLeft w:val="0"/>
                  <w:marRight w:val="0"/>
                  <w:marTop w:val="0"/>
                  <w:marBottom w:val="0"/>
                  <w:divBdr>
                    <w:top w:val="none" w:sz="0" w:space="0" w:color="auto"/>
                    <w:left w:val="none" w:sz="0" w:space="0" w:color="auto"/>
                    <w:bottom w:val="none" w:sz="0" w:space="0" w:color="auto"/>
                    <w:right w:val="none" w:sz="0" w:space="0" w:color="auto"/>
                  </w:divBdr>
                </w:div>
                <w:div w:id="437216131">
                  <w:marLeft w:val="0"/>
                  <w:marRight w:val="0"/>
                  <w:marTop w:val="0"/>
                  <w:marBottom w:val="0"/>
                  <w:divBdr>
                    <w:top w:val="none" w:sz="0" w:space="0" w:color="auto"/>
                    <w:left w:val="none" w:sz="0" w:space="0" w:color="auto"/>
                    <w:bottom w:val="none" w:sz="0" w:space="0" w:color="auto"/>
                    <w:right w:val="none" w:sz="0" w:space="0" w:color="auto"/>
                  </w:divBdr>
                </w:div>
                <w:div w:id="9808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2570">
          <w:marLeft w:val="0"/>
          <w:marRight w:val="0"/>
          <w:marTop w:val="0"/>
          <w:marBottom w:val="0"/>
          <w:divBdr>
            <w:top w:val="none" w:sz="0" w:space="0" w:color="auto"/>
            <w:left w:val="none" w:sz="0" w:space="0" w:color="auto"/>
            <w:bottom w:val="none" w:sz="0" w:space="0" w:color="auto"/>
            <w:right w:val="none" w:sz="0" w:space="0" w:color="auto"/>
          </w:divBdr>
        </w:div>
        <w:div w:id="1963685745">
          <w:marLeft w:val="0"/>
          <w:marRight w:val="0"/>
          <w:marTop w:val="0"/>
          <w:marBottom w:val="0"/>
          <w:divBdr>
            <w:top w:val="none" w:sz="0" w:space="0" w:color="auto"/>
            <w:left w:val="none" w:sz="0" w:space="0" w:color="auto"/>
            <w:bottom w:val="none" w:sz="0" w:space="0" w:color="auto"/>
            <w:right w:val="none" w:sz="0" w:space="0" w:color="auto"/>
          </w:divBdr>
        </w:div>
        <w:div w:id="1175798868">
          <w:marLeft w:val="0"/>
          <w:marRight w:val="0"/>
          <w:marTop w:val="0"/>
          <w:marBottom w:val="0"/>
          <w:divBdr>
            <w:top w:val="none" w:sz="0" w:space="0" w:color="auto"/>
            <w:left w:val="none" w:sz="0" w:space="0" w:color="auto"/>
            <w:bottom w:val="none" w:sz="0" w:space="0" w:color="auto"/>
            <w:right w:val="none" w:sz="0" w:space="0" w:color="auto"/>
          </w:divBdr>
        </w:div>
        <w:div w:id="1648822915">
          <w:marLeft w:val="0"/>
          <w:marRight w:val="0"/>
          <w:marTop w:val="0"/>
          <w:marBottom w:val="0"/>
          <w:divBdr>
            <w:top w:val="none" w:sz="0" w:space="0" w:color="auto"/>
            <w:left w:val="none" w:sz="0" w:space="0" w:color="auto"/>
            <w:bottom w:val="none" w:sz="0" w:space="0" w:color="auto"/>
            <w:right w:val="none" w:sz="0" w:space="0" w:color="auto"/>
          </w:divBdr>
        </w:div>
        <w:div w:id="1131745245">
          <w:marLeft w:val="0"/>
          <w:marRight w:val="0"/>
          <w:marTop w:val="0"/>
          <w:marBottom w:val="0"/>
          <w:divBdr>
            <w:top w:val="none" w:sz="0" w:space="0" w:color="auto"/>
            <w:left w:val="none" w:sz="0" w:space="0" w:color="auto"/>
            <w:bottom w:val="none" w:sz="0" w:space="0" w:color="auto"/>
            <w:right w:val="none" w:sz="0" w:space="0" w:color="auto"/>
          </w:divBdr>
        </w:div>
        <w:div w:id="248730861">
          <w:marLeft w:val="0"/>
          <w:marRight w:val="0"/>
          <w:marTop w:val="0"/>
          <w:marBottom w:val="0"/>
          <w:divBdr>
            <w:top w:val="none" w:sz="0" w:space="0" w:color="auto"/>
            <w:left w:val="none" w:sz="0" w:space="0" w:color="auto"/>
            <w:bottom w:val="none" w:sz="0" w:space="0" w:color="auto"/>
            <w:right w:val="none" w:sz="0" w:space="0" w:color="auto"/>
          </w:divBdr>
        </w:div>
        <w:div w:id="845511612">
          <w:marLeft w:val="0"/>
          <w:marRight w:val="0"/>
          <w:marTop w:val="0"/>
          <w:marBottom w:val="0"/>
          <w:divBdr>
            <w:top w:val="none" w:sz="0" w:space="0" w:color="auto"/>
            <w:left w:val="none" w:sz="0" w:space="0" w:color="auto"/>
            <w:bottom w:val="none" w:sz="0" w:space="0" w:color="auto"/>
            <w:right w:val="none" w:sz="0" w:space="0" w:color="auto"/>
          </w:divBdr>
        </w:div>
        <w:div w:id="2003898044">
          <w:marLeft w:val="0"/>
          <w:marRight w:val="0"/>
          <w:marTop w:val="0"/>
          <w:marBottom w:val="0"/>
          <w:divBdr>
            <w:top w:val="none" w:sz="0" w:space="0" w:color="auto"/>
            <w:left w:val="none" w:sz="0" w:space="0" w:color="auto"/>
            <w:bottom w:val="none" w:sz="0" w:space="0" w:color="auto"/>
            <w:right w:val="none" w:sz="0" w:space="0" w:color="auto"/>
          </w:divBdr>
        </w:div>
      </w:divsChild>
    </w:div>
    <w:div w:id="2001618656">
      <w:marLeft w:val="0"/>
      <w:marRight w:val="0"/>
      <w:marTop w:val="0"/>
      <w:marBottom w:val="0"/>
      <w:divBdr>
        <w:top w:val="none" w:sz="0" w:space="0" w:color="auto"/>
        <w:left w:val="none" w:sz="0" w:space="0" w:color="auto"/>
        <w:bottom w:val="none" w:sz="0" w:space="0" w:color="auto"/>
        <w:right w:val="none" w:sz="0" w:space="0" w:color="auto"/>
      </w:divBdr>
      <w:divsChild>
        <w:div w:id="1123378633">
          <w:marLeft w:val="0"/>
          <w:marRight w:val="0"/>
          <w:marTop w:val="0"/>
          <w:marBottom w:val="0"/>
          <w:divBdr>
            <w:top w:val="none" w:sz="0" w:space="0" w:color="auto"/>
            <w:left w:val="none" w:sz="0" w:space="0" w:color="auto"/>
            <w:bottom w:val="none" w:sz="0" w:space="0" w:color="auto"/>
            <w:right w:val="none" w:sz="0" w:space="0" w:color="auto"/>
          </w:divBdr>
        </w:div>
      </w:divsChild>
    </w:div>
    <w:div w:id="2002074182">
      <w:marLeft w:val="0"/>
      <w:marRight w:val="0"/>
      <w:marTop w:val="0"/>
      <w:marBottom w:val="0"/>
      <w:divBdr>
        <w:top w:val="none" w:sz="0" w:space="0" w:color="auto"/>
        <w:left w:val="none" w:sz="0" w:space="0" w:color="auto"/>
        <w:bottom w:val="none" w:sz="0" w:space="0" w:color="auto"/>
        <w:right w:val="none" w:sz="0" w:space="0" w:color="auto"/>
      </w:divBdr>
      <w:divsChild>
        <w:div w:id="1218931259">
          <w:marLeft w:val="0"/>
          <w:marRight w:val="0"/>
          <w:marTop w:val="0"/>
          <w:marBottom w:val="0"/>
          <w:divBdr>
            <w:top w:val="none" w:sz="0" w:space="0" w:color="auto"/>
            <w:left w:val="none" w:sz="0" w:space="0" w:color="auto"/>
            <w:bottom w:val="none" w:sz="0" w:space="0" w:color="auto"/>
            <w:right w:val="none" w:sz="0" w:space="0" w:color="auto"/>
          </w:divBdr>
        </w:div>
      </w:divsChild>
    </w:div>
    <w:div w:id="2003311817">
      <w:marLeft w:val="0"/>
      <w:marRight w:val="0"/>
      <w:marTop w:val="0"/>
      <w:marBottom w:val="0"/>
      <w:divBdr>
        <w:top w:val="none" w:sz="0" w:space="0" w:color="auto"/>
        <w:left w:val="none" w:sz="0" w:space="0" w:color="auto"/>
        <w:bottom w:val="none" w:sz="0" w:space="0" w:color="auto"/>
        <w:right w:val="none" w:sz="0" w:space="0" w:color="auto"/>
      </w:divBdr>
      <w:divsChild>
        <w:div w:id="1080565044">
          <w:marLeft w:val="0"/>
          <w:marRight w:val="0"/>
          <w:marTop w:val="0"/>
          <w:marBottom w:val="0"/>
          <w:divBdr>
            <w:top w:val="none" w:sz="0" w:space="0" w:color="auto"/>
            <w:left w:val="none" w:sz="0" w:space="0" w:color="auto"/>
            <w:bottom w:val="none" w:sz="0" w:space="0" w:color="auto"/>
            <w:right w:val="none" w:sz="0" w:space="0" w:color="auto"/>
          </w:divBdr>
        </w:div>
      </w:divsChild>
    </w:div>
    <w:div w:id="2004507063">
      <w:marLeft w:val="0"/>
      <w:marRight w:val="0"/>
      <w:marTop w:val="0"/>
      <w:marBottom w:val="0"/>
      <w:divBdr>
        <w:top w:val="none" w:sz="0" w:space="0" w:color="auto"/>
        <w:left w:val="none" w:sz="0" w:space="0" w:color="auto"/>
        <w:bottom w:val="none" w:sz="0" w:space="0" w:color="auto"/>
        <w:right w:val="none" w:sz="0" w:space="0" w:color="auto"/>
      </w:divBdr>
      <w:divsChild>
        <w:div w:id="498736867">
          <w:marLeft w:val="0"/>
          <w:marRight w:val="0"/>
          <w:marTop w:val="0"/>
          <w:marBottom w:val="0"/>
          <w:divBdr>
            <w:top w:val="none" w:sz="0" w:space="0" w:color="auto"/>
            <w:left w:val="none" w:sz="0" w:space="0" w:color="auto"/>
            <w:bottom w:val="none" w:sz="0" w:space="0" w:color="auto"/>
            <w:right w:val="none" w:sz="0" w:space="0" w:color="auto"/>
          </w:divBdr>
        </w:div>
      </w:divsChild>
    </w:div>
    <w:div w:id="2009357882">
      <w:marLeft w:val="0"/>
      <w:marRight w:val="0"/>
      <w:marTop w:val="0"/>
      <w:marBottom w:val="0"/>
      <w:divBdr>
        <w:top w:val="none" w:sz="0" w:space="0" w:color="auto"/>
        <w:left w:val="none" w:sz="0" w:space="0" w:color="auto"/>
        <w:bottom w:val="none" w:sz="0" w:space="0" w:color="auto"/>
        <w:right w:val="none" w:sz="0" w:space="0" w:color="auto"/>
      </w:divBdr>
      <w:divsChild>
        <w:div w:id="1403599152">
          <w:marLeft w:val="0"/>
          <w:marRight w:val="0"/>
          <w:marTop w:val="0"/>
          <w:marBottom w:val="0"/>
          <w:divBdr>
            <w:top w:val="none" w:sz="0" w:space="0" w:color="auto"/>
            <w:left w:val="none" w:sz="0" w:space="0" w:color="auto"/>
            <w:bottom w:val="none" w:sz="0" w:space="0" w:color="auto"/>
            <w:right w:val="none" w:sz="0" w:space="0" w:color="auto"/>
          </w:divBdr>
        </w:div>
      </w:divsChild>
    </w:div>
    <w:div w:id="2009862203">
      <w:marLeft w:val="0"/>
      <w:marRight w:val="0"/>
      <w:marTop w:val="0"/>
      <w:marBottom w:val="0"/>
      <w:divBdr>
        <w:top w:val="none" w:sz="0" w:space="0" w:color="auto"/>
        <w:left w:val="none" w:sz="0" w:space="0" w:color="auto"/>
        <w:bottom w:val="none" w:sz="0" w:space="0" w:color="auto"/>
        <w:right w:val="none" w:sz="0" w:space="0" w:color="auto"/>
      </w:divBdr>
      <w:divsChild>
        <w:div w:id="836768489">
          <w:marLeft w:val="0"/>
          <w:marRight w:val="0"/>
          <w:marTop w:val="0"/>
          <w:marBottom w:val="0"/>
          <w:divBdr>
            <w:top w:val="none" w:sz="0" w:space="0" w:color="auto"/>
            <w:left w:val="none" w:sz="0" w:space="0" w:color="auto"/>
            <w:bottom w:val="none" w:sz="0" w:space="0" w:color="auto"/>
            <w:right w:val="none" w:sz="0" w:space="0" w:color="auto"/>
          </w:divBdr>
        </w:div>
      </w:divsChild>
    </w:div>
    <w:div w:id="2013026962">
      <w:bodyDiv w:val="1"/>
      <w:marLeft w:val="0"/>
      <w:marRight w:val="0"/>
      <w:marTop w:val="0"/>
      <w:marBottom w:val="0"/>
      <w:divBdr>
        <w:top w:val="none" w:sz="0" w:space="0" w:color="auto"/>
        <w:left w:val="none" w:sz="0" w:space="0" w:color="auto"/>
        <w:bottom w:val="none" w:sz="0" w:space="0" w:color="auto"/>
        <w:right w:val="none" w:sz="0" w:space="0" w:color="auto"/>
      </w:divBdr>
    </w:div>
    <w:div w:id="2015720451">
      <w:bodyDiv w:val="1"/>
      <w:marLeft w:val="0"/>
      <w:marRight w:val="0"/>
      <w:marTop w:val="0"/>
      <w:marBottom w:val="0"/>
      <w:divBdr>
        <w:top w:val="none" w:sz="0" w:space="0" w:color="auto"/>
        <w:left w:val="none" w:sz="0" w:space="0" w:color="auto"/>
        <w:bottom w:val="none" w:sz="0" w:space="0" w:color="auto"/>
        <w:right w:val="none" w:sz="0" w:space="0" w:color="auto"/>
      </w:divBdr>
    </w:div>
    <w:div w:id="2021808956">
      <w:bodyDiv w:val="1"/>
      <w:marLeft w:val="0"/>
      <w:marRight w:val="0"/>
      <w:marTop w:val="0"/>
      <w:marBottom w:val="0"/>
      <w:divBdr>
        <w:top w:val="none" w:sz="0" w:space="0" w:color="auto"/>
        <w:left w:val="none" w:sz="0" w:space="0" w:color="auto"/>
        <w:bottom w:val="none" w:sz="0" w:space="0" w:color="auto"/>
        <w:right w:val="none" w:sz="0" w:space="0" w:color="auto"/>
      </w:divBdr>
    </w:div>
    <w:div w:id="2028211454">
      <w:bodyDiv w:val="1"/>
      <w:marLeft w:val="0"/>
      <w:marRight w:val="0"/>
      <w:marTop w:val="0"/>
      <w:marBottom w:val="0"/>
      <w:divBdr>
        <w:top w:val="none" w:sz="0" w:space="0" w:color="auto"/>
        <w:left w:val="none" w:sz="0" w:space="0" w:color="auto"/>
        <w:bottom w:val="none" w:sz="0" w:space="0" w:color="auto"/>
        <w:right w:val="none" w:sz="0" w:space="0" w:color="auto"/>
      </w:divBdr>
    </w:div>
    <w:div w:id="2029407315">
      <w:marLeft w:val="0"/>
      <w:marRight w:val="0"/>
      <w:marTop w:val="0"/>
      <w:marBottom w:val="0"/>
      <w:divBdr>
        <w:top w:val="none" w:sz="0" w:space="0" w:color="auto"/>
        <w:left w:val="none" w:sz="0" w:space="0" w:color="auto"/>
        <w:bottom w:val="none" w:sz="0" w:space="0" w:color="auto"/>
        <w:right w:val="none" w:sz="0" w:space="0" w:color="auto"/>
      </w:divBdr>
      <w:divsChild>
        <w:div w:id="1436748957">
          <w:marLeft w:val="0"/>
          <w:marRight w:val="0"/>
          <w:marTop w:val="0"/>
          <w:marBottom w:val="0"/>
          <w:divBdr>
            <w:top w:val="none" w:sz="0" w:space="0" w:color="auto"/>
            <w:left w:val="none" w:sz="0" w:space="0" w:color="auto"/>
            <w:bottom w:val="none" w:sz="0" w:space="0" w:color="auto"/>
            <w:right w:val="none" w:sz="0" w:space="0" w:color="auto"/>
          </w:divBdr>
        </w:div>
      </w:divsChild>
    </w:div>
    <w:div w:id="2029672742">
      <w:marLeft w:val="0"/>
      <w:marRight w:val="0"/>
      <w:marTop w:val="0"/>
      <w:marBottom w:val="0"/>
      <w:divBdr>
        <w:top w:val="none" w:sz="0" w:space="0" w:color="auto"/>
        <w:left w:val="none" w:sz="0" w:space="0" w:color="auto"/>
        <w:bottom w:val="none" w:sz="0" w:space="0" w:color="auto"/>
        <w:right w:val="none" w:sz="0" w:space="0" w:color="auto"/>
      </w:divBdr>
      <w:divsChild>
        <w:div w:id="890267885">
          <w:marLeft w:val="0"/>
          <w:marRight w:val="0"/>
          <w:marTop w:val="0"/>
          <w:marBottom w:val="0"/>
          <w:divBdr>
            <w:top w:val="none" w:sz="0" w:space="0" w:color="auto"/>
            <w:left w:val="none" w:sz="0" w:space="0" w:color="auto"/>
            <w:bottom w:val="none" w:sz="0" w:space="0" w:color="auto"/>
            <w:right w:val="none" w:sz="0" w:space="0" w:color="auto"/>
          </w:divBdr>
        </w:div>
      </w:divsChild>
    </w:div>
    <w:div w:id="2035768505">
      <w:marLeft w:val="0"/>
      <w:marRight w:val="0"/>
      <w:marTop w:val="0"/>
      <w:marBottom w:val="0"/>
      <w:divBdr>
        <w:top w:val="none" w:sz="0" w:space="0" w:color="auto"/>
        <w:left w:val="none" w:sz="0" w:space="0" w:color="auto"/>
        <w:bottom w:val="none" w:sz="0" w:space="0" w:color="auto"/>
        <w:right w:val="none" w:sz="0" w:space="0" w:color="auto"/>
      </w:divBdr>
      <w:divsChild>
        <w:div w:id="1922062642">
          <w:marLeft w:val="0"/>
          <w:marRight w:val="0"/>
          <w:marTop w:val="0"/>
          <w:marBottom w:val="0"/>
          <w:divBdr>
            <w:top w:val="none" w:sz="0" w:space="0" w:color="auto"/>
            <w:left w:val="none" w:sz="0" w:space="0" w:color="auto"/>
            <w:bottom w:val="none" w:sz="0" w:space="0" w:color="auto"/>
            <w:right w:val="none" w:sz="0" w:space="0" w:color="auto"/>
          </w:divBdr>
        </w:div>
      </w:divsChild>
    </w:div>
    <w:div w:id="2038845157">
      <w:marLeft w:val="0"/>
      <w:marRight w:val="0"/>
      <w:marTop w:val="0"/>
      <w:marBottom w:val="0"/>
      <w:divBdr>
        <w:top w:val="none" w:sz="0" w:space="0" w:color="auto"/>
        <w:left w:val="none" w:sz="0" w:space="0" w:color="auto"/>
        <w:bottom w:val="none" w:sz="0" w:space="0" w:color="auto"/>
        <w:right w:val="none" w:sz="0" w:space="0" w:color="auto"/>
      </w:divBdr>
      <w:divsChild>
        <w:div w:id="874001595">
          <w:marLeft w:val="0"/>
          <w:marRight w:val="0"/>
          <w:marTop w:val="0"/>
          <w:marBottom w:val="0"/>
          <w:divBdr>
            <w:top w:val="none" w:sz="0" w:space="0" w:color="auto"/>
            <w:left w:val="none" w:sz="0" w:space="0" w:color="auto"/>
            <w:bottom w:val="none" w:sz="0" w:space="0" w:color="auto"/>
            <w:right w:val="none" w:sz="0" w:space="0" w:color="auto"/>
          </w:divBdr>
        </w:div>
      </w:divsChild>
    </w:div>
    <w:div w:id="2041782093">
      <w:bodyDiv w:val="1"/>
      <w:marLeft w:val="0"/>
      <w:marRight w:val="0"/>
      <w:marTop w:val="0"/>
      <w:marBottom w:val="0"/>
      <w:divBdr>
        <w:top w:val="none" w:sz="0" w:space="0" w:color="auto"/>
        <w:left w:val="none" w:sz="0" w:space="0" w:color="auto"/>
        <w:bottom w:val="none" w:sz="0" w:space="0" w:color="auto"/>
        <w:right w:val="none" w:sz="0" w:space="0" w:color="auto"/>
      </w:divBdr>
    </w:div>
    <w:div w:id="2042515353">
      <w:bodyDiv w:val="1"/>
      <w:marLeft w:val="0"/>
      <w:marRight w:val="0"/>
      <w:marTop w:val="0"/>
      <w:marBottom w:val="0"/>
      <w:divBdr>
        <w:top w:val="none" w:sz="0" w:space="0" w:color="auto"/>
        <w:left w:val="none" w:sz="0" w:space="0" w:color="auto"/>
        <w:bottom w:val="none" w:sz="0" w:space="0" w:color="auto"/>
        <w:right w:val="none" w:sz="0" w:space="0" w:color="auto"/>
      </w:divBdr>
    </w:div>
    <w:div w:id="2043551204">
      <w:marLeft w:val="0"/>
      <w:marRight w:val="150"/>
      <w:marTop w:val="0"/>
      <w:marBottom w:val="0"/>
      <w:divBdr>
        <w:top w:val="none" w:sz="0" w:space="0" w:color="auto"/>
        <w:left w:val="none" w:sz="0" w:space="0" w:color="auto"/>
        <w:bottom w:val="none" w:sz="0" w:space="0" w:color="auto"/>
        <w:right w:val="none" w:sz="0" w:space="0" w:color="auto"/>
      </w:divBdr>
      <w:divsChild>
        <w:div w:id="1027170928">
          <w:marLeft w:val="0"/>
          <w:marRight w:val="150"/>
          <w:marTop w:val="0"/>
          <w:marBottom w:val="0"/>
          <w:divBdr>
            <w:top w:val="none" w:sz="0" w:space="0" w:color="auto"/>
            <w:left w:val="none" w:sz="0" w:space="0" w:color="auto"/>
            <w:bottom w:val="none" w:sz="0" w:space="0" w:color="auto"/>
            <w:right w:val="none" w:sz="0" w:space="0" w:color="auto"/>
          </w:divBdr>
        </w:div>
      </w:divsChild>
    </w:div>
    <w:div w:id="2045666296">
      <w:bodyDiv w:val="1"/>
      <w:marLeft w:val="0"/>
      <w:marRight w:val="0"/>
      <w:marTop w:val="0"/>
      <w:marBottom w:val="0"/>
      <w:divBdr>
        <w:top w:val="none" w:sz="0" w:space="0" w:color="auto"/>
        <w:left w:val="none" w:sz="0" w:space="0" w:color="auto"/>
        <w:bottom w:val="none" w:sz="0" w:space="0" w:color="auto"/>
        <w:right w:val="none" w:sz="0" w:space="0" w:color="auto"/>
      </w:divBdr>
      <w:divsChild>
        <w:div w:id="1539968785">
          <w:marLeft w:val="0"/>
          <w:marRight w:val="0"/>
          <w:marTop w:val="0"/>
          <w:marBottom w:val="0"/>
          <w:divBdr>
            <w:top w:val="none" w:sz="0" w:space="0" w:color="auto"/>
            <w:left w:val="none" w:sz="0" w:space="0" w:color="auto"/>
            <w:bottom w:val="none" w:sz="0" w:space="0" w:color="auto"/>
            <w:right w:val="none" w:sz="0" w:space="0" w:color="auto"/>
          </w:divBdr>
          <w:divsChild>
            <w:div w:id="36205174">
              <w:marLeft w:val="0"/>
              <w:marRight w:val="0"/>
              <w:marTop w:val="0"/>
              <w:marBottom w:val="0"/>
              <w:divBdr>
                <w:top w:val="none" w:sz="0" w:space="0" w:color="auto"/>
                <w:left w:val="none" w:sz="0" w:space="0" w:color="auto"/>
                <w:bottom w:val="none" w:sz="0" w:space="0" w:color="auto"/>
                <w:right w:val="none" w:sz="0" w:space="0" w:color="auto"/>
              </w:divBdr>
            </w:div>
            <w:div w:id="962729879">
              <w:marLeft w:val="0"/>
              <w:marRight w:val="0"/>
              <w:marTop w:val="0"/>
              <w:marBottom w:val="0"/>
              <w:divBdr>
                <w:top w:val="none" w:sz="0" w:space="0" w:color="auto"/>
                <w:left w:val="none" w:sz="0" w:space="0" w:color="auto"/>
                <w:bottom w:val="none" w:sz="0" w:space="0" w:color="auto"/>
                <w:right w:val="none" w:sz="0" w:space="0" w:color="auto"/>
              </w:divBdr>
            </w:div>
            <w:div w:id="277222129">
              <w:marLeft w:val="0"/>
              <w:marRight w:val="0"/>
              <w:marTop w:val="0"/>
              <w:marBottom w:val="0"/>
              <w:divBdr>
                <w:top w:val="none" w:sz="0" w:space="0" w:color="auto"/>
                <w:left w:val="none" w:sz="0" w:space="0" w:color="auto"/>
                <w:bottom w:val="none" w:sz="0" w:space="0" w:color="auto"/>
                <w:right w:val="none" w:sz="0" w:space="0" w:color="auto"/>
              </w:divBdr>
            </w:div>
            <w:div w:id="570313285">
              <w:marLeft w:val="0"/>
              <w:marRight w:val="0"/>
              <w:marTop w:val="0"/>
              <w:marBottom w:val="0"/>
              <w:divBdr>
                <w:top w:val="none" w:sz="0" w:space="0" w:color="auto"/>
                <w:left w:val="none" w:sz="0" w:space="0" w:color="auto"/>
                <w:bottom w:val="none" w:sz="0" w:space="0" w:color="auto"/>
                <w:right w:val="none" w:sz="0" w:space="0" w:color="auto"/>
              </w:divBdr>
            </w:div>
            <w:div w:id="1777678707">
              <w:marLeft w:val="0"/>
              <w:marRight w:val="0"/>
              <w:marTop w:val="0"/>
              <w:marBottom w:val="0"/>
              <w:divBdr>
                <w:top w:val="none" w:sz="0" w:space="0" w:color="auto"/>
                <w:left w:val="none" w:sz="0" w:space="0" w:color="auto"/>
                <w:bottom w:val="none" w:sz="0" w:space="0" w:color="auto"/>
                <w:right w:val="none" w:sz="0" w:space="0" w:color="auto"/>
              </w:divBdr>
            </w:div>
            <w:div w:id="334185283">
              <w:marLeft w:val="0"/>
              <w:marRight w:val="0"/>
              <w:marTop w:val="0"/>
              <w:marBottom w:val="0"/>
              <w:divBdr>
                <w:top w:val="none" w:sz="0" w:space="0" w:color="auto"/>
                <w:left w:val="none" w:sz="0" w:space="0" w:color="auto"/>
                <w:bottom w:val="none" w:sz="0" w:space="0" w:color="auto"/>
                <w:right w:val="none" w:sz="0" w:space="0" w:color="auto"/>
              </w:divBdr>
            </w:div>
            <w:div w:id="2092579093">
              <w:marLeft w:val="0"/>
              <w:marRight w:val="0"/>
              <w:marTop w:val="0"/>
              <w:marBottom w:val="0"/>
              <w:divBdr>
                <w:top w:val="none" w:sz="0" w:space="0" w:color="auto"/>
                <w:left w:val="none" w:sz="0" w:space="0" w:color="auto"/>
                <w:bottom w:val="none" w:sz="0" w:space="0" w:color="auto"/>
                <w:right w:val="none" w:sz="0" w:space="0" w:color="auto"/>
              </w:divBdr>
            </w:div>
            <w:div w:id="1994869938">
              <w:marLeft w:val="0"/>
              <w:marRight w:val="0"/>
              <w:marTop w:val="0"/>
              <w:marBottom w:val="0"/>
              <w:divBdr>
                <w:top w:val="none" w:sz="0" w:space="0" w:color="auto"/>
                <w:left w:val="none" w:sz="0" w:space="0" w:color="auto"/>
                <w:bottom w:val="none" w:sz="0" w:space="0" w:color="auto"/>
                <w:right w:val="none" w:sz="0" w:space="0" w:color="auto"/>
              </w:divBdr>
            </w:div>
            <w:div w:id="1485702852">
              <w:marLeft w:val="0"/>
              <w:marRight w:val="0"/>
              <w:marTop w:val="0"/>
              <w:marBottom w:val="0"/>
              <w:divBdr>
                <w:top w:val="none" w:sz="0" w:space="0" w:color="auto"/>
                <w:left w:val="none" w:sz="0" w:space="0" w:color="auto"/>
                <w:bottom w:val="none" w:sz="0" w:space="0" w:color="auto"/>
                <w:right w:val="none" w:sz="0" w:space="0" w:color="auto"/>
              </w:divBdr>
            </w:div>
            <w:div w:id="222371937">
              <w:marLeft w:val="0"/>
              <w:marRight w:val="0"/>
              <w:marTop w:val="0"/>
              <w:marBottom w:val="0"/>
              <w:divBdr>
                <w:top w:val="none" w:sz="0" w:space="0" w:color="auto"/>
                <w:left w:val="none" w:sz="0" w:space="0" w:color="auto"/>
                <w:bottom w:val="none" w:sz="0" w:space="0" w:color="auto"/>
                <w:right w:val="none" w:sz="0" w:space="0" w:color="auto"/>
              </w:divBdr>
            </w:div>
            <w:div w:id="682632631">
              <w:marLeft w:val="0"/>
              <w:marRight w:val="0"/>
              <w:marTop w:val="0"/>
              <w:marBottom w:val="0"/>
              <w:divBdr>
                <w:top w:val="none" w:sz="0" w:space="0" w:color="auto"/>
                <w:left w:val="none" w:sz="0" w:space="0" w:color="auto"/>
                <w:bottom w:val="none" w:sz="0" w:space="0" w:color="auto"/>
                <w:right w:val="none" w:sz="0" w:space="0" w:color="auto"/>
              </w:divBdr>
            </w:div>
            <w:div w:id="1979260066">
              <w:marLeft w:val="0"/>
              <w:marRight w:val="0"/>
              <w:marTop w:val="0"/>
              <w:marBottom w:val="0"/>
              <w:divBdr>
                <w:top w:val="none" w:sz="0" w:space="0" w:color="auto"/>
                <w:left w:val="none" w:sz="0" w:space="0" w:color="auto"/>
                <w:bottom w:val="none" w:sz="0" w:space="0" w:color="auto"/>
                <w:right w:val="none" w:sz="0" w:space="0" w:color="auto"/>
              </w:divBdr>
            </w:div>
            <w:div w:id="56050524">
              <w:marLeft w:val="0"/>
              <w:marRight w:val="0"/>
              <w:marTop w:val="0"/>
              <w:marBottom w:val="0"/>
              <w:divBdr>
                <w:top w:val="none" w:sz="0" w:space="0" w:color="auto"/>
                <w:left w:val="none" w:sz="0" w:space="0" w:color="auto"/>
                <w:bottom w:val="none" w:sz="0" w:space="0" w:color="auto"/>
                <w:right w:val="none" w:sz="0" w:space="0" w:color="auto"/>
              </w:divBdr>
            </w:div>
            <w:div w:id="906115186">
              <w:marLeft w:val="0"/>
              <w:marRight w:val="0"/>
              <w:marTop w:val="0"/>
              <w:marBottom w:val="0"/>
              <w:divBdr>
                <w:top w:val="none" w:sz="0" w:space="0" w:color="auto"/>
                <w:left w:val="none" w:sz="0" w:space="0" w:color="auto"/>
                <w:bottom w:val="none" w:sz="0" w:space="0" w:color="auto"/>
                <w:right w:val="none" w:sz="0" w:space="0" w:color="auto"/>
              </w:divBdr>
            </w:div>
            <w:div w:id="303386931">
              <w:marLeft w:val="0"/>
              <w:marRight w:val="0"/>
              <w:marTop w:val="0"/>
              <w:marBottom w:val="0"/>
              <w:divBdr>
                <w:top w:val="none" w:sz="0" w:space="0" w:color="auto"/>
                <w:left w:val="none" w:sz="0" w:space="0" w:color="auto"/>
                <w:bottom w:val="none" w:sz="0" w:space="0" w:color="auto"/>
                <w:right w:val="none" w:sz="0" w:space="0" w:color="auto"/>
              </w:divBdr>
            </w:div>
            <w:div w:id="695811207">
              <w:marLeft w:val="0"/>
              <w:marRight w:val="0"/>
              <w:marTop w:val="0"/>
              <w:marBottom w:val="0"/>
              <w:divBdr>
                <w:top w:val="none" w:sz="0" w:space="0" w:color="auto"/>
                <w:left w:val="none" w:sz="0" w:space="0" w:color="auto"/>
                <w:bottom w:val="none" w:sz="0" w:space="0" w:color="auto"/>
                <w:right w:val="none" w:sz="0" w:space="0" w:color="auto"/>
              </w:divBdr>
            </w:div>
            <w:div w:id="788203070">
              <w:marLeft w:val="0"/>
              <w:marRight w:val="0"/>
              <w:marTop w:val="0"/>
              <w:marBottom w:val="0"/>
              <w:divBdr>
                <w:top w:val="none" w:sz="0" w:space="0" w:color="auto"/>
                <w:left w:val="none" w:sz="0" w:space="0" w:color="auto"/>
                <w:bottom w:val="none" w:sz="0" w:space="0" w:color="auto"/>
                <w:right w:val="none" w:sz="0" w:space="0" w:color="auto"/>
              </w:divBdr>
            </w:div>
            <w:div w:id="311761012">
              <w:marLeft w:val="0"/>
              <w:marRight w:val="0"/>
              <w:marTop w:val="0"/>
              <w:marBottom w:val="0"/>
              <w:divBdr>
                <w:top w:val="none" w:sz="0" w:space="0" w:color="auto"/>
                <w:left w:val="none" w:sz="0" w:space="0" w:color="auto"/>
                <w:bottom w:val="none" w:sz="0" w:space="0" w:color="auto"/>
                <w:right w:val="none" w:sz="0" w:space="0" w:color="auto"/>
              </w:divBdr>
            </w:div>
            <w:div w:id="801457017">
              <w:marLeft w:val="0"/>
              <w:marRight w:val="0"/>
              <w:marTop w:val="0"/>
              <w:marBottom w:val="0"/>
              <w:divBdr>
                <w:top w:val="none" w:sz="0" w:space="0" w:color="auto"/>
                <w:left w:val="none" w:sz="0" w:space="0" w:color="auto"/>
                <w:bottom w:val="none" w:sz="0" w:space="0" w:color="auto"/>
                <w:right w:val="none" w:sz="0" w:space="0" w:color="auto"/>
              </w:divBdr>
            </w:div>
            <w:div w:id="66072278">
              <w:marLeft w:val="0"/>
              <w:marRight w:val="0"/>
              <w:marTop w:val="0"/>
              <w:marBottom w:val="0"/>
              <w:divBdr>
                <w:top w:val="none" w:sz="0" w:space="0" w:color="auto"/>
                <w:left w:val="none" w:sz="0" w:space="0" w:color="auto"/>
                <w:bottom w:val="none" w:sz="0" w:space="0" w:color="auto"/>
                <w:right w:val="none" w:sz="0" w:space="0" w:color="auto"/>
              </w:divBdr>
            </w:div>
            <w:div w:id="1564633599">
              <w:marLeft w:val="0"/>
              <w:marRight w:val="0"/>
              <w:marTop w:val="0"/>
              <w:marBottom w:val="0"/>
              <w:divBdr>
                <w:top w:val="none" w:sz="0" w:space="0" w:color="auto"/>
                <w:left w:val="none" w:sz="0" w:space="0" w:color="auto"/>
                <w:bottom w:val="none" w:sz="0" w:space="0" w:color="auto"/>
                <w:right w:val="none" w:sz="0" w:space="0" w:color="auto"/>
              </w:divBdr>
            </w:div>
            <w:div w:id="49622976">
              <w:marLeft w:val="0"/>
              <w:marRight w:val="0"/>
              <w:marTop w:val="0"/>
              <w:marBottom w:val="0"/>
              <w:divBdr>
                <w:top w:val="none" w:sz="0" w:space="0" w:color="auto"/>
                <w:left w:val="none" w:sz="0" w:space="0" w:color="auto"/>
                <w:bottom w:val="none" w:sz="0" w:space="0" w:color="auto"/>
                <w:right w:val="none" w:sz="0" w:space="0" w:color="auto"/>
              </w:divBdr>
            </w:div>
            <w:div w:id="1882014504">
              <w:marLeft w:val="0"/>
              <w:marRight w:val="0"/>
              <w:marTop w:val="0"/>
              <w:marBottom w:val="0"/>
              <w:divBdr>
                <w:top w:val="none" w:sz="0" w:space="0" w:color="auto"/>
                <w:left w:val="none" w:sz="0" w:space="0" w:color="auto"/>
                <w:bottom w:val="none" w:sz="0" w:space="0" w:color="auto"/>
                <w:right w:val="none" w:sz="0" w:space="0" w:color="auto"/>
              </w:divBdr>
            </w:div>
            <w:div w:id="1777946020">
              <w:marLeft w:val="0"/>
              <w:marRight w:val="0"/>
              <w:marTop w:val="0"/>
              <w:marBottom w:val="0"/>
              <w:divBdr>
                <w:top w:val="none" w:sz="0" w:space="0" w:color="auto"/>
                <w:left w:val="none" w:sz="0" w:space="0" w:color="auto"/>
                <w:bottom w:val="none" w:sz="0" w:space="0" w:color="auto"/>
                <w:right w:val="none" w:sz="0" w:space="0" w:color="auto"/>
              </w:divBdr>
            </w:div>
            <w:div w:id="662590617">
              <w:marLeft w:val="0"/>
              <w:marRight w:val="0"/>
              <w:marTop w:val="0"/>
              <w:marBottom w:val="0"/>
              <w:divBdr>
                <w:top w:val="none" w:sz="0" w:space="0" w:color="auto"/>
                <w:left w:val="none" w:sz="0" w:space="0" w:color="auto"/>
                <w:bottom w:val="none" w:sz="0" w:space="0" w:color="auto"/>
                <w:right w:val="none" w:sz="0" w:space="0" w:color="auto"/>
              </w:divBdr>
            </w:div>
            <w:div w:id="539050064">
              <w:marLeft w:val="0"/>
              <w:marRight w:val="0"/>
              <w:marTop w:val="0"/>
              <w:marBottom w:val="0"/>
              <w:divBdr>
                <w:top w:val="none" w:sz="0" w:space="0" w:color="auto"/>
                <w:left w:val="none" w:sz="0" w:space="0" w:color="auto"/>
                <w:bottom w:val="none" w:sz="0" w:space="0" w:color="auto"/>
                <w:right w:val="none" w:sz="0" w:space="0" w:color="auto"/>
              </w:divBdr>
            </w:div>
            <w:div w:id="1190682908">
              <w:marLeft w:val="0"/>
              <w:marRight w:val="0"/>
              <w:marTop w:val="0"/>
              <w:marBottom w:val="0"/>
              <w:divBdr>
                <w:top w:val="none" w:sz="0" w:space="0" w:color="auto"/>
                <w:left w:val="none" w:sz="0" w:space="0" w:color="auto"/>
                <w:bottom w:val="none" w:sz="0" w:space="0" w:color="auto"/>
                <w:right w:val="none" w:sz="0" w:space="0" w:color="auto"/>
              </w:divBdr>
            </w:div>
            <w:div w:id="131796223">
              <w:marLeft w:val="0"/>
              <w:marRight w:val="0"/>
              <w:marTop w:val="0"/>
              <w:marBottom w:val="0"/>
              <w:divBdr>
                <w:top w:val="none" w:sz="0" w:space="0" w:color="auto"/>
                <w:left w:val="none" w:sz="0" w:space="0" w:color="auto"/>
                <w:bottom w:val="none" w:sz="0" w:space="0" w:color="auto"/>
                <w:right w:val="none" w:sz="0" w:space="0" w:color="auto"/>
              </w:divBdr>
            </w:div>
            <w:div w:id="350685097">
              <w:marLeft w:val="0"/>
              <w:marRight w:val="0"/>
              <w:marTop w:val="0"/>
              <w:marBottom w:val="0"/>
              <w:divBdr>
                <w:top w:val="none" w:sz="0" w:space="0" w:color="auto"/>
                <w:left w:val="none" w:sz="0" w:space="0" w:color="auto"/>
                <w:bottom w:val="none" w:sz="0" w:space="0" w:color="auto"/>
                <w:right w:val="none" w:sz="0" w:space="0" w:color="auto"/>
              </w:divBdr>
            </w:div>
            <w:div w:id="1440372923">
              <w:marLeft w:val="0"/>
              <w:marRight w:val="0"/>
              <w:marTop w:val="0"/>
              <w:marBottom w:val="0"/>
              <w:divBdr>
                <w:top w:val="none" w:sz="0" w:space="0" w:color="auto"/>
                <w:left w:val="none" w:sz="0" w:space="0" w:color="auto"/>
                <w:bottom w:val="none" w:sz="0" w:space="0" w:color="auto"/>
                <w:right w:val="none" w:sz="0" w:space="0" w:color="auto"/>
              </w:divBdr>
            </w:div>
            <w:div w:id="358552836">
              <w:marLeft w:val="0"/>
              <w:marRight w:val="0"/>
              <w:marTop w:val="0"/>
              <w:marBottom w:val="0"/>
              <w:divBdr>
                <w:top w:val="none" w:sz="0" w:space="0" w:color="auto"/>
                <w:left w:val="none" w:sz="0" w:space="0" w:color="auto"/>
                <w:bottom w:val="none" w:sz="0" w:space="0" w:color="auto"/>
                <w:right w:val="none" w:sz="0" w:space="0" w:color="auto"/>
              </w:divBdr>
            </w:div>
            <w:div w:id="1356230292">
              <w:marLeft w:val="0"/>
              <w:marRight w:val="0"/>
              <w:marTop w:val="0"/>
              <w:marBottom w:val="0"/>
              <w:divBdr>
                <w:top w:val="none" w:sz="0" w:space="0" w:color="auto"/>
                <w:left w:val="none" w:sz="0" w:space="0" w:color="auto"/>
                <w:bottom w:val="none" w:sz="0" w:space="0" w:color="auto"/>
                <w:right w:val="none" w:sz="0" w:space="0" w:color="auto"/>
              </w:divBdr>
            </w:div>
            <w:div w:id="1496218314">
              <w:marLeft w:val="0"/>
              <w:marRight w:val="0"/>
              <w:marTop w:val="0"/>
              <w:marBottom w:val="0"/>
              <w:divBdr>
                <w:top w:val="none" w:sz="0" w:space="0" w:color="auto"/>
                <w:left w:val="none" w:sz="0" w:space="0" w:color="auto"/>
                <w:bottom w:val="none" w:sz="0" w:space="0" w:color="auto"/>
                <w:right w:val="none" w:sz="0" w:space="0" w:color="auto"/>
              </w:divBdr>
            </w:div>
            <w:div w:id="1270773241">
              <w:marLeft w:val="0"/>
              <w:marRight w:val="0"/>
              <w:marTop w:val="0"/>
              <w:marBottom w:val="0"/>
              <w:divBdr>
                <w:top w:val="none" w:sz="0" w:space="0" w:color="auto"/>
                <w:left w:val="none" w:sz="0" w:space="0" w:color="auto"/>
                <w:bottom w:val="none" w:sz="0" w:space="0" w:color="auto"/>
                <w:right w:val="none" w:sz="0" w:space="0" w:color="auto"/>
              </w:divBdr>
            </w:div>
            <w:div w:id="1784838499">
              <w:marLeft w:val="0"/>
              <w:marRight w:val="0"/>
              <w:marTop w:val="0"/>
              <w:marBottom w:val="0"/>
              <w:divBdr>
                <w:top w:val="none" w:sz="0" w:space="0" w:color="auto"/>
                <w:left w:val="none" w:sz="0" w:space="0" w:color="auto"/>
                <w:bottom w:val="none" w:sz="0" w:space="0" w:color="auto"/>
                <w:right w:val="none" w:sz="0" w:space="0" w:color="auto"/>
              </w:divBdr>
            </w:div>
            <w:div w:id="2140875942">
              <w:marLeft w:val="0"/>
              <w:marRight w:val="0"/>
              <w:marTop w:val="0"/>
              <w:marBottom w:val="0"/>
              <w:divBdr>
                <w:top w:val="none" w:sz="0" w:space="0" w:color="auto"/>
                <w:left w:val="none" w:sz="0" w:space="0" w:color="auto"/>
                <w:bottom w:val="none" w:sz="0" w:space="0" w:color="auto"/>
                <w:right w:val="none" w:sz="0" w:space="0" w:color="auto"/>
              </w:divBdr>
            </w:div>
            <w:div w:id="1932004322">
              <w:marLeft w:val="0"/>
              <w:marRight w:val="0"/>
              <w:marTop w:val="0"/>
              <w:marBottom w:val="0"/>
              <w:divBdr>
                <w:top w:val="none" w:sz="0" w:space="0" w:color="auto"/>
                <w:left w:val="none" w:sz="0" w:space="0" w:color="auto"/>
                <w:bottom w:val="none" w:sz="0" w:space="0" w:color="auto"/>
                <w:right w:val="none" w:sz="0" w:space="0" w:color="auto"/>
              </w:divBdr>
            </w:div>
            <w:div w:id="1442841573">
              <w:marLeft w:val="0"/>
              <w:marRight w:val="0"/>
              <w:marTop w:val="0"/>
              <w:marBottom w:val="0"/>
              <w:divBdr>
                <w:top w:val="none" w:sz="0" w:space="0" w:color="auto"/>
                <w:left w:val="none" w:sz="0" w:space="0" w:color="auto"/>
                <w:bottom w:val="none" w:sz="0" w:space="0" w:color="auto"/>
                <w:right w:val="none" w:sz="0" w:space="0" w:color="auto"/>
              </w:divBdr>
            </w:div>
            <w:div w:id="1920140539">
              <w:marLeft w:val="0"/>
              <w:marRight w:val="0"/>
              <w:marTop w:val="0"/>
              <w:marBottom w:val="0"/>
              <w:divBdr>
                <w:top w:val="none" w:sz="0" w:space="0" w:color="auto"/>
                <w:left w:val="none" w:sz="0" w:space="0" w:color="auto"/>
                <w:bottom w:val="none" w:sz="0" w:space="0" w:color="auto"/>
                <w:right w:val="none" w:sz="0" w:space="0" w:color="auto"/>
              </w:divBdr>
            </w:div>
            <w:div w:id="645931846">
              <w:marLeft w:val="0"/>
              <w:marRight w:val="0"/>
              <w:marTop w:val="0"/>
              <w:marBottom w:val="0"/>
              <w:divBdr>
                <w:top w:val="none" w:sz="0" w:space="0" w:color="auto"/>
                <w:left w:val="none" w:sz="0" w:space="0" w:color="auto"/>
                <w:bottom w:val="none" w:sz="0" w:space="0" w:color="auto"/>
                <w:right w:val="none" w:sz="0" w:space="0" w:color="auto"/>
              </w:divBdr>
            </w:div>
            <w:div w:id="1234699675">
              <w:marLeft w:val="0"/>
              <w:marRight w:val="0"/>
              <w:marTop w:val="0"/>
              <w:marBottom w:val="0"/>
              <w:divBdr>
                <w:top w:val="none" w:sz="0" w:space="0" w:color="auto"/>
                <w:left w:val="none" w:sz="0" w:space="0" w:color="auto"/>
                <w:bottom w:val="none" w:sz="0" w:space="0" w:color="auto"/>
                <w:right w:val="none" w:sz="0" w:space="0" w:color="auto"/>
              </w:divBdr>
            </w:div>
            <w:div w:id="46997763">
              <w:marLeft w:val="0"/>
              <w:marRight w:val="0"/>
              <w:marTop w:val="0"/>
              <w:marBottom w:val="0"/>
              <w:divBdr>
                <w:top w:val="none" w:sz="0" w:space="0" w:color="auto"/>
                <w:left w:val="none" w:sz="0" w:space="0" w:color="auto"/>
                <w:bottom w:val="none" w:sz="0" w:space="0" w:color="auto"/>
                <w:right w:val="none" w:sz="0" w:space="0" w:color="auto"/>
              </w:divBdr>
            </w:div>
            <w:div w:id="168493467">
              <w:marLeft w:val="0"/>
              <w:marRight w:val="0"/>
              <w:marTop w:val="0"/>
              <w:marBottom w:val="0"/>
              <w:divBdr>
                <w:top w:val="none" w:sz="0" w:space="0" w:color="auto"/>
                <w:left w:val="none" w:sz="0" w:space="0" w:color="auto"/>
                <w:bottom w:val="none" w:sz="0" w:space="0" w:color="auto"/>
                <w:right w:val="none" w:sz="0" w:space="0" w:color="auto"/>
              </w:divBdr>
            </w:div>
            <w:div w:id="576280998">
              <w:marLeft w:val="0"/>
              <w:marRight w:val="0"/>
              <w:marTop w:val="0"/>
              <w:marBottom w:val="0"/>
              <w:divBdr>
                <w:top w:val="none" w:sz="0" w:space="0" w:color="auto"/>
                <w:left w:val="none" w:sz="0" w:space="0" w:color="auto"/>
                <w:bottom w:val="none" w:sz="0" w:space="0" w:color="auto"/>
                <w:right w:val="none" w:sz="0" w:space="0" w:color="auto"/>
              </w:divBdr>
            </w:div>
            <w:div w:id="1316488673">
              <w:marLeft w:val="0"/>
              <w:marRight w:val="0"/>
              <w:marTop w:val="0"/>
              <w:marBottom w:val="0"/>
              <w:divBdr>
                <w:top w:val="none" w:sz="0" w:space="0" w:color="auto"/>
                <w:left w:val="none" w:sz="0" w:space="0" w:color="auto"/>
                <w:bottom w:val="none" w:sz="0" w:space="0" w:color="auto"/>
                <w:right w:val="none" w:sz="0" w:space="0" w:color="auto"/>
              </w:divBdr>
            </w:div>
            <w:div w:id="163281002">
              <w:marLeft w:val="0"/>
              <w:marRight w:val="0"/>
              <w:marTop w:val="0"/>
              <w:marBottom w:val="0"/>
              <w:divBdr>
                <w:top w:val="none" w:sz="0" w:space="0" w:color="auto"/>
                <w:left w:val="none" w:sz="0" w:space="0" w:color="auto"/>
                <w:bottom w:val="none" w:sz="0" w:space="0" w:color="auto"/>
                <w:right w:val="none" w:sz="0" w:space="0" w:color="auto"/>
              </w:divBdr>
            </w:div>
            <w:div w:id="778986728">
              <w:marLeft w:val="0"/>
              <w:marRight w:val="0"/>
              <w:marTop w:val="0"/>
              <w:marBottom w:val="0"/>
              <w:divBdr>
                <w:top w:val="none" w:sz="0" w:space="0" w:color="auto"/>
                <w:left w:val="none" w:sz="0" w:space="0" w:color="auto"/>
                <w:bottom w:val="none" w:sz="0" w:space="0" w:color="auto"/>
                <w:right w:val="none" w:sz="0" w:space="0" w:color="auto"/>
              </w:divBdr>
            </w:div>
            <w:div w:id="1264024426">
              <w:marLeft w:val="0"/>
              <w:marRight w:val="0"/>
              <w:marTop w:val="0"/>
              <w:marBottom w:val="0"/>
              <w:divBdr>
                <w:top w:val="none" w:sz="0" w:space="0" w:color="auto"/>
                <w:left w:val="none" w:sz="0" w:space="0" w:color="auto"/>
                <w:bottom w:val="none" w:sz="0" w:space="0" w:color="auto"/>
                <w:right w:val="none" w:sz="0" w:space="0" w:color="auto"/>
              </w:divBdr>
            </w:div>
            <w:div w:id="877426244">
              <w:marLeft w:val="0"/>
              <w:marRight w:val="0"/>
              <w:marTop w:val="0"/>
              <w:marBottom w:val="0"/>
              <w:divBdr>
                <w:top w:val="none" w:sz="0" w:space="0" w:color="auto"/>
                <w:left w:val="none" w:sz="0" w:space="0" w:color="auto"/>
                <w:bottom w:val="none" w:sz="0" w:space="0" w:color="auto"/>
                <w:right w:val="none" w:sz="0" w:space="0" w:color="auto"/>
              </w:divBdr>
            </w:div>
            <w:div w:id="1285499005">
              <w:marLeft w:val="0"/>
              <w:marRight w:val="0"/>
              <w:marTop w:val="0"/>
              <w:marBottom w:val="0"/>
              <w:divBdr>
                <w:top w:val="none" w:sz="0" w:space="0" w:color="auto"/>
                <w:left w:val="none" w:sz="0" w:space="0" w:color="auto"/>
                <w:bottom w:val="none" w:sz="0" w:space="0" w:color="auto"/>
                <w:right w:val="none" w:sz="0" w:space="0" w:color="auto"/>
              </w:divBdr>
            </w:div>
            <w:div w:id="1693603537">
              <w:marLeft w:val="0"/>
              <w:marRight w:val="0"/>
              <w:marTop w:val="0"/>
              <w:marBottom w:val="0"/>
              <w:divBdr>
                <w:top w:val="none" w:sz="0" w:space="0" w:color="auto"/>
                <w:left w:val="none" w:sz="0" w:space="0" w:color="auto"/>
                <w:bottom w:val="none" w:sz="0" w:space="0" w:color="auto"/>
                <w:right w:val="none" w:sz="0" w:space="0" w:color="auto"/>
              </w:divBdr>
            </w:div>
            <w:div w:id="1025138113">
              <w:marLeft w:val="0"/>
              <w:marRight w:val="0"/>
              <w:marTop w:val="0"/>
              <w:marBottom w:val="0"/>
              <w:divBdr>
                <w:top w:val="none" w:sz="0" w:space="0" w:color="auto"/>
                <w:left w:val="none" w:sz="0" w:space="0" w:color="auto"/>
                <w:bottom w:val="none" w:sz="0" w:space="0" w:color="auto"/>
                <w:right w:val="none" w:sz="0" w:space="0" w:color="auto"/>
              </w:divBdr>
            </w:div>
            <w:div w:id="1356804484">
              <w:marLeft w:val="0"/>
              <w:marRight w:val="0"/>
              <w:marTop w:val="0"/>
              <w:marBottom w:val="0"/>
              <w:divBdr>
                <w:top w:val="none" w:sz="0" w:space="0" w:color="auto"/>
                <w:left w:val="none" w:sz="0" w:space="0" w:color="auto"/>
                <w:bottom w:val="none" w:sz="0" w:space="0" w:color="auto"/>
                <w:right w:val="none" w:sz="0" w:space="0" w:color="auto"/>
              </w:divBdr>
            </w:div>
            <w:div w:id="868110530">
              <w:marLeft w:val="0"/>
              <w:marRight w:val="0"/>
              <w:marTop w:val="0"/>
              <w:marBottom w:val="0"/>
              <w:divBdr>
                <w:top w:val="none" w:sz="0" w:space="0" w:color="auto"/>
                <w:left w:val="none" w:sz="0" w:space="0" w:color="auto"/>
                <w:bottom w:val="none" w:sz="0" w:space="0" w:color="auto"/>
                <w:right w:val="none" w:sz="0" w:space="0" w:color="auto"/>
              </w:divBdr>
            </w:div>
            <w:div w:id="1222131275">
              <w:marLeft w:val="0"/>
              <w:marRight w:val="0"/>
              <w:marTop w:val="0"/>
              <w:marBottom w:val="0"/>
              <w:divBdr>
                <w:top w:val="none" w:sz="0" w:space="0" w:color="auto"/>
                <w:left w:val="none" w:sz="0" w:space="0" w:color="auto"/>
                <w:bottom w:val="none" w:sz="0" w:space="0" w:color="auto"/>
                <w:right w:val="none" w:sz="0" w:space="0" w:color="auto"/>
              </w:divBdr>
            </w:div>
            <w:div w:id="1411389022">
              <w:marLeft w:val="0"/>
              <w:marRight w:val="0"/>
              <w:marTop w:val="0"/>
              <w:marBottom w:val="0"/>
              <w:divBdr>
                <w:top w:val="none" w:sz="0" w:space="0" w:color="auto"/>
                <w:left w:val="none" w:sz="0" w:space="0" w:color="auto"/>
                <w:bottom w:val="none" w:sz="0" w:space="0" w:color="auto"/>
                <w:right w:val="none" w:sz="0" w:space="0" w:color="auto"/>
              </w:divBdr>
            </w:div>
            <w:div w:id="479078723">
              <w:marLeft w:val="0"/>
              <w:marRight w:val="0"/>
              <w:marTop w:val="0"/>
              <w:marBottom w:val="0"/>
              <w:divBdr>
                <w:top w:val="none" w:sz="0" w:space="0" w:color="auto"/>
                <w:left w:val="none" w:sz="0" w:space="0" w:color="auto"/>
                <w:bottom w:val="none" w:sz="0" w:space="0" w:color="auto"/>
                <w:right w:val="none" w:sz="0" w:space="0" w:color="auto"/>
              </w:divBdr>
            </w:div>
            <w:div w:id="2138722797">
              <w:marLeft w:val="0"/>
              <w:marRight w:val="0"/>
              <w:marTop w:val="0"/>
              <w:marBottom w:val="0"/>
              <w:divBdr>
                <w:top w:val="none" w:sz="0" w:space="0" w:color="auto"/>
                <w:left w:val="none" w:sz="0" w:space="0" w:color="auto"/>
                <w:bottom w:val="none" w:sz="0" w:space="0" w:color="auto"/>
                <w:right w:val="none" w:sz="0" w:space="0" w:color="auto"/>
              </w:divBdr>
            </w:div>
            <w:div w:id="538126264">
              <w:marLeft w:val="0"/>
              <w:marRight w:val="0"/>
              <w:marTop w:val="0"/>
              <w:marBottom w:val="0"/>
              <w:divBdr>
                <w:top w:val="none" w:sz="0" w:space="0" w:color="auto"/>
                <w:left w:val="none" w:sz="0" w:space="0" w:color="auto"/>
                <w:bottom w:val="none" w:sz="0" w:space="0" w:color="auto"/>
                <w:right w:val="none" w:sz="0" w:space="0" w:color="auto"/>
              </w:divBdr>
            </w:div>
            <w:div w:id="1440835349">
              <w:marLeft w:val="0"/>
              <w:marRight w:val="0"/>
              <w:marTop w:val="0"/>
              <w:marBottom w:val="0"/>
              <w:divBdr>
                <w:top w:val="none" w:sz="0" w:space="0" w:color="auto"/>
                <w:left w:val="none" w:sz="0" w:space="0" w:color="auto"/>
                <w:bottom w:val="none" w:sz="0" w:space="0" w:color="auto"/>
                <w:right w:val="none" w:sz="0" w:space="0" w:color="auto"/>
              </w:divBdr>
            </w:div>
            <w:div w:id="747993761">
              <w:marLeft w:val="0"/>
              <w:marRight w:val="0"/>
              <w:marTop w:val="0"/>
              <w:marBottom w:val="0"/>
              <w:divBdr>
                <w:top w:val="none" w:sz="0" w:space="0" w:color="auto"/>
                <w:left w:val="none" w:sz="0" w:space="0" w:color="auto"/>
                <w:bottom w:val="none" w:sz="0" w:space="0" w:color="auto"/>
                <w:right w:val="none" w:sz="0" w:space="0" w:color="auto"/>
              </w:divBdr>
            </w:div>
            <w:div w:id="364137187">
              <w:marLeft w:val="0"/>
              <w:marRight w:val="0"/>
              <w:marTop w:val="0"/>
              <w:marBottom w:val="0"/>
              <w:divBdr>
                <w:top w:val="none" w:sz="0" w:space="0" w:color="auto"/>
                <w:left w:val="none" w:sz="0" w:space="0" w:color="auto"/>
                <w:bottom w:val="none" w:sz="0" w:space="0" w:color="auto"/>
                <w:right w:val="none" w:sz="0" w:space="0" w:color="auto"/>
              </w:divBdr>
            </w:div>
            <w:div w:id="69206587">
              <w:marLeft w:val="0"/>
              <w:marRight w:val="0"/>
              <w:marTop w:val="0"/>
              <w:marBottom w:val="0"/>
              <w:divBdr>
                <w:top w:val="none" w:sz="0" w:space="0" w:color="auto"/>
                <w:left w:val="none" w:sz="0" w:space="0" w:color="auto"/>
                <w:bottom w:val="none" w:sz="0" w:space="0" w:color="auto"/>
                <w:right w:val="none" w:sz="0" w:space="0" w:color="auto"/>
              </w:divBdr>
            </w:div>
            <w:div w:id="581181616">
              <w:marLeft w:val="0"/>
              <w:marRight w:val="0"/>
              <w:marTop w:val="0"/>
              <w:marBottom w:val="0"/>
              <w:divBdr>
                <w:top w:val="none" w:sz="0" w:space="0" w:color="auto"/>
                <w:left w:val="none" w:sz="0" w:space="0" w:color="auto"/>
                <w:bottom w:val="none" w:sz="0" w:space="0" w:color="auto"/>
                <w:right w:val="none" w:sz="0" w:space="0" w:color="auto"/>
              </w:divBdr>
            </w:div>
            <w:div w:id="236328227">
              <w:marLeft w:val="0"/>
              <w:marRight w:val="0"/>
              <w:marTop w:val="0"/>
              <w:marBottom w:val="0"/>
              <w:divBdr>
                <w:top w:val="none" w:sz="0" w:space="0" w:color="auto"/>
                <w:left w:val="none" w:sz="0" w:space="0" w:color="auto"/>
                <w:bottom w:val="none" w:sz="0" w:space="0" w:color="auto"/>
                <w:right w:val="none" w:sz="0" w:space="0" w:color="auto"/>
              </w:divBdr>
            </w:div>
            <w:div w:id="1732341963">
              <w:marLeft w:val="0"/>
              <w:marRight w:val="0"/>
              <w:marTop w:val="0"/>
              <w:marBottom w:val="0"/>
              <w:divBdr>
                <w:top w:val="none" w:sz="0" w:space="0" w:color="auto"/>
                <w:left w:val="none" w:sz="0" w:space="0" w:color="auto"/>
                <w:bottom w:val="none" w:sz="0" w:space="0" w:color="auto"/>
                <w:right w:val="none" w:sz="0" w:space="0" w:color="auto"/>
              </w:divBdr>
            </w:div>
            <w:div w:id="1356273808">
              <w:marLeft w:val="0"/>
              <w:marRight w:val="0"/>
              <w:marTop w:val="0"/>
              <w:marBottom w:val="0"/>
              <w:divBdr>
                <w:top w:val="none" w:sz="0" w:space="0" w:color="auto"/>
                <w:left w:val="none" w:sz="0" w:space="0" w:color="auto"/>
                <w:bottom w:val="none" w:sz="0" w:space="0" w:color="auto"/>
                <w:right w:val="none" w:sz="0" w:space="0" w:color="auto"/>
              </w:divBdr>
            </w:div>
            <w:div w:id="1412115025">
              <w:marLeft w:val="0"/>
              <w:marRight w:val="0"/>
              <w:marTop w:val="0"/>
              <w:marBottom w:val="0"/>
              <w:divBdr>
                <w:top w:val="none" w:sz="0" w:space="0" w:color="auto"/>
                <w:left w:val="none" w:sz="0" w:space="0" w:color="auto"/>
                <w:bottom w:val="none" w:sz="0" w:space="0" w:color="auto"/>
                <w:right w:val="none" w:sz="0" w:space="0" w:color="auto"/>
              </w:divBdr>
            </w:div>
            <w:div w:id="1914125927">
              <w:marLeft w:val="0"/>
              <w:marRight w:val="0"/>
              <w:marTop w:val="0"/>
              <w:marBottom w:val="0"/>
              <w:divBdr>
                <w:top w:val="none" w:sz="0" w:space="0" w:color="auto"/>
                <w:left w:val="none" w:sz="0" w:space="0" w:color="auto"/>
                <w:bottom w:val="none" w:sz="0" w:space="0" w:color="auto"/>
                <w:right w:val="none" w:sz="0" w:space="0" w:color="auto"/>
              </w:divBdr>
            </w:div>
            <w:div w:id="41027675">
              <w:marLeft w:val="0"/>
              <w:marRight w:val="0"/>
              <w:marTop w:val="0"/>
              <w:marBottom w:val="0"/>
              <w:divBdr>
                <w:top w:val="none" w:sz="0" w:space="0" w:color="auto"/>
                <w:left w:val="none" w:sz="0" w:space="0" w:color="auto"/>
                <w:bottom w:val="none" w:sz="0" w:space="0" w:color="auto"/>
                <w:right w:val="none" w:sz="0" w:space="0" w:color="auto"/>
              </w:divBdr>
            </w:div>
            <w:div w:id="376319250">
              <w:marLeft w:val="0"/>
              <w:marRight w:val="0"/>
              <w:marTop w:val="0"/>
              <w:marBottom w:val="0"/>
              <w:divBdr>
                <w:top w:val="none" w:sz="0" w:space="0" w:color="auto"/>
                <w:left w:val="none" w:sz="0" w:space="0" w:color="auto"/>
                <w:bottom w:val="none" w:sz="0" w:space="0" w:color="auto"/>
                <w:right w:val="none" w:sz="0" w:space="0" w:color="auto"/>
              </w:divBdr>
            </w:div>
            <w:div w:id="335617965">
              <w:marLeft w:val="0"/>
              <w:marRight w:val="0"/>
              <w:marTop w:val="0"/>
              <w:marBottom w:val="0"/>
              <w:divBdr>
                <w:top w:val="none" w:sz="0" w:space="0" w:color="auto"/>
                <w:left w:val="none" w:sz="0" w:space="0" w:color="auto"/>
                <w:bottom w:val="none" w:sz="0" w:space="0" w:color="auto"/>
                <w:right w:val="none" w:sz="0" w:space="0" w:color="auto"/>
              </w:divBdr>
            </w:div>
            <w:div w:id="792943605">
              <w:marLeft w:val="0"/>
              <w:marRight w:val="0"/>
              <w:marTop w:val="0"/>
              <w:marBottom w:val="0"/>
              <w:divBdr>
                <w:top w:val="none" w:sz="0" w:space="0" w:color="auto"/>
                <w:left w:val="none" w:sz="0" w:space="0" w:color="auto"/>
                <w:bottom w:val="none" w:sz="0" w:space="0" w:color="auto"/>
                <w:right w:val="none" w:sz="0" w:space="0" w:color="auto"/>
              </w:divBdr>
            </w:div>
            <w:div w:id="1784032806">
              <w:marLeft w:val="0"/>
              <w:marRight w:val="0"/>
              <w:marTop w:val="0"/>
              <w:marBottom w:val="0"/>
              <w:divBdr>
                <w:top w:val="none" w:sz="0" w:space="0" w:color="auto"/>
                <w:left w:val="none" w:sz="0" w:space="0" w:color="auto"/>
                <w:bottom w:val="none" w:sz="0" w:space="0" w:color="auto"/>
                <w:right w:val="none" w:sz="0" w:space="0" w:color="auto"/>
              </w:divBdr>
            </w:div>
            <w:div w:id="1968510907">
              <w:marLeft w:val="0"/>
              <w:marRight w:val="0"/>
              <w:marTop w:val="0"/>
              <w:marBottom w:val="0"/>
              <w:divBdr>
                <w:top w:val="none" w:sz="0" w:space="0" w:color="auto"/>
                <w:left w:val="none" w:sz="0" w:space="0" w:color="auto"/>
                <w:bottom w:val="none" w:sz="0" w:space="0" w:color="auto"/>
                <w:right w:val="none" w:sz="0" w:space="0" w:color="auto"/>
              </w:divBdr>
            </w:div>
            <w:div w:id="50538703">
              <w:marLeft w:val="0"/>
              <w:marRight w:val="0"/>
              <w:marTop w:val="0"/>
              <w:marBottom w:val="0"/>
              <w:divBdr>
                <w:top w:val="none" w:sz="0" w:space="0" w:color="auto"/>
                <w:left w:val="none" w:sz="0" w:space="0" w:color="auto"/>
                <w:bottom w:val="none" w:sz="0" w:space="0" w:color="auto"/>
                <w:right w:val="none" w:sz="0" w:space="0" w:color="auto"/>
              </w:divBdr>
            </w:div>
            <w:div w:id="599459642">
              <w:marLeft w:val="0"/>
              <w:marRight w:val="0"/>
              <w:marTop w:val="0"/>
              <w:marBottom w:val="0"/>
              <w:divBdr>
                <w:top w:val="none" w:sz="0" w:space="0" w:color="auto"/>
                <w:left w:val="none" w:sz="0" w:space="0" w:color="auto"/>
                <w:bottom w:val="none" w:sz="0" w:space="0" w:color="auto"/>
                <w:right w:val="none" w:sz="0" w:space="0" w:color="auto"/>
              </w:divBdr>
            </w:div>
            <w:div w:id="1335379395">
              <w:marLeft w:val="0"/>
              <w:marRight w:val="0"/>
              <w:marTop w:val="0"/>
              <w:marBottom w:val="0"/>
              <w:divBdr>
                <w:top w:val="none" w:sz="0" w:space="0" w:color="auto"/>
                <w:left w:val="none" w:sz="0" w:space="0" w:color="auto"/>
                <w:bottom w:val="none" w:sz="0" w:space="0" w:color="auto"/>
                <w:right w:val="none" w:sz="0" w:space="0" w:color="auto"/>
              </w:divBdr>
            </w:div>
            <w:div w:id="1402483920">
              <w:marLeft w:val="0"/>
              <w:marRight w:val="0"/>
              <w:marTop w:val="0"/>
              <w:marBottom w:val="0"/>
              <w:divBdr>
                <w:top w:val="none" w:sz="0" w:space="0" w:color="auto"/>
                <w:left w:val="none" w:sz="0" w:space="0" w:color="auto"/>
                <w:bottom w:val="none" w:sz="0" w:space="0" w:color="auto"/>
                <w:right w:val="none" w:sz="0" w:space="0" w:color="auto"/>
              </w:divBdr>
            </w:div>
            <w:div w:id="866866872">
              <w:marLeft w:val="0"/>
              <w:marRight w:val="0"/>
              <w:marTop w:val="0"/>
              <w:marBottom w:val="0"/>
              <w:divBdr>
                <w:top w:val="none" w:sz="0" w:space="0" w:color="auto"/>
                <w:left w:val="none" w:sz="0" w:space="0" w:color="auto"/>
                <w:bottom w:val="none" w:sz="0" w:space="0" w:color="auto"/>
                <w:right w:val="none" w:sz="0" w:space="0" w:color="auto"/>
              </w:divBdr>
            </w:div>
            <w:div w:id="2103723768">
              <w:marLeft w:val="0"/>
              <w:marRight w:val="0"/>
              <w:marTop w:val="0"/>
              <w:marBottom w:val="0"/>
              <w:divBdr>
                <w:top w:val="none" w:sz="0" w:space="0" w:color="auto"/>
                <w:left w:val="none" w:sz="0" w:space="0" w:color="auto"/>
                <w:bottom w:val="none" w:sz="0" w:space="0" w:color="auto"/>
                <w:right w:val="none" w:sz="0" w:space="0" w:color="auto"/>
              </w:divBdr>
            </w:div>
            <w:div w:id="908879056">
              <w:marLeft w:val="0"/>
              <w:marRight w:val="0"/>
              <w:marTop w:val="0"/>
              <w:marBottom w:val="0"/>
              <w:divBdr>
                <w:top w:val="none" w:sz="0" w:space="0" w:color="auto"/>
                <w:left w:val="none" w:sz="0" w:space="0" w:color="auto"/>
                <w:bottom w:val="none" w:sz="0" w:space="0" w:color="auto"/>
                <w:right w:val="none" w:sz="0" w:space="0" w:color="auto"/>
              </w:divBdr>
            </w:div>
            <w:div w:id="495876773">
              <w:marLeft w:val="0"/>
              <w:marRight w:val="0"/>
              <w:marTop w:val="0"/>
              <w:marBottom w:val="0"/>
              <w:divBdr>
                <w:top w:val="none" w:sz="0" w:space="0" w:color="auto"/>
                <w:left w:val="none" w:sz="0" w:space="0" w:color="auto"/>
                <w:bottom w:val="none" w:sz="0" w:space="0" w:color="auto"/>
                <w:right w:val="none" w:sz="0" w:space="0" w:color="auto"/>
              </w:divBdr>
            </w:div>
            <w:div w:id="662661299">
              <w:marLeft w:val="0"/>
              <w:marRight w:val="0"/>
              <w:marTop w:val="0"/>
              <w:marBottom w:val="0"/>
              <w:divBdr>
                <w:top w:val="none" w:sz="0" w:space="0" w:color="auto"/>
                <w:left w:val="none" w:sz="0" w:space="0" w:color="auto"/>
                <w:bottom w:val="none" w:sz="0" w:space="0" w:color="auto"/>
                <w:right w:val="none" w:sz="0" w:space="0" w:color="auto"/>
              </w:divBdr>
            </w:div>
            <w:div w:id="1079057922">
              <w:marLeft w:val="0"/>
              <w:marRight w:val="0"/>
              <w:marTop w:val="0"/>
              <w:marBottom w:val="0"/>
              <w:divBdr>
                <w:top w:val="none" w:sz="0" w:space="0" w:color="auto"/>
                <w:left w:val="none" w:sz="0" w:space="0" w:color="auto"/>
                <w:bottom w:val="none" w:sz="0" w:space="0" w:color="auto"/>
                <w:right w:val="none" w:sz="0" w:space="0" w:color="auto"/>
              </w:divBdr>
            </w:div>
            <w:div w:id="1295525031">
              <w:marLeft w:val="0"/>
              <w:marRight w:val="0"/>
              <w:marTop w:val="0"/>
              <w:marBottom w:val="0"/>
              <w:divBdr>
                <w:top w:val="none" w:sz="0" w:space="0" w:color="auto"/>
                <w:left w:val="none" w:sz="0" w:space="0" w:color="auto"/>
                <w:bottom w:val="none" w:sz="0" w:space="0" w:color="auto"/>
                <w:right w:val="none" w:sz="0" w:space="0" w:color="auto"/>
              </w:divBdr>
            </w:div>
            <w:div w:id="781535225">
              <w:marLeft w:val="0"/>
              <w:marRight w:val="0"/>
              <w:marTop w:val="0"/>
              <w:marBottom w:val="0"/>
              <w:divBdr>
                <w:top w:val="none" w:sz="0" w:space="0" w:color="auto"/>
                <w:left w:val="none" w:sz="0" w:space="0" w:color="auto"/>
                <w:bottom w:val="none" w:sz="0" w:space="0" w:color="auto"/>
                <w:right w:val="none" w:sz="0" w:space="0" w:color="auto"/>
              </w:divBdr>
            </w:div>
            <w:div w:id="635112079">
              <w:marLeft w:val="0"/>
              <w:marRight w:val="0"/>
              <w:marTop w:val="0"/>
              <w:marBottom w:val="0"/>
              <w:divBdr>
                <w:top w:val="none" w:sz="0" w:space="0" w:color="auto"/>
                <w:left w:val="none" w:sz="0" w:space="0" w:color="auto"/>
                <w:bottom w:val="none" w:sz="0" w:space="0" w:color="auto"/>
                <w:right w:val="none" w:sz="0" w:space="0" w:color="auto"/>
              </w:divBdr>
            </w:div>
            <w:div w:id="324746749">
              <w:marLeft w:val="0"/>
              <w:marRight w:val="0"/>
              <w:marTop w:val="0"/>
              <w:marBottom w:val="0"/>
              <w:divBdr>
                <w:top w:val="none" w:sz="0" w:space="0" w:color="auto"/>
                <w:left w:val="none" w:sz="0" w:space="0" w:color="auto"/>
                <w:bottom w:val="none" w:sz="0" w:space="0" w:color="auto"/>
                <w:right w:val="none" w:sz="0" w:space="0" w:color="auto"/>
              </w:divBdr>
            </w:div>
            <w:div w:id="493254261">
              <w:marLeft w:val="0"/>
              <w:marRight w:val="0"/>
              <w:marTop w:val="0"/>
              <w:marBottom w:val="0"/>
              <w:divBdr>
                <w:top w:val="none" w:sz="0" w:space="0" w:color="auto"/>
                <w:left w:val="none" w:sz="0" w:space="0" w:color="auto"/>
                <w:bottom w:val="none" w:sz="0" w:space="0" w:color="auto"/>
                <w:right w:val="none" w:sz="0" w:space="0" w:color="auto"/>
              </w:divBdr>
            </w:div>
            <w:div w:id="532692859">
              <w:marLeft w:val="0"/>
              <w:marRight w:val="0"/>
              <w:marTop w:val="0"/>
              <w:marBottom w:val="0"/>
              <w:divBdr>
                <w:top w:val="none" w:sz="0" w:space="0" w:color="auto"/>
                <w:left w:val="none" w:sz="0" w:space="0" w:color="auto"/>
                <w:bottom w:val="none" w:sz="0" w:space="0" w:color="auto"/>
                <w:right w:val="none" w:sz="0" w:space="0" w:color="auto"/>
              </w:divBdr>
            </w:div>
            <w:div w:id="1534223707">
              <w:marLeft w:val="0"/>
              <w:marRight w:val="0"/>
              <w:marTop w:val="0"/>
              <w:marBottom w:val="0"/>
              <w:divBdr>
                <w:top w:val="none" w:sz="0" w:space="0" w:color="auto"/>
                <w:left w:val="none" w:sz="0" w:space="0" w:color="auto"/>
                <w:bottom w:val="none" w:sz="0" w:space="0" w:color="auto"/>
                <w:right w:val="none" w:sz="0" w:space="0" w:color="auto"/>
              </w:divBdr>
            </w:div>
            <w:div w:id="223955688">
              <w:marLeft w:val="0"/>
              <w:marRight w:val="0"/>
              <w:marTop w:val="0"/>
              <w:marBottom w:val="0"/>
              <w:divBdr>
                <w:top w:val="none" w:sz="0" w:space="0" w:color="auto"/>
                <w:left w:val="none" w:sz="0" w:space="0" w:color="auto"/>
                <w:bottom w:val="none" w:sz="0" w:space="0" w:color="auto"/>
                <w:right w:val="none" w:sz="0" w:space="0" w:color="auto"/>
              </w:divBdr>
            </w:div>
            <w:div w:id="835345026">
              <w:marLeft w:val="0"/>
              <w:marRight w:val="0"/>
              <w:marTop w:val="0"/>
              <w:marBottom w:val="0"/>
              <w:divBdr>
                <w:top w:val="none" w:sz="0" w:space="0" w:color="auto"/>
                <w:left w:val="none" w:sz="0" w:space="0" w:color="auto"/>
                <w:bottom w:val="none" w:sz="0" w:space="0" w:color="auto"/>
                <w:right w:val="none" w:sz="0" w:space="0" w:color="auto"/>
              </w:divBdr>
            </w:div>
            <w:div w:id="1499149087">
              <w:marLeft w:val="0"/>
              <w:marRight w:val="0"/>
              <w:marTop w:val="0"/>
              <w:marBottom w:val="0"/>
              <w:divBdr>
                <w:top w:val="none" w:sz="0" w:space="0" w:color="auto"/>
                <w:left w:val="none" w:sz="0" w:space="0" w:color="auto"/>
                <w:bottom w:val="none" w:sz="0" w:space="0" w:color="auto"/>
                <w:right w:val="none" w:sz="0" w:space="0" w:color="auto"/>
              </w:divBdr>
            </w:div>
            <w:div w:id="1193882799">
              <w:marLeft w:val="0"/>
              <w:marRight w:val="0"/>
              <w:marTop w:val="0"/>
              <w:marBottom w:val="0"/>
              <w:divBdr>
                <w:top w:val="none" w:sz="0" w:space="0" w:color="auto"/>
                <w:left w:val="none" w:sz="0" w:space="0" w:color="auto"/>
                <w:bottom w:val="none" w:sz="0" w:space="0" w:color="auto"/>
                <w:right w:val="none" w:sz="0" w:space="0" w:color="auto"/>
              </w:divBdr>
            </w:div>
            <w:div w:id="740100385">
              <w:marLeft w:val="0"/>
              <w:marRight w:val="0"/>
              <w:marTop w:val="0"/>
              <w:marBottom w:val="0"/>
              <w:divBdr>
                <w:top w:val="none" w:sz="0" w:space="0" w:color="auto"/>
                <w:left w:val="none" w:sz="0" w:space="0" w:color="auto"/>
                <w:bottom w:val="none" w:sz="0" w:space="0" w:color="auto"/>
                <w:right w:val="none" w:sz="0" w:space="0" w:color="auto"/>
              </w:divBdr>
            </w:div>
            <w:div w:id="862597855">
              <w:marLeft w:val="0"/>
              <w:marRight w:val="0"/>
              <w:marTop w:val="0"/>
              <w:marBottom w:val="0"/>
              <w:divBdr>
                <w:top w:val="none" w:sz="0" w:space="0" w:color="auto"/>
                <w:left w:val="none" w:sz="0" w:space="0" w:color="auto"/>
                <w:bottom w:val="none" w:sz="0" w:space="0" w:color="auto"/>
                <w:right w:val="none" w:sz="0" w:space="0" w:color="auto"/>
              </w:divBdr>
            </w:div>
            <w:div w:id="457258740">
              <w:marLeft w:val="0"/>
              <w:marRight w:val="0"/>
              <w:marTop w:val="0"/>
              <w:marBottom w:val="0"/>
              <w:divBdr>
                <w:top w:val="none" w:sz="0" w:space="0" w:color="auto"/>
                <w:left w:val="none" w:sz="0" w:space="0" w:color="auto"/>
                <w:bottom w:val="none" w:sz="0" w:space="0" w:color="auto"/>
                <w:right w:val="none" w:sz="0" w:space="0" w:color="auto"/>
              </w:divBdr>
            </w:div>
            <w:div w:id="1350252276">
              <w:marLeft w:val="0"/>
              <w:marRight w:val="0"/>
              <w:marTop w:val="0"/>
              <w:marBottom w:val="0"/>
              <w:divBdr>
                <w:top w:val="none" w:sz="0" w:space="0" w:color="auto"/>
                <w:left w:val="none" w:sz="0" w:space="0" w:color="auto"/>
                <w:bottom w:val="none" w:sz="0" w:space="0" w:color="auto"/>
                <w:right w:val="none" w:sz="0" w:space="0" w:color="auto"/>
              </w:divBdr>
            </w:div>
            <w:div w:id="1328627602">
              <w:marLeft w:val="0"/>
              <w:marRight w:val="0"/>
              <w:marTop w:val="0"/>
              <w:marBottom w:val="0"/>
              <w:divBdr>
                <w:top w:val="none" w:sz="0" w:space="0" w:color="auto"/>
                <w:left w:val="none" w:sz="0" w:space="0" w:color="auto"/>
                <w:bottom w:val="none" w:sz="0" w:space="0" w:color="auto"/>
                <w:right w:val="none" w:sz="0" w:space="0" w:color="auto"/>
              </w:divBdr>
            </w:div>
            <w:div w:id="1356805306">
              <w:marLeft w:val="0"/>
              <w:marRight w:val="0"/>
              <w:marTop w:val="0"/>
              <w:marBottom w:val="0"/>
              <w:divBdr>
                <w:top w:val="none" w:sz="0" w:space="0" w:color="auto"/>
                <w:left w:val="none" w:sz="0" w:space="0" w:color="auto"/>
                <w:bottom w:val="none" w:sz="0" w:space="0" w:color="auto"/>
                <w:right w:val="none" w:sz="0" w:space="0" w:color="auto"/>
              </w:divBdr>
            </w:div>
            <w:div w:id="1575385990">
              <w:marLeft w:val="0"/>
              <w:marRight w:val="0"/>
              <w:marTop w:val="0"/>
              <w:marBottom w:val="0"/>
              <w:divBdr>
                <w:top w:val="none" w:sz="0" w:space="0" w:color="auto"/>
                <w:left w:val="none" w:sz="0" w:space="0" w:color="auto"/>
                <w:bottom w:val="none" w:sz="0" w:space="0" w:color="auto"/>
                <w:right w:val="none" w:sz="0" w:space="0" w:color="auto"/>
              </w:divBdr>
            </w:div>
            <w:div w:id="1821573196">
              <w:marLeft w:val="0"/>
              <w:marRight w:val="0"/>
              <w:marTop w:val="0"/>
              <w:marBottom w:val="0"/>
              <w:divBdr>
                <w:top w:val="none" w:sz="0" w:space="0" w:color="auto"/>
                <w:left w:val="none" w:sz="0" w:space="0" w:color="auto"/>
                <w:bottom w:val="none" w:sz="0" w:space="0" w:color="auto"/>
                <w:right w:val="none" w:sz="0" w:space="0" w:color="auto"/>
              </w:divBdr>
            </w:div>
            <w:div w:id="1988779775">
              <w:marLeft w:val="0"/>
              <w:marRight w:val="0"/>
              <w:marTop w:val="0"/>
              <w:marBottom w:val="0"/>
              <w:divBdr>
                <w:top w:val="none" w:sz="0" w:space="0" w:color="auto"/>
                <w:left w:val="none" w:sz="0" w:space="0" w:color="auto"/>
                <w:bottom w:val="none" w:sz="0" w:space="0" w:color="auto"/>
                <w:right w:val="none" w:sz="0" w:space="0" w:color="auto"/>
              </w:divBdr>
            </w:div>
            <w:div w:id="147597431">
              <w:marLeft w:val="0"/>
              <w:marRight w:val="0"/>
              <w:marTop w:val="0"/>
              <w:marBottom w:val="0"/>
              <w:divBdr>
                <w:top w:val="none" w:sz="0" w:space="0" w:color="auto"/>
                <w:left w:val="none" w:sz="0" w:space="0" w:color="auto"/>
                <w:bottom w:val="none" w:sz="0" w:space="0" w:color="auto"/>
                <w:right w:val="none" w:sz="0" w:space="0" w:color="auto"/>
              </w:divBdr>
            </w:div>
            <w:div w:id="1782921016">
              <w:marLeft w:val="0"/>
              <w:marRight w:val="0"/>
              <w:marTop w:val="0"/>
              <w:marBottom w:val="0"/>
              <w:divBdr>
                <w:top w:val="none" w:sz="0" w:space="0" w:color="auto"/>
                <w:left w:val="none" w:sz="0" w:space="0" w:color="auto"/>
                <w:bottom w:val="none" w:sz="0" w:space="0" w:color="auto"/>
                <w:right w:val="none" w:sz="0" w:space="0" w:color="auto"/>
              </w:divBdr>
            </w:div>
            <w:div w:id="59863947">
              <w:marLeft w:val="0"/>
              <w:marRight w:val="0"/>
              <w:marTop w:val="0"/>
              <w:marBottom w:val="0"/>
              <w:divBdr>
                <w:top w:val="none" w:sz="0" w:space="0" w:color="auto"/>
                <w:left w:val="none" w:sz="0" w:space="0" w:color="auto"/>
                <w:bottom w:val="none" w:sz="0" w:space="0" w:color="auto"/>
                <w:right w:val="none" w:sz="0" w:space="0" w:color="auto"/>
              </w:divBdr>
            </w:div>
            <w:div w:id="863130837">
              <w:marLeft w:val="0"/>
              <w:marRight w:val="0"/>
              <w:marTop w:val="0"/>
              <w:marBottom w:val="0"/>
              <w:divBdr>
                <w:top w:val="none" w:sz="0" w:space="0" w:color="auto"/>
                <w:left w:val="none" w:sz="0" w:space="0" w:color="auto"/>
                <w:bottom w:val="none" w:sz="0" w:space="0" w:color="auto"/>
                <w:right w:val="none" w:sz="0" w:space="0" w:color="auto"/>
              </w:divBdr>
            </w:div>
            <w:div w:id="2633314">
              <w:marLeft w:val="0"/>
              <w:marRight w:val="0"/>
              <w:marTop w:val="0"/>
              <w:marBottom w:val="0"/>
              <w:divBdr>
                <w:top w:val="none" w:sz="0" w:space="0" w:color="auto"/>
                <w:left w:val="none" w:sz="0" w:space="0" w:color="auto"/>
                <w:bottom w:val="none" w:sz="0" w:space="0" w:color="auto"/>
                <w:right w:val="none" w:sz="0" w:space="0" w:color="auto"/>
              </w:divBdr>
            </w:div>
            <w:div w:id="120153008">
              <w:marLeft w:val="0"/>
              <w:marRight w:val="0"/>
              <w:marTop w:val="0"/>
              <w:marBottom w:val="0"/>
              <w:divBdr>
                <w:top w:val="none" w:sz="0" w:space="0" w:color="auto"/>
                <w:left w:val="none" w:sz="0" w:space="0" w:color="auto"/>
                <w:bottom w:val="none" w:sz="0" w:space="0" w:color="auto"/>
                <w:right w:val="none" w:sz="0" w:space="0" w:color="auto"/>
              </w:divBdr>
            </w:div>
            <w:div w:id="1862623086">
              <w:marLeft w:val="0"/>
              <w:marRight w:val="0"/>
              <w:marTop w:val="0"/>
              <w:marBottom w:val="0"/>
              <w:divBdr>
                <w:top w:val="none" w:sz="0" w:space="0" w:color="auto"/>
                <w:left w:val="none" w:sz="0" w:space="0" w:color="auto"/>
                <w:bottom w:val="none" w:sz="0" w:space="0" w:color="auto"/>
                <w:right w:val="none" w:sz="0" w:space="0" w:color="auto"/>
              </w:divBdr>
            </w:div>
            <w:div w:id="284847860">
              <w:marLeft w:val="0"/>
              <w:marRight w:val="0"/>
              <w:marTop w:val="0"/>
              <w:marBottom w:val="0"/>
              <w:divBdr>
                <w:top w:val="none" w:sz="0" w:space="0" w:color="auto"/>
                <w:left w:val="none" w:sz="0" w:space="0" w:color="auto"/>
                <w:bottom w:val="none" w:sz="0" w:space="0" w:color="auto"/>
                <w:right w:val="none" w:sz="0" w:space="0" w:color="auto"/>
              </w:divBdr>
            </w:div>
            <w:div w:id="887885129">
              <w:marLeft w:val="0"/>
              <w:marRight w:val="0"/>
              <w:marTop w:val="0"/>
              <w:marBottom w:val="0"/>
              <w:divBdr>
                <w:top w:val="none" w:sz="0" w:space="0" w:color="auto"/>
                <w:left w:val="none" w:sz="0" w:space="0" w:color="auto"/>
                <w:bottom w:val="none" w:sz="0" w:space="0" w:color="auto"/>
                <w:right w:val="none" w:sz="0" w:space="0" w:color="auto"/>
              </w:divBdr>
            </w:div>
            <w:div w:id="736056738">
              <w:marLeft w:val="0"/>
              <w:marRight w:val="0"/>
              <w:marTop w:val="0"/>
              <w:marBottom w:val="0"/>
              <w:divBdr>
                <w:top w:val="none" w:sz="0" w:space="0" w:color="auto"/>
                <w:left w:val="none" w:sz="0" w:space="0" w:color="auto"/>
                <w:bottom w:val="none" w:sz="0" w:space="0" w:color="auto"/>
                <w:right w:val="none" w:sz="0" w:space="0" w:color="auto"/>
              </w:divBdr>
            </w:div>
            <w:div w:id="1135947911">
              <w:marLeft w:val="0"/>
              <w:marRight w:val="0"/>
              <w:marTop w:val="0"/>
              <w:marBottom w:val="0"/>
              <w:divBdr>
                <w:top w:val="none" w:sz="0" w:space="0" w:color="auto"/>
                <w:left w:val="none" w:sz="0" w:space="0" w:color="auto"/>
                <w:bottom w:val="none" w:sz="0" w:space="0" w:color="auto"/>
                <w:right w:val="none" w:sz="0" w:space="0" w:color="auto"/>
              </w:divBdr>
            </w:div>
            <w:div w:id="886792526">
              <w:marLeft w:val="0"/>
              <w:marRight w:val="0"/>
              <w:marTop w:val="0"/>
              <w:marBottom w:val="0"/>
              <w:divBdr>
                <w:top w:val="none" w:sz="0" w:space="0" w:color="auto"/>
                <w:left w:val="none" w:sz="0" w:space="0" w:color="auto"/>
                <w:bottom w:val="none" w:sz="0" w:space="0" w:color="auto"/>
                <w:right w:val="none" w:sz="0" w:space="0" w:color="auto"/>
              </w:divBdr>
            </w:div>
            <w:div w:id="336351039">
              <w:marLeft w:val="0"/>
              <w:marRight w:val="0"/>
              <w:marTop w:val="0"/>
              <w:marBottom w:val="0"/>
              <w:divBdr>
                <w:top w:val="none" w:sz="0" w:space="0" w:color="auto"/>
                <w:left w:val="none" w:sz="0" w:space="0" w:color="auto"/>
                <w:bottom w:val="none" w:sz="0" w:space="0" w:color="auto"/>
                <w:right w:val="none" w:sz="0" w:space="0" w:color="auto"/>
              </w:divBdr>
            </w:div>
            <w:div w:id="1235747034">
              <w:marLeft w:val="0"/>
              <w:marRight w:val="0"/>
              <w:marTop w:val="0"/>
              <w:marBottom w:val="0"/>
              <w:divBdr>
                <w:top w:val="none" w:sz="0" w:space="0" w:color="auto"/>
                <w:left w:val="none" w:sz="0" w:space="0" w:color="auto"/>
                <w:bottom w:val="none" w:sz="0" w:space="0" w:color="auto"/>
                <w:right w:val="none" w:sz="0" w:space="0" w:color="auto"/>
              </w:divBdr>
            </w:div>
            <w:div w:id="713652161">
              <w:marLeft w:val="0"/>
              <w:marRight w:val="0"/>
              <w:marTop w:val="0"/>
              <w:marBottom w:val="0"/>
              <w:divBdr>
                <w:top w:val="none" w:sz="0" w:space="0" w:color="auto"/>
                <w:left w:val="none" w:sz="0" w:space="0" w:color="auto"/>
                <w:bottom w:val="none" w:sz="0" w:space="0" w:color="auto"/>
                <w:right w:val="none" w:sz="0" w:space="0" w:color="auto"/>
              </w:divBdr>
            </w:div>
            <w:div w:id="1654946404">
              <w:marLeft w:val="0"/>
              <w:marRight w:val="0"/>
              <w:marTop w:val="0"/>
              <w:marBottom w:val="0"/>
              <w:divBdr>
                <w:top w:val="none" w:sz="0" w:space="0" w:color="auto"/>
                <w:left w:val="none" w:sz="0" w:space="0" w:color="auto"/>
                <w:bottom w:val="none" w:sz="0" w:space="0" w:color="auto"/>
                <w:right w:val="none" w:sz="0" w:space="0" w:color="auto"/>
              </w:divBdr>
            </w:div>
            <w:div w:id="2016690366">
              <w:marLeft w:val="0"/>
              <w:marRight w:val="0"/>
              <w:marTop w:val="0"/>
              <w:marBottom w:val="0"/>
              <w:divBdr>
                <w:top w:val="none" w:sz="0" w:space="0" w:color="auto"/>
                <w:left w:val="none" w:sz="0" w:space="0" w:color="auto"/>
                <w:bottom w:val="none" w:sz="0" w:space="0" w:color="auto"/>
                <w:right w:val="none" w:sz="0" w:space="0" w:color="auto"/>
              </w:divBdr>
            </w:div>
            <w:div w:id="1623026765">
              <w:marLeft w:val="0"/>
              <w:marRight w:val="0"/>
              <w:marTop w:val="0"/>
              <w:marBottom w:val="0"/>
              <w:divBdr>
                <w:top w:val="none" w:sz="0" w:space="0" w:color="auto"/>
                <w:left w:val="none" w:sz="0" w:space="0" w:color="auto"/>
                <w:bottom w:val="none" w:sz="0" w:space="0" w:color="auto"/>
                <w:right w:val="none" w:sz="0" w:space="0" w:color="auto"/>
              </w:divBdr>
            </w:div>
            <w:div w:id="1666204542">
              <w:marLeft w:val="0"/>
              <w:marRight w:val="0"/>
              <w:marTop w:val="0"/>
              <w:marBottom w:val="0"/>
              <w:divBdr>
                <w:top w:val="none" w:sz="0" w:space="0" w:color="auto"/>
                <w:left w:val="none" w:sz="0" w:space="0" w:color="auto"/>
                <w:bottom w:val="none" w:sz="0" w:space="0" w:color="auto"/>
                <w:right w:val="none" w:sz="0" w:space="0" w:color="auto"/>
              </w:divBdr>
            </w:div>
            <w:div w:id="1453478981">
              <w:marLeft w:val="0"/>
              <w:marRight w:val="0"/>
              <w:marTop w:val="0"/>
              <w:marBottom w:val="0"/>
              <w:divBdr>
                <w:top w:val="none" w:sz="0" w:space="0" w:color="auto"/>
                <w:left w:val="none" w:sz="0" w:space="0" w:color="auto"/>
                <w:bottom w:val="none" w:sz="0" w:space="0" w:color="auto"/>
                <w:right w:val="none" w:sz="0" w:space="0" w:color="auto"/>
              </w:divBdr>
            </w:div>
            <w:div w:id="246809391">
              <w:marLeft w:val="0"/>
              <w:marRight w:val="0"/>
              <w:marTop w:val="0"/>
              <w:marBottom w:val="0"/>
              <w:divBdr>
                <w:top w:val="none" w:sz="0" w:space="0" w:color="auto"/>
                <w:left w:val="none" w:sz="0" w:space="0" w:color="auto"/>
                <w:bottom w:val="none" w:sz="0" w:space="0" w:color="auto"/>
                <w:right w:val="none" w:sz="0" w:space="0" w:color="auto"/>
              </w:divBdr>
            </w:div>
            <w:div w:id="594826505">
              <w:marLeft w:val="0"/>
              <w:marRight w:val="0"/>
              <w:marTop w:val="0"/>
              <w:marBottom w:val="0"/>
              <w:divBdr>
                <w:top w:val="none" w:sz="0" w:space="0" w:color="auto"/>
                <w:left w:val="none" w:sz="0" w:space="0" w:color="auto"/>
                <w:bottom w:val="none" w:sz="0" w:space="0" w:color="auto"/>
                <w:right w:val="none" w:sz="0" w:space="0" w:color="auto"/>
              </w:divBdr>
            </w:div>
            <w:div w:id="1593198752">
              <w:marLeft w:val="0"/>
              <w:marRight w:val="0"/>
              <w:marTop w:val="0"/>
              <w:marBottom w:val="0"/>
              <w:divBdr>
                <w:top w:val="none" w:sz="0" w:space="0" w:color="auto"/>
                <w:left w:val="none" w:sz="0" w:space="0" w:color="auto"/>
                <w:bottom w:val="none" w:sz="0" w:space="0" w:color="auto"/>
                <w:right w:val="none" w:sz="0" w:space="0" w:color="auto"/>
              </w:divBdr>
            </w:div>
            <w:div w:id="1159881008">
              <w:marLeft w:val="0"/>
              <w:marRight w:val="0"/>
              <w:marTop w:val="0"/>
              <w:marBottom w:val="0"/>
              <w:divBdr>
                <w:top w:val="none" w:sz="0" w:space="0" w:color="auto"/>
                <w:left w:val="none" w:sz="0" w:space="0" w:color="auto"/>
                <w:bottom w:val="none" w:sz="0" w:space="0" w:color="auto"/>
                <w:right w:val="none" w:sz="0" w:space="0" w:color="auto"/>
              </w:divBdr>
            </w:div>
            <w:div w:id="458646365">
              <w:marLeft w:val="0"/>
              <w:marRight w:val="0"/>
              <w:marTop w:val="0"/>
              <w:marBottom w:val="0"/>
              <w:divBdr>
                <w:top w:val="none" w:sz="0" w:space="0" w:color="auto"/>
                <w:left w:val="none" w:sz="0" w:space="0" w:color="auto"/>
                <w:bottom w:val="none" w:sz="0" w:space="0" w:color="auto"/>
                <w:right w:val="none" w:sz="0" w:space="0" w:color="auto"/>
              </w:divBdr>
            </w:div>
            <w:div w:id="222105415">
              <w:marLeft w:val="0"/>
              <w:marRight w:val="0"/>
              <w:marTop w:val="0"/>
              <w:marBottom w:val="0"/>
              <w:divBdr>
                <w:top w:val="none" w:sz="0" w:space="0" w:color="auto"/>
                <w:left w:val="none" w:sz="0" w:space="0" w:color="auto"/>
                <w:bottom w:val="none" w:sz="0" w:space="0" w:color="auto"/>
                <w:right w:val="none" w:sz="0" w:space="0" w:color="auto"/>
              </w:divBdr>
            </w:div>
            <w:div w:id="768505362">
              <w:marLeft w:val="0"/>
              <w:marRight w:val="0"/>
              <w:marTop w:val="0"/>
              <w:marBottom w:val="0"/>
              <w:divBdr>
                <w:top w:val="none" w:sz="0" w:space="0" w:color="auto"/>
                <w:left w:val="none" w:sz="0" w:space="0" w:color="auto"/>
                <w:bottom w:val="none" w:sz="0" w:space="0" w:color="auto"/>
                <w:right w:val="none" w:sz="0" w:space="0" w:color="auto"/>
              </w:divBdr>
            </w:div>
            <w:div w:id="704983236">
              <w:marLeft w:val="0"/>
              <w:marRight w:val="0"/>
              <w:marTop w:val="0"/>
              <w:marBottom w:val="0"/>
              <w:divBdr>
                <w:top w:val="none" w:sz="0" w:space="0" w:color="auto"/>
                <w:left w:val="none" w:sz="0" w:space="0" w:color="auto"/>
                <w:bottom w:val="none" w:sz="0" w:space="0" w:color="auto"/>
                <w:right w:val="none" w:sz="0" w:space="0" w:color="auto"/>
              </w:divBdr>
            </w:div>
            <w:div w:id="1504592411">
              <w:marLeft w:val="0"/>
              <w:marRight w:val="0"/>
              <w:marTop w:val="0"/>
              <w:marBottom w:val="0"/>
              <w:divBdr>
                <w:top w:val="none" w:sz="0" w:space="0" w:color="auto"/>
                <w:left w:val="none" w:sz="0" w:space="0" w:color="auto"/>
                <w:bottom w:val="none" w:sz="0" w:space="0" w:color="auto"/>
                <w:right w:val="none" w:sz="0" w:space="0" w:color="auto"/>
              </w:divBdr>
            </w:div>
            <w:div w:id="749885331">
              <w:marLeft w:val="0"/>
              <w:marRight w:val="0"/>
              <w:marTop w:val="0"/>
              <w:marBottom w:val="0"/>
              <w:divBdr>
                <w:top w:val="none" w:sz="0" w:space="0" w:color="auto"/>
                <w:left w:val="none" w:sz="0" w:space="0" w:color="auto"/>
                <w:bottom w:val="none" w:sz="0" w:space="0" w:color="auto"/>
                <w:right w:val="none" w:sz="0" w:space="0" w:color="auto"/>
              </w:divBdr>
            </w:div>
            <w:div w:id="920678096">
              <w:marLeft w:val="0"/>
              <w:marRight w:val="0"/>
              <w:marTop w:val="0"/>
              <w:marBottom w:val="0"/>
              <w:divBdr>
                <w:top w:val="none" w:sz="0" w:space="0" w:color="auto"/>
                <w:left w:val="none" w:sz="0" w:space="0" w:color="auto"/>
                <w:bottom w:val="none" w:sz="0" w:space="0" w:color="auto"/>
                <w:right w:val="none" w:sz="0" w:space="0" w:color="auto"/>
              </w:divBdr>
            </w:div>
            <w:div w:id="1130711777">
              <w:marLeft w:val="0"/>
              <w:marRight w:val="0"/>
              <w:marTop w:val="0"/>
              <w:marBottom w:val="0"/>
              <w:divBdr>
                <w:top w:val="none" w:sz="0" w:space="0" w:color="auto"/>
                <w:left w:val="none" w:sz="0" w:space="0" w:color="auto"/>
                <w:bottom w:val="none" w:sz="0" w:space="0" w:color="auto"/>
                <w:right w:val="none" w:sz="0" w:space="0" w:color="auto"/>
              </w:divBdr>
            </w:div>
            <w:div w:id="1029991616">
              <w:marLeft w:val="0"/>
              <w:marRight w:val="0"/>
              <w:marTop w:val="0"/>
              <w:marBottom w:val="0"/>
              <w:divBdr>
                <w:top w:val="none" w:sz="0" w:space="0" w:color="auto"/>
                <w:left w:val="none" w:sz="0" w:space="0" w:color="auto"/>
                <w:bottom w:val="none" w:sz="0" w:space="0" w:color="auto"/>
                <w:right w:val="none" w:sz="0" w:space="0" w:color="auto"/>
              </w:divBdr>
            </w:div>
            <w:div w:id="547423773">
              <w:marLeft w:val="0"/>
              <w:marRight w:val="0"/>
              <w:marTop w:val="0"/>
              <w:marBottom w:val="0"/>
              <w:divBdr>
                <w:top w:val="none" w:sz="0" w:space="0" w:color="auto"/>
                <w:left w:val="none" w:sz="0" w:space="0" w:color="auto"/>
                <w:bottom w:val="none" w:sz="0" w:space="0" w:color="auto"/>
                <w:right w:val="none" w:sz="0" w:space="0" w:color="auto"/>
              </w:divBdr>
            </w:div>
            <w:div w:id="2129813595">
              <w:marLeft w:val="0"/>
              <w:marRight w:val="0"/>
              <w:marTop w:val="0"/>
              <w:marBottom w:val="0"/>
              <w:divBdr>
                <w:top w:val="none" w:sz="0" w:space="0" w:color="auto"/>
                <w:left w:val="none" w:sz="0" w:space="0" w:color="auto"/>
                <w:bottom w:val="none" w:sz="0" w:space="0" w:color="auto"/>
                <w:right w:val="none" w:sz="0" w:space="0" w:color="auto"/>
              </w:divBdr>
            </w:div>
            <w:div w:id="950628867">
              <w:marLeft w:val="0"/>
              <w:marRight w:val="0"/>
              <w:marTop w:val="0"/>
              <w:marBottom w:val="0"/>
              <w:divBdr>
                <w:top w:val="none" w:sz="0" w:space="0" w:color="auto"/>
                <w:left w:val="none" w:sz="0" w:space="0" w:color="auto"/>
                <w:bottom w:val="none" w:sz="0" w:space="0" w:color="auto"/>
                <w:right w:val="none" w:sz="0" w:space="0" w:color="auto"/>
              </w:divBdr>
            </w:div>
            <w:div w:id="69280879">
              <w:marLeft w:val="0"/>
              <w:marRight w:val="0"/>
              <w:marTop w:val="0"/>
              <w:marBottom w:val="0"/>
              <w:divBdr>
                <w:top w:val="none" w:sz="0" w:space="0" w:color="auto"/>
                <w:left w:val="none" w:sz="0" w:space="0" w:color="auto"/>
                <w:bottom w:val="none" w:sz="0" w:space="0" w:color="auto"/>
                <w:right w:val="none" w:sz="0" w:space="0" w:color="auto"/>
              </w:divBdr>
            </w:div>
            <w:div w:id="1327320021">
              <w:marLeft w:val="0"/>
              <w:marRight w:val="0"/>
              <w:marTop w:val="0"/>
              <w:marBottom w:val="0"/>
              <w:divBdr>
                <w:top w:val="none" w:sz="0" w:space="0" w:color="auto"/>
                <w:left w:val="none" w:sz="0" w:space="0" w:color="auto"/>
                <w:bottom w:val="none" w:sz="0" w:space="0" w:color="auto"/>
                <w:right w:val="none" w:sz="0" w:space="0" w:color="auto"/>
              </w:divBdr>
            </w:div>
            <w:div w:id="1430850215">
              <w:marLeft w:val="0"/>
              <w:marRight w:val="0"/>
              <w:marTop w:val="0"/>
              <w:marBottom w:val="0"/>
              <w:divBdr>
                <w:top w:val="none" w:sz="0" w:space="0" w:color="auto"/>
                <w:left w:val="none" w:sz="0" w:space="0" w:color="auto"/>
                <w:bottom w:val="none" w:sz="0" w:space="0" w:color="auto"/>
                <w:right w:val="none" w:sz="0" w:space="0" w:color="auto"/>
              </w:divBdr>
            </w:div>
            <w:div w:id="698165635">
              <w:marLeft w:val="0"/>
              <w:marRight w:val="0"/>
              <w:marTop w:val="0"/>
              <w:marBottom w:val="0"/>
              <w:divBdr>
                <w:top w:val="none" w:sz="0" w:space="0" w:color="auto"/>
                <w:left w:val="none" w:sz="0" w:space="0" w:color="auto"/>
                <w:bottom w:val="none" w:sz="0" w:space="0" w:color="auto"/>
                <w:right w:val="none" w:sz="0" w:space="0" w:color="auto"/>
              </w:divBdr>
            </w:div>
            <w:div w:id="252713548">
              <w:marLeft w:val="0"/>
              <w:marRight w:val="0"/>
              <w:marTop w:val="0"/>
              <w:marBottom w:val="0"/>
              <w:divBdr>
                <w:top w:val="none" w:sz="0" w:space="0" w:color="auto"/>
                <w:left w:val="none" w:sz="0" w:space="0" w:color="auto"/>
                <w:bottom w:val="none" w:sz="0" w:space="0" w:color="auto"/>
                <w:right w:val="none" w:sz="0" w:space="0" w:color="auto"/>
              </w:divBdr>
            </w:div>
            <w:div w:id="1949510633">
              <w:marLeft w:val="0"/>
              <w:marRight w:val="0"/>
              <w:marTop w:val="0"/>
              <w:marBottom w:val="0"/>
              <w:divBdr>
                <w:top w:val="none" w:sz="0" w:space="0" w:color="auto"/>
                <w:left w:val="none" w:sz="0" w:space="0" w:color="auto"/>
                <w:bottom w:val="none" w:sz="0" w:space="0" w:color="auto"/>
                <w:right w:val="none" w:sz="0" w:space="0" w:color="auto"/>
              </w:divBdr>
            </w:div>
            <w:div w:id="443042792">
              <w:marLeft w:val="0"/>
              <w:marRight w:val="0"/>
              <w:marTop w:val="0"/>
              <w:marBottom w:val="0"/>
              <w:divBdr>
                <w:top w:val="none" w:sz="0" w:space="0" w:color="auto"/>
                <w:left w:val="none" w:sz="0" w:space="0" w:color="auto"/>
                <w:bottom w:val="none" w:sz="0" w:space="0" w:color="auto"/>
                <w:right w:val="none" w:sz="0" w:space="0" w:color="auto"/>
              </w:divBdr>
            </w:div>
            <w:div w:id="371537988">
              <w:marLeft w:val="0"/>
              <w:marRight w:val="0"/>
              <w:marTop w:val="0"/>
              <w:marBottom w:val="0"/>
              <w:divBdr>
                <w:top w:val="none" w:sz="0" w:space="0" w:color="auto"/>
                <w:left w:val="none" w:sz="0" w:space="0" w:color="auto"/>
                <w:bottom w:val="none" w:sz="0" w:space="0" w:color="auto"/>
                <w:right w:val="none" w:sz="0" w:space="0" w:color="auto"/>
              </w:divBdr>
            </w:div>
            <w:div w:id="541524377">
              <w:marLeft w:val="0"/>
              <w:marRight w:val="0"/>
              <w:marTop w:val="0"/>
              <w:marBottom w:val="0"/>
              <w:divBdr>
                <w:top w:val="none" w:sz="0" w:space="0" w:color="auto"/>
                <w:left w:val="none" w:sz="0" w:space="0" w:color="auto"/>
                <w:bottom w:val="none" w:sz="0" w:space="0" w:color="auto"/>
                <w:right w:val="none" w:sz="0" w:space="0" w:color="auto"/>
              </w:divBdr>
            </w:div>
            <w:div w:id="1341545629">
              <w:marLeft w:val="0"/>
              <w:marRight w:val="0"/>
              <w:marTop w:val="0"/>
              <w:marBottom w:val="0"/>
              <w:divBdr>
                <w:top w:val="none" w:sz="0" w:space="0" w:color="auto"/>
                <w:left w:val="none" w:sz="0" w:space="0" w:color="auto"/>
                <w:bottom w:val="none" w:sz="0" w:space="0" w:color="auto"/>
                <w:right w:val="none" w:sz="0" w:space="0" w:color="auto"/>
              </w:divBdr>
            </w:div>
            <w:div w:id="378865823">
              <w:marLeft w:val="0"/>
              <w:marRight w:val="0"/>
              <w:marTop w:val="0"/>
              <w:marBottom w:val="0"/>
              <w:divBdr>
                <w:top w:val="none" w:sz="0" w:space="0" w:color="auto"/>
                <w:left w:val="none" w:sz="0" w:space="0" w:color="auto"/>
                <w:bottom w:val="none" w:sz="0" w:space="0" w:color="auto"/>
                <w:right w:val="none" w:sz="0" w:space="0" w:color="auto"/>
              </w:divBdr>
            </w:div>
            <w:div w:id="1432896523">
              <w:marLeft w:val="0"/>
              <w:marRight w:val="0"/>
              <w:marTop w:val="0"/>
              <w:marBottom w:val="0"/>
              <w:divBdr>
                <w:top w:val="none" w:sz="0" w:space="0" w:color="auto"/>
                <w:left w:val="none" w:sz="0" w:space="0" w:color="auto"/>
                <w:bottom w:val="none" w:sz="0" w:space="0" w:color="auto"/>
                <w:right w:val="none" w:sz="0" w:space="0" w:color="auto"/>
              </w:divBdr>
            </w:div>
            <w:div w:id="2019766296">
              <w:marLeft w:val="0"/>
              <w:marRight w:val="0"/>
              <w:marTop w:val="0"/>
              <w:marBottom w:val="0"/>
              <w:divBdr>
                <w:top w:val="none" w:sz="0" w:space="0" w:color="auto"/>
                <w:left w:val="none" w:sz="0" w:space="0" w:color="auto"/>
                <w:bottom w:val="none" w:sz="0" w:space="0" w:color="auto"/>
                <w:right w:val="none" w:sz="0" w:space="0" w:color="auto"/>
              </w:divBdr>
            </w:div>
            <w:div w:id="763377753">
              <w:marLeft w:val="0"/>
              <w:marRight w:val="0"/>
              <w:marTop w:val="0"/>
              <w:marBottom w:val="0"/>
              <w:divBdr>
                <w:top w:val="none" w:sz="0" w:space="0" w:color="auto"/>
                <w:left w:val="none" w:sz="0" w:space="0" w:color="auto"/>
                <w:bottom w:val="none" w:sz="0" w:space="0" w:color="auto"/>
                <w:right w:val="none" w:sz="0" w:space="0" w:color="auto"/>
              </w:divBdr>
            </w:div>
            <w:div w:id="1184708785">
              <w:marLeft w:val="0"/>
              <w:marRight w:val="0"/>
              <w:marTop w:val="0"/>
              <w:marBottom w:val="0"/>
              <w:divBdr>
                <w:top w:val="none" w:sz="0" w:space="0" w:color="auto"/>
                <w:left w:val="none" w:sz="0" w:space="0" w:color="auto"/>
                <w:bottom w:val="none" w:sz="0" w:space="0" w:color="auto"/>
                <w:right w:val="none" w:sz="0" w:space="0" w:color="auto"/>
              </w:divBdr>
            </w:div>
            <w:div w:id="2046631899">
              <w:marLeft w:val="0"/>
              <w:marRight w:val="0"/>
              <w:marTop w:val="0"/>
              <w:marBottom w:val="0"/>
              <w:divBdr>
                <w:top w:val="none" w:sz="0" w:space="0" w:color="auto"/>
                <w:left w:val="none" w:sz="0" w:space="0" w:color="auto"/>
                <w:bottom w:val="none" w:sz="0" w:space="0" w:color="auto"/>
                <w:right w:val="none" w:sz="0" w:space="0" w:color="auto"/>
              </w:divBdr>
            </w:div>
            <w:div w:id="683363366">
              <w:marLeft w:val="0"/>
              <w:marRight w:val="0"/>
              <w:marTop w:val="0"/>
              <w:marBottom w:val="0"/>
              <w:divBdr>
                <w:top w:val="none" w:sz="0" w:space="0" w:color="auto"/>
                <w:left w:val="none" w:sz="0" w:space="0" w:color="auto"/>
                <w:bottom w:val="none" w:sz="0" w:space="0" w:color="auto"/>
                <w:right w:val="none" w:sz="0" w:space="0" w:color="auto"/>
              </w:divBdr>
            </w:div>
            <w:div w:id="2086343919">
              <w:marLeft w:val="0"/>
              <w:marRight w:val="0"/>
              <w:marTop w:val="0"/>
              <w:marBottom w:val="0"/>
              <w:divBdr>
                <w:top w:val="none" w:sz="0" w:space="0" w:color="auto"/>
                <w:left w:val="none" w:sz="0" w:space="0" w:color="auto"/>
                <w:bottom w:val="none" w:sz="0" w:space="0" w:color="auto"/>
                <w:right w:val="none" w:sz="0" w:space="0" w:color="auto"/>
              </w:divBdr>
            </w:div>
            <w:div w:id="692418437">
              <w:marLeft w:val="0"/>
              <w:marRight w:val="0"/>
              <w:marTop w:val="0"/>
              <w:marBottom w:val="0"/>
              <w:divBdr>
                <w:top w:val="none" w:sz="0" w:space="0" w:color="auto"/>
                <w:left w:val="none" w:sz="0" w:space="0" w:color="auto"/>
                <w:bottom w:val="none" w:sz="0" w:space="0" w:color="auto"/>
                <w:right w:val="none" w:sz="0" w:space="0" w:color="auto"/>
              </w:divBdr>
            </w:div>
            <w:div w:id="1348482773">
              <w:marLeft w:val="0"/>
              <w:marRight w:val="0"/>
              <w:marTop w:val="0"/>
              <w:marBottom w:val="0"/>
              <w:divBdr>
                <w:top w:val="none" w:sz="0" w:space="0" w:color="auto"/>
                <w:left w:val="none" w:sz="0" w:space="0" w:color="auto"/>
                <w:bottom w:val="none" w:sz="0" w:space="0" w:color="auto"/>
                <w:right w:val="none" w:sz="0" w:space="0" w:color="auto"/>
              </w:divBdr>
            </w:div>
            <w:div w:id="812646850">
              <w:marLeft w:val="0"/>
              <w:marRight w:val="0"/>
              <w:marTop w:val="0"/>
              <w:marBottom w:val="0"/>
              <w:divBdr>
                <w:top w:val="none" w:sz="0" w:space="0" w:color="auto"/>
                <w:left w:val="none" w:sz="0" w:space="0" w:color="auto"/>
                <w:bottom w:val="none" w:sz="0" w:space="0" w:color="auto"/>
                <w:right w:val="none" w:sz="0" w:space="0" w:color="auto"/>
              </w:divBdr>
            </w:div>
            <w:div w:id="1814253677">
              <w:marLeft w:val="0"/>
              <w:marRight w:val="0"/>
              <w:marTop w:val="0"/>
              <w:marBottom w:val="0"/>
              <w:divBdr>
                <w:top w:val="none" w:sz="0" w:space="0" w:color="auto"/>
                <w:left w:val="none" w:sz="0" w:space="0" w:color="auto"/>
                <w:bottom w:val="none" w:sz="0" w:space="0" w:color="auto"/>
                <w:right w:val="none" w:sz="0" w:space="0" w:color="auto"/>
              </w:divBdr>
            </w:div>
            <w:div w:id="231090640">
              <w:marLeft w:val="0"/>
              <w:marRight w:val="0"/>
              <w:marTop w:val="0"/>
              <w:marBottom w:val="0"/>
              <w:divBdr>
                <w:top w:val="none" w:sz="0" w:space="0" w:color="auto"/>
                <w:left w:val="none" w:sz="0" w:space="0" w:color="auto"/>
                <w:bottom w:val="none" w:sz="0" w:space="0" w:color="auto"/>
                <w:right w:val="none" w:sz="0" w:space="0" w:color="auto"/>
              </w:divBdr>
            </w:div>
            <w:div w:id="658659833">
              <w:marLeft w:val="0"/>
              <w:marRight w:val="0"/>
              <w:marTop w:val="0"/>
              <w:marBottom w:val="0"/>
              <w:divBdr>
                <w:top w:val="none" w:sz="0" w:space="0" w:color="auto"/>
                <w:left w:val="none" w:sz="0" w:space="0" w:color="auto"/>
                <w:bottom w:val="none" w:sz="0" w:space="0" w:color="auto"/>
                <w:right w:val="none" w:sz="0" w:space="0" w:color="auto"/>
              </w:divBdr>
            </w:div>
            <w:div w:id="1204831027">
              <w:marLeft w:val="0"/>
              <w:marRight w:val="0"/>
              <w:marTop w:val="0"/>
              <w:marBottom w:val="0"/>
              <w:divBdr>
                <w:top w:val="none" w:sz="0" w:space="0" w:color="auto"/>
                <w:left w:val="none" w:sz="0" w:space="0" w:color="auto"/>
                <w:bottom w:val="none" w:sz="0" w:space="0" w:color="auto"/>
                <w:right w:val="none" w:sz="0" w:space="0" w:color="auto"/>
              </w:divBdr>
            </w:div>
            <w:div w:id="231238982">
              <w:marLeft w:val="0"/>
              <w:marRight w:val="0"/>
              <w:marTop w:val="0"/>
              <w:marBottom w:val="0"/>
              <w:divBdr>
                <w:top w:val="none" w:sz="0" w:space="0" w:color="auto"/>
                <w:left w:val="none" w:sz="0" w:space="0" w:color="auto"/>
                <w:bottom w:val="none" w:sz="0" w:space="0" w:color="auto"/>
                <w:right w:val="none" w:sz="0" w:space="0" w:color="auto"/>
              </w:divBdr>
            </w:div>
            <w:div w:id="1370105083">
              <w:marLeft w:val="0"/>
              <w:marRight w:val="0"/>
              <w:marTop w:val="0"/>
              <w:marBottom w:val="0"/>
              <w:divBdr>
                <w:top w:val="none" w:sz="0" w:space="0" w:color="auto"/>
                <w:left w:val="none" w:sz="0" w:space="0" w:color="auto"/>
                <w:bottom w:val="none" w:sz="0" w:space="0" w:color="auto"/>
                <w:right w:val="none" w:sz="0" w:space="0" w:color="auto"/>
              </w:divBdr>
            </w:div>
            <w:div w:id="1314598210">
              <w:marLeft w:val="0"/>
              <w:marRight w:val="0"/>
              <w:marTop w:val="0"/>
              <w:marBottom w:val="0"/>
              <w:divBdr>
                <w:top w:val="none" w:sz="0" w:space="0" w:color="auto"/>
                <w:left w:val="none" w:sz="0" w:space="0" w:color="auto"/>
                <w:bottom w:val="none" w:sz="0" w:space="0" w:color="auto"/>
                <w:right w:val="none" w:sz="0" w:space="0" w:color="auto"/>
              </w:divBdr>
            </w:div>
            <w:div w:id="1406613319">
              <w:marLeft w:val="0"/>
              <w:marRight w:val="0"/>
              <w:marTop w:val="0"/>
              <w:marBottom w:val="0"/>
              <w:divBdr>
                <w:top w:val="none" w:sz="0" w:space="0" w:color="auto"/>
                <w:left w:val="none" w:sz="0" w:space="0" w:color="auto"/>
                <w:bottom w:val="none" w:sz="0" w:space="0" w:color="auto"/>
                <w:right w:val="none" w:sz="0" w:space="0" w:color="auto"/>
              </w:divBdr>
            </w:div>
            <w:div w:id="651904723">
              <w:marLeft w:val="0"/>
              <w:marRight w:val="0"/>
              <w:marTop w:val="0"/>
              <w:marBottom w:val="0"/>
              <w:divBdr>
                <w:top w:val="none" w:sz="0" w:space="0" w:color="auto"/>
                <w:left w:val="none" w:sz="0" w:space="0" w:color="auto"/>
                <w:bottom w:val="none" w:sz="0" w:space="0" w:color="auto"/>
                <w:right w:val="none" w:sz="0" w:space="0" w:color="auto"/>
              </w:divBdr>
            </w:div>
            <w:div w:id="827944450">
              <w:marLeft w:val="0"/>
              <w:marRight w:val="0"/>
              <w:marTop w:val="0"/>
              <w:marBottom w:val="0"/>
              <w:divBdr>
                <w:top w:val="none" w:sz="0" w:space="0" w:color="auto"/>
                <w:left w:val="none" w:sz="0" w:space="0" w:color="auto"/>
                <w:bottom w:val="none" w:sz="0" w:space="0" w:color="auto"/>
                <w:right w:val="none" w:sz="0" w:space="0" w:color="auto"/>
              </w:divBdr>
            </w:div>
            <w:div w:id="1484933220">
              <w:marLeft w:val="0"/>
              <w:marRight w:val="0"/>
              <w:marTop w:val="0"/>
              <w:marBottom w:val="0"/>
              <w:divBdr>
                <w:top w:val="none" w:sz="0" w:space="0" w:color="auto"/>
                <w:left w:val="none" w:sz="0" w:space="0" w:color="auto"/>
                <w:bottom w:val="none" w:sz="0" w:space="0" w:color="auto"/>
                <w:right w:val="none" w:sz="0" w:space="0" w:color="auto"/>
              </w:divBdr>
            </w:div>
            <w:div w:id="1057892897">
              <w:marLeft w:val="0"/>
              <w:marRight w:val="0"/>
              <w:marTop w:val="0"/>
              <w:marBottom w:val="0"/>
              <w:divBdr>
                <w:top w:val="none" w:sz="0" w:space="0" w:color="auto"/>
                <w:left w:val="none" w:sz="0" w:space="0" w:color="auto"/>
                <w:bottom w:val="none" w:sz="0" w:space="0" w:color="auto"/>
                <w:right w:val="none" w:sz="0" w:space="0" w:color="auto"/>
              </w:divBdr>
            </w:div>
            <w:div w:id="1416778833">
              <w:marLeft w:val="0"/>
              <w:marRight w:val="0"/>
              <w:marTop w:val="0"/>
              <w:marBottom w:val="0"/>
              <w:divBdr>
                <w:top w:val="none" w:sz="0" w:space="0" w:color="auto"/>
                <w:left w:val="none" w:sz="0" w:space="0" w:color="auto"/>
                <w:bottom w:val="none" w:sz="0" w:space="0" w:color="auto"/>
                <w:right w:val="none" w:sz="0" w:space="0" w:color="auto"/>
              </w:divBdr>
            </w:div>
            <w:div w:id="1293712056">
              <w:marLeft w:val="0"/>
              <w:marRight w:val="0"/>
              <w:marTop w:val="0"/>
              <w:marBottom w:val="0"/>
              <w:divBdr>
                <w:top w:val="none" w:sz="0" w:space="0" w:color="auto"/>
                <w:left w:val="none" w:sz="0" w:space="0" w:color="auto"/>
                <w:bottom w:val="none" w:sz="0" w:space="0" w:color="auto"/>
                <w:right w:val="none" w:sz="0" w:space="0" w:color="auto"/>
              </w:divBdr>
            </w:div>
            <w:div w:id="459493947">
              <w:marLeft w:val="0"/>
              <w:marRight w:val="0"/>
              <w:marTop w:val="0"/>
              <w:marBottom w:val="0"/>
              <w:divBdr>
                <w:top w:val="none" w:sz="0" w:space="0" w:color="auto"/>
                <w:left w:val="none" w:sz="0" w:space="0" w:color="auto"/>
                <w:bottom w:val="none" w:sz="0" w:space="0" w:color="auto"/>
                <w:right w:val="none" w:sz="0" w:space="0" w:color="auto"/>
              </w:divBdr>
            </w:div>
            <w:div w:id="1409419290">
              <w:marLeft w:val="0"/>
              <w:marRight w:val="0"/>
              <w:marTop w:val="0"/>
              <w:marBottom w:val="0"/>
              <w:divBdr>
                <w:top w:val="none" w:sz="0" w:space="0" w:color="auto"/>
                <w:left w:val="none" w:sz="0" w:space="0" w:color="auto"/>
                <w:bottom w:val="none" w:sz="0" w:space="0" w:color="auto"/>
                <w:right w:val="none" w:sz="0" w:space="0" w:color="auto"/>
              </w:divBdr>
            </w:div>
            <w:div w:id="1444037918">
              <w:marLeft w:val="0"/>
              <w:marRight w:val="0"/>
              <w:marTop w:val="0"/>
              <w:marBottom w:val="0"/>
              <w:divBdr>
                <w:top w:val="none" w:sz="0" w:space="0" w:color="auto"/>
                <w:left w:val="none" w:sz="0" w:space="0" w:color="auto"/>
                <w:bottom w:val="none" w:sz="0" w:space="0" w:color="auto"/>
                <w:right w:val="none" w:sz="0" w:space="0" w:color="auto"/>
              </w:divBdr>
            </w:div>
            <w:div w:id="990524934">
              <w:marLeft w:val="0"/>
              <w:marRight w:val="0"/>
              <w:marTop w:val="0"/>
              <w:marBottom w:val="0"/>
              <w:divBdr>
                <w:top w:val="none" w:sz="0" w:space="0" w:color="auto"/>
                <w:left w:val="none" w:sz="0" w:space="0" w:color="auto"/>
                <w:bottom w:val="none" w:sz="0" w:space="0" w:color="auto"/>
                <w:right w:val="none" w:sz="0" w:space="0" w:color="auto"/>
              </w:divBdr>
            </w:div>
            <w:div w:id="439184065">
              <w:marLeft w:val="0"/>
              <w:marRight w:val="0"/>
              <w:marTop w:val="0"/>
              <w:marBottom w:val="0"/>
              <w:divBdr>
                <w:top w:val="none" w:sz="0" w:space="0" w:color="auto"/>
                <w:left w:val="none" w:sz="0" w:space="0" w:color="auto"/>
                <w:bottom w:val="none" w:sz="0" w:space="0" w:color="auto"/>
                <w:right w:val="none" w:sz="0" w:space="0" w:color="auto"/>
              </w:divBdr>
            </w:div>
            <w:div w:id="163474717">
              <w:marLeft w:val="0"/>
              <w:marRight w:val="0"/>
              <w:marTop w:val="0"/>
              <w:marBottom w:val="0"/>
              <w:divBdr>
                <w:top w:val="none" w:sz="0" w:space="0" w:color="auto"/>
                <w:left w:val="none" w:sz="0" w:space="0" w:color="auto"/>
                <w:bottom w:val="none" w:sz="0" w:space="0" w:color="auto"/>
                <w:right w:val="none" w:sz="0" w:space="0" w:color="auto"/>
              </w:divBdr>
            </w:div>
            <w:div w:id="461463288">
              <w:marLeft w:val="0"/>
              <w:marRight w:val="0"/>
              <w:marTop w:val="0"/>
              <w:marBottom w:val="0"/>
              <w:divBdr>
                <w:top w:val="none" w:sz="0" w:space="0" w:color="auto"/>
                <w:left w:val="none" w:sz="0" w:space="0" w:color="auto"/>
                <w:bottom w:val="none" w:sz="0" w:space="0" w:color="auto"/>
                <w:right w:val="none" w:sz="0" w:space="0" w:color="auto"/>
              </w:divBdr>
            </w:div>
            <w:div w:id="20997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6566">
      <w:marLeft w:val="0"/>
      <w:marRight w:val="0"/>
      <w:marTop w:val="0"/>
      <w:marBottom w:val="0"/>
      <w:divBdr>
        <w:top w:val="none" w:sz="0" w:space="0" w:color="auto"/>
        <w:left w:val="none" w:sz="0" w:space="0" w:color="auto"/>
        <w:bottom w:val="none" w:sz="0" w:space="0" w:color="auto"/>
        <w:right w:val="none" w:sz="0" w:space="0" w:color="auto"/>
      </w:divBdr>
      <w:divsChild>
        <w:div w:id="1273592226">
          <w:marLeft w:val="0"/>
          <w:marRight w:val="0"/>
          <w:marTop w:val="0"/>
          <w:marBottom w:val="0"/>
          <w:divBdr>
            <w:top w:val="none" w:sz="0" w:space="0" w:color="auto"/>
            <w:left w:val="none" w:sz="0" w:space="0" w:color="auto"/>
            <w:bottom w:val="none" w:sz="0" w:space="0" w:color="auto"/>
            <w:right w:val="none" w:sz="0" w:space="0" w:color="auto"/>
          </w:divBdr>
        </w:div>
      </w:divsChild>
    </w:div>
    <w:div w:id="2051417378">
      <w:bodyDiv w:val="1"/>
      <w:marLeft w:val="0"/>
      <w:marRight w:val="0"/>
      <w:marTop w:val="0"/>
      <w:marBottom w:val="0"/>
      <w:divBdr>
        <w:top w:val="none" w:sz="0" w:space="0" w:color="auto"/>
        <w:left w:val="none" w:sz="0" w:space="0" w:color="auto"/>
        <w:bottom w:val="none" w:sz="0" w:space="0" w:color="auto"/>
        <w:right w:val="none" w:sz="0" w:space="0" w:color="auto"/>
      </w:divBdr>
    </w:div>
    <w:div w:id="2051491891">
      <w:marLeft w:val="0"/>
      <w:marRight w:val="0"/>
      <w:marTop w:val="0"/>
      <w:marBottom w:val="0"/>
      <w:divBdr>
        <w:top w:val="none" w:sz="0" w:space="0" w:color="auto"/>
        <w:left w:val="none" w:sz="0" w:space="0" w:color="auto"/>
        <w:bottom w:val="none" w:sz="0" w:space="0" w:color="auto"/>
        <w:right w:val="none" w:sz="0" w:space="0" w:color="auto"/>
      </w:divBdr>
      <w:divsChild>
        <w:div w:id="209804654">
          <w:marLeft w:val="0"/>
          <w:marRight w:val="0"/>
          <w:marTop w:val="0"/>
          <w:marBottom w:val="0"/>
          <w:divBdr>
            <w:top w:val="none" w:sz="0" w:space="0" w:color="auto"/>
            <w:left w:val="none" w:sz="0" w:space="0" w:color="auto"/>
            <w:bottom w:val="none" w:sz="0" w:space="0" w:color="auto"/>
            <w:right w:val="none" w:sz="0" w:space="0" w:color="auto"/>
          </w:divBdr>
        </w:div>
      </w:divsChild>
    </w:div>
    <w:div w:id="2052529133">
      <w:bodyDiv w:val="1"/>
      <w:marLeft w:val="0"/>
      <w:marRight w:val="0"/>
      <w:marTop w:val="0"/>
      <w:marBottom w:val="0"/>
      <w:divBdr>
        <w:top w:val="none" w:sz="0" w:space="0" w:color="auto"/>
        <w:left w:val="none" w:sz="0" w:space="0" w:color="auto"/>
        <w:bottom w:val="none" w:sz="0" w:space="0" w:color="auto"/>
        <w:right w:val="none" w:sz="0" w:space="0" w:color="auto"/>
      </w:divBdr>
    </w:div>
    <w:div w:id="2053724717">
      <w:bodyDiv w:val="1"/>
      <w:marLeft w:val="0"/>
      <w:marRight w:val="0"/>
      <w:marTop w:val="0"/>
      <w:marBottom w:val="0"/>
      <w:divBdr>
        <w:top w:val="none" w:sz="0" w:space="0" w:color="auto"/>
        <w:left w:val="none" w:sz="0" w:space="0" w:color="auto"/>
        <w:bottom w:val="none" w:sz="0" w:space="0" w:color="auto"/>
        <w:right w:val="none" w:sz="0" w:space="0" w:color="auto"/>
      </w:divBdr>
    </w:div>
    <w:div w:id="2057927729">
      <w:bodyDiv w:val="1"/>
      <w:marLeft w:val="0"/>
      <w:marRight w:val="0"/>
      <w:marTop w:val="0"/>
      <w:marBottom w:val="0"/>
      <w:divBdr>
        <w:top w:val="none" w:sz="0" w:space="0" w:color="auto"/>
        <w:left w:val="none" w:sz="0" w:space="0" w:color="auto"/>
        <w:bottom w:val="none" w:sz="0" w:space="0" w:color="auto"/>
        <w:right w:val="none" w:sz="0" w:space="0" w:color="auto"/>
      </w:divBdr>
    </w:div>
    <w:div w:id="2061204941">
      <w:marLeft w:val="0"/>
      <w:marRight w:val="0"/>
      <w:marTop w:val="0"/>
      <w:marBottom w:val="0"/>
      <w:divBdr>
        <w:top w:val="none" w:sz="0" w:space="0" w:color="auto"/>
        <w:left w:val="none" w:sz="0" w:space="0" w:color="auto"/>
        <w:bottom w:val="none" w:sz="0" w:space="0" w:color="auto"/>
        <w:right w:val="none" w:sz="0" w:space="0" w:color="auto"/>
      </w:divBdr>
      <w:divsChild>
        <w:div w:id="325017063">
          <w:marLeft w:val="0"/>
          <w:marRight w:val="0"/>
          <w:marTop w:val="0"/>
          <w:marBottom w:val="0"/>
          <w:divBdr>
            <w:top w:val="none" w:sz="0" w:space="0" w:color="auto"/>
            <w:left w:val="none" w:sz="0" w:space="0" w:color="auto"/>
            <w:bottom w:val="none" w:sz="0" w:space="0" w:color="auto"/>
            <w:right w:val="none" w:sz="0" w:space="0" w:color="auto"/>
          </w:divBdr>
        </w:div>
      </w:divsChild>
    </w:div>
    <w:div w:id="2062558263">
      <w:marLeft w:val="0"/>
      <w:marRight w:val="0"/>
      <w:marTop w:val="0"/>
      <w:marBottom w:val="0"/>
      <w:divBdr>
        <w:top w:val="none" w:sz="0" w:space="0" w:color="auto"/>
        <w:left w:val="none" w:sz="0" w:space="0" w:color="auto"/>
        <w:bottom w:val="none" w:sz="0" w:space="0" w:color="auto"/>
        <w:right w:val="none" w:sz="0" w:space="0" w:color="auto"/>
      </w:divBdr>
      <w:divsChild>
        <w:div w:id="1261528001">
          <w:marLeft w:val="0"/>
          <w:marRight w:val="0"/>
          <w:marTop w:val="0"/>
          <w:marBottom w:val="0"/>
          <w:divBdr>
            <w:top w:val="none" w:sz="0" w:space="0" w:color="auto"/>
            <w:left w:val="none" w:sz="0" w:space="0" w:color="auto"/>
            <w:bottom w:val="none" w:sz="0" w:space="0" w:color="auto"/>
            <w:right w:val="none" w:sz="0" w:space="0" w:color="auto"/>
          </w:divBdr>
        </w:div>
      </w:divsChild>
    </w:div>
    <w:div w:id="2063013741">
      <w:bodyDiv w:val="1"/>
      <w:marLeft w:val="0"/>
      <w:marRight w:val="0"/>
      <w:marTop w:val="0"/>
      <w:marBottom w:val="0"/>
      <w:divBdr>
        <w:top w:val="none" w:sz="0" w:space="0" w:color="auto"/>
        <w:left w:val="none" w:sz="0" w:space="0" w:color="auto"/>
        <w:bottom w:val="none" w:sz="0" w:space="0" w:color="auto"/>
        <w:right w:val="none" w:sz="0" w:space="0" w:color="auto"/>
      </w:divBdr>
      <w:divsChild>
        <w:div w:id="523786696">
          <w:marLeft w:val="0"/>
          <w:marRight w:val="0"/>
          <w:marTop w:val="0"/>
          <w:marBottom w:val="0"/>
          <w:divBdr>
            <w:top w:val="none" w:sz="0" w:space="0" w:color="auto"/>
            <w:left w:val="none" w:sz="0" w:space="0" w:color="auto"/>
            <w:bottom w:val="none" w:sz="0" w:space="0" w:color="auto"/>
            <w:right w:val="none" w:sz="0" w:space="0" w:color="auto"/>
          </w:divBdr>
          <w:divsChild>
            <w:div w:id="141892325">
              <w:marLeft w:val="0"/>
              <w:marRight w:val="0"/>
              <w:marTop w:val="0"/>
              <w:marBottom w:val="0"/>
              <w:divBdr>
                <w:top w:val="none" w:sz="0" w:space="0" w:color="auto"/>
                <w:left w:val="none" w:sz="0" w:space="0" w:color="auto"/>
                <w:bottom w:val="none" w:sz="0" w:space="0" w:color="auto"/>
                <w:right w:val="none" w:sz="0" w:space="0" w:color="auto"/>
              </w:divBdr>
            </w:div>
            <w:div w:id="1375543103">
              <w:marLeft w:val="0"/>
              <w:marRight w:val="0"/>
              <w:marTop w:val="0"/>
              <w:marBottom w:val="0"/>
              <w:divBdr>
                <w:top w:val="none" w:sz="0" w:space="0" w:color="auto"/>
                <w:left w:val="none" w:sz="0" w:space="0" w:color="auto"/>
                <w:bottom w:val="none" w:sz="0" w:space="0" w:color="auto"/>
                <w:right w:val="none" w:sz="0" w:space="0" w:color="auto"/>
              </w:divBdr>
            </w:div>
            <w:div w:id="1097605402">
              <w:marLeft w:val="0"/>
              <w:marRight w:val="0"/>
              <w:marTop w:val="0"/>
              <w:marBottom w:val="0"/>
              <w:divBdr>
                <w:top w:val="none" w:sz="0" w:space="0" w:color="auto"/>
                <w:left w:val="none" w:sz="0" w:space="0" w:color="auto"/>
                <w:bottom w:val="none" w:sz="0" w:space="0" w:color="auto"/>
                <w:right w:val="none" w:sz="0" w:space="0" w:color="auto"/>
              </w:divBdr>
            </w:div>
            <w:div w:id="1674599616">
              <w:marLeft w:val="0"/>
              <w:marRight w:val="0"/>
              <w:marTop w:val="0"/>
              <w:marBottom w:val="0"/>
              <w:divBdr>
                <w:top w:val="none" w:sz="0" w:space="0" w:color="auto"/>
                <w:left w:val="none" w:sz="0" w:space="0" w:color="auto"/>
                <w:bottom w:val="none" w:sz="0" w:space="0" w:color="auto"/>
                <w:right w:val="none" w:sz="0" w:space="0" w:color="auto"/>
              </w:divBdr>
            </w:div>
            <w:div w:id="1131559990">
              <w:marLeft w:val="0"/>
              <w:marRight w:val="0"/>
              <w:marTop w:val="0"/>
              <w:marBottom w:val="0"/>
              <w:divBdr>
                <w:top w:val="none" w:sz="0" w:space="0" w:color="auto"/>
                <w:left w:val="none" w:sz="0" w:space="0" w:color="auto"/>
                <w:bottom w:val="none" w:sz="0" w:space="0" w:color="auto"/>
                <w:right w:val="none" w:sz="0" w:space="0" w:color="auto"/>
              </w:divBdr>
            </w:div>
            <w:div w:id="2043706740">
              <w:marLeft w:val="0"/>
              <w:marRight w:val="0"/>
              <w:marTop w:val="0"/>
              <w:marBottom w:val="0"/>
              <w:divBdr>
                <w:top w:val="none" w:sz="0" w:space="0" w:color="auto"/>
                <w:left w:val="none" w:sz="0" w:space="0" w:color="auto"/>
                <w:bottom w:val="none" w:sz="0" w:space="0" w:color="auto"/>
                <w:right w:val="none" w:sz="0" w:space="0" w:color="auto"/>
              </w:divBdr>
            </w:div>
            <w:div w:id="9647769">
              <w:marLeft w:val="0"/>
              <w:marRight w:val="0"/>
              <w:marTop w:val="0"/>
              <w:marBottom w:val="0"/>
              <w:divBdr>
                <w:top w:val="none" w:sz="0" w:space="0" w:color="auto"/>
                <w:left w:val="none" w:sz="0" w:space="0" w:color="auto"/>
                <w:bottom w:val="none" w:sz="0" w:space="0" w:color="auto"/>
                <w:right w:val="none" w:sz="0" w:space="0" w:color="auto"/>
              </w:divBdr>
            </w:div>
            <w:div w:id="380717670">
              <w:marLeft w:val="0"/>
              <w:marRight w:val="0"/>
              <w:marTop w:val="0"/>
              <w:marBottom w:val="0"/>
              <w:divBdr>
                <w:top w:val="none" w:sz="0" w:space="0" w:color="auto"/>
                <w:left w:val="none" w:sz="0" w:space="0" w:color="auto"/>
                <w:bottom w:val="none" w:sz="0" w:space="0" w:color="auto"/>
                <w:right w:val="none" w:sz="0" w:space="0" w:color="auto"/>
              </w:divBdr>
            </w:div>
            <w:div w:id="1100756073">
              <w:marLeft w:val="0"/>
              <w:marRight w:val="0"/>
              <w:marTop w:val="0"/>
              <w:marBottom w:val="0"/>
              <w:divBdr>
                <w:top w:val="none" w:sz="0" w:space="0" w:color="auto"/>
                <w:left w:val="none" w:sz="0" w:space="0" w:color="auto"/>
                <w:bottom w:val="none" w:sz="0" w:space="0" w:color="auto"/>
                <w:right w:val="none" w:sz="0" w:space="0" w:color="auto"/>
              </w:divBdr>
            </w:div>
            <w:div w:id="663510613">
              <w:marLeft w:val="0"/>
              <w:marRight w:val="0"/>
              <w:marTop w:val="0"/>
              <w:marBottom w:val="0"/>
              <w:divBdr>
                <w:top w:val="none" w:sz="0" w:space="0" w:color="auto"/>
                <w:left w:val="none" w:sz="0" w:space="0" w:color="auto"/>
                <w:bottom w:val="none" w:sz="0" w:space="0" w:color="auto"/>
                <w:right w:val="none" w:sz="0" w:space="0" w:color="auto"/>
              </w:divBdr>
            </w:div>
            <w:div w:id="155463352">
              <w:marLeft w:val="0"/>
              <w:marRight w:val="0"/>
              <w:marTop w:val="0"/>
              <w:marBottom w:val="0"/>
              <w:divBdr>
                <w:top w:val="none" w:sz="0" w:space="0" w:color="auto"/>
                <w:left w:val="none" w:sz="0" w:space="0" w:color="auto"/>
                <w:bottom w:val="none" w:sz="0" w:space="0" w:color="auto"/>
                <w:right w:val="none" w:sz="0" w:space="0" w:color="auto"/>
              </w:divBdr>
            </w:div>
            <w:div w:id="1306739558">
              <w:marLeft w:val="0"/>
              <w:marRight w:val="0"/>
              <w:marTop w:val="0"/>
              <w:marBottom w:val="0"/>
              <w:divBdr>
                <w:top w:val="none" w:sz="0" w:space="0" w:color="auto"/>
                <w:left w:val="none" w:sz="0" w:space="0" w:color="auto"/>
                <w:bottom w:val="none" w:sz="0" w:space="0" w:color="auto"/>
                <w:right w:val="none" w:sz="0" w:space="0" w:color="auto"/>
              </w:divBdr>
            </w:div>
            <w:div w:id="792864488">
              <w:marLeft w:val="0"/>
              <w:marRight w:val="0"/>
              <w:marTop w:val="0"/>
              <w:marBottom w:val="0"/>
              <w:divBdr>
                <w:top w:val="none" w:sz="0" w:space="0" w:color="auto"/>
                <w:left w:val="none" w:sz="0" w:space="0" w:color="auto"/>
                <w:bottom w:val="none" w:sz="0" w:space="0" w:color="auto"/>
                <w:right w:val="none" w:sz="0" w:space="0" w:color="auto"/>
              </w:divBdr>
            </w:div>
            <w:div w:id="835999462">
              <w:marLeft w:val="0"/>
              <w:marRight w:val="0"/>
              <w:marTop w:val="0"/>
              <w:marBottom w:val="0"/>
              <w:divBdr>
                <w:top w:val="none" w:sz="0" w:space="0" w:color="auto"/>
                <w:left w:val="none" w:sz="0" w:space="0" w:color="auto"/>
                <w:bottom w:val="none" w:sz="0" w:space="0" w:color="auto"/>
                <w:right w:val="none" w:sz="0" w:space="0" w:color="auto"/>
              </w:divBdr>
            </w:div>
            <w:div w:id="1584101192">
              <w:marLeft w:val="0"/>
              <w:marRight w:val="0"/>
              <w:marTop w:val="0"/>
              <w:marBottom w:val="0"/>
              <w:divBdr>
                <w:top w:val="none" w:sz="0" w:space="0" w:color="auto"/>
                <w:left w:val="none" w:sz="0" w:space="0" w:color="auto"/>
                <w:bottom w:val="none" w:sz="0" w:space="0" w:color="auto"/>
                <w:right w:val="none" w:sz="0" w:space="0" w:color="auto"/>
              </w:divBdr>
            </w:div>
            <w:div w:id="831606970">
              <w:marLeft w:val="0"/>
              <w:marRight w:val="0"/>
              <w:marTop w:val="0"/>
              <w:marBottom w:val="0"/>
              <w:divBdr>
                <w:top w:val="none" w:sz="0" w:space="0" w:color="auto"/>
                <w:left w:val="none" w:sz="0" w:space="0" w:color="auto"/>
                <w:bottom w:val="none" w:sz="0" w:space="0" w:color="auto"/>
                <w:right w:val="none" w:sz="0" w:space="0" w:color="auto"/>
              </w:divBdr>
            </w:div>
            <w:div w:id="159124442">
              <w:marLeft w:val="0"/>
              <w:marRight w:val="0"/>
              <w:marTop w:val="0"/>
              <w:marBottom w:val="0"/>
              <w:divBdr>
                <w:top w:val="none" w:sz="0" w:space="0" w:color="auto"/>
                <w:left w:val="none" w:sz="0" w:space="0" w:color="auto"/>
                <w:bottom w:val="none" w:sz="0" w:space="0" w:color="auto"/>
                <w:right w:val="none" w:sz="0" w:space="0" w:color="auto"/>
              </w:divBdr>
            </w:div>
            <w:div w:id="987173271">
              <w:marLeft w:val="0"/>
              <w:marRight w:val="0"/>
              <w:marTop w:val="0"/>
              <w:marBottom w:val="0"/>
              <w:divBdr>
                <w:top w:val="none" w:sz="0" w:space="0" w:color="auto"/>
                <w:left w:val="none" w:sz="0" w:space="0" w:color="auto"/>
                <w:bottom w:val="none" w:sz="0" w:space="0" w:color="auto"/>
                <w:right w:val="none" w:sz="0" w:space="0" w:color="auto"/>
              </w:divBdr>
            </w:div>
            <w:div w:id="1303272607">
              <w:marLeft w:val="0"/>
              <w:marRight w:val="0"/>
              <w:marTop w:val="0"/>
              <w:marBottom w:val="0"/>
              <w:divBdr>
                <w:top w:val="none" w:sz="0" w:space="0" w:color="auto"/>
                <w:left w:val="none" w:sz="0" w:space="0" w:color="auto"/>
                <w:bottom w:val="none" w:sz="0" w:space="0" w:color="auto"/>
                <w:right w:val="none" w:sz="0" w:space="0" w:color="auto"/>
              </w:divBdr>
            </w:div>
            <w:div w:id="1378435041">
              <w:marLeft w:val="0"/>
              <w:marRight w:val="0"/>
              <w:marTop w:val="0"/>
              <w:marBottom w:val="0"/>
              <w:divBdr>
                <w:top w:val="none" w:sz="0" w:space="0" w:color="auto"/>
                <w:left w:val="none" w:sz="0" w:space="0" w:color="auto"/>
                <w:bottom w:val="none" w:sz="0" w:space="0" w:color="auto"/>
                <w:right w:val="none" w:sz="0" w:space="0" w:color="auto"/>
              </w:divBdr>
            </w:div>
            <w:div w:id="1153989707">
              <w:marLeft w:val="0"/>
              <w:marRight w:val="0"/>
              <w:marTop w:val="0"/>
              <w:marBottom w:val="0"/>
              <w:divBdr>
                <w:top w:val="none" w:sz="0" w:space="0" w:color="auto"/>
                <w:left w:val="none" w:sz="0" w:space="0" w:color="auto"/>
                <w:bottom w:val="none" w:sz="0" w:space="0" w:color="auto"/>
                <w:right w:val="none" w:sz="0" w:space="0" w:color="auto"/>
              </w:divBdr>
            </w:div>
            <w:div w:id="19094485">
              <w:marLeft w:val="0"/>
              <w:marRight w:val="0"/>
              <w:marTop w:val="0"/>
              <w:marBottom w:val="0"/>
              <w:divBdr>
                <w:top w:val="none" w:sz="0" w:space="0" w:color="auto"/>
                <w:left w:val="none" w:sz="0" w:space="0" w:color="auto"/>
                <w:bottom w:val="none" w:sz="0" w:space="0" w:color="auto"/>
                <w:right w:val="none" w:sz="0" w:space="0" w:color="auto"/>
              </w:divBdr>
            </w:div>
            <w:div w:id="711735877">
              <w:marLeft w:val="0"/>
              <w:marRight w:val="0"/>
              <w:marTop w:val="0"/>
              <w:marBottom w:val="0"/>
              <w:divBdr>
                <w:top w:val="none" w:sz="0" w:space="0" w:color="auto"/>
                <w:left w:val="none" w:sz="0" w:space="0" w:color="auto"/>
                <w:bottom w:val="none" w:sz="0" w:space="0" w:color="auto"/>
                <w:right w:val="none" w:sz="0" w:space="0" w:color="auto"/>
              </w:divBdr>
            </w:div>
            <w:div w:id="207381739">
              <w:marLeft w:val="0"/>
              <w:marRight w:val="0"/>
              <w:marTop w:val="0"/>
              <w:marBottom w:val="0"/>
              <w:divBdr>
                <w:top w:val="none" w:sz="0" w:space="0" w:color="auto"/>
                <w:left w:val="none" w:sz="0" w:space="0" w:color="auto"/>
                <w:bottom w:val="none" w:sz="0" w:space="0" w:color="auto"/>
                <w:right w:val="none" w:sz="0" w:space="0" w:color="auto"/>
              </w:divBdr>
            </w:div>
            <w:div w:id="8846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2028">
      <w:bodyDiv w:val="1"/>
      <w:marLeft w:val="0"/>
      <w:marRight w:val="0"/>
      <w:marTop w:val="0"/>
      <w:marBottom w:val="0"/>
      <w:divBdr>
        <w:top w:val="none" w:sz="0" w:space="0" w:color="auto"/>
        <w:left w:val="none" w:sz="0" w:space="0" w:color="auto"/>
        <w:bottom w:val="none" w:sz="0" w:space="0" w:color="auto"/>
        <w:right w:val="none" w:sz="0" w:space="0" w:color="auto"/>
      </w:divBdr>
    </w:div>
    <w:div w:id="2078547504">
      <w:marLeft w:val="0"/>
      <w:marRight w:val="0"/>
      <w:marTop w:val="0"/>
      <w:marBottom w:val="0"/>
      <w:divBdr>
        <w:top w:val="none" w:sz="0" w:space="0" w:color="auto"/>
        <w:left w:val="none" w:sz="0" w:space="0" w:color="auto"/>
        <w:bottom w:val="none" w:sz="0" w:space="0" w:color="auto"/>
        <w:right w:val="none" w:sz="0" w:space="0" w:color="auto"/>
      </w:divBdr>
      <w:divsChild>
        <w:div w:id="594748732">
          <w:marLeft w:val="0"/>
          <w:marRight w:val="0"/>
          <w:marTop w:val="0"/>
          <w:marBottom w:val="0"/>
          <w:divBdr>
            <w:top w:val="none" w:sz="0" w:space="0" w:color="auto"/>
            <w:left w:val="none" w:sz="0" w:space="0" w:color="auto"/>
            <w:bottom w:val="none" w:sz="0" w:space="0" w:color="auto"/>
            <w:right w:val="none" w:sz="0" w:space="0" w:color="auto"/>
          </w:divBdr>
        </w:div>
      </w:divsChild>
    </w:div>
    <w:div w:id="2080862131">
      <w:bodyDiv w:val="1"/>
      <w:marLeft w:val="0"/>
      <w:marRight w:val="0"/>
      <w:marTop w:val="0"/>
      <w:marBottom w:val="0"/>
      <w:divBdr>
        <w:top w:val="none" w:sz="0" w:space="0" w:color="auto"/>
        <w:left w:val="none" w:sz="0" w:space="0" w:color="auto"/>
        <w:bottom w:val="none" w:sz="0" w:space="0" w:color="auto"/>
        <w:right w:val="none" w:sz="0" w:space="0" w:color="auto"/>
      </w:divBdr>
    </w:div>
    <w:div w:id="2084523352">
      <w:marLeft w:val="0"/>
      <w:marRight w:val="0"/>
      <w:marTop w:val="0"/>
      <w:marBottom w:val="0"/>
      <w:divBdr>
        <w:top w:val="none" w:sz="0" w:space="0" w:color="auto"/>
        <w:left w:val="none" w:sz="0" w:space="0" w:color="auto"/>
        <w:bottom w:val="none" w:sz="0" w:space="0" w:color="auto"/>
        <w:right w:val="none" w:sz="0" w:space="0" w:color="auto"/>
      </w:divBdr>
      <w:divsChild>
        <w:div w:id="1681007808">
          <w:marLeft w:val="0"/>
          <w:marRight w:val="0"/>
          <w:marTop w:val="0"/>
          <w:marBottom w:val="0"/>
          <w:divBdr>
            <w:top w:val="none" w:sz="0" w:space="0" w:color="auto"/>
            <w:left w:val="none" w:sz="0" w:space="0" w:color="auto"/>
            <w:bottom w:val="none" w:sz="0" w:space="0" w:color="auto"/>
            <w:right w:val="none" w:sz="0" w:space="0" w:color="auto"/>
          </w:divBdr>
        </w:div>
      </w:divsChild>
    </w:div>
    <w:div w:id="2088726773">
      <w:bodyDiv w:val="1"/>
      <w:marLeft w:val="0"/>
      <w:marRight w:val="0"/>
      <w:marTop w:val="0"/>
      <w:marBottom w:val="0"/>
      <w:divBdr>
        <w:top w:val="none" w:sz="0" w:space="0" w:color="auto"/>
        <w:left w:val="none" w:sz="0" w:space="0" w:color="auto"/>
        <w:bottom w:val="none" w:sz="0" w:space="0" w:color="auto"/>
        <w:right w:val="none" w:sz="0" w:space="0" w:color="auto"/>
      </w:divBdr>
    </w:div>
    <w:div w:id="2092071979">
      <w:marLeft w:val="0"/>
      <w:marRight w:val="0"/>
      <w:marTop w:val="0"/>
      <w:marBottom w:val="0"/>
      <w:divBdr>
        <w:top w:val="none" w:sz="0" w:space="0" w:color="auto"/>
        <w:left w:val="none" w:sz="0" w:space="0" w:color="auto"/>
        <w:bottom w:val="none" w:sz="0" w:space="0" w:color="auto"/>
        <w:right w:val="none" w:sz="0" w:space="0" w:color="auto"/>
      </w:divBdr>
      <w:divsChild>
        <w:div w:id="1838769212">
          <w:marLeft w:val="0"/>
          <w:marRight w:val="0"/>
          <w:marTop w:val="0"/>
          <w:marBottom w:val="0"/>
          <w:divBdr>
            <w:top w:val="none" w:sz="0" w:space="0" w:color="auto"/>
            <w:left w:val="none" w:sz="0" w:space="0" w:color="auto"/>
            <w:bottom w:val="none" w:sz="0" w:space="0" w:color="auto"/>
            <w:right w:val="none" w:sz="0" w:space="0" w:color="auto"/>
          </w:divBdr>
        </w:div>
      </w:divsChild>
    </w:div>
    <w:div w:id="2092315830">
      <w:bodyDiv w:val="1"/>
      <w:marLeft w:val="0"/>
      <w:marRight w:val="0"/>
      <w:marTop w:val="0"/>
      <w:marBottom w:val="0"/>
      <w:divBdr>
        <w:top w:val="none" w:sz="0" w:space="0" w:color="auto"/>
        <w:left w:val="none" w:sz="0" w:space="0" w:color="auto"/>
        <w:bottom w:val="none" w:sz="0" w:space="0" w:color="auto"/>
        <w:right w:val="none" w:sz="0" w:space="0" w:color="auto"/>
      </w:divBdr>
    </w:div>
    <w:div w:id="2098867437">
      <w:bodyDiv w:val="1"/>
      <w:marLeft w:val="0"/>
      <w:marRight w:val="0"/>
      <w:marTop w:val="0"/>
      <w:marBottom w:val="0"/>
      <w:divBdr>
        <w:top w:val="none" w:sz="0" w:space="0" w:color="auto"/>
        <w:left w:val="none" w:sz="0" w:space="0" w:color="auto"/>
        <w:bottom w:val="none" w:sz="0" w:space="0" w:color="auto"/>
        <w:right w:val="none" w:sz="0" w:space="0" w:color="auto"/>
      </w:divBdr>
    </w:div>
    <w:div w:id="2113896369">
      <w:marLeft w:val="0"/>
      <w:marRight w:val="0"/>
      <w:marTop w:val="0"/>
      <w:marBottom w:val="0"/>
      <w:divBdr>
        <w:top w:val="none" w:sz="0" w:space="0" w:color="auto"/>
        <w:left w:val="none" w:sz="0" w:space="0" w:color="auto"/>
        <w:bottom w:val="none" w:sz="0" w:space="0" w:color="auto"/>
        <w:right w:val="none" w:sz="0" w:space="0" w:color="auto"/>
      </w:divBdr>
      <w:divsChild>
        <w:div w:id="669721809">
          <w:marLeft w:val="0"/>
          <w:marRight w:val="0"/>
          <w:marTop w:val="0"/>
          <w:marBottom w:val="0"/>
          <w:divBdr>
            <w:top w:val="none" w:sz="0" w:space="0" w:color="auto"/>
            <w:left w:val="none" w:sz="0" w:space="0" w:color="auto"/>
            <w:bottom w:val="none" w:sz="0" w:space="0" w:color="auto"/>
            <w:right w:val="none" w:sz="0" w:space="0" w:color="auto"/>
          </w:divBdr>
        </w:div>
      </w:divsChild>
    </w:div>
    <w:div w:id="2117210188">
      <w:marLeft w:val="0"/>
      <w:marRight w:val="0"/>
      <w:marTop w:val="0"/>
      <w:marBottom w:val="0"/>
      <w:divBdr>
        <w:top w:val="none" w:sz="0" w:space="0" w:color="auto"/>
        <w:left w:val="none" w:sz="0" w:space="0" w:color="auto"/>
        <w:bottom w:val="none" w:sz="0" w:space="0" w:color="auto"/>
        <w:right w:val="none" w:sz="0" w:space="0" w:color="auto"/>
      </w:divBdr>
      <w:divsChild>
        <w:div w:id="1341085578">
          <w:marLeft w:val="0"/>
          <w:marRight w:val="0"/>
          <w:marTop w:val="0"/>
          <w:marBottom w:val="0"/>
          <w:divBdr>
            <w:top w:val="none" w:sz="0" w:space="0" w:color="auto"/>
            <w:left w:val="none" w:sz="0" w:space="0" w:color="auto"/>
            <w:bottom w:val="none" w:sz="0" w:space="0" w:color="auto"/>
            <w:right w:val="none" w:sz="0" w:space="0" w:color="auto"/>
          </w:divBdr>
        </w:div>
      </w:divsChild>
    </w:div>
    <w:div w:id="2121411574">
      <w:marLeft w:val="0"/>
      <w:marRight w:val="0"/>
      <w:marTop w:val="0"/>
      <w:marBottom w:val="0"/>
      <w:divBdr>
        <w:top w:val="none" w:sz="0" w:space="0" w:color="auto"/>
        <w:left w:val="none" w:sz="0" w:space="0" w:color="auto"/>
        <w:bottom w:val="none" w:sz="0" w:space="0" w:color="auto"/>
        <w:right w:val="none" w:sz="0" w:space="0" w:color="auto"/>
      </w:divBdr>
      <w:divsChild>
        <w:div w:id="2056076729">
          <w:marLeft w:val="0"/>
          <w:marRight w:val="0"/>
          <w:marTop w:val="0"/>
          <w:marBottom w:val="0"/>
          <w:divBdr>
            <w:top w:val="none" w:sz="0" w:space="0" w:color="auto"/>
            <w:left w:val="none" w:sz="0" w:space="0" w:color="auto"/>
            <w:bottom w:val="none" w:sz="0" w:space="0" w:color="auto"/>
            <w:right w:val="none" w:sz="0" w:space="0" w:color="auto"/>
          </w:divBdr>
        </w:div>
      </w:divsChild>
    </w:div>
    <w:div w:id="2123571670">
      <w:marLeft w:val="0"/>
      <w:marRight w:val="0"/>
      <w:marTop w:val="0"/>
      <w:marBottom w:val="0"/>
      <w:divBdr>
        <w:top w:val="none" w:sz="0" w:space="0" w:color="auto"/>
        <w:left w:val="none" w:sz="0" w:space="0" w:color="auto"/>
        <w:bottom w:val="none" w:sz="0" w:space="0" w:color="auto"/>
        <w:right w:val="none" w:sz="0" w:space="0" w:color="auto"/>
      </w:divBdr>
      <w:divsChild>
        <w:div w:id="1424570141">
          <w:marLeft w:val="0"/>
          <w:marRight w:val="0"/>
          <w:marTop w:val="0"/>
          <w:marBottom w:val="0"/>
          <w:divBdr>
            <w:top w:val="none" w:sz="0" w:space="0" w:color="auto"/>
            <w:left w:val="none" w:sz="0" w:space="0" w:color="auto"/>
            <w:bottom w:val="none" w:sz="0" w:space="0" w:color="auto"/>
            <w:right w:val="none" w:sz="0" w:space="0" w:color="auto"/>
          </w:divBdr>
        </w:div>
      </w:divsChild>
    </w:div>
    <w:div w:id="2129817714">
      <w:marLeft w:val="0"/>
      <w:marRight w:val="0"/>
      <w:marTop w:val="0"/>
      <w:marBottom w:val="0"/>
      <w:divBdr>
        <w:top w:val="none" w:sz="0" w:space="0" w:color="auto"/>
        <w:left w:val="none" w:sz="0" w:space="0" w:color="auto"/>
        <w:bottom w:val="none" w:sz="0" w:space="0" w:color="auto"/>
        <w:right w:val="none" w:sz="0" w:space="0" w:color="auto"/>
      </w:divBdr>
      <w:divsChild>
        <w:div w:id="412708351">
          <w:marLeft w:val="0"/>
          <w:marRight w:val="0"/>
          <w:marTop w:val="0"/>
          <w:marBottom w:val="0"/>
          <w:divBdr>
            <w:top w:val="none" w:sz="0" w:space="0" w:color="auto"/>
            <w:left w:val="none" w:sz="0" w:space="0" w:color="auto"/>
            <w:bottom w:val="none" w:sz="0" w:space="0" w:color="auto"/>
            <w:right w:val="none" w:sz="0" w:space="0" w:color="auto"/>
          </w:divBdr>
        </w:div>
      </w:divsChild>
    </w:div>
    <w:div w:id="2131317296">
      <w:marLeft w:val="0"/>
      <w:marRight w:val="0"/>
      <w:marTop w:val="0"/>
      <w:marBottom w:val="0"/>
      <w:divBdr>
        <w:top w:val="none" w:sz="0" w:space="0" w:color="auto"/>
        <w:left w:val="none" w:sz="0" w:space="0" w:color="auto"/>
        <w:bottom w:val="none" w:sz="0" w:space="0" w:color="auto"/>
        <w:right w:val="none" w:sz="0" w:space="0" w:color="auto"/>
      </w:divBdr>
      <w:divsChild>
        <w:div w:id="1615476439">
          <w:marLeft w:val="0"/>
          <w:marRight w:val="0"/>
          <w:marTop w:val="0"/>
          <w:marBottom w:val="0"/>
          <w:divBdr>
            <w:top w:val="none" w:sz="0" w:space="0" w:color="auto"/>
            <w:left w:val="none" w:sz="0" w:space="0" w:color="auto"/>
            <w:bottom w:val="none" w:sz="0" w:space="0" w:color="auto"/>
            <w:right w:val="none" w:sz="0" w:space="0" w:color="auto"/>
          </w:divBdr>
        </w:div>
      </w:divsChild>
    </w:div>
    <w:div w:id="2133133907">
      <w:marLeft w:val="0"/>
      <w:marRight w:val="0"/>
      <w:marTop w:val="0"/>
      <w:marBottom w:val="0"/>
      <w:divBdr>
        <w:top w:val="none" w:sz="0" w:space="0" w:color="auto"/>
        <w:left w:val="none" w:sz="0" w:space="0" w:color="auto"/>
        <w:bottom w:val="none" w:sz="0" w:space="0" w:color="auto"/>
        <w:right w:val="none" w:sz="0" w:space="0" w:color="auto"/>
      </w:divBdr>
      <w:divsChild>
        <w:div w:id="1279944898">
          <w:marLeft w:val="0"/>
          <w:marRight w:val="0"/>
          <w:marTop w:val="0"/>
          <w:marBottom w:val="0"/>
          <w:divBdr>
            <w:top w:val="none" w:sz="0" w:space="0" w:color="auto"/>
            <w:left w:val="none" w:sz="0" w:space="0" w:color="auto"/>
            <w:bottom w:val="none" w:sz="0" w:space="0" w:color="auto"/>
            <w:right w:val="none" w:sz="0" w:space="0" w:color="auto"/>
          </w:divBdr>
        </w:div>
      </w:divsChild>
    </w:div>
    <w:div w:id="2138599950">
      <w:marLeft w:val="0"/>
      <w:marRight w:val="0"/>
      <w:marTop w:val="0"/>
      <w:marBottom w:val="0"/>
      <w:divBdr>
        <w:top w:val="none" w:sz="0" w:space="0" w:color="auto"/>
        <w:left w:val="none" w:sz="0" w:space="0" w:color="auto"/>
        <w:bottom w:val="none" w:sz="0" w:space="0" w:color="auto"/>
        <w:right w:val="none" w:sz="0" w:space="0" w:color="auto"/>
      </w:divBdr>
      <w:divsChild>
        <w:div w:id="884830319">
          <w:marLeft w:val="0"/>
          <w:marRight w:val="0"/>
          <w:marTop w:val="0"/>
          <w:marBottom w:val="0"/>
          <w:divBdr>
            <w:top w:val="none" w:sz="0" w:space="0" w:color="auto"/>
            <w:left w:val="none" w:sz="0" w:space="0" w:color="auto"/>
            <w:bottom w:val="none" w:sz="0" w:space="0" w:color="auto"/>
            <w:right w:val="none" w:sz="0" w:space="0" w:color="auto"/>
          </w:divBdr>
        </w:div>
      </w:divsChild>
    </w:div>
    <w:div w:id="2142721779">
      <w:marLeft w:val="0"/>
      <w:marRight w:val="0"/>
      <w:marTop w:val="0"/>
      <w:marBottom w:val="0"/>
      <w:divBdr>
        <w:top w:val="none" w:sz="0" w:space="0" w:color="auto"/>
        <w:left w:val="none" w:sz="0" w:space="0" w:color="auto"/>
        <w:bottom w:val="none" w:sz="0" w:space="0" w:color="auto"/>
        <w:right w:val="none" w:sz="0" w:space="0" w:color="auto"/>
      </w:divBdr>
      <w:divsChild>
        <w:div w:id="1729455928">
          <w:marLeft w:val="0"/>
          <w:marRight w:val="0"/>
          <w:marTop w:val="0"/>
          <w:marBottom w:val="0"/>
          <w:divBdr>
            <w:top w:val="none" w:sz="0" w:space="0" w:color="auto"/>
            <w:left w:val="none" w:sz="0" w:space="0" w:color="auto"/>
            <w:bottom w:val="none" w:sz="0" w:space="0" w:color="auto"/>
            <w:right w:val="none" w:sz="0" w:space="0" w:color="auto"/>
          </w:divBdr>
        </w:div>
      </w:divsChild>
    </w:div>
    <w:div w:id="2144036151">
      <w:marLeft w:val="0"/>
      <w:marRight w:val="0"/>
      <w:marTop w:val="0"/>
      <w:marBottom w:val="0"/>
      <w:divBdr>
        <w:top w:val="none" w:sz="0" w:space="0" w:color="auto"/>
        <w:left w:val="none" w:sz="0" w:space="0" w:color="auto"/>
        <w:bottom w:val="none" w:sz="0" w:space="0" w:color="auto"/>
        <w:right w:val="none" w:sz="0" w:space="0" w:color="auto"/>
      </w:divBdr>
      <w:divsChild>
        <w:div w:id="1992441854">
          <w:marLeft w:val="0"/>
          <w:marRight w:val="0"/>
          <w:marTop w:val="0"/>
          <w:marBottom w:val="0"/>
          <w:divBdr>
            <w:top w:val="none" w:sz="0" w:space="0" w:color="auto"/>
            <w:left w:val="none" w:sz="0" w:space="0" w:color="auto"/>
            <w:bottom w:val="none" w:sz="0" w:space="0" w:color="auto"/>
            <w:right w:val="none" w:sz="0" w:space="0" w:color="auto"/>
          </w:divBdr>
        </w:div>
      </w:divsChild>
    </w:div>
    <w:div w:id="21443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c.gov.au/"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5.xml"/><Relationship Id="rId50" Type="http://schemas.openxmlformats.org/officeDocument/2006/relationships/image" Target="media/image7.emf"/><Relationship Id="rId55" Type="http://schemas.openxmlformats.org/officeDocument/2006/relationships/footer" Target="footer17.xml"/><Relationship Id="rId63" Type="http://schemas.openxmlformats.org/officeDocument/2006/relationships/image" Target="media/image12.emf"/><Relationship Id="rId68" Type="http://schemas.openxmlformats.org/officeDocument/2006/relationships/image" Target="media/image17.emf"/><Relationship Id="rId76" Type="http://schemas.openxmlformats.org/officeDocument/2006/relationships/footer" Target="footer21.xml"/><Relationship Id="rId7" Type="http://schemas.openxmlformats.org/officeDocument/2006/relationships/endnotes" Target="endnotes.xml"/><Relationship Id="rId71"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eader" Target="header7.xml"/><Relationship Id="rId11" Type="http://schemas.openxmlformats.org/officeDocument/2006/relationships/hyperlink" Target="http://creativecommons.org/licenses/by/3.0/au" TargetMode="External"/><Relationship Id="rId24" Type="http://schemas.openxmlformats.org/officeDocument/2006/relationships/image" Target="media/image5.emf"/><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7.xml"/><Relationship Id="rId58" Type="http://schemas.openxmlformats.org/officeDocument/2006/relationships/header" Target="header19.xml"/><Relationship Id="rId66" Type="http://schemas.openxmlformats.org/officeDocument/2006/relationships/image" Target="media/image15.emf"/><Relationship Id="rId74" Type="http://schemas.openxmlformats.org/officeDocument/2006/relationships/header" Target="header21.xml"/><Relationship Id="rId79" Type="http://schemas.openxmlformats.org/officeDocument/2006/relationships/footer" Target="footer23.xml"/><Relationship Id="rId5" Type="http://schemas.openxmlformats.org/officeDocument/2006/relationships/webSettings" Target="webSettings.xml"/><Relationship Id="rId61" Type="http://schemas.openxmlformats.org/officeDocument/2006/relationships/footer" Target="footer20.xml"/><Relationship Id="rId10" Type="http://schemas.openxmlformats.org/officeDocument/2006/relationships/hyperlink" Target="http://creativecommons.org/licenses/by/3.0/au" TargetMode="Externa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footer" Target="footer14.xml"/><Relationship Id="rId52" Type="http://schemas.openxmlformats.org/officeDocument/2006/relationships/image" Target="media/image9.emf"/><Relationship Id="rId60" Type="http://schemas.openxmlformats.org/officeDocument/2006/relationships/footer" Target="footer19.xml"/><Relationship Id="rId65" Type="http://schemas.openxmlformats.org/officeDocument/2006/relationships/image" Target="media/image14.emf"/><Relationship Id="rId73" Type="http://schemas.openxmlformats.org/officeDocument/2006/relationships/image" Target="media/image22.emf"/><Relationship Id="rId78" Type="http://schemas.openxmlformats.org/officeDocument/2006/relationships/header" Target="header2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footer" Target="footer18.xml"/><Relationship Id="rId64" Type="http://schemas.openxmlformats.org/officeDocument/2006/relationships/image" Target="media/image13.emf"/><Relationship Id="rId69" Type="http://schemas.openxmlformats.org/officeDocument/2006/relationships/image" Target="media/image18.emf"/><Relationship Id="rId77" Type="http://schemas.openxmlformats.org/officeDocument/2006/relationships/footer" Target="footer22.xml"/><Relationship Id="rId8" Type="http://schemas.openxmlformats.org/officeDocument/2006/relationships/image" Target="media/image1.png"/><Relationship Id="rId51" Type="http://schemas.openxmlformats.org/officeDocument/2006/relationships/image" Target="media/image8.emf"/><Relationship Id="rId72" Type="http://schemas.openxmlformats.org/officeDocument/2006/relationships/image" Target="media/image21.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mc.gov.au/government/commonwealth-coat-arms"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header" Target="header20.xml"/><Relationship Id="rId67" Type="http://schemas.openxmlformats.org/officeDocument/2006/relationships/image" Target="media/image16.emf"/><Relationship Id="rId20" Type="http://schemas.openxmlformats.org/officeDocument/2006/relationships/footer" Target="footer3.xml"/><Relationship Id="rId41" Type="http://schemas.openxmlformats.org/officeDocument/2006/relationships/header" Target="header13.xml"/><Relationship Id="rId54" Type="http://schemas.openxmlformats.org/officeDocument/2006/relationships/header" Target="header18.xml"/><Relationship Id="rId62" Type="http://schemas.openxmlformats.org/officeDocument/2006/relationships/image" Target="media/image11.emf"/><Relationship Id="rId70" Type="http://schemas.openxmlformats.org/officeDocument/2006/relationships/image" Target="media/image19.emf"/><Relationship Id="rId75"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image" Target="media/image6.emf"/><Relationship Id="rId57" Type="http://schemas.openxmlformats.org/officeDocument/2006/relationships/image" Target="media/image10.emf"/></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1590-A586-4662-B748-DDE61837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98</Pages>
  <Words>27438</Words>
  <Characters>151783</Characters>
  <Application>Microsoft Office Word</Application>
  <DocSecurity>0</DocSecurity>
  <Lines>1264</Lines>
  <Paragraphs>357</Paragraphs>
  <ScaleCrop>false</ScaleCrop>
  <HeadingPairs>
    <vt:vector size="2" baseType="variant">
      <vt:variant>
        <vt:lpstr>Title</vt:lpstr>
      </vt:variant>
      <vt:variant>
        <vt:i4>1</vt:i4>
      </vt:variant>
    </vt:vector>
  </HeadingPairs>
  <TitlesOfParts>
    <vt:vector size="1" baseType="lpstr">
      <vt:lpstr>Technical supplement 4: Investment performance methodology and analysis - Superannuation: Assessing Efficiency and Competitiveness Inquiry Report</vt:lpstr>
    </vt:vector>
  </TitlesOfParts>
  <Company/>
  <LinksUpToDate>false</LinksUpToDate>
  <CharactersWithSpaces>178864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4: Investment performance methodology and analysis - Superannuation: Assessing Efficiency and Competitiveness Inquiry Report</dc:title>
  <dc:subject/>
  <dc:creator>Productivity Commission</dc:creator>
  <cp:keywords/>
  <dc:description/>
  <cp:lastModifiedBy>Cross, Michelle</cp:lastModifiedBy>
  <cp:revision>14</cp:revision>
  <cp:lastPrinted>2018-06-08T03:55:00Z</cp:lastPrinted>
  <dcterms:created xsi:type="dcterms:W3CDTF">2018-05-24T14:31:00Z</dcterms:created>
  <dcterms:modified xsi:type="dcterms:W3CDTF">2019-01-08T04:24:00Z</dcterms:modified>
</cp:coreProperties>
</file>