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F57A0" w14:textId="3DF33E10" w:rsidR="001A62A8" w:rsidRPr="00696F42" w:rsidRDefault="00696F42" w:rsidP="001A62A8">
      <w:pPr>
        <w:pStyle w:val="Heading1"/>
        <w:rPr>
          <w:color w:val="FFFFFF" w:themeColor="background1"/>
          <w:sz w:val="16"/>
          <w:szCs w:val="16"/>
        </w:rPr>
      </w:pPr>
      <w:bookmarkStart w:id="0" w:name="ChapterTitle"/>
      <w:bookmarkStart w:id="1" w:name="_GoBack"/>
      <w:bookmarkEnd w:id="1"/>
      <w:r>
        <w:rPr>
          <w:noProof/>
          <w:color w:val="FFFFFF" w:themeColor="background1"/>
          <w:sz w:val="16"/>
          <w:szCs w:val="16"/>
        </w:rPr>
        <w:drawing>
          <wp:anchor distT="0" distB="0" distL="114300" distR="114300" simplePos="0" relativeHeight="251658240" behindDoc="0" locked="0" layoutInCell="1" allowOverlap="1" wp14:anchorId="08AF21F3" wp14:editId="3B220F3B">
            <wp:simplePos x="0" y="0"/>
            <wp:positionH relativeFrom="column">
              <wp:posOffset>-1161281</wp:posOffset>
            </wp:positionH>
            <wp:positionV relativeFrom="page">
              <wp:posOffset>635</wp:posOffset>
            </wp:positionV>
            <wp:extent cx="7560000" cy="10692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chnical-supplements-superannuation5.pn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846AB6" w:rsidRPr="00696F42">
        <w:rPr>
          <w:color w:val="FFFFFF" w:themeColor="background1"/>
          <w:sz w:val="16"/>
          <w:szCs w:val="16"/>
        </w:rPr>
        <w:t>F</w:t>
      </w:r>
      <w:r w:rsidR="0088133B" w:rsidRPr="00696F42">
        <w:rPr>
          <w:color w:val="FFFFFF" w:themeColor="background1"/>
          <w:sz w:val="16"/>
          <w:szCs w:val="16"/>
        </w:rPr>
        <w:t>ees and costs</w:t>
      </w:r>
    </w:p>
    <w:p w14:paraId="44116C57" w14:textId="064DE1FA" w:rsidR="001A62A8" w:rsidRPr="00696F42" w:rsidRDefault="00846AB6" w:rsidP="001A62A8">
      <w:pPr>
        <w:pStyle w:val="BodyText"/>
        <w:rPr>
          <w:b/>
          <w:color w:val="FF0000"/>
          <w:szCs w:val="26"/>
        </w:rPr>
      </w:pPr>
      <w:r w:rsidRPr="00696F42">
        <w:rPr>
          <w:color w:val="FFFFFF" w:themeColor="background1"/>
          <w:sz w:val="16"/>
          <w:szCs w:val="16"/>
        </w:rPr>
        <w:t>Technical Supplement 5,</w:t>
      </w:r>
      <w:r w:rsidR="001A62A8" w:rsidRPr="00696F42">
        <w:rPr>
          <w:color w:val="FFFFFF" w:themeColor="background1"/>
          <w:sz w:val="16"/>
          <w:szCs w:val="16"/>
        </w:rPr>
        <w:t xml:space="preserve">Superannuation: Assessing Efficiency and Competitiveness, Productivity Commission </w:t>
      </w:r>
      <w:r w:rsidR="00696F42" w:rsidRPr="00696F42">
        <w:rPr>
          <w:color w:val="FFFFFF" w:themeColor="background1"/>
          <w:sz w:val="16"/>
          <w:szCs w:val="16"/>
        </w:rPr>
        <w:t>Inquiry</w:t>
      </w:r>
      <w:r w:rsidR="001A62A8" w:rsidRPr="00696F42">
        <w:rPr>
          <w:color w:val="FFFFFF" w:themeColor="background1"/>
          <w:sz w:val="16"/>
          <w:szCs w:val="16"/>
        </w:rPr>
        <w:t xml:space="preserve"> Report</w:t>
      </w:r>
      <w:r w:rsidR="001A62A8" w:rsidRPr="00696F42">
        <w:rPr>
          <w:color w:val="FF0000"/>
        </w:rPr>
        <w:br w:type="page"/>
      </w:r>
    </w:p>
    <w:p w14:paraId="6B762FED" w14:textId="77777777" w:rsidR="001A62A8" w:rsidRDefault="001A62A8" w:rsidP="001A62A8">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2018</w:t>
      </w:r>
    </w:p>
    <w:p w14:paraId="30198DA3" w14:textId="77777777" w:rsidR="001A62A8" w:rsidRDefault="001A62A8" w:rsidP="001A62A8">
      <w:pPr>
        <w:pStyle w:val="BodyText"/>
        <w:spacing w:after="120"/>
      </w:pPr>
      <w:bookmarkStart w:id="2" w:name="ISSN"/>
      <w:bookmarkEnd w:id="2"/>
      <w:r w:rsidRPr="00862D8F">
        <w:rPr>
          <w:noProof/>
          <w:sz w:val="22"/>
          <w:szCs w:val="22"/>
        </w:rPr>
        <w:drawing>
          <wp:inline distT="0" distB="0" distL="0" distR="0" wp14:anchorId="6E1686E0" wp14:editId="71412606">
            <wp:extent cx="843280" cy="295043"/>
            <wp:effectExtent l="0" t="0" r="0" b="0"/>
            <wp:docPr id="3" name="Picture 3"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5F5B677A" w14:textId="77777777" w:rsidR="001A62A8" w:rsidRPr="008A3857" w:rsidRDefault="001A62A8" w:rsidP="001A62A8">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805FD7">
            <w:t>http://creativecommons.org/licenses/by/3.0/au</w:t>
          </w:r>
        </w:hyperlink>
      </w:hyperlink>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14:paraId="509D952D" w14:textId="77777777" w:rsidR="001A62A8" w:rsidRPr="008A3857" w:rsidRDefault="001A62A8" w:rsidP="001A62A8">
      <w:pPr>
        <w:pStyle w:val="Copyrightsubtitle"/>
      </w:pPr>
      <w:r w:rsidRPr="008A3857">
        <w:t>Use of the Commonwealth Coat of Arms</w:t>
      </w:r>
    </w:p>
    <w:p w14:paraId="4870C1BA" w14:textId="77777777" w:rsidR="001A62A8" w:rsidRPr="008A3857" w:rsidRDefault="001A62A8" w:rsidP="001A62A8">
      <w:pPr>
        <w:pStyle w:val="Copyrightbodytext"/>
      </w:pPr>
      <w:r>
        <w:t>Terms of use for the Coat of Arms are available from the Department of the Prime Minister and Cabinet’s website:</w:t>
      </w:r>
      <w:r>
        <w:rPr>
          <w:spacing w:val="-6"/>
        </w:rPr>
        <w:t xml:space="preserve"> </w:t>
      </w:r>
      <w:hyperlink r:id="rId12" w:history="1">
        <w:r w:rsidRPr="00636390">
          <w:rPr>
            <w:rStyle w:val="Hyperlink"/>
          </w:rPr>
          <w:t>https://</w:t>
        </w:r>
        <w:proofErr w:type="spellStart"/>
        <w:r w:rsidRPr="00636390">
          <w:rPr>
            <w:rStyle w:val="Hyperlink"/>
          </w:rPr>
          <w:t>www.pmc.gov.au</w:t>
        </w:r>
        <w:proofErr w:type="spellEnd"/>
        <w:r w:rsidRPr="00636390">
          <w:rPr>
            <w:rStyle w:val="Hyperlink"/>
          </w:rPr>
          <w:t>/government/commonwealth-coat-arms</w:t>
        </w:r>
      </w:hyperlink>
    </w:p>
    <w:p w14:paraId="28C4E95E" w14:textId="77777777" w:rsidR="001A62A8" w:rsidRPr="008A3857" w:rsidRDefault="001A62A8" w:rsidP="001A62A8">
      <w:pPr>
        <w:pStyle w:val="Copyrightsubtitle"/>
      </w:pPr>
      <w:r w:rsidRPr="008A3857">
        <w:t>Third party copyright</w:t>
      </w:r>
    </w:p>
    <w:p w14:paraId="25398B19" w14:textId="77777777" w:rsidR="001A62A8" w:rsidRPr="008A3857" w:rsidRDefault="001A62A8" w:rsidP="001A62A8">
      <w:pPr>
        <w:pStyle w:val="Copyrightbodytext"/>
      </w:pPr>
      <w:r w:rsidRPr="008A3857">
        <w:t>Wherever a third party holds copyright in this material, the copyright remains with that party. Their permission may be required to use the material, please contact them directly.</w:t>
      </w:r>
    </w:p>
    <w:p w14:paraId="2B9A10A8" w14:textId="77777777" w:rsidR="001A62A8" w:rsidRPr="008A3857" w:rsidRDefault="001A62A8" w:rsidP="001A62A8">
      <w:pPr>
        <w:pStyle w:val="Copyrightsubtitle"/>
      </w:pPr>
      <w:r w:rsidRPr="008A3857">
        <w:t>Attribution</w:t>
      </w:r>
    </w:p>
    <w:p w14:paraId="507DB6F3" w14:textId="19CFCB96" w:rsidR="001A62A8" w:rsidRPr="008A3857" w:rsidRDefault="001A62A8" w:rsidP="001A62A8">
      <w:pPr>
        <w:pStyle w:val="Copyrightbodytext"/>
      </w:pPr>
      <w:r w:rsidRPr="008A3857">
        <w:t xml:space="preserve">This work should be attributed as follows, </w:t>
      </w:r>
      <w:r w:rsidRPr="008E242D">
        <w:rPr>
          <w:i/>
        </w:rPr>
        <w:t xml:space="preserve">Source: Productivity Commission, </w:t>
      </w:r>
      <w:r w:rsidR="00192887">
        <w:rPr>
          <w:i/>
        </w:rPr>
        <w:t>Fees and costs</w:t>
      </w:r>
      <w:r>
        <w:rPr>
          <w:i/>
        </w:rPr>
        <w:t>, Technical Supplement 5</w:t>
      </w:r>
      <w:r w:rsidRPr="008A3857">
        <w:t>.</w:t>
      </w:r>
    </w:p>
    <w:p w14:paraId="01E071C8" w14:textId="619D5796" w:rsidR="001A62A8" w:rsidRPr="002E4EA3" w:rsidRDefault="001A62A8" w:rsidP="001A62A8">
      <w:pPr>
        <w:pStyle w:val="Copyrightbodytext"/>
        <w:spacing w:before="120"/>
        <w:rPr>
          <w:spacing w:val="-2"/>
        </w:rPr>
      </w:pPr>
      <w:r w:rsidRPr="002E4EA3">
        <w:rPr>
          <w:spacing w:val="-2"/>
        </w:rPr>
        <w:t xml:space="preserve">If you have adapted, modified or transformed this work in anyway, please use the following, </w:t>
      </w:r>
      <w:r w:rsidRPr="002E4EA3">
        <w:rPr>
          <w:i/>
          <w:spacing w:val="-2"/>
        </w:rPr>
        <w:t xml:space="preserve">Source: based on Productivity Commission data, </w:t>
      </w:r>
      <w:r w:rsidR="00192887">
        <w:rPr>
          <w:i/>
          <w:spacing w:val="-2"/>
        </w:rPr>
        <w:t>Fees and costs</w:t>
      </w:r>
      <w:r w:rsidRPr="002E4EA3">
        <w:rPr>
          <w:i/>
          <w:spacing w:val="-2"/>
        </w:rPr>
        <w:t xml:space="preserve">, Technical Supplement </w:t>
      </w:r>
      <w:r>
        <w:rPr>
          <w:i/>
          <w:spacing w:val="-2"/>
        </w:rPr>
        <w:t>5</w:t>
      </w:r>
      <w:r w:rsidRPr="002E4EA3">
        <w:rPr>
          <w:spacing w:val="-2"/>
        </w:rPr>
        <w:t>.</w:t>
      </w:r>
    </w:p>
    <w:p w14:paraId="1A79AF8B" w14:textId="77777777" w:rsidR="001A62A8" w:rsidRPr="008A3857" w:rsidRDefault="001A62A8" w:rsidP="001A62A8">
      <w:pPr>
        <w:pStyle w:val="Copyrightsubtitle"/>
      </w:pPr>
      <w:r w:rsidRPr="008A3857">
        <w:t xml:space="preserve">An appropriate </w:t>
      </w:r>
      <w:r>
        <w:t>reference</w:t>
      </w:r>
      <w:r w:rsidRPr="008A3857">
        <w:t xml:space="preserve"> for this publication is:</w:t>
      </w:r>
    </w:p>
    <w:p w14:paraId="49502F94" w14:textId="5E6BC39B" w:rsidR="001A62A8" w:rsidRPr="008A3857" w:rsidRDefault="001A62A8" w:rsidP="001A62A8">
      <w:pPr>
        <w:pStyle w:val="Copyrightbodytext"/>
      </w:pPr>
      <w:r w:rsidRPr="002E4EA3">
        <w:t>Productivity Commission 201</w:t>
      </w:r>
      <w:r>
        <w:t>8</w:t>
      </w:r>
      <w:r w:rsidRPr="002E4EA3">
        <w:t>, ‘</w:t>
      </w:r>
      <w:r>
        <w:t>Fees and costs</w:t>
      </w:r>
      <w:r w:rsidRPr="002E4EA3">
        <w:t xml:space="preserve">’, Technical Supplement </w:t>
      </w:r>
      <w:r>
        <w:t>5</w:t>
      </w:r>
      <w:r w:rsidRPr="002E4EA3">
        <w:t xml:space="preserve"> to the </w:t>
      </w:r>
      <w:r w:rsidR="00235545">
        <w:t>Inquiry</w:t>
      </w:r>
      <w:r w:rsidRPr="002E4EA3">
        <w:t xml:space="preserve"> Report </w:t>
      </w:r>
      <w:r w:rsidRPr="002E4EA3">
        <w:rPr>
          <w:i/>
        </w:rPr>
        <w:t>Superannuation: Assessing Efficiency and Competitiveness</w:t>
      </w:r>
      <w:r w:rsidRPr="002E4EA3">
        <w:t xml:space="preserve">, Canberra, </w:t>
      </w:r>
      <w:r w:rsidR="00235545">
        <w:t>December</w:t>
      </w:r>
      <w:r>
        <w:t>.</w:t>
      </w:r>
    </w:p>
    <w:p w14:paraId="243E2792" w14:textId="77777777" w:rsidR="001A62A8" w:rsidRPr="008A3857" w:rsidRDefault="001A62A8" w:rsidP="001A62A8">
      <w:pPr>
        <w:pStyle w:val="Copyrightsubtitle"/>
      </w:pPr>
      <w:bookmarkStart w:id="3" w:name="JEL"/>
      <w:bookmarkEnd w:id="3"/>
      <w:r w:rsidRPr="008A3857">
        <w:t>Publications enquiries</w:t>
      </w:r>
    </w:p>
    <w:p w14:paraId="7F80C79A" w14:textId="77777777" w:rsidR="001A62A8" w:rsidRDefault="001A62A8" w:rsidP="001A62A8">
      <w:pPr>
        <w:pStyle w:val="Copyrightbodytext"/>
      </w:pPr>
      <w:r>
        <w:t xml:space="preserve">Media, </w:t>
      </w:r>
      <w:r w:rsidRPr="008A3857">
        <w:t>Publications</w:t>
      </w:r>
      <w:r>
        <w:t xml:space="preserve"> and Web</w:t>
      </w:r>
      <w:r w:rsidRPr="008A3857">
        <w:t xml:space="preserve">, </w:t>
      </w:r>
      <w:r>
        <w:rPr>
          <w:szCs w:val="24"/>
        </w:rPr>
        <w:t>phone:</w:t>
      </w:r>
      <w:r w:rsidRPr="00BB5DCF">
        <w:rPr>
          <w:szCs w:val="24"/>
        </w:rPr>
        <w:t xml:space="preserve"> (03) 9653 2244 or email: </w:t>
      </w:r>
      <w:r>
        <w:rPr>
          <w:szCs w:val="24"/>
        </w:rPr>
        <w:t>mpw</w:t>
      </w:r>
      <w:r w:rsidRPr="00BB5DCF">
        <w:rPr>
          <w:szCs w:val="24"/>
        </w:rPr>
        <w:t>@pc.gov.au</w:t>
      </w:r>
    </w:p>
    <w:p w14:paraId="0A766EA9" w14:textId="77777777" w:rsidR="001A62A8" w:rsidRDefault="001A62A8" w:rsidP="001A62A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A62A8" w14:paraId="5753AED1" w14:textId="77777777" w:rsidTr="00945B7D">
        <w:trPr>
          <w:tblHeader/>
        </w:trPr>
        <w:tc>
          <w:tcPr>
            <w:tcW w:w="5000" w:type="pct"/>
            <w:tcBorders>
              <w:top w:val="single" w:sz="6" w:space="0" w:color="78A22F"/>
              <w:left w:val="nil"/>
              <w:bottom w:val="nil"/>
              <w:right w:val="nil"/>
            </w:tcBorders>
            <w:shd w:val="clear" w:color="auto" w:fill="F2F2F2" w:themeFill="background1" w:themeFillShade="F2"/>
          </w:tcPr>
          <w:p w14:paraId="7C800BDA" w14:textId="77777777" w:rsidR="001A62A8" w:rsidRPr="008A3857" w:rsidRDefault="001A62A8" w:rsidP="00945B7D">
            <w:pPr>
              <w:pStyle w:val="BoxTitle"/>
              <w:rPr>
                <w:sz w:val="22"/>
              </w:rPr>
            </w:pPr>
            <w:r w:rsidRPr="008A3857">
              <w:rPr>
                <w:sz w:val="22"/>
              </w:rPr>
              <w:t>The Productivity Commission</w:t>
            </w:r>
          </w:p>
        </w:tc>
      </w:tr>
      <w:tr w:rsidR="001A62A8" w14:paraId="329BB926" w14:textId="77777777" w:rsidTr="00945B7D">
        <w:tc>
          <w:tcPr>
            <w:tcW w:w="5000" w:type="pct"/>
            <w:tcBorders>
              <w:top w:val="nil"/>
              <w:left w:val="nil"/>
              <w:bottom w:val="nil"/>
              <w:right w:val="nil"/>
            </w:tcBorders>
            <w:shd w:val="clear" w:color="auto" w:fill="F2F2F2" w:themeFill="background1" w:themeFillShade="F2"/>
          </w:tcPr>
          <w:p w14:paraId="4066753F" w14:textId="77777777" w:rsidR="001A62A8" w:rsidRDefault="001A62A8" w:rsidP="00945B7D">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35ACCC40" w14:textId="77777777" w:rsidR="001A62A8" w:rsidRDefault="001A62A8" w:rsidP="00945B7D">
            <w:pPr>
              <w:pStyle w:val="Box"/>
            </w:pPr>
            <w:r w:rsidRPr="00BB5DCF">
              <w:t>The Commission’s independence is underpinned by an Act of Parliament. Its processes and outputs are open to public scrutiny and are driven by concern for the wellbeing of the community as a whole.</w:t>
            </w:r>
          </w:p>
          <w:p w14:paraId="41248F56" w14:textId="77777777" w:rsidR="001A62A8" w:rsidRDefault="001A62A8" w:rsidP="00945B7D">
            <w:pPr>
              <w:pStyle w:val="Box"/>
            </w:pPr>
            <w:r w:rsidRPr="00BB5DCF">
              <w:rPr>
                <w:szCs w:val="24"/>
              </w:rPr>
              <w:t>Further information on the Productivity Commission can be obtained from the Commission’s website (</w:t>
            </w:r>
            <w:proofErr w:type="spellStart"/>
            <w:r w:rsidR="00846AB6">
              <w:fldChar w:fldCharType="begin"/>
            </w:r>
            <w:r w:rsidR="00846AB6">
              <w:instrText xml:space="preserve"> HYPERLINK "http://www.pc.gov.au/" </w:instrText>
            </w:r>
            <w:r w:rsidR="00846AB6">
              <w:fldChar w:fldCharType="separate"/>
            </w:r>
            <w:r w:rsidRPr="00805FD7">
              <w:t>www.pc.gov.au</w:t>
            </w:r>
            <w:proofErr w:type="spellEnd"/>
            <w:r w:rsidR="00846AB6">
              <w:fldChar w:fldCharType="end"/>
            </w:r>
            <w:r w:rsidRPr="00BB5DCF">
              <w:rPr>
                <w:szCs w:val="24"/>
              </w:rPr>
              <w:t>)</w:t>
            </w:r>
            <w:r>
              <w:rPr>
                <w:szCs w:val="24"/>
              </w:rPr>
              <w:t>.</w:t>
            </w:r>
          </w:p>
        </w:tc>
      </w:tr>
      <w:tr w:rsidR="001A62A8" w14:paraId="6B045B21" w14:textId="77777777" w:rsidTr="00945B7D">
        <w:tc>
          <w:tcPr>
            <w:tcW w:w="5000" w:type="pct"/>
            <w:tcBorders>
              <w:top w:val="nil"/>
              <w:left w:val="nil"/>
              <w:bottom w:val="single" w:sz="6" w:space="0" w:color="78A22F"/>
              <w:right w:val="nil"/>
            </w:tcBorders>
            <w:shd w:val="clear" w:color="auto" w:fill="F2F2F2" w:themeFill="background1" w:themeFillShade="F2"/>
          </w:tcPr>
          <w:p w14:paraId="1B1AB7A8" w14:textId="77777777" w:rsidR="001A62A8" w:rsidRDefault="001A62A8" w:rsidP="00945B7D">
            <w:pPr>
              <w:pStyle w:val="Box"/>
              <w:spacing w:before="0" w:line="120" w:lineRule="exact"/>
            </w:pPr>
          </w:p>
        </w:tc>
      </w:tr>
    </w:tbl>
    <w:p w14:paraId="2128FC8C" w14:textId="77777777" w:rsidR="001A62A8" w:rsidRDefault="001A62A8" w:rsidP="001A62A8">
      <w:pPr>
        <w:pStyle w:val="BodyText"/>
        <w:sectPr w:rsidR="001A62A8" w:rsidSect="004C75C0">
          <w:footerReference w:type="first" r:id="rId13"/>
          <w:pgSz w:w="11907" w:h="16840" w:code="9"/>
          <w:pgMar w:top="1304" w:right="1304" w:bottom="567" w:left="1814" w:header="1701" w:footer="397" w:gutter="0"/>
          <w:pgNumType w:fmt="lowerRoman" w:start="1"/>
          <w:cols w:space="720"/>
          <w:titlePg/>
        </w:sectPr>
      </w:pPr>
      <w:bookmarkStart w:id="4" w:name="cov"/>
      <w:bookmarkEnd w:id="4"/>
    </w:p>
    <w:p w14:paraId="233D047F" w14:textId="77777777" w:rsidR="00446B91" w:rsidRDefault="00446B91" w:rsidP="00446B91">
      <w:pPr>
        <w:pStyle w:val="Heading1"/>
      </w:pPr>
      <w:bookmarkStart w:id="5" w:name="_Toc532997260"/>
      <w:bookmarkStart w:id="6" w:name="_Toc534642279"/>
      <w:bookmarkEnd w:id="0"/>
      <w:r>
        <w:lastRenderedPageBreak/>
        <w:t>5</w:t>
      </w:r>
      <w:r>
        <w:tab/>
        <w:t>Technical supplement: fees and costs</w:t>
      </w:r>
      <w:bookmarkEnd w:id="5"/>
      <w:bookmarkEnd w:id="6"/>
    </w:p>
    <w:p w14:paraId="76E24317" w14:textId="77777777" w:rsidR="00446B91" w:rsidRDefault="00446B91" w:rsidP="00446B91">
      <w:pPr>
        <w:pStyle w:val="BodyText"/>
      </w:pPr>
      <w:r>
        <w:t>This technical supplement documents the data sources used to analyse fees and costs in chapter 3 of the Commission’s inquiry report and provides some additional analysis of data in support of that chapter. Section 5.1 details the data sources used. Section 5.2 discusses the methodological issues encountered in the data analysis.</w:t>
      </w:r>
      <w:r w:rsidRPr="00CE4ADB">
        <w:t xml:space="preserve"> </w:t>
      </w:r>
      <w:r>
        <w:t>Section 5.3 provides additional supporting analysis. This technical supplement (tech. supp.) should be read in conjunction with appendix B (on data sources) and technical supplement 4 (on investment performance), which document in further detail the data sources used.</w:t>
      </w:r>
    </w:p>
    <w:p w14:paraId="6134CA15" w14:textId="77777777" w:rsidR="00446B91" w:rsidRDefault="00446B91" w:rsidP="00446B91">
      <w:pPr>
        <w:pStyle w:val="Heading2"/>
      </w:pPr>
      <w:bookmarkStart w:id="7" w:name="_Toc532997261"/>
      <w:bookmarkStart w:id="8" w:name="_Toc534642280"/>
      <w:r>
        <w:t>5.</w:t>
      </w:r>
      <w:r>
        <w:rPr>
          <w:noProof/>
        </w:rPr>
        <w:t>1</w:t>
      </w:r>
      <w:r>
        <w:tab/>
        <w:t>Data sources</w:t>
      </w:r>
      <w:bookmarkEnd w:id="7"/>
      <w:bookmarkEnd w:id="8"/>
    </w:p>
    <w:p w14:paraId="413963DE" w14:textId="77777777" w:rsidR="00446B91" w:rsidRDefault="00446B91" w:rsidP="00446B91">
      <w:pPr>
        <w:pStyle w:val="BodyText"/>
      </w:pPr>
      <w:r>
        <w:t xml:space="preserve">The Commission has utilised data: </w:t>
      </w:r>
    </w:p>
    <w:p w14:paraId="51B90620" w14:textId="77777777" w:rsidR="00446B91" w:rsidRDefault="00446B91" w:rsidP="00446B91">
      <w:pPr>
        <w:pStyle w:val="ListBullet"/>
      </w:pPr>
      <w:r>
        <w:t>collected by regulators — the Australian Prudential Regulation Authority (APRA) and the Australian Taxation Office (</w:t>
      </w:r>
      <w:proofErr w:type="spellStart"/>
      <w:r>
        <w:t>ATO</w:t>
      </w:r>
      <w:proofErr w:type="spellEnd"/>
      <w:r>
        <w:t>) — including publicly</w:t>
      </w:r>
      <w:r>
        <w:noBreakHyphen/>
        <w:t>released data and unpublished data provided to the Commission on a confidential basis</w:t>
      </w:r>
    </w:p>
    <w:p w14:paraId="422CE898" w14:textId="77777777" w:rsidR="00446B91" w:rsidRDefault="00446B91" w:rsidP="00446B91">
      <w:pPr>
        <w:pStyle w:val="ListBullet"/>
      </w:pPr>
      <w:r>
        <w:t xml:space="preserve">purchased on a proprietary basis from private research firms </w:t>
      </w:r>
    </w:p>
    <w:p w14:paraId="4FE3E96F" w14:textId="77777777" w:rsidR="00446B91" w:rsidRDefault="00446B91" w:rsidP="00446B91">
      <w:pPr>
        <w:pStyle w:val="ListBullet"/>
      </w:pPr>
      <w:r>
        <w:t xml:space="preserve">collected through the Commission’s own surveys of funds (appendix C; tech. supp. 2). </w:t>
      </w:r>
    </w:p>
    <w:p w14:paraId="757F1579" w14:textId="77777777" w:rsidR="00446B91" w:rsidRDefault="00446B91" w:rsidP="00446B91">
      <w:pPr>
        <w:pStyle w:val="BodyText"/>
      </w:pPr>
      <w:r>
        <w:t xml:space="preserve">These datasets have pros and cons (table 5.1). </w:t>
      </w:r>
    </w:p>
    <w:p w14:paraId="2767AE1B" w14:textId="77777777" w:rsidR="00446B91" w:rsidRPr="00174B5A" w:rsidRDefault="00446B91" w:rsidP="00446B9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46B91" w14:paraId="3EB49188" w14:textId="77777777" w:rsidTr="0091342C">
        <w:trPr>
          <w:tblHeader/>
        </w:trPr>
        <w:tc>
          <w:tcPr>
            <w:tcW w:w="5000" w:type="pct"/>
            <w:tcBorders>
              <w:top w:val="single" w:sz="6" w:space="0" w:color="78A22F"/>
              <w:left w:val="nil"/>
              <w:bottom w:val="nil"/>
              <w:right w:val="nil"/>
            </w:tcBorders>
            <w:shd w:val="clear" w:color="auto" w:fill="auto"/>
          </w:tcPr>
          <w:p w14:paraId="4F8F120E" w14:textId="77777777" w:rsidR="00446B91" w:rsidRPr="0057753B" w:rsidRDefault="00446B91" w:rsidP="0091342C">
            <w:pPr>
              <w:pStyle w:val="TableTitle"/>
            </w:pPr>
            <w:r>
              <w:rPr>
                <w:b w:val="0"/>
              </w:rPr>
              <w:t>Table 5.</w:t>
            </w:r>
            <w:r>
              <w:rPr>
                <w:b w:val="0"/>
                <w:noProof/>
              </w:rPr>
              <w:t>1</w:t>
            </w:r>
            <w:r>
              <w:tab/>
              <w:t>Summary of data sources used for fees and costs analysis</w:t>
            </w:r>
          </w:p>
        </w:tc>
      </w:tr>
      <w:tr w:rsidR="00446B91" w14:paraId="506A04FE"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330"/>
              <w:gridCol w:w="1279"/>
              <w:gridCol w:w="1560"/>
              <w:gridCol w:w="1842"/>
              <w:gridCol w:w="2494"/>
            </w:tblGrid>
            <w:tr w:rsidR="00446B91" w14:paraId="6B5F35DD" w14:textId="77777777" w:rsidTr="0091342C">
              <w:trPr>
                <w:tblHeader/>
              </w:trPr>
              <w:tc>
                <w:tcPr>
                  <w:tcW w:w="782" w:type="pct"/>
                  <w:tcBorders>
                    <w:top w:val="single" w:sz="6" w:space="0" w:color="BFBFBF"/>
                    <w:bottom w:val="single" w:sz="6" w:space="0" w:color="BFBFBF"/>
                  </w:tcBorders>
                  <w:shd w:val="clear" w:color="auto" w:fill="auto"/>
                  <w:tcMar>
                    <w:top w:w="28" w:type="dxa"/>
                  </w:tcMar>
                  <w:vAlign w:val="bottom"/>
                </w:tcPr>
                <w:p w14:paraId="303FDE35" w14:textId="77777777" w:rsidR="00446B91" w:rsidRDefault="00446B91" w:rsidP="0091342C">
                  <w:pPr>
                    <w:pStyle w:val="TableColumnHeading"/>
                    <w:jc w:val="left"/>
                  </w:pPr>
                  <w:r>
                    <w:t>Data</w:t>
                  </w:r>
                </w:p>
              </w:tc>
              <w:tc>
                <w:tcPr>
                  <w:tcW w:w="743" w:type="pct"/>
                  <w:tcBorders>
                    <w:top w:val="single" w:sz="6" w:space="0" w:color="BFBFBF"/>
                    <w:bottom w:val="single" w:sz="6" w:space="0" w:color="BFBFBF"/>
                  </w:tcBorders>
                  <w:vAlign w:val="bottom"/>
                </w:tcPr>
                <w:p w14:paraId="1D3C5BE4" w14:textId="77777777" w:rsidR="00446B91" w:rsidRDefault="00446B91" w:rsidP="0091342C">
                  <w:pPr>
                    <w:pStyle w:val="TableColumnHeading"/>
                    <w:ind w:right="28"/>
                    <w:jc w:val="left"/>
                  </w:pPr>
                  <w:r>
                    <w:t>Time series</w:t>
                  </w:r>
                </w:p>
              </w:tc>
              <w:tc>
                <w:tcPr>
                  <w:tcW w:w="908" w:type="pct"/>
                  <w:tcBorders>
                    <w:top w:val="single" w:sz="6" w:space="0" w:color="BFBFBF"/>
                    <w:bottom w:val="single" w:sz="6" w:space="0" w:color="BFBFBF"/>
                  </w:tcBorders>
                  <w:vAlign w:val="bottom"/>
                </w:tcPr>
                <w:p w14:paraId="2F9DFBFE" w14:textId="77777777" w:rsidR="00446B91" w:rsidRDefault="00446B91" w:rsidP="0091342C">
                  <w:pPr>
                    <w:pStyle w:val="TableColumnHeading"/>
                    <w:ind w:right="28"/>
                    <w:jc w:val="left"/>
                  </w:pPr>
                  <w:r>
                    <w:t>Pros</w:t>
                  </w:r>
                </w:p>
              </w:tc>
              <w:tc>
                <w:tcPr>
                  <w:tcW w:w="1075" w:type="pct"/>
                  <w:tcBorders>
                    <w:top w:val="single" w:sz="6" w:space="0" w:color="BFBFBF"/>
                    <w:bottom w:val="single" w:sz="6" w:space="0" w:color="BFBFBF"/>
                  </w:tcBorders>
                  <w:vAlign w:val="bottom"/>
                </w:tcPr>
                <w:p w14:paraId="5AD901A9" w14:textId="77777777" w:rsidR="00446B91" w:rsidRDefault="00446B91" w:rsidP="0091342C">
                  <w:pPr>
                    <w:pStyle w:val="TableColumnHeading"/>
                    <w:ind w:right="28"/>
                    <w:jc w:val="left"/>
                  </w:pPr>
                  <w:r>
                    <w:t>Cons</w:t>
                  </w:r>
                </w:p>
              </w:tc>
              <w:tc>
                <w:tcPr>
                  <w:tcW w:w="1492" w:type="pct"/>
                  <w:tcBorders>
                    <w:top w:val="single" w:sz="6" w:space="0" w:color="BFBFBF"/>
                    <w:bottom w:val="single" w:sz="6" w:space="0" w:color="BFBFBF"/>
                  </w:tcBorders>
                  <w:shd w:val="clear" w:color="auto" w:fill="auto"/>
                  <w:tcMar>
                    <w:top w:w="28" w:type="dxa"/>
                  </w:tcMar>
                  <w:vAlign w:val="bottom"/>
                </w:tcPr>
                <w:p w14:paraId="522187AF" w14:textId="77777777" w:rsidR="00446B91" w:rsidRDefault="00446B91" w:rsidP="0091342C">
                  <w:pPr>
                    <w:pStyle w:val="TableColumnHeading"/>
                    <w:ind w:right="28"/>
                    <w:jc w:val="left"/>
                  </w:pPr>
                  <w:r>
                    <w:t>How used?</w:t>
                  </w:r>
                  <w:proofErr w:type="spellStart"/>
                  <w:r w:rsidRPr="00D0609A">
                    <w:rPr>
                      <w:rStyle w:val="NoteLabel"/>
                      <w:i w:val="0"/>
                    </w:rPr>
                    <w:t>a,b</w:t>
                  </w:r>
                  <w:proofErr w:type="spellEnd"/>
                </w:p>
              </w:tc>
            </w:tr>
            <w:tr w:rsidR="00446B91" w14:paraId="742527F3" w14:textId="77777777" w:rsidTr="0091342C">
              <w:tc>
                <w:tcPr>
                  <w:tcW w:w="5000" w:type="pct"/>
                  <w:gridSpan w:val="5"/>
                  <w:tcBorders>
                    <w:top w:val="single" w:sz="6" w:space="0" w:color="BFBFBF"/>
                  </w:tcBorders>
                  <w:shd w:val="clear" w:color="auto" w:fill="F2F2F2" w:themeFill="background1" w:themeFillShade="F2"/>
                </w:tcPr>
                <w:p w14:paraId="3EA251B3" w14:textId="77777777" w:rsidR="00446B91" w:rsidRDefault="00446B91" w:rsidP="0091342C">
                  <w:pPr>
                    <w:pStyle w:val="TableUnitsRow"/>
                    <w:ind w:right="28"/>
                    <w:jc w:val="left"/>
                  </w:pPr>
                  <w:r>
                    <w:rPr>
                      <w:b/>
                    </w:rPr>
                    <w:t>Regulator data</w:t>
                  </w:r>
                </w:p>
              </w:tc>
            </w:tr>
            <w:tr w:rsidR="00446B91" w14:paraId="0158FA45" w14:textId="77777777" w:rsidTr="0091342C">
              <w:tc>
                <w:tcPr>
                  <w:tcW w:w="748" w:type="pct"/>
                </w:tcPr>
                <w:p w14:paraId="507A9302" w14:textId="77777777" w:rsidR="00446B91" w:rsidRDefault="00446B91" w:rsidP="0091342C">
                  <w:pPr>
                    <w:pStyle w:val="TableUnitsRow"/>
                    <w:jc w:val="left"/>
                  </w:pPr>
                  <w:r>
                    <w:t>APRA</w:t>
                  </w:r>
                </w:p>
              </w:tc>
              <w:tc>
                <w:tcPr>
                  <w:tcW w:w="752" w:type="pct"/>
                </w:tcPr>
                <w:p w14:paraId="096685C7" w14:textId="77777777" w:rsidR="00446B91" w:rsidRDefault="00446B91" w:rsidP="0091342C">
                  <w:pPr>
                    <w:pStyle w:val="TableUnitsRow"/>
                    <w:ind w:right="28"/>
                    <w:jc w:val="left"/>
                  </w:pPr>
                  <w:r>
                    <w:t xml:space="preserve">For costs: </w:t>
                  </w:r>
                  <w:r>
                    <w:br/>
                    <w:t xml:space="preserve">2004 to 2017 </w:t>
                  </w:r>
                </w:p>
                <w:p w14:paraId="3D26D2CC" w14:textId="77777777" w:rsidR="00446B91" w:rsidRDefault="00446B91" w:rsidP="0091342C">
                  <w:pPr>
                    <w:pStyle w:val="TableUnitsRow"/>
                    <w:ind w:right="28"/>
                    <w:jc w:val="left"/>
                  </w:pPr>
                  <w:r>
                    <w:t xml:space="preserve">For fees: </w:t>
                  </w:r>
                  <w:r>
                    <w:br/>
                    <w:t>2014 to 2017</w:t>
                  </w:r>
                </w:p>
              </w:tc>
              <w:tc>
                <w:tcPr>
                  <w:tcW w:w="917" w:type="pct"/>
                </w:tcPr>
                <w:p w14:paraId="1571BC18" w14:textId="77777777" w:rsidR="00446B91" w:rsidRDefault="00446B91" w:rsidP="0091342C">
                  <w:pPr>
                    <w:pStyle w:val="TableUnitsRow"/>
                    <w:ind w:right="28"/>
                    <w:jc w:val="left"/>
                  </w:pPr>
                  <w:r>
                    <w:t>Comprehensive coverage of APRA</w:t>
                  </w:r>
                  <w:r>
                    <w:noBreakHyphen/>
                    <w:t>regulated funds</w:t>
                  </w:r>
                </w:p>
                <w:p w14:paraId="4749B258" w14:textId="77777777" w:rsidR="00446B91" w:rsidRDefault="00446B91" w:rsidP="0091342C">
                  <w:pPr>
                    <w:pStyle w:val="TableUnitsRow"/>
                    <w:ind w:right="28"/>
                    <w:jc w:val="left"/>
                  </w:pPr>
                  <w:r>
                    <w:t>Comprehensive product</w:t>
                  </w:r>
                  <w:r>
                    <w:noBreakHyphen/>
                    <w:t xml:space="preserve">level data for </w:t>
                  </w:r>
                  <w:proofErr w:type="spellStart"/>
                  <w:r>
                    <w:t>MySuper</w:t>
                  </w:r>
                  <w:proofErr w:type="spellEnd"/>
                  <w:r>
                    <w:t xml:space="preserve"> products</w:t>
                  </w:r>
                </w:p>
              </w:tc>
              <w:tc>
                <w:tcPr>
                  <w:tcW w:w="1083" w:type="pct"/>
                </w:tcPr>
                <w:p w14:paraId="714BBAB3" w14:textId="77777777" w:rsidR="00446B91" w:rsidRDefault="00446B91" w:rsidP="0091342C">
                  <w:pPr>
                    <w:pStyle w:val="TableUnitsRow"/>
                    <w:ind w:right="28"/>
                    <w:jc w:val="left"/>
                  </w:pPr>
                  <w:r>
                    <w:t xml:space="preserve">Investment fee revenue and cost data have not been collected from many funds </w:t>
                  </w:r>
                </w:p>
                <w:p w14:paraId="014651FA" w14:textId="77777777" w:rsidR="00446B91" w:rsidRDefault="00446B91" w:rsidP="0091342C">
                  <w:pPr>
                    <w:pStyle w:val="TableUnitsRow"/>
                    <w:ind w:right="28"/>
                    <w:jc w:val="left"/>
                  </w:pPr>
                  <w:r>
                    <w:t>No product</w:t>
                  </w:r>
                  <w:r>
                    <w:noBreakHyphen/>
                    <w:t>level data for choice products, retirement products or pre</w:t>
                  </w:r>
                  <w:r>
                    <w:noBreakHyphen/>
                  </w:r>
                  <w:proofErr w:type="spellStart"/>
                  <w:r>
                    <w:t>MySuper</w:t>
                  </w:r>
                  <w:proofErr w:type="spellEnd"/>
                  <w:r>
                    <w:t xml:space="preserve"> default products</w:t>
                  </w:r>
                </w:p>
                <w:p w14:paraId="01C39B7F" w14:textId="77777777" w:rsidR="00446B91" w:rsidRDefault="00446B91" w:rsidP="0091342C">
                  <w:pPr>
                    <w:pStyle w:val="TableUnitsRow"/>
                    <w:ind w:right="28"/>
                    <w:jc w:val="left"/>
                  </w:pPr>
                </w:p>
              </w:tc>
              <w:tc>
                <w:tcPr>
                  <w:tcW w:w="1500" w:type="pct"/>
                </w:tcPr>
                <w:p w14:paraId="4831090A" w14:textId="77777777" w:rsidR="00446B91" w:rsidRDefault="00446B91" w:rsidP="0091342C">
                  <w:pPr>
                    <w:pStyle w:val="TableUnitsRow"/>
                    <w:ind w:right="28"/>
                    <w:jc w:val="left"/>
                  </w:pPr>
                  <w:r>
                    <w:t>Costs for APRA</w:t>
                  </w:r>
                  <w:r>
                    <w:noBreakHyphen/>
                    <w:t>regulated funds by service (administration, investment, total) and by broad fund type (retail and not</w:t>
                  </w:r>
                  <w:r>
                    <w:noBreakHyphen/>
                    <w:t>for</w:t>
                  </w:r>
                  <w:r>
                    <w:noBreakHyphen/>
                    <w:t>profit) (figures 3.6, 3.9)</w:t>
                  </w:r>
                </w:p>
                <w:p w14:paraId="1C34A8ED" w14:textId="77777777" w:rsidR="00446B91" w:rsidRDefault="00446B91" w:rsidP="0091342C">
                  <w:pPr>
                    <w:pStyle w:val="TableUnitsRow"/>
                    <w:ind w:right="28"/>
                    <w:jc w:val="left"/>
                  </w:pPr>
                  <w:r>
                    <w:t>Fee revenue for APRA</w:t>
                  </w:r>
                  <w:r>
                    <w:noBreakHyphen/>
                    <w:t>regulated funds by service (administration, investment, activity, advice, other, total) and/or by fund type (corporate, industry, public sector, retail) (figures 3.5, 3.12, 3.19)</w:t>
                  </w:r>
                </w:p>
                <w:p w14:paraId="2B4140A0" w14:textId="77777777" w:rsidR="00446B91" w:rsidRDefault="00446B91" w:rsidP="0091342C">
                  <w:pPr>
                    <w:pStyle w:val="TableUnitsRow"/>
                    <w:ind w:right="28"/>
                    <w:jc w:val="left"/>
                  </w:pPr>
                  <w:r>
                    <w:t xml:space="preserve">Transition of assets from accrued default to </w:t>
                  </w:r>
                  <w:proofErr w:type="spellStart"/>
                  <w:r>
                    <w:t>MySuper</w:t>
                  </w:r>
                  <w:proofErr w:type="spellEnd"/>
                  <w:r>
                    <w:t xml:space="preserve"> (figure 3.4)</w:t>
                  </w:r>
                </w:p>
              </w:tc>
            </w:tr>
            <w:tr w:rsidR="00446B91" w14:paraId="70E02569" w14:textId="77777777" w:rsidTr="0091342C">
              <w:tc>
                <w:tcPr>
                  <w:tcW w:w="748" w:type="pct"/>
                </w:tcPr>
                <w:p w14:paraId="4D85C8C3" w14:textId="77777777" w:rsidR="00446B91" w:rsidRDefault="00446B91" w:rsidP="0091342C">
                  <w:pPr>
                    <w:pStyle w:val="TableBodyText"/>
                    <w:jc w:val="left"/>
                  </w:pPr>
                  <w:proofErr w:type="spellStart"/>
                  <w:r>
                    <w:t>ATO</w:t>
                  </w:r>
                  <w:proofErr w:type="spellEnd"/>
                </w:p>
              </w:tc>
              <w:tc>
                <w:tcPr>
                  <w:tcW w:w="752" w:type="pct"/>
                </w:tcPr>
                <w:p w14:paraId="2073B450" w14:textId="77777777" w:rsidR="00446B91" w:rsidRDefault="00446B91" w:rsidP="0091342C">
                  <w:pPr>
                    <w:pStyle w:val="TableBodyText"/>
                    <w:ind w:right="28"/>
                    <w:jc w:val="left"/>
                  </w:pPr>
                  <w:r>
                    <w:t>2010 to 2016</w:t>
                  </w:r>
                </w:p>
              </w:tc>
              <w:tc>
                <w:tcPr>
                  <w:tcW w:w="917" w:type="pct"/>
                </w:tcPr>
                <w:p w14:paraId="11D92D58" w14:textId="77777777" w:rsidR="00446B91" w:rsidRDefault="00446B91" w:rsidP="0091342C">
                  <w:pPr>
                    <w:pStyle w:val="TableBodyText"/>
                    <w:ind w:right="28"/>
                    <w:jc w:val="left"/>
                  </w:pPr>
                  <w:r>
                    <w:t xml:space="preserve">Comprehensive coverage of </w:t>
                  </w:r>
                  <w:proofErr w:type="spellStart"/>
                  <w:r>
                    <w:t>SMSF</w:t>
                  </w:r>
                  <w:proofErr w:type="spellEnd"/>
                  <w:r>
                    <w:t xml:space="preserve"> segment</w:t>
                  </w:r>
                </w:p>
              </w:tc>
              <w:tc>
                <w:tcPr>
                  <w:tcW w:w="1083" w:type="pct"/>
                </w:tcPr>
                <w:p w14:paraId="53AD38FF" w14:textId="77777777" w:rsidR="00446B91" w:rsidRDefault="00446B91" w:rsidP="0091342C">
                  <w:pPr>
                    <w:pStyle w:val="TableBodyText"/>
                    <w:ind w:right="28"/>
                    <w:jc w:val="left"/>
                  </w:pPr>
                  <w:proofErr w:type="spellStart"/>
                  <w:r>
                    <w:t>SMSF</w:t>
                  </w:r>
                  <w:proofErr w:type="spellEnd"/>
                  <w:r>
                    <w:t xml:space="preserve"> cost data not fully comparable with APRA cost data</w:t>
                  </w:r>
                </w:p>
              </w:tc>
              <w:tc>
                <w:tcPr>
                  <w:tcW w:w="1500" w:type="pct"/>
                </w:tcPr>
                <w:p w14:paraId="37707909" w14:textId="77777777" w:rsidR="00446B91" w:rsidRDefault="00446B91" w:rsidP="0091342C">
                  <w:pPr>
                    <w:pStyle w:val="TableBodyText"/>
                    <w:ind w:right="28"/>
                    <w:jc w:val="left"/>
                  </w:pPr>
                  <w:proofErr w:type="spellStart"/>
                  <w:r>
                    <w:t>SMSF</w:t>
                  </w:r>
                  <w:proofErr w:type="spellEnd"/>
                  <w:r>
                    <w:t xml:space="preserve"> costs by service type (administration, investment, total), by size bracket, and by age of </w:t>
                  </w:r>
                  <w:proofErr w:type="spellStart"/>
                  <w:r>
                    <w:t>SMSF</w:t>
                  </w:r>
                  <w:proofErr w:type="spellEnd"/>
                  <w:r>
                    <w:t xml:space="preserve"> (figures 3.22–3.26)</w:t>
                  </w:r>
                </w:p>
              </w:tc>
            </w:tr>
            <w:tr w:rsidR="00446B91" w14:paraId="6A6DD2F1" w14:textId="77777777" w:rsidTr="0091342C">
              <w:tc>
                <w:tcPr>
                  <w:tcW w:w="5000" w:type="pct"/>
                  <w:gridSpan w:val="5"/>
                  <w:shd w:val="clear" w:color="auto" w:fill="F2F2F2" w:themeFill="background1" w:themeFillShade="F2"/>
                </w:tcPr>
                <w:p w14:paraId="6208107F" w14:textId="77777777" w:rsidR="00446B91" w:rsidRPr="00450929" w:rsidRDefault="00446B91" w:rsidP="0091342C">
                  <w:pPr>
                    <w:pStyle w:val="TableBodyText"/>
                    <w:spacing w:before="80"/>
                    <w:ind w:right="28"/>
                    <w:jc w:val="left"/>
                  </w:pPr>
                  <w:r w:rsidRPr="00450929">
                    <w:rPr>
                      <w:b/>
                    </w:rPr>
                    <w:t>Private research firm data</w:t>
                  </w:r>
                </w:p>
              </w:tc>
            </w:tr>
            <w:tr w:rsidR="00446B91" w14:paraId="70C799B1" w14:textId="77777777" w:rsidTr="0091342C">
              <w:tc>
                <w:tcPr>
                  <w:tcW w:w="748" w:type="pct"/>
                  <w:shd w:val="clear" w:color="auto" w:fill="auto"/>
                </w:tcPr>
                <w:p w14:paraId="12425C98" w14:textId="77777777" w:rsidR="00446B91" w:rsidRDefault="00446B91" w:rsidP="0091342C">
                  <w:pPr>
                    <w:pStyle w:val="TableBodyText"/>
                    <w:jc w:val="left"/>
                  </w:pPr>
                  <w:proofErr w:type="spellStart"/>
                  <w:r>
                    <w:t>SuperRatings</w:t>
                  </w:r>
                  <w:proofErr w:type="spellEnd"/>
                </w:p>
              </w:tc>
              <w:tc>
                <w:tcPr>
                  <w:tcW w:w="752" w:type="pct"/>
                </w:tcPr>
                <w:p w14:paraId="16E6DC0F" w14:textId="77777777" w:rsidR="00446B91" w:rsidRDefault="00446B91" w:rsidP="0091342C">
                  <w:pPr>
                    <w:pStyle w:val="TableBodyText"/>
                    <w:ind w:right="28"/>
                    <w:jc w:val="left"/>
                  </w:pPr>
                  <w:r>
                    <w:t xml:space="preserve">2007 to 2017 </w:t>
                  </w:r>
                </w:p>
              </w:tc>
              <w:tc>
                <w:tcPr>
                  <w:tcW w:w="917" w:type="pct"/>
                </w:tcPr>
                <w:p w14:paraId="3194DEB4" w14:textId="77777777" w:rsidR="00446B91" w:rsidRDefault="00446B91" w:rsidP="0091342C">
                  <w:pPr>
                    <w:pStyle w:val="TableBodyText"/>
                    <w:ind w:right="28"/>
                    <w:jc w:val="left"/>
                  </w:pPr>
                  <w:r>
                    <w:t>Generally has greater coverage of APRA funds than other research firms</w:t>
                  </w:r>
                </w:p>
                <w:p w14:paraId="37305C29" w14:textId="77777777" w:rsidR="00446B91" w:rsidRDefault="00446B91" w:rsidP="0091342C">
                  <w:pPr>
                    <w:pStyle w:val="TableBodyText"/>
                    <w:ind w:right="28"/>
                    <w:jc w:val="left"/>
                  </w:pPr>
                  <w:r>
                    <w:t xml:space="preserve">On request, </w:t>
                  </w:r>
                  <w:proofErr w:type="spellStart"/>
                  <w:r>
                    <w:t>SuperRatings</w:t>
                  </w:r>
                  <w:proofErr w:type="spellEnd"/>
                  <w:r>
                    <w:t xml:space="preserve"> identified default options prior to </w:t>
                  </w:r>
                  <w:proofErr w:type="spellStart"/>
                  <w:r>
                    <w:t>MySuper</w:t>
                  </w:r>
                  <w:proofErr w:type="spellEnd"/>
                </w:p>
              </w:tc>
              <w:tc>
                <w:tcPr>
                  <w:tcW w:w="1083" w:type="pct"/>
                </w:tcPr>
                <w:p w14:paraId="554C5048" w14:textId="77777777" w:rsidR="00446B91" w:rsidRDefault="00446B91" w:rsidP="0091342C">
                  <w:pPr>
                    <w:pStyle w:val="TableBodyText"/>
                    <w:ind w:right="28"/>
                    <w:jc w:val="left"/>
                  </w:pPr>
                  <w:r>
                    <w:t>Possible selection bias</w:t>
                  </w:r>
                </w:p>
                <w:p w14:paraId="6BB0CD9E" w14:textId="77777777" w:rsidR="00446B91" w:rsidRDefault="00446B91" w:rsidP="0091342C">
                  <w:pPr>
                    <w:pStyle w:val="TableBodyText"/>
                    <w:ind w:right="28"/>
                    <w:jc w:val="left"/>
                  </w:pPr>
                  <w:r>
                    <w:t>Possible survivor bias</w:t>
                  </w:r>
                </w:p>
              </w:tc>
              <w:tc>
                <w:tcPr>
                  <w:tcW w:w="1500" w:type="pct"/>
                  <w:shd w:val="clear" w:color="auto" w:fill="auto"/>
                </w:tcPr>
                <w:p w14:paraId="78CD2313" w14:textId="77777777" w:rsidR="00446B91" w:rsidRDefault="00446B91" w:rsidP="0091342C">
                  <w:pPr>
                    <w:pStyle w:val="TableBodyText"/>
                    <w:ind w:right="28"/>
                    <w:jc w:val="left"/>
                  </w:pPr>
                  <w:r>
                    <w:t>Advertised fees for products of APRA</w:t>
                  </w:r>
                  <w:r>
                    <w:noBreakHyphen/>
                    <w:t xml:space="preserve">regulated funds by service (administration, investment, total), in accumulation and retirement segments, in </w:t>
                  </w:r>
                  <w:proofErr w:type="spellStart"/>
                  <w:r>
                    <w:t>MySuper</w:t>
                  </w:r>
                  <w:proofErr w:type="spellEnd"/>
                  <w:r>
                    <w:t xml:space="preserve"> and choice segments, by broad fund type (retail and not</w:t>
                  </w:r>
                  <w:r>
                    <w:noBreakHyphen/>
                    <w:t>for</w:t>
                  </w:r>
                  <w:r>
                    <w:noBreakHyphen/>
                    <w:t xml:space="preserve">profit) and by option type (figures 3.3, 3.4, 3.7, 3.8, 3.10, 3.11, 3.13, 3.15–3.18, 3.20, 3.21) </w:t>
                  </w:r>
                </w:p>
              </w:tc>
            </w:tr>
            <w:tr w:rsidR="00446B91" w14:paraId="5B98CDD6" w14:textId="77777777" w:rsidTr="0091342C">
              <w:tc>
                <w:tcPr>
                  <w:tcW w:w="748" w:type="pct"/>
                  <w:shd w:val="clear" w:color="auto" w:fill="auto"/>
                </w:tcPr>
                <w:p w14:paraId="34601D01" w14:textId="77777777" w:rsidR="00446B91" w:rsidRDefault="00446B91" w:rsidP="0091342C">
                  <w:pPr>
                    <w:pStyle w:val="TableBodyText"/>
                    <w:jc w:val="left"/>
                  </w:pPr>
                  <w:proofErr w:type="spellStart"/>
                  <w:r>
                    <w:t>CEM</w:t>
                  </w:r>
                  <w:proofErr w:type="spellEnd"/>
                  <w:r>
                    <w:t xml:space="preserve"> Benchmarking</w:t>
                  </w:r>
                </w:p>
              </w:tc>
              <w:tc>
                <w:tcPr>
                  <w:tcW w:w="752" w:type="pct"/>
                </w:tcPr>
                <w:p w14:paraId="66457306" w14:textId="77777777" w:rsidR="00446B91" w:rsidRDefault="00446B91" w:rsidP="0091342C">
                  <w:pPr>
                    <w:pStyle w:val="TableBodyText"/>
                    <w:ind w:right="28"/>
                    <w:jc w:val="left"/>
                  </w:pPr>
                  <w:r>
                    <w:t xml:space="preserve">2016 </w:t>
                  </w:r>
                </w:p>
              </w:tc>
              <w:tc>
                <w:tcPr>
                  <w:tcW w:w="917" w:type="pct"/>
                </w:tcPr>
                <w:p w14:paraId="115A87D9" w14:textId="77777777" w:rsidR="00446B91" w:rsidRDefault="00446B91" w:rsidP="0091342C">
                  <w:pPr>
                    <w:pStyle w:val="TableBodyText"/>
                    <w:ind w:right="28"/>
                    <w:jc w:val="left"/>
                  </w:pPr>
                  <w:r>
                    <w:t xml:space="preserve">A source </w:t>
                  </w:r>
                  <w:r>
                    <w:br/>
                    <w:t>of comparable international investment costs data</w:t>
                  </w:r>
                </w:p>
              </w:tc>
              <w:tc>
                <w:tcPr>
                  <w:tcW w:w="1083" w:type="pct"/>
                </w:tcPr>
                <w:p w14:paraId="591A3B11" w14:textId="77777777" w:rsidR="00446B91" w:rsidRDefault="00446B91" w:rsidP="0091342C">
                  <w:pPr>
                    <w:pStyle w:val="TableBodyText"/>
                    <w:ind w:right="28"/>
                    <w:jc w:val="left"/>
                  </w:pPr>
                  <w:r>
                    <w:t>Limited sample of funds for some regions</w:t>
                  </w:r>
                </w:p>
                <w:p w14:paraId="5E58CD98" w14:textId="77777777" w:rsidR="00446B91" w:rsidRDefault="00446B91" w:rsidP="0091342C">
                  <w:pPr>
                    <w:pStyle w:val="TableBodyText"/>
                    <w:ind w:right="28"/>
                    <w:jc w:val="left"/>
                  </w:pPr>
                  <w:r>
                    <w:t>Possible selection bias</w:t>
                  </w:r>
                </w:p>
              </w:tc>
              <w:tc>
                <w:tcPr>
                  <w:tcW w:w="1500" w:type="pct"/>
                  <w:shd w:val="clear" w:color="auto" w:fill="auto"/>
                </w:tcPr>
                <w:p w14:paraId="0FD438EE" w14:textId="77777777" w:rsidR="00446B91" w:rsidRDefault="00446B91" w:rsidP="0091342C">
                  <w:pPr>
                    <w:pStyle w:val="TableBodyText"/>
                    <w:ind w:right="28"/>
                    <w:jc w:val="left"/>
                  </w:pPr>
                  <w:r>
                    <w:t>Compared with Australian investment costs collected from the Commission’s funds survey (figure 3.2)</w:t>
                  </w:r>
                </w:p>
              </w:tc>
            </w:tr>
            <w:tr w:rsidR="00446B91" w14:paraId="56DB896F" w14:textId="77777777" w:rsidTr="0091342C">
              <w:trPr>
                <w:trHeight w:val="238"/>
              </w:trPr>
              <w:tc>
                <w:tcPr>
                  <w:tcW w:w="5000" w:type="pct"/>
                  <w:gridSpan w:val="5"/>
                  <w:shd w:val="clear" w:color="auto" w:fill="F2F2F2" w:themeFill="background1" w:themeFillShade="F2"/>
                </w:tcPr>
                <w:p w14:paraId="101D809C" w14:textId="77777777" w:rsidR="00446B91" w:rsidRDefault="00446B91" w:rsidP="0091342C">
                  <w:pPr>
                    <w:pStyle w:val="TableBodyText"/>
                    <w:spacing w:before="80"/>
                    <w:ind w:right="284"/>
                    <w:jc w:val="left"/>
                  </w:pPr>
                  <w:r>
                    <w:rPr>
                      <w:b/>
                    </w:rPr>
                    <w:t>Commission survey data</w:t>
                  </w:r>
                </w:p>
              </w:tc>
            </w:tr>
            <w:tr w:rsidR="00446B91" w14:paraId="3C33D72E" w14:textId="77777777" w:rsidTr="0091342C">
              <w:tc>
                <w:tcPr>
                  <w:tcW w:w="782" w:type="pct"/>
                  <w:tcBorders>
                    <w:bottom w:val="single" w:sz="4" w:space="0" w:color="BFBFBF"/>
                  </w:tcBorders>
                  <w:shd w:val="clear" w:color="auto" w:fill="auto"/>
                </w:tcPr>
                <w:p w14:paraId="3F3439F8" w14:textId="77777777" w:rsidR="00446B91" w:rsidRDefault="00446B91" w:rsidP="0091342C">
                  <w:pPr>
                    <w:pStyle w:val="TableBodyText"/>
                    <w:jc w:val="left"/>
                    <w:rPr>
                      <w:b/>
                    </w:rPr>
                  </w:pPr>
                  <w:r>
                    <w:t>Supplementary funds survey</w:t>
                  </w:r>
                </w:p>
              </w:tc>
              <w:tc>
                <w:tcPr>
                  <w:tcW w:w="743" w:type="pct"/>
                  <w:tcBorders>
                    <w:bottom w:val="single" w:sz="4" w:space="0" w:color="BFBFBF"/>
                  </w:tcBorders>
                </w:tcPr>
                <w:p w14:paraId="51A0C658" w14:textId="77777777" w:rsidR="00446B91" w:rsidRDefault="00446B91" w:rsidP="0091342C">
                  <w:pPr>
                    <w:pStyle w:val="TableBodyText"/>
                    <w:ind w:right="28"/>
                    <w:jc w:val="left"/>
                  </w:pPr>
                  <w:r>
                    <w:t>2012</w:t>
                  </w:r>
                  <w:r>
                    <w:noBreakHyphen/>
                    <w:t>13 to 2016</w:t>
                  </w:r>
                  <w:r>
                    <w:noBreakHyphen/>
                    <w:t xml:space="preserve">17 </w:t>
                  </w:r>
                </w:p>
              </w:tc>
              <w:tc>
                <w:tcPr>
                  <w:tcW w:w="908" w:type="pct"/>
                  <w:tcBorders>
                    <w:bottom w:val="single" w:sz="4" w:space="0" w:color="BFBFBF"/>
                  </w:tcBorders>
                </w:tcPr>
                <w:p w14:paraId="1FE60359" w14:textId="77777777" w:rsidR="00446B91" w:rsidRDefault="00446B91" w:rsidP="0091342C">
                  <w:pPr>
                    <w:pStyle w:val="TableBodyText"/>
                    <w:ind w:right="28"/>
                    <w:jc w:val="left"/>
                  </w:pPr>
                  <w:r>
                    <w:t>Provides investment management costs by asset class for many APRA funds</w:t>
                  </w:r>
                </w:p>
              </w:tc>
              <w:tc>
                <w:tcPr>
                  <w:tcW w:w="1075" w:type="pct"/>
                  <w:tcBorders>
                    <w:bottom w:val="single" w:sz="4" w:space="0" w:color="BFBFBF"/>
                  </w:tcBorders>
                </w:tcPr>
                <w:p w14:paraId="561B3DF4" w14:textId="77777777" w:rsidR="00446B91" w:rsidRDefault="00446B91" w:rsidP="0091342C">
                  <w:pPr>
                    <w:pStyle w:val="TableBodyText"/>
                    <w:ind w:right="28"/>
                    <w:jc w:val="left"/>
                  </w:pPr>
                  <w:r>
                    <w:t>Responses by funds were incomplete and some funds may have interpreted questions differently</w:t>
                  </w:r>
                </w:p>
                <w:p w14:paraId="6E24A490" w14:textId="77777777" w:rsidR="00446B91" w:rsidRDefault="00446B91" w:rsidP="0091342C">
                  <w:pPr>
                    <w:pStyle w:val="TableBodyText"/>
                    <w:ind w:right="28"/>
                    <w:jc w:val="left"/>
                  </w:pPr>
                  <w:r>
                    <w:t>Possible selection bias</w:t>
                  </w:r>
                </w:p>
                <w:p w14:paraId="0ECA09DF" w14:textId="77777777" w:rsidR="00446B91" w:rsidRDefault="00446B91" w:rsidP="0091342C">
                  <w:pPr>
                    <w:pStyle w:val="TableBodyText"/>
                    <w:ind w:left="0" w:right="28"/>
                    <w:jc w:val="left"/>
                  </w:pPr>
                </w:p>
              </w:tc>
              <w:tc>
                <w:tcPr>
                  <w:tcW w:w="1492" w:type="pct"/>
                  <w:tcBorders>
                    <w:bottom w:val="single" w:sz="4" w:space="0" w:color="BFBFBF"/>
                  </w:tcBorders>
                  <w:shd w:val="clear" w:color="auto" w:fill="auto"/>
                </w:tcPr>
                <w:p w14:paraId="77E976AA" w14:textId="77777777" w:rsidR="00446B91" w:rsidRDefault="00446B91" w:rsidP="0091342C">
                  <w:pPr>
                    <w:pStyle w:val="TableBodyText"/>
                    <w:ind w:right="28"/>
                    <w:jc w:val="left"/>
                  </w:pPr>
                  <w:r>
                    <w:t xml:space="preserve">Compared investment management costs by asset class with international benchmarks from </w:t>
                  </w:r>
                  <w:proofErr w:type="spellStart"/>
                  <w:r>
                    <w:t>CEM</w:t>
                  </w:r>
                  <w:proofErr w:type="spellEnd"/>
                  <w:r>
                    <w:t xml:space="preserve"> data (figure 3.2) </w:t>
                  </w:r>
                </w:p>
                <w:p w14:paraId="527A62F9" w14:textId="77777777" w:rsidR="00446B91" w:rsidRDefault="00446B91" w:rsidP="0091342C">
                  <w:pPr>
                    <w:pStyle w:val="TableBodyText"/>
                    <w:ind w:right="28"/>
                    <w:jc w:val="left"/>
                  </w:pPr>
                  <w:r>
                    <w:t>Compared the investment costs by asset of different fund types (figure 3.14)</w:t>
                  </w:r>
                </w:p>
              </w:tc>
            </w:tr>
          </w:tbl>
          <w:p w14:paraId="2BD2C8B1" w14:textId="77777777" w:rsidR="00446B91" w:rsidRDefault="00446B91" w:rsidP="0091342C">
            <w:pPr>
              <w:pStyle w:val="Box"/>
            </w:pPr>
          </w:p>
        </w:tc>
      </w:tr>
      <w:tr w:rsidR="00446B91" w14:paraId="706625BB" w14:textId="77777777" w:rsidTr="0091342C">
        <w:tc>
          <w:tcPr>
            <w:tcW w:w="5000" w:type="pct"/>
            <w:tcBorders>
              <w:top w:val="nil"/>
              <w:left w:val="nil"/>
              <w:bottom w:val="nil"/>
              <w:right w:val="nil"/>
            </w:tcBorders>
            <w:shd w:val="clear" w:color="auto" w:fill="auto"/>
          </w:tcPr>
          <w:p w14:paraId="0E4E642F" w14:textId="77777777" w:rsidR="00446B91" w:rsidRDefault="00446B91" w:rsidP="0091342C">
            <w:pPr>
              <w:pStyle w:val="Note"/>
              <w:rPr>
                <w:i/>
              </w:rPr>
            </w:pPr>
            <w:proofErr w:type="spellStart"/>
            <w:r w:rsidRPr="008E77FE">
              <w:rPr>
                <w:rStyle w:val="NoteLabel"/>
              </w:rPr>
              <w:t>a</w:t>
            </w:r>
            <w:proofErr w:type="spellEnd"/>
            <w:r>
              <w:t xml:space="preserve"> The figure references are to chapter 3 of the report. </w:t>
            </w:r>
            <w:r>
              <w:rPr>
                <w:rStyle w:val="NoteLabel"/>
              </w:rPr>
              <w:t>b</w:t>
            </w:r>
            <w:r>
              <w:t xml:space="preserve"> Unless otherwise evident, ‘total’ fees are the sum of administration and investment fees.</w:t>
            </w:r>
          </w:p>
        </w:tc>
      </w:tr>
      <w:tr w:rsidR="00446B91" w14:paraId="50481ABD" w14:textId="77777777" w:rsidTr="0091342C">
        <w:tc>
          <w:tcPr>
            <w:tcW w:w="5000" w:type="pct"/>
            <w:tcBorders>
              <w:top w:val="nil"/>
              <w:left w:val="nil"/>
              <w:bottom w:val="single" w:sz="6" w:space="0" w:color="78A22F"/>
              <w:right w:val="nil"/>
            </w:tcBorders>
            <w:shd w:val="clear" w:color="auto" w:fill="auto"/>
          </w:tcPr>
          <w:p w14:paraId="19C25BCA" w14:textId="77777777" w:rsidR="00446B91" w:rsidRDefault="00446B91" w:rsidP="0091342C">
            <w:pPr>
              <w:pStyle w:val="Box"/>
              <w:spacing w:before="0" w:line="120" w:lineRule="exact"/>
            </w:pPr>
          </w:p>
        </w:tc>
      </w:tr>
      <w:tr w:rsidR="00446B91" w:rsidRPr="000863A5" w14:paraId="42A4610E" w14:textId="77777777" w:rsidTr="0091342C">
        <w:tc>
          <w:tcPr>
            <w:tcW w:w="5000" w:type="pct"/>
            <w:tcBorders>
              <w:top w:val="single" w:sz="6" w:space="0" w:color="78A22F"/>
              <w:left w:val="nil"/>
              <w:bottom w:val="nil"/>
              <w:right w:val="nil"/>
            </w:tcBorders>
          </w:tcPr>
          <w:p w14:paraId="7936B400" w14:textId="77777777" w:rsidR="00446B91" w:rsidRPr="00174B5A" w:rsidRDefault="00446B91" w:rsidP="0091342C">
            <w:pPr>
              <w:pStyle w:val="BoxSpaceBelow"/>
            </w:pPr>
          </w:p>
        </w:tc>
      </w:tr>
    </w:tbl>
    <w:p w14:paraId="372C3612" w14:textId="77777777" w:rsidR="00446B91" w:rsidRDefault="00446B91" w:rsidP="00446B91">
      <w:pPr>
        <w:pStyle w:val="Heading3"/>
      </w:pPr>
      <w:r>
        <w:lastRenderedPageBreak/>
        <w:t>Regulator data</w:t>
      </w:r>
    </w:p>
    <w:p w14:paraId="36231E2A" w14:textId="77777777" w:rsidR="00446B91" w:rsidRPr="00633E5F" w:rsidRDefault="00446B91" w:rsidP="00446B91">
      <w:pPr>
        <w:pStyle w:val="Heading4"/>
        <w:spacing w:before="240"/>
      </w:pPr>
      <w:r>
        <w:t>APRA</w:t>
      </w:r>
    </w:p>
    <w:p w14:paraId="7C4911FD" w14:textId="77777777" w:rsidR="00446B91" w:rsidRDefault="00446B91" w:rsidP="00446B91">
      <w:pPr>
        <w:pStyle w:val="BodyText"/>
      </w:pPr>
      <w:r>
        <w:t xml:space="preserve">The Commission relied on various statistics provided by APRA. </w:t>
      </w:r>
    </w:p>
    <w:p w14:paraId="1A4403DC" w14:textId="77777777" w:rsidR="00446B91" w:rsidRPr="00CD520E" w:rsidRDefault="00446B91" w:rsidP="00446B91">
      <w:pPr>
        <w:pStyle w:val="ListBullet"/>
      </w:pPr>
      <w:r>
        <w:t xml:space="preserve">The </w:t>
      </w:r>
      <w:r w:rsidRPr="000A2301">
        <w:rPr>
          <w:i/>
        </w:rPr>
        <w:t>Annual Superannuation Bulletin</w:t>
      </w:r>
      <w:r>
        <w:rPr>
          <w:i/>
        </w:rPr>
        <w:t xml:space="preserve"> </w:t>
      </w:r>
      <w:r>
        <w:t xml:space="preserve">contains key aggregate superannuation statistics. It was the Commission’s primary source of data on fee revenue and costs. </w:t>
      </w:r>
    </w:p>
    <w:p w14:paraId="3E54C698" w14:textId="77777777" w:rsidR="00446B91" w:rsidRPr="00F81996" w:rsidRDefault="00446B91" w:rsidP="00446B91">
      <w:pPr>
        <w:pStyle w:val="ListBullet"/>
      </w:pPr>
      <w:r w:rsidRPr="00F81996">
        <w:t xml:space="preserve">The </w:t>
      </w:r>
      <w:r w:rsidRPr="002C642E">
        <w:rPr>
          <w:i/>
        </w:rPr>
        <w:t>Annual Fund</w:t>
      </w:r>
      <w:r>
        <w:rPr>
          <w:i/>
        </w:rPr>
        <w:noBreakHyphen/>
      </w:r>
      <w:r w:rsidRPr="002C642E">
        <w:rPr>
          <w:i/>
        </w:rPr>
        <w:t>level Superannuation Statistics</w:t>
      </w:r>
      <w:r w:rsidRPr="00F81996">
        <w:t xml:space="preserve"> report contains detailed profile and structure, financial performance position, </w:t>
      </w:r>
      <w:r>
        <w:t>fee</w:t>
      </w:r>
      <w:r w:rsidRPr="00F81996">
        <w:t xml:space="preserve"> and membership information for APRA</w:t>
      </w:r>
      <w:r>
        <w:noBreakHyphen/>
      </w:r>
      <w:r w:rsidRPr="00F81996">
        <w:t>regulated funds.</w:t>
      </w:r>
      <w:r>
        <w:t xml:space="preserve"> The Commission used these statistics to measure costs relative to assets, including by fund type, and as the key source of data on assets and member accounts for various subsets of the APRA</w:t>
      </w:r>
      <w:r>
        <w:noBreakHyphen/>
        <w:t>regulated system.</w:t>
      </w:r>
    </w:p>
    <w:p w14:paraId="55538D7C" w14:textId="77777777" w:rsidR="00446B91" w:rsidRDefault="00446B91" w:rsidP="00446B91">
      <w:pPr>
        <w:pStyle w:val="ListBullet"/>
      </w:pPr>
      <w:r>
        <w:t xml:space="preserve">The </w:t>
      </w:r>
      <w:r w:rsidRPr="002C642E">
        <w:rPr>
          <w:i/>
        </w:rPr>
        <w:t xml:space="preserve">Quarterly </w:t>
      </w:r>
      <w:proofErr w:type="spellStart"/>
      <w:r w:rsidRPr="002C642E">
        <w:rPr>
          <w:i/>
        </w:rPr>
        <w:t>MySuper</w:t>
      </w:r>
      <w:proofErr w:type="spellEnd"/>
      <w:r w:rsidRPr="002C642E">
        <w:rPr>
          <w:i/>
        </w:rPr>
        <w:t xml:space="preserve"> Statistics</w:t>
      </w:r>
      <w:r w:rsidRPr="00CD520E">
        <w:t xml:space="preserve"> </w:t>
      </w:r>
      <w:r>
        <w:t xml:space="preserve">report </w:t>
      </w:r>
      <w:r w:rsidRPr="00CD520E">
        <w:t>contain</w:t>
      </w:r>
      <w:r>
        <w:t>s</w:t>
      </w:r>
      <w:r w:rsidRPr="00CD520E">
        <w:t xml:space="preserve"> </w:t>
      </w:r>
      <w:r>
        <w:t>relatively comprehensive product</w:t>
      </w:r>
      <w:r>
        <w:noBreakHyphen/>
        <w:t xml:space="preserve">level </w:t>
      </w:r>
      <w:r w:rsidRPr="00CD520E">
        <w:t>data</w:t>
      </w:r>
      <w:r>
        <w:t xml:space="preserve"> for </w:t>
      </w:r>
      <w:proofErr w:type="spellStart"/>
      <w:r>
        <w:t>MySuper</w:t>
      </w:r>
      <w:proofErr w:type="spellEnd"/>
      <w:r>
        <w:t xml:space="preserve"> products. The Commission used these statistics to analyse trends in </w:t>
      </w:r>
      <w:proofErr w:type="spellStart"/>
      <w:r>
        <w:t>MySuper</w:t>
      </w:r>
      <w:proofErr w:type="spellEnd"/>
      <w:r>
        <w:t xml:space="preserve"> fees, and to analyse the impact of the </w:t>
      </w:r>
      <w:proofErr w:type="spellStart"/>
      <w:r>
        <w:t>MySuper</w:t>
      </w:r>
      <w:proofErr w:type="spellEnd"/>
      <w:r>
        <w:t xml:space="preserve"> reforms on fees.</w:t>
      </w:r>
    </w:p>
    <w:p w14:paraId="0167A6D7" w14:textId="77777777" w:rsidR="00446B91" w:rsidRPr="00CD520E" w:rsidRDefault="00446B91" w:rsidP="00446B91">
      <w:pPr>
        <w:pStyle w:val="ListBullet"/>
      </w:pPr>
      <w:r>
        <w:t>The Commission relied on unpublished APRA data on member accounts to assess costs per member account.</w:t>
      </w:r>
    </w:p>
    <w:p w14:paraId="007842F4" w14:textId="77777777" w:rsidR="00446B91" w:rsidRDefault="00446B91" w:rsidP="00446B91">
      <w:pPr>
        <w:pStyle w:val="BodyText"/>
      </w:pPr>
      <w:r>
        <w:t>A general strength of APRA data is that all APRA</w:t>
      </w:r>
      <w:r>
        <w:noBreakHyphen/>
        <w:t>regulated funds are covered, including the fees that were actually paid by members (in aggregate) to their fund (as opposed to advertised fees). However, the data are subject to inconsistent reporting by funds, especially for investment costs and investment management fees (chapter 3, section 3.4). This makes it difficult, if not impossible, to estimate the full costs that funds are incurring and that members are paying for.</w:t>
      </w:r>
    </w:p>
    <w:p w14:paraId="20AD2AA3" w14:textId="77777777" w:rsidR="00446B91" w:rsidRDefault="00446B91" w:rsidP="00446B91">
      <w:pPr>
        <w:pStyle w:val="BodyText"/>
      </w:pPr>
      <w:r>
        <w:t xml:space="preserve">The </w:t>
      </w:r>
      <w:proofErr w:type="spellStart"/>
      <w:r>
        <w:t>MySuper</w:t>
      </w:r>
      <w:proofErr w:type="spellEnd"/>
      <w:r>
        <w:t xml:space="preserve"> data are generally of superior quality, owing to the fact that they are collected at the product level and include indirect investment and other costs. However, the data are only available from 2014, following the introduction of </w:t>
      </w:r>
      <w:proofErr w:type="spellStart"/>
      <w:r>
        <w:t>MySuper</w:t>
      </w:r>
      <w:proofErr w:type="spellEnd"/>
      <w:r>
        <w:t xml:space="preserve"> in 2013.</w:t>
      </w:r>
    </w:p>
    <w:p w14:paraId="2E4983B2" w14:textId="77777777" w:rsidR="00446B91" w:rsidRDefault="00446B91" w:rsidP="00446B91">
      <w:pPr>
        <w:pStyle w:val="Heading4"/>
      </w:pPr>
      <w:proofErr w:type="spellStart"/>
      <w:r>
        <w:t>ATO</w:t>
      </w:r>
      <w:proofErr w:type="spellEnd"/>
    </w:p>
    <w:p w14:paraId="554E1200" w14:textId="77777777" w:rsidR="00446B91" w:rsidRDefault="00446B91" w:rsidP="00446B91">
      <w:pPr>
        <w:pStyle w:val="BodyText"/>
      </w:pPr>
      <w:r>
        <w:t xml:space="preserve">The </w:t>
      </w:r>
      <w:proofErr w:type="spellStart"/>
      <w:r>
        <w:t>ATO’s</w:t>
      </w:r>
      <w:proofErr w:type="spellEnd"/>
      <w:r>
        <w:t xml:space="preserve"> </w:t>
      </w:r>
      <w:r w:rsidRPr="003E19B5">
        <w:rPr>
          <w:i/>
        </w:rPr>
        <w:t>Self</w:t>
      </w:r>
      <w:r>
        <w:rPr>
          <w:i/>
        </w:rPr>
        <w:noBreakHyphen/>
      </w:r>
      <w:r w:rsidRPr="003E19B5">
        <w:rPr>
          <w:i/>
        </w:rPr>
        <w:t>managed superannuation funds: A</w:t>
      </w:r>
      <w:r>
        <w:rPr>
          <w:i/>
        </w:rPr>
        <w:t xml:space="preserve"> statistical overview 2015–</w:t>
      </w:r>
      <w:r w:rsidRPr="003E19B5">
        <w:rPr>
          <w:i/>
        </w:rPr>
        <w:t>2016</w:t>
      </w:r>
      <w:r>
        <w:t xml:space="preserve"> (and back issues) were the primary source of the Commission’s data on self</w:t>
      </w:r>
      <w:r>
        <w:noBreakHyphen/>
        <w:t>managed super funds (</w:t>
      </w:r>
      <w:proofErr w:type="spellStart"/>
      <w:r>
        <w:t>SMSFs</w:t>
      </w:r>
      <w:proofErr w:type="spellEnd"/>
      <w:r>
        <w:t xml:space="preserve">). Data are collected by the </w:t>
      </w:r>
      <w:proofErr w:type="spellStart"/>
      <w:r>
        <w:t>ATO</w:t>
      </w:r>
      <w:proofErr w:type="spellEnd"/>
      <w:r>
        <w:t xml:space="preserve"> directly from </w:t>
      </w:r>
      <w:proofErr w:type="spellStart"/>
      <w:r>
        <w:t>SMSF</w:t>
      </w:r>
      <w:proofErr w:type="spellEnd"/>
      <w:r>
        <w:t xml:space="preserve"> trustees on an annual basis. </w:t>
      </w:r>
    </w:p>
    <w:p w14:paraId="2F157363" w14:textId="77777777" w:rsidR="00446B91" w:rsidRDefault="00446B91" w:rsidP="00446B91">
      <w:pPr>
        <w:pStyle w:val="BodyText"/>
      </w:pPr>
      <w:r>
        <w:t xml:space="preserve">The </w:t>
      </w:r>
      <w:proofErr w:type="spellStart"/>
      <w:r>
        <w:t>ATO’s</w:t>
      </w:r>
      <w:proofErr w:type="spellEnd"/>
      <w:r>
        <w:t xml:space="preserve"> </w:t>
      </w:r>
      <w:proofErr w:type="spellStart"/>
      <w:r>
        <w:t>SMSF</w:t>
      </w:r>
      <w:proofErr w:type="spellEnd"/>
      <w:r>
        <w:t xml:space="preserve"> data include member demographics, member assets, asset allocations and costs. The Commission used these data to measure </w:t>
      </w:r>
      <w:proofErr w:type="spellStart"/>
      <w:r>
        <w:t>SMSF</w:t>
      </w:r>
      <w:proofErr w:type="spellEnd"/>
      <w:r>
        <w:t xml:space="preserve"> costs relative to assets and to help inform its analysis of average member costs in the </w:t>
      </w:r>
      <w:proofErr w:type="spellStart"/>
      <w:r>
        <w:t>SMSF</w:t>
      </w:r>
      <w:proofErr w:type="spellEnd"/>
      <w:r>
        <w:t xml:space="preserve"> segment of the market. </w:t>
      </w:r>
    </w:p>
    <w:p w14:paraId="64F875FA" w14:textId="77777777" w:rsidR="00446B91" w:rsidRDefault="00446B91" w:rsidP="00446B91">
      <w:pPr>
        <w:pStyle w:val="BodyText"/>
      </w:pPr>
      <w:r>
        <w:t xml:space="preserve">The Commission also relied upon unpublished </w:t>
      </w:r>
      <w:proofErr w:type="spellStart"/>
      <w:r>
        <w:t>SMSF</w:t>
      </w:r>
      <w:proofErr w:type="spellEnd"/>
      <w:r>
        <w:t xml:space="preserve"> data provided by the </w:t>
      </w:r>
      <w:proofErr w:type="spellStart"/>
      <w:r>
        <w:t>ATO</w:t>
      </w:r>
      <w:proofErr w:type="spellEnd"/>
      <w:r>
        <w:t xml:space="preserve">. At the request of the Commission, the </w:t>
      </w:r>
      <w:proofErr w:type="spellStart"/>
      <w:r>
        <w:t>ATO</w:t>
      </w:r>
      <w:proofErr w:type="spellEnd"/>
      <w:r>
        <w:t xml:space="preserve"> provided data on returns and expense ratios, based on assets at the beginning of the period. This is more comparable to the APRA methodology than </w:t>
      </w:r>
      <w:proofErr w:type="spellStart"/>
      <w:r>
        <w:t>ATO’s</w:t>
      </w:r>
      <w:proofErr w:type="spellEnd"/>
      <w:r>
        <w:t xml:space="preserve"> standard approach of using the average value of assets over the period. The </w:t>
      </w:r>
      <w:r>
        <w:lastRenderedPageBreak/>
        <w:t xml:space="preserve">Commission used these data to analyse how costs relative to assets vary by the size of </w:t>
      </w:r>
      <w:proofErr w:type="spellStart"/>
      <w:r>
        <w:t>SMSFs</w:t>
      </w:r>
      <w:proofErr w:type="spellEnd"/>
      <w:r>
        <w:t xml:space="preserve">, for both investment and administration services, and for new </w:t>
      </w:r>
      <w:proofErr w:type="spellStart"/>
      <w:r>
        <w:t>SMSF</w:t>
      </w:r>
      <w:proofErr w:type="spellEnd"/>
      <w:r>
        <w:t xml:space="preserve"> establishments.</w:t>
      </w:r>
    </w:p>
    <w:p w14:paraId="2AD2EFEF" w14:textId="77777777" w:rsidR="00446B91" w:rsidRDefault="00446B91" w:rsidP="00446B91">
      <w:pPr>
        <w:pStyle w:val="BodyText"/>
      </w:pPr>
      <w:r>
        <w:t xml:space="preserve">In addition, the </w:t>
      </w:r>
      <w:proofErr w:type="spellStart"/>
      <w:r>
        <w:t>ATO</w:t>
      </w:r>
      <w:proofErr w:type="spellEnd"/>
      <w:r>
        <w:t xml:space="preserve"> provided data on returns and expenses disaggregated by the age and size bracket of </w:t>
      </w:r>
      <w:proofErr w:type="spellStart"/>
      <w:r>
        <w:t>SMSFs</w:t>
      </w:r>
      <w:proofErr w:type="spellEnd"/>
      <w:r>
        <w:t xml:space="preserve">, and some data underlying an earlier </w:t>
      </w:r>
      <w:proofErr w:type="spellStart"/>
      <w:r>
        <w:t>ATO</w:t>
      </w:r>
      <w:proofErr w:type="spellEnd"/>
      <w:r>
        <w:t> </w:t>
      </w:r>
      <w:r w:rsidRPr="00CB0375">
        <w:t>(</w:t>
      </w:r>
      <w:proofErr w:type="spellStart"/>
      <w:r w:rsidRPr="00CB0375">
        <w:t>2018b</w:t>
      </w:r>
      <w:proofErr w:type="spellEnd"/>
      <w:r w:rsidRPr="00CB0375">
        <w:t>)</w:t>
      </w:r>
      <w:r>
        <w:t xml:space="preserve"> longitudinal analysis of </w:t>
      </w:r>
      <w:proofErr w:type="spellStart"/>
      <w:r>
        <w:t>SMSFs</w:t>
      </w:r>
      <w:proofErr w:type="spellEnd"/>
      <w:r>
        <w:t xml:space="preserve"> (covering the period 2012 to 2016).</w:t>
      </w:r>
    </w:p>
    <w:p w14:paraId="794B5DD1" w14:textId="77777777" w:rsidR="00446B91" w:rsidRDefault="00446B91" w:rsidP="00446B91">
      <w:pPr>
        <w:pStyle w:val="BodyText"/>
      </w:pPr>
      <w:r>
        <w:t xml:space="preserve">Because of how the data are collected and reported by the </w:t>
      </w:r>
      <w:proofErr w:type="spellStart"/>
      <w:r>
        <w:t>ATO</w:t>
      </w:r>
      <w:proofErr w:type="spellEnd"/>
      <w:r>
        <w:t xml:space="preserve"> (and thus the nature of the data), </w:t>
      </w:r>
      <w:proofErr w:type="spellStart"/>
      <w:r>
        <w:t>SMSF</w:t>
      </w:r>
      <w:proofErr w:type="spellEnd"/>
      <w:r>
        <w:t xml:space="preserve"> data are not comparable with APRA data (section 2).</w:t>
      </w:r>
      <w:r w:rsidDel="003102B5">
        <w:t xml:space="preserve"> </w:t>
      </w:r>
    </w:p>
    <w:p w14:paraId="5B5B0B64" w14:textId="77777777" w:rsidR="00446B91" w:rsidRDefault="00446B91" w:rsidP="00446B91">
      <w:pPr>
        <w:pStyle w:val="Heading3"/>
      </w:pPr>
      <w:r>
        <w:t>Private research firm data</w:t>
      </w:r>
    </w:p>
    <w:p w14:paraId="4ED0EDE5" w14:textId="77777777" w:rsidR="00446B91" w:rsidRDefault="00446B91" w:rsidP="00446B91">
      <w:pPr>
        <w:pStyle w:val="Heading4"/>
        <w:spacing w:before="240"/>
      </w:pPr>
      <w:proofErr w:type="spellStart"/>
      <w:r>
        <w:t>SuperRatings</w:t>
      </w:r>
      <w:proofErr w:type="spellEnd"/>
    </w:p>
    <w:p w14:paraId="4043399E" w14:textId="77777777" w:rsidR="00446B91" w:rsidRDefault="00446B91" w:rsidP="00446B91">
      <w:pPr>
        <w:pStyle w:val="BodyText"/>
      </w:pPr>
      <w:r>
        <w:t xml:space="preserve">The Commission used </w:t>
      </w:r>
      <w:proofErr w:type="spellStart"/>
      <w:r>
        <w:t>SuperRatings</w:t>
      </w:r>
      <w:proofErr w:type="spellEnd"/>
      <w:r>
        <w:t xml:space="preserve"> data to inform its analysis of fees in the APRA</w:t>
      </w:r>
      <w:r>
        <w:noBreakHyphen/>
        <w:t>regulated system, including the trend in fees by service (investment and administration), by market segment (including the retail and not</w:t>
      </w:r>
      <w:r>
        <w:noBreakHyphen/>
        <w:t>for</w:t>
      </w:r>
      <w:r>
        <w:noBreakHyphen/>
        <w:t xml:space="preserve">profit segments), as well as fee dispersion. </w:t>
      </w:r>
      <w:proofErr w:type="spellStart"/>
      <w:r>
        <w:t>SuperRatings</w:t>
      </w:r>
      <w:proofErr w:type="spellEnd"/>
      <w:r>
        <w:t xml:space="preserve"> data were also used </w:t>
      </w:r>
      <w:r w:rsidRPr="0012500A">
        <w:t xml:space="preserve">in the Commission’s analysis of the impact of the introduction of </w:t>
      </w:r>
      <w:proofErr w:type="spellStart"/>
      <w:r w:rsidRPr="0012500A">
        <w:t>MySuper</w:t>
      </w:r>
      <w:proofErr w:type="spellEnd"/>
      <w:r w:rsidRPr="0012500A">
        <w:t xml:space="preserve"> on fee levels. </w:t>
      </w:r>
      <w:r>
        <w:t xml:space="preserve">To this end, and at the Commission’s request, </w:t>
      </w:r>
      <w:proofErr w:type="spellStart"/>
      <w:r>
        <w:t>SuperRatings</w:t>
      </w:r>
      <w:proofErr w:type="spellEnd"/>
      <w:r w:rsidRPr="0012500A">
        <w:t xml:space="preserve"> identified (some but not all) funds’ default inve</w:t>
      </w:r>
      <w:r>
        <w:t>stment options in their database</w:t>
      </w:r>
      <w:r w:rsidRPr="0012500A">
        <w:t xml:space="preserve">. </w:t>
      </w:r>
      <w:r>
        <w:t xml:space="preserve">Finally, </w:t>
      </w:r>
      <w:proofErr w:type="spellStart"/>
      <w:r>
        <w:t>SuperRatings</w:t>
      </w:r>
      <w:proofErr w:type="spellEnd"/>
      <w:r>
        <w:t xml:space="preserve"> data were used to analyse the relationship between fees and net returns. </w:t>
      </w:r>
    </w:p>
    <w:p w14:paraId="6E062A8D" w14:textId="77777777" w:rsidR="00446B91" w:rsidRDefault="00446B91" w:rsidP="00446B91">
      <w:pPr>
        <w:pStyle w:val="BodyText"/>
      </w:pPr>
      <w:proofErr w:type="spellStart"/>
      <w:r>
        <w:t>SuperRatings</w:t>
      </w:r>
      <w:proofErr w:type="spellEnd"/>
      <w:r>
        <w:t xml:space="preserve"> data have a higher coverage of APRA funds than other research firms’ data. Further, in contrast with APRA data, </w:t>
      </w:r>
      <w:proofErr w:type="spellStart"/>
      <w:r>
        <w:t>SuperRatings</w:t>
      </w:r>
      <w:proofErr w:type="spellEnd"/>
      <w:r>
        <w:t xml:space="preserve"> data include comprehensive product and option level data, and include investment management fees for most funds as well as indirect investment management costs. </w:t>
      </w:r>
    </w:p>
    <w:p w14:paraId="7D9B6059" w14:textId="77777777" w:rsidR="00446B91" w:rsidRDefault="00446B91" w:rsidP="00446B91">
      <w:pPr>
        <w:pStyle w:val="BodyText"/>
      </w:pPr>
      <w:r>
        <w:t xml:space="preserve">Administration fees in </w:t>
      </w:r>
      <w:proofErr w:type="spellStart"/>
      <w:r>
        <w:t>SuperRatings</w:t>
      </w:r>
      <w:proofErr w:type="spellEnd"/>
      <w:r>
        <w:t xml:space="preserve"> data cover </w:t>
      </w:r>
      <w:r w:rsidRPr="00476518">
        <w:t>asset</w:t>
      </w:r>
      <w:r>
        <w:noBreakHyphen/>
        <w:t>based</w:t>
      </w:r>
      <w:r w:rsidRPr="00476518">
        <w:t xml:space="preserve"> administration fees</w:t>
      </w:r>
      <w:r>
        <w:t xml:space="preserve"> and</w:t>
      </w:r>
      <w:r w:rsidRPr="00476518">
        <w:t xml:space="preserve"> </w:t>
      </w:r>
      <w:r>
        <w:t>dollar</w:t>
      </w:r>
      <w:r>
        <w:noBreakHyphen/>
        <w:t>value</w:t>
      </w:r>
      <w:r w:rsidRPr="00476518">
        <w:t xml:space="preserve"> administration </w:t>
      </w:r>
      <w:r>
        <w:t>fees.</w:t>
      </w:r>
      <w:r w:rsidRPr="00476518">
        <w:t xml:space="preserve"> </w:t>
      </w:r>
      <w:proofErr w:type="spellStart"/>
      <w:r>
        <w:t>SuperRatings</w:t>
      </w:r>
      <w:proofErr w:type="spellEnd"/>
      <w:r>
        <w:t xml:space="preserve"> administration fees do not include activity</w:t>
      </w:r>
      <w:r>
        <w:noBreakHyphen/>
        <w:t>based fees such as platform fees.</w:t>
      </w:r>
    </w:p>
    <w:p w14:paraId="4CCC43B9" w14:textId="77777777" w:rsidR="00446B91" w:rsidRDefault="00446B91" w:rsidP="00446B91">
      <w:pPr>
        <w:pStyle w:val="BodyText"/>
      </w:pPr>
      <w:proofErr w:type="spellStart"/>
      <w:r>
        <w:t>SuperRatings</w:t>
      </w:r>
      <w:proofErr w:type="spellEnd"/>
      <w:r>
        <w:t xml:space="preserve"> fees data are the advertised fees for the balanced investment option of each product as reported by funds, including through product disclosure statements and fund websites. If a product does not have a balanced option, </w:t>
      </w:r>
      <w:proofErr w:type="spellStart"/>
      <w:r>
        <w:t>SuperRatings</w:t>
      </w:r>
      <w:proofErr w:type="spellEnd"/>
      <w:r>
        <w:t xml:space="preserve"> used the option that most closely aligned with a balanced option. </w:t>
      </w:r>
      <w:proofErr w:type="spellStart"/>
      <w:r>
        <w:t>SuperRatings</w:t>
      </w:r>
      <w:proofErr w:type="spellEnd"/>
      <w:r>
        <w:t>’ approach reflects that most assets are in balanced options.</w:t>
      </w:r>
    </w:p>
    <w:p w14:paraId="534EE0C1" w14:textId="77777777" w:rsidR="00446B91" w:rsidRDefault="00446B91" w:rsidP="00446B91">
      <w:pPr>
        <w:pStyle w:val="BodyText"/>
      </w:pPr>
      <w:r>
        <w:t xml:space="preserve">To estimate trends in advertised fees across the superannuation system for various fund types and asset classes, the Commission weighted the </w:t>
      </w:r>
      <w:proofErr w:type="spellStart"/>
      <w:r>
        <w:t>SuperRatings</w:t>
      </w:r>
      <w:proofErr w:type="spellEnd"/>
      <w:r>
        <w:t xml:space="preserve"> fee data by an estimate of the value of assets in each product. The value of assets in each product was estimated as follows.</w:t>
      </w:r>
    </w:p>
    <w:p w14:paraId="14113012" w14:textId="77777777" w:rsidR="00446B91" w:rsidRDefault="00446B91" w:rsidP="00446B91">
      <w:pPr>
        <w:pStyle w:val="ListNumber"/>
      </w:pPr>
      <w:r>
        <w:t>The Commission used product</w:t>
      </w:r>
      <w:r>
        <w:noBreakHyphen/>
        <w:t xml:space="preserve">level asset data for </w:t>
      </w:r>
      <w:proofErr w:type="spellStart"/>
      <w:r>
        <w:t>MySuper</w:t>
      </w:r>
      <w:proofErr w:type="spellEnd"/>
      <w:r>
        <w:t xml:space="preserve"> products from APRA. The combined value of assets for choice and retirement products were inferred from the difference between </w:t>
      </w:r>
      <w:proofErr w:type="spellStart"/>
      <w:r>
        <w:t>APRA’s</w:t>
      </w:r>
      <w:proofErr w:type="spellEnd"/>
      <w:r>
        <w:t xml:space="preserve"> fund level data and its </w:t>
      </w:r>
      <w:proofErr w:type="spellStart"/>
      <w:r>
        <w:t>MySuper</w:t>
      </w:r>
      <w:proofErr w:type="spellEnd"/>
      <w:r>
        <w:t xml:space="preserve"> data.</w:t>
      </w:r>
    </w:p>
    <w:p w14:paraId="726DE1DA" w14:textId="77777777" w:rsidR="00446B91" w:rsidRDefault="00446B91" w:rsidP="00446B91">
      <w:pPr>
        <w:pStyle w:val="ListNumber"/>
      </w:pPr>
      <w:r>
        <w:lastRenderedPageBreak/>
        <w:t xml:space="preserve">The Commission merged APRA </w:t>
      </w:r>
      <w:proofErr w:type="spellStart"/>
      <w:r>
        <w:t>MySuper</w:t>
      </w:r>
      <w:proofErr w:type="spellEnd"/>
      <w:r>
        <w:t xml:space="preserve"> product data with </w:t>
      </w:r>
      <w:proofErr w:type="spellStart"/>
      <w:r>
        <w:t>SuperRatings</w:t>
      </w:r>
      <w:proofErr w:type="spellEnd"/>
      <w:r>
        <w:t xml:space="preserve"> data on the basis of product names and other product details (including the fund’s </w:t>
      </w:r>
      <w:r w:rsidRPr="003C3383">
        <w:t>A</w:t>
      </w:r>
      <w:r>
        <w:t xml:space="preserve">ustralian </w:t>
      </w:r>
      <w:r w:rsidRPr="003C3383">
        <w:t>B</w:t>
      </w:r>
      <w:r>
        <w:t xml:space="preserve">usiness </w:t>
      </w:r>
      <w:r w:rsidRPr="003C3383">
        <w:t>N</w:t>
      </w:r>
      <w:r>
        <w:t>umber). APRA fund</w:t>
      </w:r>
      <w:r>
        <w:noBreakHyphen/>
        <w:t xml:space="preserve">level data were merged with </w:t>
      </w:r>
      <w:proofErr w:type="spellStart"/>
      <w:r>
        <w:t>SuperRatings</w:t>
      </w:r>
      <w:proofErr w:type="spellEnd"/>
      <w:r>
        <w:t xml:space="preserve"> data </w:t>
      </w:r>
      <w:r w:rsidRPr="003C3383">
        <w:t>on the basis of the A</w:t>
      </w:r>
      <w:r>
        <w:t xml:space="preserve">ustralian </w:t>
      </w:r>
      <w:r w:rsidRPr="003C3383">
        <w:t>B</w:t>
      </w:r>
      <w:r>
        <w:t xml:space="preserve">usiness </w:t>
      </w:r>
      <w:r w:rsidRPr="003C3383">
        <w:t>N</w:t>
      </w:r>
      <w:r>
        <w:t>umber</w:t>
      </w:r>
      <w:r w:rsidRPr="003C3383">
        <w:t xml:space="preserve"> for each fund</w:t>
      </w:r>
      <w:r>
        <w:t>, which</w:t>
      </w:r>
      <w:r w:rsidRPr="003C3383">
        <w:t xml:space="preserve"> the Commission found to be a reliable unique identifier of funds across different datasets</w:t>
      </w:r>
      <w:r>
        <w:t xml:space="preserve">. </w:t>
      </w:r>
    </w:p>
    <w:p w14:paraId="7C7E54B0" w14:textId="77777777" w:rsidR="00446B91" w:rsidRDefault="00446B91" w:rsidP="00446B91">
      <w:pPr>
        <w:pStyle w:val="ListNumber"/>
      </w:pPr>
      <w:r>
        <w:t xml:space="preserve">APRA asset data were allocated to </w:t>
      </w:r>
      <w:proofErr w:type="spellStart"/>
      <w:r>
        <w:t>MySuper</w:t>
      </w:r>
      <w:proofErr w:type="spellEnd"/>
      <w:r>
        <w:t xml:space="preserve"> products in the </w:t>
      </w:r>
      <w:proofErr w:type="spellStart"/>
      <w:r>
        <w:t>SuperRatings</w:t>
      </w:r>
      <w:proofErr w:type="spellEnd"/>
      <w:r>
        <w:t xml:space="preserve"> data. The residual fund</w:t>
      </w:r>
      <w:r>
        <w:noBreakHyphen/>
        <w:t xml:space="preserve">level asset data (after allocating assets to </w:t>
      </w:r>
      <w:proofErr w:type="spellStart"/>
      <w:r>
        <w:t>MySuper</w:t>
      </w:r>
      <w:proofErr w:type="spellEnd"/>
      <w:r>
        <w:t xml:space="preserve"> products) were apportioned</w:t>
      </w:r>
      <w:r w:rsidRPr="003C3383">
        <w:t xml:space="preserve"> across </w:t>
      </w:r>
      <w:r>
        <w:t xml:space="preserve">choice and retirement </w:t>
      </w:r>
      <w:r w:rsidRPr="003C3383">
        <w:t xml:space="preserve">products </w:t>
      </w:r>
      <w:r>
        <w:t>based on</w:t>
      </w:r>
      <w:r w:rsidRPr="003C3383">
        <w:t xml:space="preserve"> the share of </w:t>
      </w:r>
      <w:r>
        <w:t>assets</w:t>
      </w:r>
      <w:r w:rsidRPr="003C3383">
        <w:t xml:space="preserve"> in </w:t>
      </w:r>
      <w:r>
        <w:t xml:space="preserve">these products in </w:t>
      </w:r>
      <w:r w:rsidRPr="003C3383">
        <w:t xml:space="preserve">the </w:t>
      </w:r>
      <w:proofErr w:type="spellStart"/>
      <w:r w:rsidRPr="003C3383">
        <w:t>SuperRatings</w:t>
      </w:r>
      <w:proofErr w:type="spellEnd"/>
      <w:r w:rsidRPr="003C3383">
        <w:t xml:space="preserve"> product data. Where </w:t>
      </w:r>
      <w:r>
        <w:t xml:space="preserve">there were no </w:t>
      </w:r>
      <w:proofErr w:type="spellStart"/>
      <w:r>
        <w:t>SuperRatings</w:t>
      </w:r>
      <w:proofErr w:type="spellEnd"/>
      <w:r w:rsidRPr="003C3383">
        <w:t xml:space="preserve"> </w:t>
      </w:r>
      <w:r>
        <w:t xml:space="preserve">assets </w:t>
      </w:r>
      <w:r w:rsidRPr="003C3383">
        <w:t xml:space="preserve">data </w:t>
      </w:r>
      <w:r>
        <w:t xml:space="preserve">for any choice or retirement product of a fund, </w:t>
      </w:r>
      <w:r w:rsidRPr="003C3383">
        <w:t xml:space="preserve">assets were </w:t>
      </w:r>
      <w:r>
        <w:t xml:space="preserve">apportioned </w:t>
      </w:r>
      <w:r w:rsidRPr="003C3383">
        <w:t xml:space="preserve">equally between </w:t>
      </w:r>
      <w:r>
        <w:t>that</w:t>
      </w:r>
      <w:r w:rsidRPr="003C3383">
        <w:t xml:space="preserve"> fund’s </w:t>
      </w:r>
      <w:r>
        <w:t xml:space="preserve">choice and retirement </w:t>
      </w:r>
      <w:r w:rsidRPr="003C3383">
        <w:t>products</w:t>
      </w:r>
      <w:r>
        <w:t>.</w:t>
      </w:r>
    </w:p>
    <w:p w14:paraId="1583E4BE" w14:textId="77777777" w:rsidR="00446B91" w:rsidRDefault="00446B91" w:rsidP="00446B91">
      <w:pPr>
        <w:pStyle w:val="ListNumber"/>
        <w:numPr>
          <w:ilvl w:val="0"/>
          <w:numId w:val="0"/>
        </w:numPr>
      </w:pPr>
      <w:r>
        <w:t xml:space="preserve">Using the same method, APRA member data were merged with </w:t>
      </w:r>
      <w:proofErr w:type="spellStart"/>
      <w:r>
        <w:t>SuperRatings</w:t>
      </w:r>
      <w:proofErr w:type="spellEnd"/>
      <w:r>
        <w:t xml:space="preserve"> fees data and allocated across products in the </w:t>
      </w:r>
      <w:proofErr w:type="spellStart"/>
      <w:r>
        <w:t>SuperRatings</w:t>
      </w:r>
      <w:proofErr w:type="spellEnd"/>
      <w:r>
        <w:t xml:space="preserve"> dataset. These data were used to estimate the share of members in various segments of the APRA</w:t>
      </w:r>
      <w:r>
        <w:noBreakHyphen/>
        <w:t>regulated system.</w:t>
      </w:r>
    </w:p>
    <w:p w14:paraId="7FEB09C9" w14:textId="77777777" w:rsidR="00446B91" w:rsidRDefault="00446B91" w:rsidP="00446B91">
      <w:pPr>
        <w:pStyle w:val="Heading4"/>
      </w:pPr>
      <w:proofErr w:type="spellStart"/>
      <w:r>
        <w:t>CEM</w:t>
      </w:r>
      <w:proofErr w:type="spellEnd"/>
      <w:r>
        <w:t xml:space="preserve"> Benchmarking</w:t>
      </w:r>
    </w:p>
    <w:p w14:paraId="76E37022" w14:textId="77777777" w:rsidR="00446B91" w:rsidRDefault="00446B91" w:rsidP="00446B91">
      <w:pPr>
        <w:pStyle w:val="BodyText"/>
      </w:pPr>
      <w:r>
        <w:t xml:space="preserve">The Commission purchased data from </w:t>
      </w:r>
      <w:proofErr w:type="spellStart"/>
      <w:r>
        <w:t>CEM</w:t>
      </w:r>
      <w:proofErr w:type="spellEnd"/>
      <w:r>
        <w:t xml:space="preserve"> Benchmarking of Canada to gauge the level of investment management costs in other countries across individual asset classes (table 5.2).</w:t>
      </w:r>
    </w:p>
    <w:p w14:paraId="0E51BBF8" w14:textId="77777777" w:rsidR="00446B91" w:rsidRDefault="00446B91" w:rsidP="00446B91">
      <w:pPr>
        <w:pStyle w:val="BodyText"/>
      </w:pPr>
      <w:proofErr w:type="spellStart"/>
      <w:r>
        <w:t>CEM</w:t>
      </w:r>
      <w:proofErr w:type="spellEnd"/>
      <w:r>
        <w:t xml:space="preserve"> Benchmarking was the only source of international data on investment management costs by asset class that the Commission could identify. Yet, in some instances, the underlying sample in the </w:t>
      </w:r>
      <w:proofErr w:type="spellStart"/>
      <w:r>
        <w:t>CEM</w:t>
      </w:r>
      <w:proofErr w:type="spellEnd"/>
      <w:r>
        <w:t xml:space="preserve"> database is not large (tech. supp. 4, table 4.2). </w:t>
      </w:r>
    </w:p>
    <w:p w14:paraId="70A4D70F" w14:textId="77777777" w:rsidR="00446B91" w:rsidRDefault="00446B91" w:rsidP="00446B91">
      <w:pPr>
        <w:pStyle w:val="Heading4"/>
      </w:pPr>
      <w:r w:rsidRPr="0008712A">
        <w:t>Oth</w:t>
      </w:r>
      <w:r>
        <w:t>er data sources</w:t>
      </w:r>
    </w:p>
    <w:p w14:paraId="7EDB3C9A" w14:textId="77777777" w:rsidR="00446B91" w:rsidRDefault="00446B91" w:rsidP="00446B91">
      <w:pPr>
        <w:pStyle w:val="BodyText"/>
      </w:pPr>
      <w:r>
        <w:t xml:space="preserve">The Commission also used published estimates of total (administration and investment) fees from Rainmaker and Rice Warner. The Commission incorporated this data into its analysis of the trend in aggregate fees (presented in figure 3.3 of the chapter). </w:t>
      </w:r>
    </w:p>
    <w:p w14:paraId="3BB0DE5A" w14:textId="77777777" w:rsidR="00446B91" w:rsidRDefault="00446B91" w:rsidP="00446B91">
      <w:pPr>
        <w:pStyle w:val="BodyText"/>
      </w:pPr>
      <w:r>
        <w:t xml:space="preserve">As noted in appendix B, the coverage of the Rainmaker and Rice Warner datasets are lower than for </w:t>
      </w:r>
      <w:proofErr w:type="spellStart"/>
      <w:r>
        <w:t>SuperRatings</w:t>
      </w:r>
      <w:proofErr w:type="spellEnd"/>
      <w:r>
        <w:t>.</w:t>
      </w:r>
    </w:p>
    <w:p w14:paraId="0B4EE6A9" w14:textId="77777777" w:rsidR="00446B91" w:rsidRDefault="00446B91" w:rsidP="00446B91">
      <w:pPr>
        <w:pStyle w:val="BodyText"/>
      </w:pPr>
    </w:p>
    <w:p w14:paraId="6CF38B34" w14:textId="77777777" w:rsidR="00446B91" w:rsidRPr="00174B5A" w:rsidRDefault="00446B91" w:rsidP="00446B91">
      <w:pPr>
        <w:pStyle w:val="BoxSpaceAbove"/>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46B91" w14:paraId="4198D1AB" w14:textId="77777777" w:rsidTr="0091342C">
        <w:trPr>
          <w:tblHeader/>
        </w:trPr>
        <w:tc>
          <w:tcPr>
            <w:tcW w:w="5000" w:type="pct"/>
            <w:tcBorders>
              <w:top w:val="single" w:sz="6" w:space="0" w:color="78A22F"/>
              <w:left w:val="nil"/>
              <w:bottom w:val="nil"/>
              <w:right w:val="nil"/>
            </w:tcBorders>
            <w:shd w:val="clear" w:color="auto" w:fill="auto"/>
          </w:tcPr>
          <w:p w14:paraId="5630315E" w14:textId="77777777" w:rsidR="00446B91" w:rsidRDefault="00446B91" w:rsidP="0091342C">
            <w:pPr>
              <w:pStyle w:val="TableTitle"/>
            </w:pPr>
            <w:r>
              <w:rPr>
                <w:b w:val="0"/>
              </w:rPr>
              <w:t>Table 5.</w:t>
            </w:r>
            <w:r>
              <w:rPr>
                <w:b w:val="0"/>
                <w:noProof/>
              </w:rPr>
              <w:t>2</w:t>
            </w:r>
            <w:r>
              <w:tab/>
              <w:t>International comparison: investment management costs</w:t>
            </w:r>
            <w:r w:rsidRPr="00CD079F">
              <w:rPr>
                <w:rStyle w:val="NoteLabel"/>
              </w:rPr>
              <w:t>a</w:t>
            </w:r>
          </w:p>
          <w:p w14:paraId="11E2B725" w14:textId="77777777" w:rsidR="00446B91" w:rsidRPr="00784A05" w:rsidRDefault="00446B91" w:rsidP="0091342C">
            <w:pPr>
              <w:pStyle w:val="Subtitle"/>
            </w:pPr>
            <w:r>
              <w:t>Asset weighted average cost in basis points, 2016</w:t>
            </w:r>
          </w:p>
        </w:tc>
      </w:tr>
      <w:tr w:rsidR="00446B91" w14:paraId="04E59FE5" w14:textId="77777777" w:rsidTr="0091342C">
        <w:tc>
          <w:tcPr>
            <w:tcW w:w="5000" w:type="pct"/>
            <w:tcBorders>
              <w:top w:val="nil"/>
              <w:left w:val="nil"/>
              <w:bottom w:val="nil"/>
              <w:right w:val="nil"/>
            </w:tcBorders>
            <w:shd w:val="clear" w:color="auto" w:fill="auto"/>
          </w:tcPr>
          <w:tbl>
            <w:tblPr>
              <w:tblW w:w="5000" w:type="pct"/>
              <w:tblLayout w:type="fixed"/>
              <w:tblCellMar>
                <w:top w:w="28" w:type="dxa"/>
                <w:left w:w="0" w:type="dxa"/>
                <w:right w:w="0" w:type="dxa"/>
              </w:tblCellMar>
              <w:tblLook w:val="0000" w:firstRow="0" w:lastRow="0" w:firstColumn="0" w:lastColumn="0" w:noHBand="0" w:noVBand="0"/>
            </w:tblPr>
            <w:tblGrid>
              <w:gridCol w:w="2247"/>
              <w:gridCol w:w="973"/>
              <w:gridCol w:w="121"/>
              <w:gridCol w:w="737"/>
              <w:gridCol w:w="738"/>
              <w:gridCol w:w="738"/>
              <w:gridCol w:w="738"/>
              <w:gridCol w:w="738"/>
              <w:gridCol w:w="738"/>
              <w:gridCol w:w="737"/>
            </w:tblGrid>
            <w:tr w:rsidR="00446B91" w14:paraId="6FA660C6" w14:textId="77777777" w:rsidTr="0091342C">
              <w:trPr>
                <w:cantSplit/>
                <w:trHeight w:val="312"/>
                <w:tblHeader/>
              </w:trPr>
              <w:tc>
                <w:tcPr>
                  <w:tcW w:w="1321" w:type="pct"/>
                  <w:vMerge w:val="restart"/>
                  <w:tcBorders>
                    <w:top w:val="single" w:sz="6" w:space="0" w:color="BFBFBF"/>
                  </w:tcBorders>
                  <w:shd w:val="clear" w:color="auto" w:fill="auto"/>
                  <w:tcMar>
                    <w:top w:w="28" w:type="dxa"/>
                  </w:tcMar>
                </w:tcPr>
                <w:p w14:paraId="1EB0750D" w14:textId="77777777" w:rsidR="00446B91" w:rsidRDefault="00446B91" w:rsidP="0091342C">
                  <w:pPr>
                    <w:pStyle w:val="TableColumnHeading"/>
                    <w:jc w:val="left"/>
                  </w:pPr>
                </w:p>
              </w:tc>
              <w:tc>
                <w:tcPr>
                  <w:tcW w:w="572" w:type="pct"/>
                  <w:tcBorders>
                    <w:top w:val="single" w:sz="6" w:space="0" w:color="BFBFBF"/>
                    <w:bottom w:val="single" w:sz="6" w:space="0" w:color="BFBFBF"/>
                  </w:tcBorders>
                  <w:vAlign w:val="center"/>
                </w:tcPr>
                <w:p w14:paraId="728724B9" w14:textId="77777777" w:rsidR="00446B91" w:rsidRDefault="00446B91" w:rsidP="0091342C">
                  <w:pPr>
                    <w:pStyle w:val="TableColumnHeading"/>
                    <w:ind w:right="28"/>
                  </w:pPr>
                  <w:r>
                    <w:t>Defined contribution funds</w:t>
                  </w:r>
                </w:p>
              </w:tc>
              <w:tc>
                <w:tcPr>
                  <w:tcW w:w="71" w:type="pct"/>
                  <w:tcBorders>
                    <w:top w:val="single" w:sz="6" w:space="0" w:color="BFBFBF"/>
                  </w:tcBorders>
                </w:tcPr>
                <w:p w14:paraId="4598C578" w14:textId="77777777" w:rsidR="00446B91" w:rsidRDefault="00446B91" w:rsidP="0091342C">
                  <w:pPr>
                    <w:pStyle w:val="TableColumnHeading"/>
                    <w:ind w:right="0"/>
                  </w:pPr>
                </w:p>
              </w:tc>
              <w:tc>
                <w:tcPr>
                  <w:tcW w:w="3036" w:type="pct"/>
                  <w:gridSpan w:val="7"/>
                  <w:tcBorders>
                    <w:top w:val="single" w:sz="6" w:space="0" w:color="BFBFBF"/>
                    <w:bottom w:val="single" w:sz="6" w:space="0" w:color="BFBFBF"/>
                  </w:tcBorders>
                  <w:shd w:val="clear" w:color="auto" w:fill="auto"/>
                  <w:tcMar>
                    <w:top w:w="28" w:type="dxa"/>
                  </w:tcMar>
                  <w:vAlign w:val="center"/>
                </w:tcPr>
                <w:p w14:paraId="10DC549A" w14:textId="77777777" w:rsidR="00446B91" w:rsidRDefault="00446B91" w:rsidP="0091342C">
                  <w:pPr>
                    <w:pStyle w:val="TableColumnHeading"/>
                    <w:ind w:right="28"/>
                    <w:jc w:val="center"/>
                  </w:pPr>
                  <w:r>
                    <w:t>Defined benefit and sovereign wealth funds</w:t>
                  </w:r>
                </w:p>
              </w:tc>
            </w:tr>
            <w:tr w:rsidR="00446B91" w14:paraId="2B23EBB4" w14:textId="77777777" w:rsidTr="0091342C">
              <w:trPr>
                <w:cantSplit/>
                <w:trHeight w:val="271"/>
                <w:tblHeader/>
              </w:trPr>
              <w:tc>
                <w:tcPr>
                  <w:tcW w:w="1321" w:type="pct"/>
                  <w:vMerge/>
                  <w:tcBorders>
                    <w:bottom w:val="single" w:sz="6" w:space="0" w:color="BFBFBF"/>
                  </w:tcBorders>
                  <w:shd w:val="clear" w:color="auto" w:fill="auto"/>
                  <w:tcMar>
                    <w:top w:w="28" w:type="dxa"/>
                  </w:tcMar>
                </w:tcPr>
                <w:p w14:paraId="5CDB7B0C" w14:textId="77777777" w:rsidR="00446B91" w:rsidRDefault="00446B91" w:rsidP="0091342C">
                  <w:pPr>
                    <w:pStyle w:val="TableColumnHeading"/>
                    <w:jc w:val="left"/>
                  </w:pPr>
                </w:p>
              </w:tc>
              <w:tc>
                <w:tcPr>
                  <w:tcW w:w="572" w:type="pct"/>
                  <w:tcBorders>
                    <w:top w:val="single" w:sz="6" w:space="0" w:color="BFBFBF"/>
                    <w:bottom w:val="single" w:sz="6" w:space="0" w:color="BFBFBF"/>
                  </w:tcBorders>
                  <w:vAlign w:val="center"/>
                </w:tcPr>
                <w:p w14:paraId="6B0C6395" w14:textId="77777777" w:rsidR="00446B91" w:rsidRDefault="00446B91" w:rsidP="0091342C">
                  <w:pPr>
                    <w:pStyle w:val="TableColumnHeading"/>
                    <w:ind w:right="28"/>
                  </w:pPr>
                  <w:r>
                    <w:t>US</w:t>
                  </w:r>
                </w:p>
              </w:tc>
              <w:tc>
                <w:tcPr>
                  <w:tcW w:w="71" w:type="pct"/>
                  <w:tcBorders>
                    <w:bottom w:val="single" w:sz="6" w:space="0" w:color="BFBFBF"/>
                  </w:tcBorders>
                </w:tcPr>
                <w:p w14:paraId="55553E5E" w14:textId="77777777" w:rsidR="00446B91" w:rsidRDefault="00446B91" w:rsidP="0091342C">
                  <w:pPr>
                    <w:pStyle w:val="TableColumnHeading"/>
                    <w:ind w:right="0"/>
                  </w:pPr>
                </w:p>
              </w:tc>
              <w:tc>
                <w:tcPr>
                  <w:tcW w:w="433" w:type="pct"/>
                  <w:tcBorders>
                    <w:top w:val="single" w:sz="6" w:space="0" w:color="BFBFBF"/>
                    <w:bottom w:val="single" w:sz="6" w:space="0" w:color="BFBFBF"/>
                  </w:tcBorders>
                  <w:shd w:val="clear" w:color="auto" w:fill="auto"/>
                  <w:tcMar>
                    <w:top w:w="28" w:type="dxa"/>
                  </w:tcMar>
                </w:tcPr>
                <w:p w14:paraId="42468413" w14:textId="77777777" w:rsidR="00446B91" w:rsidRDefault="00446B91" w:rsidP="0091342C">
                  <w:pPr>
                    <w:pStyle w:val="TableColumnHeading"/>
                    <w:ind w:right="0"/>
                  </w:pPr>
                  <w:r>
                    <w:t>US</w:t>
                  </w:r>
                </w:p>
              </w:tc>
              <w:tc>
                <w:tcPr>
                  <w:tcW w:w="434" w:type="pct"/>
                  <w:tcBorders>
                    <w:top w:val="single" w:sz="6" w:space="0" w:color="BFBFBF"/>
                    <w:bottom w:val="single" w:sz="6" w:space="0" w:color="BFBFBF"/>
                  </w:tcBorders>
                </w:tcPr>
                <w:p w14:paraId="2645A445" w14:textId="77777777" w:rsidR="00446B91" w:rsidRDefault="00446B91" w:rsidP="0091342C">
                  <w:pPr>
                    <w:pStyle w:val="TableColumnHeading"/>
                    <w:ind w:right="28"/>
                  </w:pPr>
                  <w:r>
                    <w:t>Canada</w:t>
                  </w:r>
                </w:p>
              </w:tc>
              <w:tc>
                <w:tcPr>
                  <w:tcW w:w="434" w:type="pct"/>
                  <w:tcBorders>
                    <w:top w:val="single" w:sz="6" w:space="0" w:color="BFBFBF"/>
                    <w:bottom w:val="single" w:sz="6" w:space="0" w:color="BFBFBF"/>
                  </w:tcBorders>
                </w:tcPr>
                <w:p w14:paraId="58BBBCF6" w14:textId="77777777" w:rsidR="00446B91" w:rsidRDefault="00446B91" w:rsidP="0091342C">
                  <w:pPr>
                    <w:pStyle w:val="TableColumnHeading"/>
                    <w:ind w:right="28"/>
                  </w:pPr>
                  <w:r>
                    <w:t>Nether</w:t>
                  </w:r>
                  <w:r>
                    <w:noBreakHyphen/>
                  </w:r>
                  <w:r>
                    <w:br/>
                    <w:t>lands</w:t>
                  </w:r>
                </w:p>
              </w:tc>
              <w:tc>
                <w:tcPr>
                  <w:tcW w:w="434" w:type="pct"/>
                  <w:tcBorders>
                    <w:top w:val="single" w:sz="6" w:space="0" w:color="BFBFBF"/>
                    <w:bottom w:val="single" w:sz="6" w:space="0" w:color="BFBFBF"/>
                  </w:tcBorders>
                </w:tcPr>
                <w:p w14:paraId="354D17AA" w14:textId="77777777" w:rsidR="00446B91" w:rsidRDefault="00446B91" w:rsidP="0091342C">
                  <w:pPr>
                    <w:pStyle w:val="TableColumnHeading"/>
                    <w:ind w:right="28"/>
                  </w:pPr>
                  <w:r>
                    <w:t>UK</w:t>
                  </w:r>
                </w:p>
              </w:tc>
              <w:tc>
                <w:tcPr>
                  <w:tcW w:w="434" w:type="pct"/>
                  <w:tcBorders>
                    <w:top w:val="single" w:sz="6" w:space="0" w:color="BFBFBF"/>
                    <w:bottom w:val="single" w:sz="6" w:space="0" w:color="BFBFBF"/>
                  </w:tcBorders>
                </w:tcPr>
                <w:p w14:paraId="6991969E" w14:textId="77777777" w:rsidR="00446B91" w:rsidRDefault="00446B91" w:rsidP="0091342C">
                  <w:pPr>
                    <w:pStyle w:val="TableColumnHeading"/>
                    <w:ind w:right="28"/>
                  </w:pPr>
                  <w:r>
                    <w:t xml:space="preserve">Rest of </w:t>
                  </w:r>
                  <w:r>
                    <w:br/>
                    <w:t>Europe</w:t>
                  </w:r>
                </w:p>
              </w:tc>
              <w:tc>
                <w:tcPr>
                  <w:tcW w:w="434" w:type="pct"/>
                  <w:tcBorders>
                    <w:top w:val="single" w:sz="6" w:space="0" w:color="BFBFBF"/>
                    <w:bottom w:val="single" w:sz="6" w:space="0" w:color="BFBFBF"/>
                  </w:tcBorders>
                </w:tcPr>
                <w:p w14:paraId="114C1EA4" w14:textId="77777777" w:rsidR="00446B91" w:rsidRDefault="00446B91" w:rsidP="0091342C">
                  <w:pPr>
                    <w:pStyle w:val="TableColumnHeading"/>
                    <w:ind w:right="28"/>
                  </w:pPr>
                  <w:r>
                    <w:t>Asia</w:t>
                  </w:r>
                  <w:r>
                    <w:noBreakHyphen/>
                  </w:r>
                  <w:r>
                    <w:br/>
                    <w:t>Pacific</w:t>
                  </w:r>
                </w:p>
              </w:tc>
              <w:tc>
                <w:tcPr>
                  <w:tcW w:w="433" w:type="pct"/>
                  <w:tcBorders>
                    <w:top w:val="single" w:sz="6" w:space="0" w:color="BFBFBF"/>
                    <w:bottom w:val="single" w:sz="6" w:space="0" w:color="BFBFBF"/>
                  </w:tcBorders>
                  <w:shd w:val="clear" w:color="auto" w:fill="auto"/>
                  <w:tcMar>
                    <w:top w:w="28" w:type="dxa"/>
                  </w:tcMar>
                </w:tcPr>
                <w:p w14:paraId="30403AFE" w14:textId="77777777" w:rsidR="00446B91" w:rsidRDefault="00446B91" w:rsidP="0091342C">
                  <w:pPr>
                    <w:pStyle w:val="TableColumnHeading"/>
                    <w:ind w:right="28"/>
                  </w:pPr>
                  <w:r>
                    <w:t>Total</w:t>
                  </w:r>
                  <w:r>
                    <w:br/>
                  </w:r>
                  <w:r w:rsidRPr="00A71B75">
                    <w:t>average</w:t>
                  </w:r>
                </w:p>
              </w:tc>
            </w:tr>
            <w:tr w:rsidR="00446B91" w14:paraId="4D869743" w14:textId="77777777" w:rsidTr="0091342C">
              <w:tc>
                <w:tcPr>
                  <w:tcW w:w="1321" w:type="pct"/>
                  <w:tcBorders>
                    <w:top w:val="single" w:sz="6" w:space="0" w:color="BFBFBF"/>
                  </w:tcBorders>
                  <w:shd w:val="clear" w:color="auto" w:fill="F2F2F2" w:themeFill="background1" w:themeFillShade="F2"/>
                </w:tcPr>
                <w:p w14:paraId="1C163288" w14:textId="77777777" w:rsidR="00446B91" w:rsidRDefault="00446B91" w:rsidP="0091342C">
                  <w:pPr>
                    <w:pStyle w:val="TableUnitsRow"/>
                    <w:jc w:val="left"/>
                  </w:pPr>
                  <w:r>
                    <w:t>Public stock – domestic</w:t>
                  </w:r>
                </w:p>
              </w:tc>
              <w:tc>
                <w:tcPr>
                  <w:tcW w:w="572" w:type="pct"/>
                  <w:tcBorders>
                    <w:top w:val="single" w:sz="6" w:space="0" w:color="BFBFBF"/>
                  </w:tcBorders>
                  <w:shd w:val="clear" w:color="auto" w:fill="F2F2F2" w:themeFill="background1" w:themeFillShade="F2"/>
                </w:tcPr>
                <w:p w14:paraId="1A9D5297" w14:textId="77777777" w:rsidR="00446B91" w:rsidRDefault="00446B91" w:rsidP="0091342C">
                  <w:pPr>
                    <w:pStyle w:val="TableUnitsRow"/>
                  </w:pPr>
                  <w:r w:rsidRPr="000E4EDC">
                    <w:t>21.1</w:t>
                  </w:r>
                </w:p>
              </w:tc>
              <w:tc>
                <w:tcPr>
                  <w:tcW w:w="71" w:type="pct"/>
                  <w:tcBorders>
                    <w:top w:val="single" w:sz="6" w:space="0" w:color="BFBFBF"/>
                  </w:tcBorders>
                  <w:shd w:val="clear" w:color="auto" w:fill="F2F2F2" w:themeFill="background1" w:themeFillShade="F2"/>
                </w:tcPr>
                <w:p w14:paraId="207633C3" w14:textId="77777777" w:rsidR="00446B91" w:rsidRPr="00DD1CF3" w:rsidRDefault="00446B91" w:rsidP="0091342C">
                  <w:pPr>
                    <w:pStyle w:val="TableUnitsRow"/>
                  </w:pPr>
                </w:p>
              </w:tc>
              <w:tc>
                <w:tcPr>
                  <w:tcW w:w="433" w:type="pct"/>
                  <w:tcBorders>
                    <w:top w:val="single" w:sz="6" w:space="0" w:color="BFBFBF"/>
                  </w:tcBorders>
                  <w:shd w:val="clear" w:color="auto" w:fill="F2F2F2" w:themeFill="background1" w:themeFillShade="F2"/>
                </w:tcPr>
                <w:p w14:paraId="71AC8F90" w14:textId="77777777" w:rsidR="00446B91" w:rsidRDefault="00446B91" w:rsidP="0091342C">
                  <w:pPr>
                    <w:pStyle w:val="TableUnitsRow"/>
                  </w:pPr>
                  <w:r w:rsidRPr="00DD1CF3">
                    <w:t>15.5</w:t>
                  </w:r>
                </w:p>
              </w:tc>
              <w:tc>
                <w:tcPr>
                  <w:tcW w:w="434" w:type="pct"/>
                  <w:tcBorders>
                    <w:top w:val="single" w:sz="6" w:space="0" w:color="BFBFBF"/>
                  </w:tcBorders>
                  <w:shd w:val="clear" w:color="auto" w:fill="F2F2F2" w:themeFill="background1" w:themeFillShade="F2"/>
                </w:tcPr>
                <w:p w14:paraId="040C6B59" w14:textId="77777777" w:rsidR="00446B91" w:rsidRDefault="00446B91" w:rsidP="0091342C">
                  <w:pPr>
                    <w:pStyle w:val="TableUnitsRow"/>
                    <w:ind w:right="28"/>
                  </w:pPr>
                  <w:r w:rsidRPr="00DD1CF3">
                    <w:t>15.7</w:t>
                  </w:r>
                </w:p>
              </w:tc>
              <w:tc>
                <w:tcPr>
                  <w:tcW w:w="434" w:type="pct"/>
                  <w:tcBorders>
                    <w:top w:val="single" w:sz="6" w:space="0" w:color="BFBFBF"/>
                  </w:tcBorders>
                  <w:shd w:val="clear" w:color="auto" w:fill="F2F2F2" w:themeFill="background1" w:themeFillShade="F2"/>
                </w:tcPr>
                <w:p w14:paraId="6B7ED553" w14:textId="77777777" w:rsidR="00446B91" w:rsidRDefault="00446B91" w:rsidP="0091342C">
                  <w:pPr>
                    <w:pStyle w:val="TableUnitsRow"/>
                    <w:ind w:right="28"/>
                  </w:pPr>
                  <w:proofErr w:type="spellStart"/>
                  <w:r>
                    <w:t>na</w:t>
                  </w:r>
                  <w:proofErr w:type="spellEnd"/>
                </w:p>
              </w:tc>
              <w:tc>
                <w:tcPr>
                  <w:tcW w:w="434" w:type="pct"/>
                  <w:tcBorders>
                    <w:top w:val="single" w:sz="6" w:space="0" w:color="BFBFBF"/>
                  </w:tcBorders>
                  <w:shd w:val="clear" w:color="auto" w:fill="F2F2F2" w:themeFill="background1" w:themeFillShade="F2"/>
                </w:tcPr>
                <w:p w14:paraId="7BCAC07E" w14:textId="77777777" w:rsidR="00446B91" w:rsidRDefault="00446B91" w:rsidP="0091342C">
                  <w:pPr>
                    <w:pStyle w:val="TableUnitsRow"/>
                    <w:ind w:right="28"/>
                  </w:pPr>
                  <w:r w:rsidRPr="00DD1CF3">
                    <w:t>12.6</w:t>
                  </w:r>
                </w:p>
              </w:tc>
              <w:tc>
                <w:tcPr>
                  <w:tcW w:w="434" w:type="pct"/>
                  <w:tcBorders>
                    <w:top w:val="single" w:sz="6" w:space="0" w:color="BFBFBF"/>
                  </w:tcBorders>
                  <w:shd w:val="clear" w:color="auto" w:fill="F2F2F2" w:themeFill="background1" w:themeFillShade="F2"/>
                </w:tcPr>
                <w:p w14:paraId="2C479EFB" w14:textId="77777777" w:rsidR="00446B91" w:rsidRDefault="00446B91" w:rsidP="0091342C">
                  <w:pPr>
                    <w:pStyle w:val="TableUnitsRow"/>
                    <w:ind w:right="28"/>
                  </w:pPr>
                  <w:proofErr w:type="spellStart"/>
                  <w:r>
                    <w:t>na</w:t>
                  </w:r>
                  <w:proofErr w:type="spellEnd"/>
                </w:p>
              </w:tc>
              <w:tc>
                <w:tcPr>
                  <w:tcW w:w="434" w:type="pct"/>
                  <w:tcBorders>
                    <w:top w:val="single" w:sz="6" w:space="0" w:color="BFBFBF"/>
                  </w:tcBorders>
                  <w:shd w:val="clear" w:color="auto" w:fill="F2F2F2" w:themeFill="background1" w:themeFillShade="F2"/>
                </w:tcPr>
                <w:p w14:paraId="52AACABD" w14:textId="77777777" w:rsidR="00446B91" w:rsidRDefault="00446B91" w:rsidP="0091342C">
                  <w:pPr>
                    <w:pStyle w:val="TableUnitsRow"/>
                    <w:ind w:right="28"/>
                  </w:pPr>
                  <w:proofErr w:type="spellStart"/>
                  <w:r>
                    <w:t>na</w:t>
                  </w:r>
                  <w:proofErr w:type="spellEnd"/>
                </w:p>
              </w:tc>
              <w:tc>
                <w:tcPr>
                  <w:tcW w:w="433" w:type="pct"/>
                  <w:tcBorders>
                    <w:top w:val="single" w:sz="6" w:space="0" w:color="BFBFBF"/>
                  </w:tcBorders>
                  <w:shd w:val="clear" w:color="auto" w:fill="F2F2F2" w:themeFill="background1" w:themeFillShade="F2"/>
                </w:tcPr>
                <w:p w14:paraId="7D30A067" w14:textId="77777777" w:rsidR="00446B91" w:rsidRDefault="00446B91" w:rsidP="0091342C">
                  <w:pPr>
                    <w:pStyle w:val="TableUnitsRow"/>
                    <w:ind w:right="28"/>
                  </w:pPr>
                  <w:proofErr w:type="spellStart"/>
                  <w:r>
                    <w:t>na</w:t>
                  </w:r>
                  <w:proofErr w:type="spellEnd"/>
                </w:p>
              </w:tc>
            </w:tr>
            <w:tr w:rsidR="00446B91" w14:paraId="25A5B1B3" w14:textId="77777777" w:rsidTr="0091342C">
              <w:tc>
                <w:tcPr>
                  <w:tcW w:w="1321" w:type="pct"/>
                  <w:shd w:val="clear" w:color="auto" w:fill="F2F2F2" w:themeFill="background1" w:themeFillShade="F2"/>
                </w:tcPr>
                <w:p w14:paraId="3F65CB51" w14:textId="77777777" w:rsidR="00446B91" w:rsidRDefault="00446B91" w:rsidP="0091342C">
                  <w:pPr>
                    <w:pStyle w:val="TableBodyText"/>
                    <w:jc w:val="left"/>
                  </w:pPr>
                  <w:r>
                    <w:t>Public stock – global</w:t>
                  </w:r>
                </w:p>
              </w:tc>
              <w:tc>
                <w:tcPr>
                  <w:tcW w:w="572" w:type="pct"/>
                  <w:shd w:val="clear" w:color="auto" w:fill="F2F2F2" w:themeFill="background1" w:themeFillShade="F2"/>
                </w:tcPr>
                <w:p w14:paraId="3F35C46F" w14:textId="77777777" w:rsidR="00446B91" w:rsidRDefault="00446B91" w:rsidP="0091342C">
                  <w:pPr>
                    <w:pStyle w:val="TableBodyText"/>
                  </w:pPr>
                  <w:r w:rsidRPr="0036150F">
                    <w:t>26.6</w:t>
                  </w:r>
                </w:p>
              </w:tc>
              <w:tc>
                <w:tcPr>
                  <w:tcW w:w="71" w:type="pct"/>
                  <w:shd w:val="clear" w:color="auto" w:fill="F2F2F2" w:themeFill="background1" w:themeFillShade="F2"/>
                </w:tcPr>
                <w:p w14:paraId="0CBDA048" w14:textId="77777777" w:rsidR="00446B91" w:rsidRPr="00DD1CF3" w:rsidRDefault="00446B91" w:rsidP="0091342C">
                  <w:pPr>
                    <w:pStyle w:val="TableBodyText"/>
                  </w:pPr>
                </w:p>
              </w:tc>
              <w:tc>
                <w:tcPr>
                  <w:tcW w:w="433" w:type="pct"/>
                  <w:shd w:val="clear" w:color="auto" w:fill="F2F2F2" w:themeFill="background1" w:themeFillShade="F2"/>
                </w:tcPr>
                <w:p w14:paraId="61BAA858" w14:textId="77777777" w:rsidR="00446B91" w:rsidRDefault="00446B91" w:rsidP="0091342C">
                  <w:pPr>
                    <w:pStyle w:val="TableBodyText"/>
                  </w:pPr>
                  <w:r w:rsidRPr="00DD1CF3">
                    <w:t>27.1</w:t>
                  </w:r>
                </w:p>
              </w:tc>
              <w:tc>
                <w:tcPr>
                  <w:tcW w:w="434" w:type="pct"/>
                  <w:shd w:val="clear" w:color="auto" w:fill="F2F2F2" w:themeFill="background1" w:themeFillShade="F2"/>
                </w:tcPr>
                <w:p w14:paraId="50D92F07" w14:textId="77777777" w:rsidR="00446B91" w:rsidRDefault="00446B91" w:rsidP="0091342C">
                  <w:pPr>
                    <w:pStyle w:val="TableBodyText"/>
                    <w:ind w:right="28"/>
                  </w:pPr>
                  <w:r w:rsidRPr="00DD1CF3">
                    <w:t>25.4</w:t>
                  </w:r>
                </w:p>
              </w:tc>
              <w:tc>
                <w:tcPr>
                  <w:tcW w:w="434" w:type="pct"/>
                  <w:shd w:val="clear" w:color="auto" w:fill="F2F2F2" w:themeFill="background1" w:themeFillShade="F2"/>
                </w:tcPr>
                <w:p w14:paraId="36EE116F" w14:textId="77777777" w:rsidR="00446B91" w:rsidRDefault="00446B91" w:rsidP="0091342C">
                  <w:pPr>
                    <w:pStyle w:val="TableBodyText"/>
                    <w:ind w:right="28"/>
                  </w:pPr>
                  <w:r w:rsidRPr="00DD1CF3">
                    <w:t>15.3</w:t>
                  </w:r>
                </w:p>
              </w:tc>
              <w:tc>
                <w:tcPr>
                  <w:tcW w:w="434" w:type="pct"/>
                  <w:shd w:val="clear" w:color="auto" w:fill="F2F2F2" w:themeFill="background1" w:themeFillShade="F2"/>
                </w:tcPr>
                <w:p w14:paraId="661FACC2" w14:textId="77777777" w:rsidR="00446B91" w:rsidRDefault="00446B91" w:rsidP="0091342C">
                  <w:pPr>
                    <w:pStyle w:val="TableBodyText"/>
                    <w:ind w:right="28"/>
                  </w:pPr>
                  <w:r w:rsidRPr="00DD1CF3">
                    <w:t>21.5</w:t>
                  </w:r>
                </w:p>
              </w:tc>
              <w:tc>
                <w:tcPr>
                  <w:tcW w:w="434" w:type="pct"/>
                  <w:shd w:val="clear" w:color="auto" w:fill="F2F2F2" w:themeFill="background1" w:themeFillShade="F2"/>
                </w:tcPr>
                <w:p w14:paraId="68337BB8" w14:textId="77777777" w:rsidR="00446B91" w:rsidRDefault="00446B91" w:rsidP="0091342C">
                  <w:pPr>
                    <w:pStyle w:val="TableBodyText"/>
                    <w:ind w:right="28"/>
                  </w:pPr>
                  <w:r w:rsidRPr="00DD1CF3">
                    <w:t>7.4</w:t>
                  </w:r>
                </w:p>
              </w:tc>
              <w:tc>
                <w:tcPr>
                  <w:tcW w:w="434" w:type="pct"/>
                  <w:shd w:val="clear" w:color="auto" w:fill="F2F2F2" w:themeFill="background1" w:themeFillShade="F2"/>
                </w:tcPr>
                <w:p w14:paraId="1A1E3B9B" w14:textId="77777777" w:rsidR="00446B91" w:rsidRDefault="00446B91" w:rsidP="0091342C">
                  <w:pPr>
                    <w:pStyle w:val="TableBodyText"/>
                    <w:ind w:right="28"/>
                  </w:pPr>
                  <w:r w:rsidRPr="00DD1CF3">
                    <w:t>16.9</w:t>
                  </w:r>
                </w:p>
              </w:tc>
              <w:tc>
                <w:tcPr>
                  <w:tcW w:w="433" w:type="pct"/>
                  <w:shd w:val="clear" w:color="auto" w:fill="F2F2F2" w:themeFill="background1" w:themeFillShade="F2"/>
                </w:tcPr>
                <w:p w14:paraId="14E16328" w14:textId="77777777" w:rsidR="00446B91" w:rsidRDefault="00446B91" w:rsidP="0091342C">
                  <w:pPr>
                    <w:pStyle w:val="TableBodyText"/>
                    <w:ind w:right="28"/>
                  </w:pPr>
                  <w:proofErr w:type="spellStart"/>
                  <w:r>
                    <w:t>na</w:t>
                  </w:r>
                  <w:proofErr w:type="spellEnd"/>
                </w:p>
              </w:tc>
            </w:tr>
            <w:tr w:rsidR="00446B91" w14:paraId="4536DF2F" w14:textId="77777777" w:rsidTr="0091342C">
              <w:tc>
                <w:tcPr>
                  <w:tcW w:w="1321" w:type="pct"/>
                  <w:shd w:val="clear" w:color="auto" w:fill="F2F2F2" w:themeFill="background1" w:themeFillShade="F2"/>
                </w:tcPr>
                <w:p w14:paraId="609EF465" w14:textId="77777777" w:rsidR="00446B91" w:rsidRDefault="00446B91" w:rsidP="0091342C">
                  <w:pPr>
                    <w:pStyle w:val="TableBodyText"/>
                    <w:jc w:val="left"/>
                  </w:pPr>
                  <w:r>
                    <w:t>Public stock – total</w:t>
                  </w:r>
                </w:p>
              </w:tc>
              <w:tc>
                <w:tcPr>
                  <w:tcW w:w="572" w:type="pct"/>
                  <w:shd w:val="clear" w:color="auto" w:fill="F2F2F2" w:themeFill="background1" w:themeFillShade="F2"/>
                </w:tcPr>
                <w:p w14:paraId="4D12B4C3" w14:textId="77777777" w:rsidR="00446B91" w:rsidRDefault="00446B91" w:rsidP="0091342C">
                  <w:pPr>
                    <w:pStyle w:val="TableBodyText"/>
                  </w:pPr>
                  <w:r w:rsidRPr="0036150F">
                    <w:t>21.3</w:t>
                  </w:r>
                </w:p>
              </w:tc>
              <w:tc>
                <w:tcPr>
                  <w:tcW w:w="71" w:type="pct"/>
                  <w:shd w:val="clear" w:color="auto" w:fill="F2F2F2" w:themeFill="background1" w:themeFillShade="F2"/>
                </w:tcPr>
                <w:p w14:paraId="61AD7029" w14:textId="77777777" w:rsidR="00446B91" w:rsidRPr="00DD1CF3" w:rsidRDefault="00446B91" w:rsidP="0091342C">
                  <w:pPr>
                    <w:pStyle w:val="TableBodyText"/>
                  </w:pPr>
                </w:p>
              </w:tc>
              <w:tc>
                <w:tcPr>
                  <w:tcW w:w="433" w:type="pct"/>
                  <w:shd w:val="clear" w:color="auto" w:fill="F2F2F2" w:themeFill="background1" w:themeFillShade="F2"/>
                </w:tcPr>
                <w:p w14:paraId="55B4AE22" w14:textId="77777777" w:rsidR="00446B91" w:rsidRDefault="00446B91" w:rsidP="0091342C">
                  <w:pPr>
                    <w:pStyle w:val="TableBodyText"/>
                  </w:pPr>
                  <w:r w:rsidRPr="00DD1CF3">
                    <w:t>21.3</w:t>
                  </w:r>
                </w:p>
              </w:tc>
              <w:tc>
                <w:tcPr>
                  <w:tcW w:w="434" w:type="pct"/>
                  <w:shd w:val="clear" w:color="auto" w:fill="F2F2F2" w:themeFill="background1" w:themeFillShade="F2"/>
                </w:tcPr>
                <w:p w14:paraId="0F893502" w14:textId="77777777" w:rsidR="00446B91" w:rsidRDefault="00446B91" w:rsidP="0091342C">
                  <w:pPr>
                    <w:pStyle w:val="TableBodyText"/>
                    <w:ind w:right="28"/>
                  </w:pPr>
                  <w:r w:rsidRPr="00DD1CF3">
                    <w:t>23.2</w:t>
                  </w:r>
                </w:p>
              </w:tc>
              <w:tc>
                <w:tcPr>
                  <w:tcW w:w="434" w:type="pct"/>
                  <w:shd w:val="clear" w:color="auto" w:fill="F2F2F2" w:themeFill="background1" w:themeFillShade="F2"/>
                </w:tcPr>
                <w:p w14:paraId="1DC33B5C" w14:textId="77777777" w:rsidR="00446B91" w:rsidRDefault="00446B91" w:rsidP="0091342C">
                  <w:pPr>
                    <w:pStyle w:val="TableBodyText"/>
                    <w:ind w:right="28"/>
                  </w:pPr>
                  <w:r w:rsidRPr="00DD1CF3">
                    <w:t>15.3</w:t>
                  </w:r>
                </w:p>
              </w:tc>
              <w:tc>
                <w:tcPr>
                  <w:tcW w:w="434" w:type="pct"/>
                  <w:shd w:val="clear" w:color="auto" w:fill="F2F2F2" w:themeFill="background1" w:themeFillShade="F2"/>
                </w:tcPr>
                <w:p w14:paraId="65C903A6" w14:textId="77777777" w:rsidR="00446B91" w:rsidRDefault="00446B91" w:rsidP="0091342C">
                  <w:pPr>
                    <w:pStyle w:val="TableBodyText"/>
                    <w:ind w:right="28"/>
                  </w:pPr>
                  <w:r w:rsidRPr="00DD1CF3">
                    <w:t>19.7</w:t>
                  </w:r>
                </w:p>
              </w:tc>
              <w:tc>
                <w:tcPr>
                  <w:tcW w:w="434" w:type="pct"/>
                  <w:shd w:val="clear" w:color="auto" w:fill="F2F2F2" w:themeFill="background1" w:themeFillShade="F2"/>
                </w:tcPr>
                <w:p w14:paraId="6B9DDF3A" w14:textId="77777777" w:rsidR="00446B91" w:rsidRDefault="00446B91" w:rsidP="0091342C">
                  <w:pPr>
                    <w:pStyle w:val="TableBodyText"/>
                    <w:ind w:right="28"/>
                  </w:pPr>
                  <w:r w:rsidRPr="00DD1CF3">
                    <w:t>7.4</w:t>
                  </w:r>
                </w:p>
              </w:tc>
              <w:tc>
                <w:tcPr>
                  <w:tcW w:w="434" w:type="pct"/>
                  <w:shd w:val="clear" w:color="auto" w:fill="F2F2F2" w:themeFill="background1" w:themeFillShade="F2"/>
                </w:tcPr>
                <w:p w14:paraId="2289B1CD" w14:textId="77777777" w:rsidR="00446B91" w:rsidRDefault="00446B91" w:rsidP="0091342C">
                  <w:pPr>
                    <w:pStyle w:val="TableBodyText"/>
                    <w:ind w:right="28"/>
                  </w:pPr>
                  <w:r w:rsidRPr="00DD1CF3">
                    <w:t>16.9</w:t>
                  </w:r>
                </w:p>
              </w:tc>
              <w:tc>
                <w:tcPr>
                  <w:tcW w:w="433" w:type="pct"/>
                  <w:shd w:val="clear" w:color="auto" w:fill="F2F2F2" w:themeFill="background1" w:themeFillShade="F2"/>
                </w:tcPr>
                <w:p w14:paraId="1776D786" w14:textId="77777777" w:rsidR="00446B91" w:rsidRDefault="00446B91" w:rsidP="0091342C">
                  <w:pPr>
                    <w:pStyle w:val="TableBodyText"/>
                    <w:ind w:right="28"/>
                  </w:pPr>
                  <w:r w:rsidRPr="00DD1CF3">
                    <w:t>18.3</w:t>
                  </w:r>
                </w:p>
              </w:tc>
            </w:tr>
            <w:tr w:rsidR="00446B91" w14:paraId="4679DAD4" w14:textId="77777777" w:rsidTr="0091342C">
              <w:tc>
                <w:tcPr>
                  <w:tcW w:w="1321" w:type="pct"/>
                </w:tcPr>
                <w:p w14:paraId="651CEE0E" w14:textId="77777777" w:rsidR="00446B91" w:rsidRDefault="00446B91" w:rsidP="0091342C">
                  <w:pPr>
                    <w:pStyle w:val="TableBodyText"/>
                    <w:spacing w:before="80"/>
                    <w:jc w:val="left"/>
                  </w:pPr>
                  <w:r>
                    <w:t>Fixed income – core domestic</w:t>
                  </w:r>
                </w:p>
              </w:tc>
              <w:tc>
                <w:tcPr>
                  <w:tcW w:w="572" w:type="pct"/>
                </w:tcPr>
                <w:p w14:paraId="21E58314" w14:textId="77777777" w:rsidR="00446B91" w:rsidRDefault="00446B91" w:rsidP="0091342C">
                  <w:pPr>
                    <w:pStyle w:val="TableBodyText"/>
                    <w:spacing w:before="80"/>
                  </w:pPr>
                  <w:r w:rsidRPr="00AC3A65">
                    <w:t>14.3</w:t>
                  </w:r>
                </w:p>
              </w:tc>
              <w:tc>
                <w:tcPr>
                  <w:tcW w:w="71" w:type="pct"/>
                </w:tcPr>
                <w:p w14:paraId="7CE250A2" w14:textId="77777777" w:rsidR="00446B91" w:rsidRPr="004E0491" w:rsidRDefault="00446B91" w:rsidP="0091342C">
                  <w:pPr>
                    <w:pStyle w:val="TableBodyText"/>
                    <w:spacing w:before="80"/>
                  </w:pPr>
                </w:p>
              </w:tc>
              <w:tc>
                <w:tcPr>
                  <w:tcW w:w="433" w:type="pct"/>
                </w:tcPr>
                <w:p w14:paraId="113C43CD" w14:textId="77777777" w:rsidR="00446B91" w:rsidRDefault="00446B91" w:rsidP="0091342C">
                  <w:pPr>
                    <w:pStyle w:val="TableBodyText"/>
                    <w:spacing w:before="80"/>
                  </w:pPr>
                  <w:r w:rsidRPr="004E0491">
                    <w:t>9.1</w:t>
                  </w:r>
                </w:p>
              </w:tc>
              <w:tc>
                <w:tcPr>
                  <w:tcW w:w="434" w:type="pct"/>
                </w:tcPr>
                <w:p w14:paraId="5001C725" w14:textId="77777777" w:rsidR="00446B91" w:rsidRDefault="00446B91" w:rsidP="0091342C">
                  <w:pPr>
                    <w:pStyle w:val="TableBodyText"/>
                    <w:spacing w:before="80"/>
                    <w:ind w:right="28"/>
                  </w:pPr>
                  <w:r w:rsidRPr="004E0491">
                    <w:t>7.2</w:t>
                  </w:r>
                </w:p>
              </w:tc>
              <w:tc>
                <w:tcPr>
                  <w:tcW w:w="434" w:type="pct"/>
                </w:tcPr>
                <w:p w14:paraId="6F41AEB4" w14:textId="77777777" w:rsidR="00446B91" w:rsidRDefault="00446B91" w:rsidP="0091342C">
                  <w:pPr>
                    <w:pStyle w:val="TableBodyText"/>
                    <w:spacing w:before="80"/>
                    <w:ind w:right="28"/>
                  </w:pPr>
                  <w:proofErr w:type="spellStart"/>
                  <w:r>
                    <w:t>na</w:t>
                  </w:r>
                  <w:proofErr w:type="spellEnd"/>
                </w:p>
              </w:tc>
              <w:tc>
                <w:tcPr>
                  <w:tcW w:w="434" w:type="pct"/>
                </w:tcPr>
                <w:p w14:paraId="45D82E8B" w14:textId="77777777" w:rsidR="00446B91" w:rsidRDefault="00446B91" w:rsidP="0091342C">
                  <w:pPr>
                    <w:pStyle w:val="TableBodyText"/>
                    <w:spacing w:before="80"/>
                    <w:ind w:right="28"/>
                  </w:pPr>
                  <w:r w:rsidRPr="004E0491">
                    <w:t>11.5</w:t>
                  </w:r>
                </w:p>
              </w:tc>
              <w:tc>
                <w:tcPr>
                  <w:tcW w:w="434" w:type="pct"/>
                </w:tcPr>
                <w:p w14:paraId="117E6DC7" w14:textId="77777777" w:rsidR="00446B91" w:rsidRDefault="00446B91" w:rsidP="0091342C">
                  <w:pPr>
                    <w:pStyle w:val="TableBodyText"/>
                    <w:spacing w:before="80"/>
                    <w:ind w:right="28"/>
                  </w:pPr>
                  <w:proofErr w:type="spellStart"/>
                  <w:r>
                    <w:t>na</w:t>
                  </w:r>
                  <w:proofErr w:type="spellEnd"/>
                </w:p>
              </w:tc>
              <w:tc>
                <w:tcPr>
                  <w:tcW w:w="434" w:type="pct"/>
                </w:tcPr>
                <w:p w14:paraId="3A46389F" w14:textId="77777777" w:rsidR="00446B91" w:rsidRDefault="00446B91" w:rsidP="0091342C">
                  <w:pPr>
                    <w:pStyle w:val="TableBodyText"/>
                    <w:spacing w:before="80"/>
                    <w:ind w:right="28"/>
                  </w:pPr>
                  <w:proofErr w:type="spellStart"/>
                  <w:r>
                    <w:t>na</w:t>
                  </w:r>
                  <w:proofErr w:type="spellEnd"/>
                </w:p>
              </w:tc>
              <w:tc>
                <w:tcPr>
                  <w:tcW w:w="433" w:type="pct"/>
                </w:tcPr>
                <w:p w14:paraId="32F6F09F" w14:textId="77777777" w:rsidR="00446B91" w:rsidRDefault="00446B91" w:rsidP="0091342C">
                  <w:pPr>
                    <w:pStyle w:val="TableBodyText"/>
                    <w:spacing w:before="80"/>
                    <w:ind w:right="28"/>
                  </w:pPr>
                  <w:r w:rsidRPr="004E0491">
                    <w:t>8.6</w:t>
                  </w:r>
                </w:p>
              </w:tc>
            </w:tr>
            <w:tr w:rsidR="00446B91" w14:paraId="21BEA7DF" w14:textId="77777777" w:rsidTr="0091342C">
              <w:tc>
                <w:tcPr>
                  <w:tcW w:w="1321" w:type="pct"/>
                </w:tcPr>
                <w:p w14:paraId="4BCCD367" w14:textId="77777777" w:rsidR="00446B91" w:rsidRDefault="00446B91" w:rsidP="0091342C">
                  <w:pPr>
                    <w:pStyle w:val="TableBodyText"/>
                    <w:jc w:val="left"/>
                  </w:pPr>
                  <w:r>
                    <w:t>Fixed income – all other</w:t>
                  </w:r>
                </w:p>
              </w:tc>
              <w:tc>
                <w:tcPr>
                  <w:tcW w:w="572" w:type="pct"/>
                </w:tcPr>
                <w:p w14:paraId="0BD6EED6" w14:textId="77777777" w:rsidR="00446B91" w:rsidRDefault="00446B91" w:rsidP="0091342C">
                  <w:pPr>
                    <w:pStyle w:val="TableBodyText"/>
                  </w:pPr>
                  <w:r w:rsidRPr="00AC3A65">
                    <w:t>46.7</w:t>
                  </w:r>
                </w:p>
              </w:tc>
              <w:tc>
                <w:tcPr>
                  <w:tcW w:w="71" w:type="pct"/>
                </w:tcPr>
                <w:p w14:paraId="4F95481B" w14:textId="77777777" w:rsidR="00446B91" w:rsidRPr="004E0491" w:rsidRDefault="00446B91" w:rsidP="0091342C">
                  <w:pPr>
                    <w:pStyle w:val="TableBodyText"/>
                  </w:pPr>
                </w:p>
              </w:tc>
              <w:tc>
                <w:tcPr>
                  <w:tcW w:w="433" w:type="pct"/>
                </w:tcPr>
                <w:p w14:paraId="2CFC0EC6" w14:textId="77777777" w:rsidR="00446B91" w:rsidRDefault="00446B91" w:rsidP="0091342C">
                  <w:pPr>
                    <w:pStyle w:val="TableBodyText"/>
                  </w:pPr>
                  <w:r w:rsidRPr="004E0491">
                    <w:t>20.9</w:t>
                  </w:r>
                </w:p>
              </w:tc>
              <w:tc>
                <w:tcPr>
                  <w:tcW w:w="434" w:type="pct"/>
                </w:tcPr>
                <w:p w14:paraId="5CCF8909" w14:textId="77777777" w:rsidR="00446B91" w:rsidRDefault="00446B91" w:rsidP="0091342C">
                  <w:pPr>
                    <w:pStyle w:val="TableBodyText"/>
                    <w:ind w:right="28"/>
                  </w:pPr>
                  <w:r w:rsidRPr="004E0491">
                    <w:t>17.4</w:t>
                  </w:r>
                </w:p>
              </w:tc>
              <w:tc>
                <w:tcPr>
                  <w:tcW w:w="434" w:type="pct"/>
                </w:tcPr>
                <w:p w14:paraId="20C90692" w14:textId="77777777" w:rsidR="00446B91" w:rsidRDefault="00446B91" w:rsidP="0091342C">
                  <w:pPr>
                    <w:pStyle w:val="TableBodyText"/>
                    <w:ind w:right="28"/>
                  </w:pPr>
                  <w:proofErr w:type="spellStart"/>
                  <w:r>
                    <w:t>na</w:t>
                  </w:r>
                  <w:proofErr w:type="spellEnd"/>
                </w:p>
              </w:tc>
              <w:tc>
                <w:tcPr>
                  <w:tcW w:w="434" w:type="pct"/>
                </w:tcPr>
                <w:p w14:paraId="5B0DE2E2" w14:textId="77777777" w:rsidR="00446B91" w:rsidRDefault="00446B91" w:rsidP="0091342C">
                  <w:pPr>
                    <w:pStyle w:val="TableBodyText"/>
                    <w:ind w:right="28"/>
                  </w:pPr>
                  <w:r w:rsidRPr="004E0491">
                    <w:t>12.1</w:t>
                  </w:r>
                </w:p>
              </w:tc>
              <w:tc>
                <w:tcPr>
                  <w:tcW w:w="434" w:type="pct"/>
                </w:tcPr>
                <w:p w14:paraId="3EC5DBC2" w14:textId="77777777" w:rsidR="00446B91" w:rsidRDefault="00446B91" w:rsidP="0091342C">
                  <w:pPr>
                    <w:pStyle w:val="TableBodyText"/>
                    <w:ind w:right="28"/>
                  </w:pPr>
                  <w:proofErr w:type="spellStart"/>
                  <w:r>
                    <w:t>na</w:t>
                  </w:r>
                  <w:proofErr w:type="spellEnd"/>
                </w:p>
              </w:tc>
              <w:tc>
                <w:tcPr>
                  <w:tcW w:w="434" w:type="pct"/>
                </w:tcPr>
                <w:p w14:paraId="478C6B48" w14:textId="77777777" w:rsidR="00446B91" w:rsidRDefault="00446B91" w:rsidP="0091342C">
                  <w:pPr>
                    <w:pStyle w:val="TableBodyText"/>
                    <w:ind w:right="28"/>
                  </w:pPr>
                  <w:proofErr w:type="spellStart"/>
                  <w:r>
                    <w:t>na</w:t>
                  </w:r>
                  <w:proofErr w:type="spellEnd"/>
                </w:p>
              </w:tc>
              <w:tc>
                <w:tcPr>
                  <w:tcW w:w="433" w:type="pct"/>
                </w:tcPr>
                <w:p w14:paraId="70FC7FC5" w14:textId="77777777" w:rsidR="00446B91" w:rsidRDefault="00446B91" w:rsidP="0091342C">
                  <w:pPr>
                    <w:pStyle w:val="TableBodyText"/>
                    <w:ind w:right="28"/>
                  </w:pPr>
                  <w:r w:rsidRPr="004E0491">
                    <w:t>12.2</w:t>
                  </w:r>
                </w:p>
              </w:tc>
            </w:tr>
            <w:tr w:rsidR="00446B91" w14:paraId="4D0FBEC3" w14:textId="77777777" w:rsidTr="0091342C">
              <w:tc>
                <w:tcPr>
                  <w:tcW w:w="1321" w:type="pct"/>
                </w:tcPr>
                <w:p w14:paraId="2A3AE0DE" w14:textId="77777777" w:rsidR="00446B91" w:rsidRDefault="00446B91" w:rsidP="0091342C">
                  <w:pPr>
                    <w:pStyle w:val="TableBodyText"/>
                    <w:jc w:val="left"/>
                  </w:pPr>
                  <w:r>
                    <w:t>Fixed income – total</w:t>
                  </w:r>
                </w:p>
              </w:tc>
              <w:tc>
                <w:tcPr>
                  <w:tcW w:w="572" w:type="pct"/>
                </w:tcPr>
                <w:p w14:paraId="2FD169BC" w14:textId="77777777" w:rsidR="00446B91" w:rsidRDefault="00446B91" w:rsidP="0091342C">
                  <w:pPr>
                    <w:pStyle w:val="TableBodyText"/>
                  </w:pPr>
                  <w:r w:rsidRPr="00AC3A65">
                    <w:t>15.1</w:t>
                  </w:r>
                </w:p>
              </w:tc>
              <w:tc>
                <w:tcPr>
                  <w:tcW w:w="71" w:type="pct"/>
                </w:tcPr>
                <w:p w14:paraId="0FD216E9" w14:textId="77777777" w:rsidR="00446B91" w:rsidRPr="004E0491" w:rsidRDefault="00446B91" w:rsidP="0091342C">
                  <w:pPr>
                    <w:pStyle w:val="TableBodyText"/>
                  </w:pPr>
                </w:p>
              </w:tc>
              <w:tc>
                <w:tcPr>
                  <w:tcW w:w="433" w:type="pct"/>
                </w:tcPr>
                <w:p w14:paraId="09C5924F" w14:textId="77777777" w:rsidR="00446B91" w:rsidRDefault="00446B91" w:rsidP="0091342C">
                  <w:pPr>
                    <w:pStyle w:val="TableBodyText"/>
                  </w:pPr>
                  <w:r w:rsidRPr="004E0491">
                    <w:t>15.9</w:t>
                  </w:r>
                </w:p>
              </w:tc>
              <w:tc>
                <w:tcPr>
                  <w:tcW w:w="434" w:type="pct"/>
                </w:tcPr>
                <w:p w14:paraId="7B8A93DF" w14:textId="77777777" w:rsidR="00446B91" w:rsidRDefault="00446B91" w:rsidP="0091342C">
                  <w:pPr>
                    <w:pStyle w:val="TableBodyText"/>
                    <w:ind w:right="28"/>
                  </w:pPr>
                  <w:r w:rsidRPr="004E0491">
                    <w:t>12.0</w:t>
                  </w:r>
                </w:p>
              </w:tc>
              <w:tc>
                <w:tcPr>
                  <w:tcW w:w="434" w:type="pct"/>
                </w:tcPr>
                <w:p w14:paraId="0E57D48A" w14:textId="77777777" w:rsidR="00446B91" w:rsidRDefault="00446B91" w:rsidP="0091342C">
                  <w:pPr>
                    <w:pStyle w:val="TableBodyText"/>
                    <w:ind w:right="28"/>
                  </w:pPr>
                  <w:r w:rsidRPr="004E0491">
                    <w:t>9.8</w:t>
                  </w:r>
                </w:p>
              </w:tc>
              <w:tc>
                <w:tcPr>
                  <w:tcW w:w="434" w:type="pct"/>
                </w:tcPr>
                <w:p w14:paraId="5A8175CB" w14:textId="77777777" w:rsidR="00446B91" w:rsidRDefault="00446B91" w:rsidP="0091342C">
                  <w:pPr>
                    <w:pStyle w:val="TableBodyText"/>
                    <w:ind w:right="28"/>
                  </w:pPr>
                  <w:r w:rsidRPr="004E0491">
                    <w:t>12.1</w:t>
                  </w:r>
                </w:p>
              </w:tc>
              <w:tc>
                <w:tcPr>
                  <w:tcW w:w="434" w:type="pct"/>
                </w:tcPr>
                <w:p w14:paraId="3390C769" w14:textId="77777777" w:rsidR="00446B91" w:rsidRDefault="00446B91" w:rsidP="0091342C">
                  <w:pPr>
                    <w:pStyle w:val="TableBodyText"/>
                    <w:ind w:right="28"/>
                  </w:pPr>
                  <w:r w:rsidRPr="004E0491">
                    <w:t>5.9</w:t>
                  </w:r>
                </w:p>
              </w:tc>
              <w:tc>
                <w:tcPr>
                  <w:tcW w:w="434" w:type="pct"/>
                </w:tcPr>
                <w:p w14:paraId="543ED8BE" w14:textId="77777777" w:rsidR="00446B91" w:rsidRDefault="00446B91" w:rsidP="0091342C">
                  <w:pPr>
                    <w:pStyle w:val="TableBodyText"/>
                    <w:ind w:right="28"/>
                  </w:pPr>
                  <w:r w:rsidRPr="004E0491">
                    <w:t>3.1</w:t>
                  </w:r>
                </w:p>
              </w:tc>
              <w:tc>
                <w:tcPr>
                  <w:tcW w:w="433" w:type="pct"/>
                </w:tcPr>
                <w:p w14:paraId="0A0DC373" w14:textId="77777777" w:rsidR="00446B91" w:rsidRDefault="00446B91" w:rsidP="0091342C">
                  <w:pPr>
                    <w:pStyle w:val="TableBodyText"/>
                    <w:ind w:right="28"/>
                  </w:pPr>
                  <w:r w:rsidRPr="004E0491">
                    <w:t>11.3</w:t>
                  </w:r>
                </w:p>
              </w:tc>
            </w:tr>
            <w:tr w:rsidR="00446B91" w14:paraId="63175FD0" w14:textId="77777777" w:rsidTr="0091342C">
              <w:tc>
                <w:tcPr>
                  <w:tcW w:w="1321" w:type="pct"/>
                  <w:shd w:val="clear" w:color="auto" w:fill="F2F2F2" w:themeFill="background1" w:themeFillShade="F2"/>
                </w:tcPr>
                <w:p w14:paraId="70160A37" w14:textId="77777777" w:rsidR="00446B91" w:rsidRDefault="00446B91" w:rsidP="0091342C">
                  <w:pPr>
                    <w:pStyle w:val="TableBodyText"/>
                    <w:spacing w:before="80"/>
                    <w:jc w:val="left"/>
                  </w:pPr>
                  <w:r>
                    <w:t>Cash</w:t>
                  </w:r>
                </w:p>
              </w:tc>
              <w:tc>
                <w:tcPr>
                  <w:tcW w:w="572" w:type="pct"/>
                  <w:shd w:val="clear" w:color="auto" w:fill="F2F2F2" w:themeFill="background1" w:themeFillShade="F2"/>
                </w:tcPr>
                <w:p w14:paraId="1892D5D8" w14:textId="77777777" w:rsidR="00446B91" w:rsidRDefault="00446B91" w:rsidP="0091342C">
                  <w:pPr>
                    <w:pStyle w:val="TableBodyText"/>
                    <w:spacing w:before="80"/>
                  </w:pPr>
                  <w:r w:rsidRPr="00A73F6D">
                    <w:t>10.9</w:t>
                  </w:r>
                </w:p>
              </w:tc>
              <w:tc>
                <w:tcPr>
                  <w:tcW w:w="71" w:type="pct"/>
                  <w:shd w:val="clear" w:color="auto" w:fill="F2F2F2" w:themeFill="background1" w:themeFillShade="F2"/>
                </w:tcPr>
                <w:p w14:paraId="54228EAB" w14:textId="77777777" w:rsidR="00446B91" w:rsidRPr="00A73F6D" w:rsidRDefault="00446B91" w:rsidP="0091342C">
                  <w:pPr>
                    <w:pStyle w:val="TableBodyText"/>
                    <w:spacing w:before="80"/>
                  </w:pPr>
                </w:p>
              </w:tc>
              <w:tc>
                <w:tcPr>
                  <w:tcW w:w="433" w:type="pct"/>
                  <w:shd w:val="clear" w:color="auto" w:fill="F2F2F2" w:themeFill="background1" w:themeFillShade="F2"/>
                </w:tcPr>
                <w:p w14:paraId="4CC80FBC" w14:textId="77777777" w:rsidR="00446B91" w:rsidRDefault="00446B91" w:rsidP="0091342C">
                  <w:pPr>
                    <w:pStyle w:val="TableBodyText"/>
                    <w:spacing w:before="80"/>
                  </w:pPr>
                  <w:r w:rsidRPr="00A73F6D">
                    <w:t>3.4</w:t>
                  </w:r>
                </w:p>
              </w:tc>
              <w:tc>
                <w:tcPr>
                  <w:tcW w:w="434" w:type="pct"/>
                  <w:shd w:val="clear" w:color="auto" w:fill="F2F2F2" w:themeFill="background1" w:themeFillShade="F2"/>
                </w:tcPr>
                <w:p w14:paraId="3210826E" w14:textId="77777777" w:rsidR="00446B91" w:rsidRDefault="00446B91" w:rsidP="0091342C">
                  <w:pPr>
                    <w:pStyle w:val="TableBodyText"/>
                    <w:spacing w:before="80"/>
                    <w:ind w:right="28"/>
                  </w:pPr>
                  <w:r w:rsidRPr="00A73F6D">
                    <w:t>14.4</w:t>
                  </w:r>
                </w:p>
              </w:tc>
              <w:tc>
                <w:tcPr>
                  <w:tcW w:w="434" w:type="pct"/>
                  <w:shd w:val="clear" w:color="auto" w:fill="F2F2F2" w:themeFill="background1" w:themeFillShade="F2"/>
                </w:tcPr>
                <w:p w14:paraId="3E68755A" w14:textId="77777777" w:rsidR="00446B91" w:rsidRDefault="00446B91" w:rsidP="0091342C">
                  <w:pPr>
                    <w:pStyle w:val="TableBodyText"/>
                    <w:spacing w:before="80"/>
                    <w:ind w:right="28"/>
                  </w:pPr>
                  <w:r w:rsidRPr="00A73F6D">
                    <w:t>7.6</w:t>
                  </w:r>
                </w:p>
              </w:tc>
              <w:tc>
                <w:tcPr>
                  <w:tcW w:w="434" w:type="pct"/>
                  <w:shd w:val="clear" w:color="auto" w:fill="F2F2F2" w:themeFill="background1" w:themeFillShade="F2"/>
                </w:tcPr>
                <w:p w14:paraId="486ACACC" w14:textId="77777777" w:rsidR="00446B91" w:rsidRDefault="00446B91" w:rsidP="0091342C">
                  <w:pPr>
                    <w:pStyle w:val="TableBodyText"/>
                    <w:spacing w:before="80"/>
                    <w:ind w:right="28"/>
                  </w:pPr>
                  <w:r w:rsidRPr="00A73F6D">
                    <w:t>7.6</w:t>
                  </w:r>
                </w:p>
              </w:tc>
              <w:tc>
                <w:tcPr>
                  <w:tcW w:w="434" w:type="pct"/>
                  <w:shd w:val="clear" w:color="auto" w:fill="F2F2F2" w:themeFill="background1" w:themeFillShade="F2"/>
                </w:tcPr>
                <w:p w14:paraId="43F2CA6D" w14:textId="77777777" w:rsidR="00446B91" w:rsidRDefault="00446B91" w:rsidP="0091342C">
                  <w:pPr>
                    <w:pStyle w:val="TableBodyText"/>
                    <w:spacing w:before="80"/>
                    <w:ind w:right="28"/>
                  </w:pPr>
                  <w:r w:rsidRPr="00A73F6D">
                    <w:t>1.1</w:t>
                  </w:r>
                </w:p>
              </w:tc>
              <w:tc>
                <w:tcPr>
                  <w:tcW w:w="434" w:type="pct"/>
                  <w:shd w:val="clear" w:color="auto" w:fill="F2F2F2" w:themeFill="background1" w:themeFillShade="F2"/>
                </w:tcPr>
                <w:p w14:paraId="544C9B07" w14:textId="77777777" w:rsidR="00446B91" w:rsidRDefault="00446B91" w:rsidP="0091342C">
                  <w:pPr>
                    <w:pStyle w:val="TableBodyText"/>
                    <w:spacing w:before="80"/>
                    <w:ind w:right="28"/>
                  </w:pPr>
                  <w:proofErr w:type="spellStart"/>
                  <w:r>
                    <w:t>na</w:t>
                  </w:r>
                  <w:proofErr w:type="spellEnd"/>
                </w:p>
              </w:tc>
              <w:tc>
                <w:tcPr>
                  <w:tcW w:w="433" w:type="pct"/>
                  <w:shd w:val="clear" w:color="auto" w:fill="F2F2F2" w:themeFill="background1" w:themeFillShade="F2"/>
                </w:tcPr>
                <w:p w14:paraId="19E436CF" w14:textId="77777777" w:rsidR="00446B91" w:rsidRDefault="00446B91" w:rsidP="0091342C">
                  <w:pPr>
                    <w:pStyle w:val="TableBodyText"/>
                    <w:spacing w:before="80"/>
                    <w:ind w:right="28"/>
                  </w:pPr>
                  <w:r w:rsidRPr="00A73F6D">
                    <w:t>5.0</w:t>
                  </w:r>
                </w:p>
              </w:tc>
            </w:tr>
            <w:tr w:rsidR="00446B91" w14:paraId="32AB81B9" w14:textId="77777777" w:rsidTr="0091342C">
              <w:tc>
                <w:tcPr>
                  <w:tcW w:w="1321" w:type="pct"/>
                </w:tcPr>
                <w:p w14:paraId="12C3ACBF" w14:textId="77777777" w:rsidR="00446B91" w:rsidRDefault="00446B91" w:rsidP="0091342C">
                  <w:pPr>
                    <w:pStyle w:val="TableBodyText"/>
                    <w:spacing w:before="80"/>
                    <w:jc w:val="left"/>
                  </w:pPr>
                  <w:r>
                    <w:t xml:space="preserve">Balanced </w:t>
                  </w:r>
                </w:p>
              </w:tc>
              <w:tc>
                <w:tcPr>
                  <w:tcW w:w="572" w:type="pct"/>
                </w:tcPr>
                <w:p w14:paraId="77C6CA5D" w14:textId="77777777" w:rsidR="00446B91" w:rsidRDefault="00446B91" w:rsidP="0091342C">
                  <w:pPr>
                    <w:pStyle w:val="TableBodyText"/>
                    <w:spacing w:before="80"/>
                  </w:pPr>
                  <w:r w:rsidRPr="000E4EDC">
                    <w:t>21.6</w:t>
                  </w:r>
                </w:p>
              </w:tc>
              <w:tc>
                <w:tcPr>
                  <w:tcW w:w="71" w:type="pct"/>
                </w:tcPr>
                <w:p w14:paraId="204E4DB8" w14:textId="77777777" w:rsidR="00446B91" w:rsidRDefault="00446B91" w:rsidP="0091342C">
                  <w:pPr>
                    <w:pStyle w:val="TableBodyText"/>
                    <w:spacing w:before="80"/>
                  </w:pPr>
                </w:p>
              </w:tc>
              <w:tc>
                <w:tcPr>
                  <w:tcW w:w="433" w:type="pct"/>
                </w:tcPr>
                <w:p w14:paraId="7708501A" w14:textId="77777777" w:rsidR="00446B91" w:rsidRDefault="00446B91" w:rsidP="0091342C">
                  <w:pPr>
                    <w:pStyle w:val="TableBodyText"/>
                    <w:spacing w:before="80"/>
                  </w:pPr>
                  <w:proofErr w:type="spellStart"/>
                  <w:r>
                    <w:t>na</w:t>
                  </w:r>
                  <w:proofErr w:type="spellEnd"/>
                </w:p>
              </w:tc>
              <w:tc>
                <w:tcPr>
                  <w:tcW w:w="434" w:type="pct"/>
                </w:tcPr>
                <w:p w14:paraId="14F5E17F" w14:textId="77777777" w:rsidR="00446B91" w:rsidRDefault="00446B91" w:rsidP="0091342C">
                  <w:pPr>
                    <w:pStyle w:val="TableBodyText"/>
                    <w:spacing w:before="80"/>
                    <w:ind w:right="28"/>
                  </w:pPr>
                  <w:proofErr w:type="spellStart"/>
                  <w:r>
                    <w:t>na</w:t>
                  </w:r>
                  <w:proofErr w:type="spellEnd"/>
                </w:p>
              </w:tc>
              <w:tc>
                <w:tcPr>
                  <w:tcW w:w="434" w:type="pct"/>
                </w:tcPr>
                <w:p w14:paraId="37D875EA" w14:textId="77777777" w:rsidR="00446B91" w:rsidRDefault="00446B91" w:rsidP="0091342C">
                  <w:pPr>
                    <w:pStyle w:val="TableBodyText"/>
                    <w:spacing w:before="80"/>
                    <w:ind w:right="28"/>
                  </w:pPr>
                  <w:proofErr w:type="spellStart"/>
                  <w:r>
                    <w:t>na</w:t>
                  </w:r>
                  <w:proofErr w:type="spellEnd"/>
                </w:p>
              </w:tc>
              <w:tc>
                <w:tcPr>
                  <w:tcW w:w="434" w:type="pct"/>
                </w:tcPr>
                <w:p w14:paraId="0630755E" w14:textId="77777777" w:rsidR="00446B91" w:rsidRDefault="00446B91" w:rsidP="0091342C">
                  <w:pPr>
                    <w:pStyle w:val="TableBodyText"/>
                    <w:spacing w:before="80"/>
                    <w:ind w:right="28"/>
                  </w:pPr>
                  <w:proofErr w:type="spellStart"/>
                  <w:r>
                    <w:t>na</w:t>
                  </w:r>
                  <w:proofErr w:type="spellEnd"/>
                </w:p>
              </w:tc>
              <w:tc>
                <w:tcPr>
                  <w:tcW w:w="434" w:type="pct"/>
                </w:tcPr>
                <w:p w14:paraId="0C134515" w14:textId="77777777" w:rsidR="00446B91" w:rsidRDefault="00446B91" w:rsidP="0091342C">
                  <w:pPr>
                    <w:pStyle w:val="TableBodyText"/>
                    <w:spacing w:before="80"/>
                    <w:ind w:right="28"/>
                  </w:pPr>
                  <w:proofErr w:type="spellStart"/>
                  <w:r>
                    <w:t>na</w:t>
                  </w:r>
                  <w:proofErr w:type="spellEnd"/>
                </w:p>
              </w:tc>
              <w:tc>
                <w:tcPr>
                  <w:tcW w:w="434" w:type="pct"/>
                </w:tcPr>
                <w:p w14:paraId="5A4DF75E" w14:textId="77777777" w:rsidR="00446B91" w:rsidRDefault="00446B91" w:rsidP="0091342C">
                  <w:pPr>
                    <w:pStyle w:val="TableBodyText"/>
                    <w:spacing w:before="80"/>
                    <w:ind w:right="28"/>
                  </w:pPr>
                  <w:proofErr w:type="spellStart"/>
                  <w:r>
                    <w:t>na</w:t>
                  </w:r>
                  <w:proofErr w:type="spellEnd"/>
                </w:p>
              </w:tc>
              <w:tc>
                <w:tcPr>
                  <w:tcW w:w="433" w:type="pct"/>
                </w:tcPr>
                <w:p w14:paraId="7C17A896" w14:textId="77777777" w:rsidR="00446B91" w:rsidRDefault="00446B91" w:rsidP="0091342C">
                  <w:pPr>
                    <w:pStyle w:val="TableBodyText"/>
                    <w:spacing w:before="80"/>
                    <w:ind w:right="28"/>
                  </w:pPr>
                  <w:proofErr w:type="spellStart"/>
                  <w:r>
                    <w:t>na</w:t>
                  </w:r>
                  <w:proofErr w:type="spellEnd"/>
                </w:p>
              </w:tc>
            </w:tr>
            <w:tr w:rsidR="00446B91" w14:paraId="44FDBD58" w14:textId="77777777" w:rsidTr="0091342C">
              <w:tc>
                <w:tcPr>
                  <w:tcW w:w="1321" w:type="pct"/>
                  <w:shd w:val="clear" w:color="auto" w:fill="F2F2F2" w:themeFill="background1" w:themeFillShade="F2"/>
                </w:tcPr>
                <w:p w14:paraId="789C5A2A" w14:textId="77777777" w:rsidR="00446B91" w:rsidRDefault="00446B91" w:rsidP="0091342C">
                  <w:pPr>
                    <w:pStyle w:val="TableBodyText"/>
                    <w:spacing w:before="80"/>
                    <w:jc w:val="left"/>
                  </w:pPr>
                  <w:r>
                    <w:t>Listed property</w:t>
                  </w:r>
                </w:p>
              </w:tc>
              <w:tc>
                <w:tcPr>
                  <w:tcW w:w="572" w:type="pct"/>
                  <w:shd w:val="clear" w:color="auto" w:fill="F2F2F2" w:themeFill="background1" w:themeFillShade="F2"/>
                </w:tcPr>
                <w:p w14:paraId="213BF3CC" w14:textId="77777777" w:rsidR="00446B91" w:rsidRDefault="00446B91" w:rsidP="0091342C">
                  <w:pPr>
                    <w:pStyle w:val="TableBodyText"/>
                    <w:spacing w:before="80"/>
                  </w:pPr>
                  <w:r w:rsidRPr="001F47FA">
                    <w:t>25.8</w:t>
                  </w:r>
                </w:p>
              </w:tc>
              <w:tc>
                <w:tcPr>
                  <w:tcW w:w="71" w:type="pct"/>
                  <w:shd w:val="clear" w:color="auto" w:fill="F2F2F2" w:themeFill="background1" w:themeFillShade="F2"/>
                </w:tcPr>
                <w:p w14:paraId="14049A60" w14:textId="77777777" w:rsidR="00446B91" w:rsidRPr="00D03172" w:rsidRDefault="00446B91" w:rsidP="0091342C">
                  <w:pPr>
                    <w:pStyle w:val="TableBodyText"/>
                    <w:spacing w:before="80"/>
                  </w:pPr>
                </w:p>
              </w:tc>
              <w:tc>
                <w:tcPr>
                  <w:tcW w:w="433" w:type="pct"/>
                  <w:shd w:val="clear" w:color="auto" w:fill="F2F2F2" w:themeFill="background1" w:themeFillShade="F2"/>
                </w:tcPr>
                <w:p w14:paraId="0FA3105F" w14:textId="77777777" w:rsidR="00446B91" w:rsidRDefault="00446B91" w:rsidP="0091342C">
                  <w:pPr>
                    <w:pStyle w:val="TableBodyText"/>
                    <w:spacing w:before="80"/>
                  </w:pPr>
                  <w:r w:rsidRPr="00D03172">
                    <w:t>36.5</w:t>
                  </w:r>
                </w:p>
              </w:tc>
              <w:tc>
                <w:tcPr>
                  <w:tcW w:w="434" w:type="pct"/>
                  <w:shd w:val="clear" w:color="auto" w:fill="F2F2F2" w:themeFill="background1" w:themeFillShade="F2"/>
                </w:tcPr>
                <w:p w14:paraId="7DB7C887" w14:textId="77777777" w:rsidR="00446B91" w:rsidRDefault="00446B91" w:rsidP="0091342C">
                  <w:pPr>
                    <w:pStyle w:val="TableBodyText"/>
                    <w:spacing w:before="80"/>
                    <w:ind w:right="28"/>
                  </w:pPr>
                  <w:r w:rsidRPr="00D03172">
                    <w:t>41.0</w:t>
                  </w:r>
                </w:p>
              </w:tc>
              <w:tc>
                <w:tcPr>
                  <w:tcW w:w="434" w:type="pct"/>
                  <w:shd w:val="clear" w:color="auto" w:fill="F2F2F2" w:themeFill="background1" w:themeFillShade="F2"/>
                </w:tcPr>
                <w:p w14:paraId="0E94CFD8" w14:textId="77777777" w:rsidR="00446B91" w:rsidRDefault="00446B91" w:rsidP="0091342C">
                  <w:pPr>
                    <w:pStyle w:val="TableBodyText"/>
                    <w:spacing w:before="80"/>
                    <w:ind w:right="28"/>
                  </w:pPr>
                  <w:r w:rsidRPr="00D03172">
                    <w:t>9.0</w:t>
                  </w:r>
                </w:p>
              </w:tc>
              <w:tc>
                <w:tcPr>
                  <w:tcW w:w="434" w:type="pct"/>
                  <w:shd w:val="clear" w:color="auto" w:fill="F2F2F2" w:themeFill="background1" w:themeFillShade="F2"/>
                </w:tcPr>
                <w:p w14:paraId="7DF63B0D" w14:textId="77777777" w:rsidR="00446B91" w:rsidRDefault="00446B91" w:rsidP="0091342C">
                  <w:pPr>
                    <w:pStyle w:val="TableBodyText"/>
                    <w:spacing w:before="80"/>
                    <w:ind w:right="28"/>
                  </w:pPr>
                  <w:r w:rsidRPr="00D03172">
                    <w:t>74.1</w:t>
                  </w:r>
                </w:p>
              </w:tc>
              <w:tc>
                <w:tcPr>
                  <w:tcW w:w="434" w:type="pct"/>
                  <w:shd w:val="clear" w:color="auto" w:fill="F2F2F2" w:themeFill="background1" w:themeFillShade="F2"/>
                </w:tcPr>
                <w:p w14:paraId="6A445AA8" w14:textId="77777777" w:rsidR="00446B91" w:rsidRDefault="00446B91" w:rsidP="0091342C">
                  <w:pPr>
                    <w:pStyle w:val="TableBodyText"/>
                    <w:spacing w:before="80"/>
                    <w:ind w:right="28"/>
                  </w:pPr>
                  <w:r w:rsidRPr="00D03172">
                    <w:t>17.7</w:t>
                  </w:r>
                </w:p>
              </w:tc>
              <w:tc>
                <w:tcPr>
                  <w:tcW w:w="434" w:type="pct"/>
                  <w:shd w:val="clear" w:color="auto" w:fill="F2F2F2" w:themeFill="background1" w:themeFillShade="F2"/>
                </w:tcPr>
                <w:p w14:paraId="5B56BF76" w14:textId="77777777" w:rsidR="00446B91" w:rsidRDefault="00446B91" w:rsidP="0091342C">
                  <w:pPr>
                    <w:pStyle w:val="TableBodyText"/>
                    <w:spacing w:before="80"/>
                    <w:ind w:right="28"/>
                  </w:pPr>
                  <w:proofErr w:type="spellStart"/>
                  <w:r>
                    <w:t>na</w:t>
                  </w:r>
                  <w:proofErr w:type="spellEnd"/>
                </w:p>
              </w:tc>
              <w:tc>
                <w:tcPr>
                  <w:tcW w:w="433" w:type="pct"/>
                  <w:shd w:val="clear" w:color="auto" w:fill="F2F2F2" w:themeFill="background1" w:themeFillShade="F2"/>
                </w:tcPr>
                <w:p w14:paraId="29FC094E" w14:textId="77777777" w:rsidR="00446B91" w:rsidRDefault="00446B91" w:rsidP="0091342C">
                  <w:pPr>
                    <w:pStyle w:val="TableBodyText"/>
                    <w:spacing w:before="80"/>
                    <w:ind w:right="28"/>
                  </w:pPr>
                  <w:r w:rsidRPr="00D03172">
                    <w:t>18.8</w:t>
                  </w:r>
                </w:p>
              </w:tc>
            </w:tr>
            <w:tr w:rsidR="00446B91" w14:paraId="16E43259" w14:textId="77777777" w:rsidTr="0091342C">
              <w:tc>
                <w:tcPr>
                  <w:tcW w:w="1321" w:type="pct"/>
                  <w:shd w:val="clear" w:color="auto" w:fill="F2F2F2" w:themeFill="background1" w:themeFillShade="F2"/>
                </w:tcPr>
                <w:p w14:paraId="5555A1CC" w14:textId="77777777" w:rsidR="00446B91" w:rsidRDefault="00446B91" w:rsidP="0091342C">
                  <w:pPr>
                    <w:pStyle w:val="TableBodyText"/>
                    <w:jc w:val="left"/>
                  </w:pPr>
                  <w:r>
                    <w:t>Unlisted property</w:t>
                  </w:r>
                </w:p>
              </w:tc>
              <w:tc>
                <w:tcPr>
                  <w:tcW w:w="572" w:type="pct"/>
                  <w:shd w:val="clear" w:color="auto" w:fill="F2F2F2" w:themeFill="background1" w:themeFillShade="F2"/>
                </w:tcPr>
                <w:p w14:paraId="512CFE3A" w14:textId="77777777" w:rsidR="00446B91" w:rsidRDefault="00446B91" w:rsidP="0091342C">
                  <w:pPr>
                    <w:pStyle w:val="TableBodyText"/>
                  </w:pPr>
                  <w:r w:rsidRPr="001F47FA">
                    <w:t>43.4</w:t>
                  </w:r>
                </w:p>
              </w:tc>
              <w:tc>
                <w:tcPr>
                  <w:tcW w:w="71" w:type="pct"/>
                  <w:shd w:val="clear" w:color="auto" w:fill="F2F2F2" w:themeFill="background1" w:themeFillShade="F2"/>
                </w:tcPr>
                <w:p w14:paraId="4621DF38" w14:textId="77777777" w:rsidR="00446B91" w:rsidRPr="00D03172" w:rsidRDefault="00446B91" w:rsidP="0091342C">
                  <w:pPr>
                    <w:pStyle w:val="TableBodyText"/>
                  </w:pPr>
                </w:p>
              </w:tc>
              <w:tc>
                <w:tcPr>
                  <w:tcW w:w="433" w:type="pct"/>
                  <w:shd w:val="clear" w:color="auto" w:fill="F2F2F2" w:themeFill="background1" w:themeFillShade="F2"/>
                </w:tcPr>
                <w:p w14:paraId="1C7D539E" w14:textId="77777777" w:rsidR="00446B91" w:rsidRDefault="00446B91" w:rsidP="0091342C">
                  <w:pPr>
                    <w:pStyle w:val="TableBodyText"/>
                  </w:pPr>
                  <w:r w:rsidRPr="00D03172">
                    <w:t>127.2</w:t>
                  </w:r>
                </w:p>
              </w:tc>
              <w:tc>
                <w:tcPr>
                  <w:tcW w:w="434" w:type="pct"/>
                  <w:shd w:val="clear" w:color="auto" w:fill="F2F2F2" w:themeFill="background1" w:themeFillShade="F2"/>
                </w:tcPr>
                <w:p w14:paraId="0EFD99EF" w14:textId="77777777" w:rsidR="00446B91" w:rsidRDefault="00446B91" w:rsidP="0091342C">
                  <w:pPr>
                    <w:pStyle w:val="TableBodyText"/>
                    <w:ind w:right="28"/>
                  </w:pPr>
                  <w:r w:rsidRPr="00D03172">
                    <w:t>56.6</w:t>
                  </w:r>
                </w:p>
              </w:tc>
              <w:tc>
                <w:tcPr>
                  <w:tcW w:w="434" w:type="pct"/>
                  <w:shd w:val="clear" w:color="auto" w:fill="F2F2F2" w:themeFill="background1" w:themeFillShade="F2"/>
                </w:tcPr>
                <w:p w14:paraId="32072EE1" w14:textId="77777777" w:rsidR="00446B91" w:rsidRDefault="00446B91" w:rsidP="0091342C">
                  <w:pPr>
                    <w:pStyle w:val="TableBodyText"/>
                    <w:ind w:right="28"/>
                  </w:pPr>
                  <w:r w:rsidRPr="00D03172">
                    <w:t>100.4</w:t>
                  </w:r>
                </w:p>
              </w:tc>
              <w:tc>
                <w:tcPr>
                  <w:tcW w:w="434" w:type="pct"/>
                  <w:shd w:val="clear" w:color="auto" w:fill="F2F2F2" w:themeFill="background1" w:themeFillShade="F2"/>
                </w:tcPr>
                <w:p w14:paraId="589E4B66" w14:textId="77777777" w:rsidR="00446B91" w:rsidRDefault="00446B91" w:rsidP="0091342C">
                  <w:pPr>
                    <w:pStyle w:val="TableBodyText"/>
                    <w:ind w:right="28"/>
                  </w:pPr>
                  <w:r w:rsidRPr="00D03172">
                    <w:t>73.4</w:t>
                  </w:r>
                </w:p>
              </w:tc>
              <w:tc>
                <w:tcPr>
                  <w:tcW w:w="434" w:type="pct"/>
                  <w:shd w:val="clear" w:color="auto" w:fill="F2F2F2" w:themeFill="background1" w:themeFillShade="F2"/>
                </w:tcPr>
                <w:p w14:paraId="4BBF63D7" w14:textId="77777777" w:rsidR="00446B91" w:rsidRDefault="00446B91" w:rsidP="0091342C">
                  <w:pPr>
                    <w:pStyle w:val="TableBodyText"/>
                    <w:ind w:right="28"/>
                  </w:pPr>
                  <w:r w:rsidRPr="00D03172">
                    <w:t>55.2</w:t>
                  </w:r>
                </w:p>
              </w:tc>
              <w:tc>
                <w:tcPr>
                  <w:tcW w:w="434" w:type="pct"/>
                  <w:shd w:val="clear" w:color="auto" w:fill="F2F2F2" w:themeFill="background1" w:themeFillShade="F2"/>
                </w:tcPr>
                <w:p w14:paraId="08661C81" w14:textId="77777777" w:rsidR="00446B91" w:rsidRDefault="00446B91" w:rsidP="0091342C">
                  <w:pPr>
                    <w:pStyle w:val="TableBodyText"/>
                    <w:ind w:right="28"/>
                  </w:pPr>
                  <w:r w:rsidRPr="00D03172">
                    <w:t>77.7</w:t>
                  </w:r>
                </w:p>
              </w:tc>
              <w:tc>
                <w:tcPr>
                  <w:tcW w:w="433" w:type="pct"/>
                  <w:shd w:val="clear" w:color="auto" w:fill="F2F2F2" w:themeFill="background1" w:themeFillShade="F2"/>
                </w:tcPr>
                <w:p w14:paraId="50603BD5" w14:textId="77777777" w:rsidR="00446B91" w:rsidRDefault="00446B91" w:rsidP="0091342C">
                  <w:pPr>
                    <w:pStyle w:val="TableBodyText"/>
                    <w:ind w:right="28"/>
                  </w:pPr>
                  <w:r w:rsidRPr="00D03172">
                    <w:t>103.0</w:t>
                  </w:r>
                </w:p>
              </w:tc>
            </w:tr>
            <w:tr w:rsidR="00446B91" w14:paraId="0862B663" w14:textId="77777777" w:rsidTr="0091342C">
              <w:tc>
                <w:tcPr>
                  <w:tcW w:w="1321" w:type="pct"/>
                  <w:shd w:val="clear" w:color="auto" w:fill="F2F2F2" w:themeFill="background1" w:themeFillShade="F2"/>
                </w:tcPr>
                <w:p w14:paraId="4B6C3D40" w14:textId="77777777" w:rsidR="00446B91" w:rsidRDefault="00446B91" w:rsidP="0091342C">
                  <w:pPr>
                    <w:pStyle w:val="TableBodyText"/>
                    <w:jc w:val="left"/>
                  </w:pPr>
                  <w:r>
                    <w:t>Total property</w:t>
                  </w:r>
                </w:p>
              </w:tc>
              <w:tc>
                <w:tcPr>
                  <w:tcW w:w="572" w:type="pct"/>
                  <w:shd w:val="clear" w:color="auto" w:fill="F2F2F2" w:themeFill="background1" w:themeFillShade="F2"/>
                </w:tcPr>
                <w:p w14:paraId="12768D94" w14:textId="77777777" w:rsidR="00446B91" w:rsidRDefault="00446B91" w:rsidP="0091342C">
                  <w:pPr>
                    <w:pStyle w:val="TableBodyText"/>
                  </w:pPr>
                  <w:r w:rsidRPr="001F47FA">
                    <w:t>36.9</w:t>
                  </w:r>
                </w:p>
              </w:tc>
              <w:tc>
                <w:tcPr>
                  <w:tcW w:w="71" w:type="pct"/>
                  <w:shd w:val="clear" w:color="auto" w:fill="F2F2F2" w:themeFill="background1" w:themeFillShade="F2"/>
                </w:tcPr>
                <w:p w14:paraId="69222B9F" w14:textId="77777777" w:rsidR="00446B91" w:rsidRPr="00D03172" w:rsidRDefault="00446B91" w:rsidP="0091342C">
                  <w:pPr>
                    <w:pStyle w:val="TableBodyText"/>
                  </w:pPr>
                </w:p>
              </w:tc>
              <w:tc>
                <w:tcPr>
                  <w:tcW w:w="433" w:type="pct"/>
                  <w:shd w:val="clear" w:color="auto" w:fill="F2F2F2" w:themeFill="background1" w:themeFillShade="F2"/>
                </w:tcPr>
                <w:p w14:paraId="5EF07031" w14:textId="77777777" w:rsidR="00446B91" w:rsidRDefault="00446B91" w:rsidP="0091342C">
                  <w:pPr>
                    <w:pStyle w:val="TableBodyText"/>
                  </w:pPr>
                  <w:r w:rsidRPr="00D03172">
                    <w:t>121.4</w:t>
                  </w:r>
                </w:p>
              </w:tc>
              <w:tc>
                <w:tcPr>
                  <w:tcW w:w="434" w:type="pct"/>
                  <w:shd w:val="clear" w:color="auto" w:fill="F2F2F2" w:themeFill="background1" w:themeFillShade="F2"/>
                </w:tcPr>
                <w:p w14:paraId="490CE430" w14:textId="77777777" w:rsidR="00446B91" w:rsidRDefault="00446B91" w:rsidP="0091342C">
                  <w:pPr>
                    <w:pStyle w:val="TableBodyText"/>
                    <w:ind w:right="28"/>
                  </w:pPr>
                  <w:r w:rsidRPr="00D03172">
                    <w:t>56.3</w:t>
                  </w:r>
                </w:p>
              </w:tc>
              <w:tc>
                <w:tcPr>
                  <w:tcW w:w="434" w:type="pct"/>
                  <w:shd w:val="clear" w:color="auto" w:fill="F2F2F2" w:themeFill="background1" w:themeFillShade="F2"/>
                </w:tcPr>
                <w:p w14:paraId="0E9ADDDB" w14:textId="77777777" w:rsidR="00446B91" w:rsidRDefault="00446B91" w:rsidP="0091342C">
                  <w:pPr>
                    <w:pStyle w:val="TableBodyText"/>
                    <w:ind w:right="28"/>
                  </w:pPr>
                  <w:r w:rsidRPr="00D03172">
                    <w:t>55.9</w:t>
                  </w:r>
                </w:p>
              </w:tc>
              <w:tc>
                <w:tcPr>
                  <w:tcW w:w="434" w:type="pct"/>
                  <w:shd w:val="clear" w:color="auto" w:fill="F2F2F2" w:themeFill="background1" w:themeFillShade="F2"/>
                </w:tcPr>
                <w:p w14:paraId="663DDAEC" w14:textId="77777777" w:rsidR="00446B91" w:rsidRDefault="00446B91" w:rsidP="0091342C">
                  <w:pPr>
                    <w:pStyle w:val="TableBodyText"/>
                    <w:ind w:right="28"/>
                  </w:pPr>
                  <w:r w:rsidRPr="00D03172">
                    <w:t>73.5</w:t>
                  </w:r>
                </w:p>
              </w:tc>
              <w:tc>
                <w:tcPr>
                  <w:tcW w:w="434" w:type="pct"/>
                  <w:shd w:val="clear" w:color="auto" w:fill="F2F2F2" w:themeFill="background1" w:themeFillShade="F2"/>
                </w:tcPr>
                <w:p w14:paraId="6E046AB2" w14:textId="77777777" w:rsidR="00446B91" w:rsidRDefault="00446B91" w:rsidP="0091342C">
                  <w:pPr>
                    <w:pStyle w:val="TableBodyText"/>
                    <w:ind w:right="28"/>
                  </w:pPr>
                  <w:r w:rsidRPr="00D03172">
                    <w:t>52.9</w:t>
                  </w:r>
                </w:p>
              </w:tc>
              <w:tc>
                <w:tcPr>
                  <w:tcW w:w="434" w:type="pct"/>
                  <w:shd w:val="clear" w:color="auto" w:fill="F2F2F2" w:themeFill="background1" w:themeFillShade="F2"/>
                </w:tcPr>
                <w:p w14:paraId="3A7E1C23" w14:textId="77777777" w:rsidR="00446B91" w:rsidRDefault="00446B91" w:rsidP="0091342C">
                  <w:pPr>
                    <w:pStyle w:val="TableBodyText"/>
                    <w:ind w:right="28"/>
                  </w:pPr>
                  <w:r w:rsidRPr="00D03172">
                    <w:t>77.7</w:t>
                  </w:r>
                </w:p>
              </w:tc>
              <w:tc>
                <w:tcPr>
                  <w:tcW w:w="433" w:type="pct"/>
                  <w:shd w:val="clear" w:color="auto" w:fill="F2F2F2" w:themeFill="background1" w:themeFillShade="F2"/>
                </w:tcPr>
                <w:p w14:paraId="130A2CBB" w14:textId="77777777" w:rsidR="00446B91" w:rsidRDefault="00446B91" w:rsidP="0091342C">
                  <w:pPr>
                    <w:pStyle w:val="TableBodyText"/>
                    <w:ind w:right="28"/>
                  </w:pPr>
                  <w:r w:rsidRPr="00D03172">
                    <w:t>93.2</w:t>
                  </w:r>
                </w:p>
              </w:tc>
            </w:tr>
            <w:tr w:rsidR="00446B91" w14:paraId="0E21BEBB" w14:textId="77777777" w:rsidTr="0091342C">
              <w:tc>
                <w:tcPr>
                  <w:tcW w:w="1321" w:type="pct"/>
                </w:tcPr>
                <w:p w14:paraId="4DFBAD22" w14:textId="77777777" w:rsidR="00446B91" w:rsidRDefault="00446B91" w:rsidP="0091342C">
                  <w:pPr>
                    <w:pStyle w:val="TableBodyText"/>
                    <w:spacing w:before="80"/>
                    <w:jc w:val="left"/>
                  </w:pPr>
                  <w:r>
                    <w:t>Private equity</w:t>
                  </w:r>
                </w:p>
              </w:tc>
              <w:tc>
                <w:tcPr>
                  <w:tcW w:w="572" w:type="pct"/>
                </w:tcPr>
                <w:p w14:paraId="4B2DE1E5" w14:textId="77777777" w:rsidR="00446B91" w:rsidRDefault="00446B91" w:rsidP="0091342C">
                  <w:pPr>
                    <w:pStyle w:val="TableBodyText"/>
                    <w:spacing w:before="80"/>
                  </w:pPr>
                  <w:proofErr w:type="spellStart"/>
                  <w:r>
                    <w:t>na</w:t>
                  </w:r>
                  <w:proofErr w:type="spellEnd"/>
                </w:p>
              </w:tc>
              <w:tc>
                <w:tcPr>
                  <w:tcW w:w="71" w:type="pct"/>
                </w:tcPr>
                <w:p w14:paraId="3A3FE14A" w14:textId="77777777" w:rsidR="00446B91" w:rsidRPr="00FA5312" w:rsidRDefault="00446B91" w:rsidP="0091342C">
                  <w:pPr>
                    <w:pStyle w:val="TableBodyText"/>
                    <w:spacing w:before="80"/>
                  </w:pPr>
                </w:p>
              </w:tc>
              <w:tc>
                <w:tcPr>
                  <w:tcW w:w="433" w:type="pct"/>
                </w:tcPr>
                <w:p w14:paraId="3FB29838" w14:textId="77777777" w:rsidR="00446B91" w:rsidRDefault="00446B91" w:rsidP="0091342C">
                  <w:pPr>
                    <w:pStyle w:val="TableBodyText"/>
                    <w:spacing w:before="80"/>
                  </w:pPr>
                  <w:r w:rsidRPr="00FA5312">
                    <w:t>327.9</w:t>
                  </w:r>
                </w:p>
              </w:tc>
              <w:tc>
                <w:tcPr>
                  <w:tcW w:w="434" w:type="pct"/>
                </w:tcPr>
                <w:p w14:paraId="418668FF" w14:textId="77777777" w:rsidR="00446B91" w:rsidRDefault="00446B91" w:rsidP="0091342C">
                  <w:pPr>
                    <w:pStyle w:val="TableBodyText"/>
                    <w:spacing w:before="80"/>
                    <w:ind w:right="28"/>
                  </w:pPr>
                  <w:r w:rsidRPr="00FA5312">
                    <w:t>241.1</w:t>
                  </w:r>
                </w:p>
              </w:tc>
              <w:tc>
                <w:tcPr>
                  <w:tcW w:w="434" w:type="pct"/>
                </w:tcPr>
                <w:p w14:paraId="5C76D182" w14:textId="77777777" w:rsidR="00446B91" w:rsidRDefault="00446B91" w:rsidP="0091342C">
                  <w:pPr>
                    <w:pStyle w:val="TableBodyText"/>
                    <w:spacing w:before="80"/>
                    <w:ind w:right="28"/>
                  </w:pPr>
                  <w:r w:rsidRPr="00FA5312">
                    <w:t>340.3</w:t>
                  </w:r>
                </w:p>
              </w:tc>
              <w:tc>
                <w:tcPr>
                  <w:tcW w:w="434" w:type="pct"/>
                </w:tcPr>
                <w:p w14:paraId="55503E05" w14:textId="77777777" w:rsidR="00446B91" w:rsidRDefault="00446B91" w:rsidP="0091342C">
                  <w:pPr>
                    <w:pStyle w:val="TableBodyText"/>
                    <w:spacing w:before="80"/>
                    <w:ind w:right="28"/>
                  </w:pPr>
                  <w:r w:rsidRPr="00FA5312">
                    <w:t>274.6</w:t>
                  </w:r>
                </w:p>
              </w:tc>
              <w:tc>
                <w:tcPr>
                  <w:tcW w:w="434" w:type="pct"/>
                </w:tcPr>
                <w:p w14:paraId="02681ED6" w14:textId="77777777" w:rsidR="00446B91" w:rsidRDefault="00446B91" w:rsidP="0091342C">
                  <w:pPr>
                    <w:pStyle w:val="TableBodyText"/>
                    <w:spacing w:before="80"/>
                    <w:ind w:right="28"/>
                  </w:pPr>
                  <w:r w:rsidRPr="00FA5312">
                    <w:t>323.4</w:t>
                  </w:r>
                </w:p>
              </w:tc>
              <w:tc>
                <w:tcPr>
                  <w:tcW w:w="434" w:type="pct"/>
                </w:tcPr>
                <w:p w14:paraId="6F73A320" w14:textId="77777777" w:rsidR="00446B91" w:rsidRDefault="00446B91" w:rsidP="0091342C">
                  <w:pPr>
                    <w:pStyle w:val="TableBodyText"/>
                    <w:spacing w:before="80"/>
                    <w:ind w:right="28"/>
                  </w:pPr>
                  <w:r w:rsidRPr="00FA5312">
                    <w:t>310.9</w:t>
                  </w:r>
                </w:p>
              </w:tc>
              <w:tc>
                <w:tcPr>
                  <w:tcW w:w="433" w:type="pct"/>
                </w:tcPr>
                <w:p w14:paraId="4245E2FC" w14:textId="77777777" w:rsidR="00446B91" w:rsidRDefault="00446B91" w:rsidP="0091342C">
                  <w:pPr>
                    <w:pStyle w:val="TableBodyText"/>
                    <w:spacing w:before="80"/>
                    <w:ind w:right="28"/>
                  </w:pPr>
                  <w:r w:rsidRPr="00FA5312">
                    <w:t>306.1</w:t>
                  </w:r>
                </w:p>
              </w:tc>
            </w:tr>
            <w:tr w:rsidR="00446B91" w14:paraId="43CA5B07" w14:textId="77777777" w:rsidTr="0091342C">
              <w:tc>
                <w:tcPr>
                  <w:tcW w:w="1321" w:type="pct"/>
                  <w:shd w:val="clear" w:color="auto" w:fill="F2F2F2" w:themeFill="background1" w:themeFillShade="F2"/>
                </w:tcPr>
                <w:p w14:paraId="3F9ED5F7" w14:textId="77777777" w:rsidR="00446B91" w:rsidRDefault="00446B91" w:rsidP="0091342C">
                  <w:pPr>
                    <w:pStyle w:val="TableBodyText"/>
                    <w:spacing w:before="80"/>
                    <w:jc w:val="left"/>
                  </w:pPr>
                  <w:r>
                    <w:t>Unlisted infrastructure</w:t>
                  </w:r>
                </w:p>
              </w:tc>
              <w:tc>
                <w:tcPr>
                  <w:tcW w:w="572" w:type="pct"/>
                  <w:shd w:val="clear" w:color="auto" w:fill="F2F2F2" w:themeFill="background1" w:themeFillShade="F2"/>
                </w:tcPr>
                <w:p w14:paraId="4B8329E4" w14:textId="77777777" w:rsidR="00446B91" w:rsidRDefault="00446B91" w:rsidP="0091342C">
                  <w:pPr>
                    <w:pStyle w:val="TableBodyText"/>
                    <w:spacing w:before="80"/>
                  </w:pPr>
                  <w:proofErr w:type="spellStart"/>
                  <w:r>
                    <w:t>na</w:t>
                  </w:r>
                  <w:proofErr w:type="spellEnd"/>
                </w:p>
              </w:tc>
              <w:tc>
                <w:tcPr>
                  <w:tcW w:w="71" w:type="pct"/>
                  <w:shd w:val="clear" w:color="auto" w:fill="F2F2F2" w:themeFill="background1" w:themeFillShade="F2"/>
                </w:tcPr>
                <w:p w14:paraId="01EADC69" w14:textId="77777777" w:rsidR="00446B91" w:rsidRPr="008F2C3D" w:rsidRDefault="00446B91" w:rsidP="0091342C">
                  <w:pPr>
                    <w:pStyle w:val="TableBodyText"/>
                    <w:spacing w:before="80"/>
                  </w:pPr>
                </w:p>
              </w:tc>
              <w:tc>
                <w:tcPr>
                  <w:tcW w:w="433" w:type="pct"/>
                  <w:shd w:val="clear" w:color="auto" w:fill="F2F2F2" w:themeFill="background1" w:themeFillShade="F2"/>
                </w:tcPr>
                <w:p w14:paraId="2A164DAF" w14:textId="77777777" w:rsidR="00446B91" w:rsidRDefault="00446B91" w:rsidP="0091342C">
                  <w:pPr>
                    <w:pStyle w:val="TableBodyText"/>
                    <w:spacing w:before="80"/>
                  </w:pPr>
                  <w:r w:rsidRPr="008F2C3D">
                    <w:t>196.2</w:t>
                  </w:r>
                </w:p>
              </w:tc>
              <w:tc>
                <w:tcPr>
                  <w:tcW w:w="434" w:type="pct"/>
                  <w:shd w:val="clear" w:color="auto" w:fill="F2F2F2" w:themeFill="background1" w:themeFillShade="F2"/>
                </w:tcPr>
                <w:p w14:paraId="34AF0C7E" w14:textId="77777777" w:rsidR="00446B91" w:rsidRDefault="00446B91" w:rsidP="0091342C">
                  <w:pPr>
                    <w:pStyle w:val="TableBodyText"/>
                    <w:spacing w:before="80"/>
                    <w:ind w:right="28"/>
                  </w:pPr>
                  <w:r w:rsidRPr="008F2C3D">
                    <w:t>67.0</w:t>
                  </w:r>
                </w:p>
              </w:tc>
              <w:tc>
                <w:tcPr>
                  <w:tcW w:w="434" w:type="pct"/>
                  <w:shd w:val="clear" w:color="auto" w:fill="F2F2F2" w:themeFill="background1" w:themeFillShade="F2"/>
                </w:tcPr>
                <w:p w14:paraId="3A7F070E" w14:textId="77777777" w:rsidR="00446B91" w:rsidRDefault="00446B91" w:rsidP="0091342C">
                  <w:pPr>
                    <w:pStyle w:val="TableBodyText"/>
                    <w:spacing w:before="80"/>
                    <w:ind w:right="28"/>
                  </w:pPr>
                  <w:r w:rsidRPr="008F2C3D">
                    <w:t>153.1</w:t>
                  </w:r>
                </w:p>
              </w:tc>
              <w:tc>
                <w:tcPr>
                  <w:tcW w:w="434" w:type="pct"/>
                  <w:shd w:val="clear" w:color="auto" w:fill="F2F2F2" w:themeFill="background1" w:themeFillShade="F2"/>
                </w:tcPr>
                <w:p w14:paraId="363E704A" w14:textId="77777777" w:rsidR="00446B91" w:rsidRDefault="00446B91" w:rsidP="0091342C">
                  <w:pPr>
                    <w:pStyle w:val="TableBodyText"/>
                    <w:spacing w:before="80"/>
                    <w:ind w:right="28"/>
                  </w:pPr>
                  <w:r w:rsidRPr="008F2C3D">
                    <w:t>159.0</w:t>
                  </w:r>
                </w:p>
              </w:tc>
              <w:tc>
                <w:tcPr>
                  <w:tcW w:w="434" w:type="pct"/>
                  <w:shd w:val="clear" w:color="auto" w:fill="F2F2F2" w:themeFill="background1" w:themeFillShade="F2"/>
                </w:tcPr>
                <w:p w14:paraId="1466964F" w14:textId="77777777" w:rsidR="00446B91" w:rsidRDefault="00446B91" w:rsidP="0091342C">
                  <w:pPr>
                    <w:pStyle w:val="TableBodyText"/>
                    <w:spacing w:before="80"/>
                    <w:ind w:right="28"/>
                  </w:pPr>
                  <w:r w:rsidRPr="008F2C3D">
                    <w:t>95.6</w:t>
                  </w:r>
                </w:p>
              </w:tc>
              <w:tc>
                <w:tcPr>
                  <w:tcW w:w="434" w:type="pct"/>
                  <w:shd w:val="clear" w:color="auto" w:fill="F2F2F2" w:themeFill="background1" w:themeFillShade="F2"/>
                </w:tcPr>
                <w:p w14:paraId="3EA11CDB" w14:textId="77777777" w:rsidR="00446B91" w:rsidRDefault="00446B91" w:rsidP="0091342C">
                  <w:pPr>
                    <w:pStyle w:val="TableBodyText"/>
                    <w:spacing w:before="80"/>
                    <w:ind w:right="28"/>
                  </w:pPr>
                  <w:r w:rsidRPr="008F2C3D">
                    <w:t>88.4</w:t>
                  </w:r>
                </w:p>
              </w:tc>
              <w:tc>
                <w:tcPr>
                  <w:tcW w:w="433" w:type="pct"/>
                  <w:shd w:val="clear" w:color="auto" w:fill="F2F2F2" w:themeFill="background1" w:themeFillShade="F2"/>
                </w:tcPr>
                <w:p w14:paraId="45DCD453" w14:textId="77777777" w:rsidR="00446B91" w:rsidRDefault="00446B91" w:rsidP="0091342C">
                  <w:pPr>
                    <w:pStyle w:val="TableBodyText"/>
                    <w:spacing w:before="80"/>
                    <w:ind w:right="28"/>
                  </w:pPr>
                  <w:r w:rsidRPr="008F2C3D">
                    <w:t>92.4</w:t>
                  </w:r>
                </w:p>
              </w:tc>
            </w:tr>
            <w:tr w:rsidR="00446B91" w14:paraId="37D6D844" w14:textId="77777777" w:rsidTr="0091342C">
              <w:tc>
                <w:tcPr>
                  <w:tcW w:w="1321" w:type="pct"/>
                </w:tcPr>
                <w:p w14:paraId="45130471" w14:textId="77777777" w:rsidR="00446B91" w:rsidRDefault="00446B91" w:rsidP="0091342C">
                  <w:pPr>
                    <w:pStyle w:val="TableBodyText"/>
                    <w:spacing w:before="80"/>
                    <w:jc w:val="left"/>
                  </w:pPr>
                  <w:r>
                    <w:t>Hedge funds</w:t>
                  </w:r>
                </w:p>
              </w:tc>
              <w:tc>
                <w:tcPr>
                  <w:tcW w:w="572" w:type="pct"/>
                </w:tcPr>
                <w:p w14:paraId="059E4848" w14:textId="77777777" w:rsidR="00446B91" w:rsidRDefault="00446B91" w:rsidP="0091342C">
                  <w:pPr>
                    <w:pStyle w:val="TableBodyText"/>
                    <w:spacing w:before="80"/>
                  </w:pPr>
                  <w:proofErr w:type="spellStart"/>
                  <w:r>
                    <w:t>na</w:t>
                  </w:r>
                  <w:proofErr w:type="spellEnd"/>
                </w:p>
              </w:tc>
              <w:tc>
                <w:tcPr>
                  <w:tcW w:w="71" w:type="pct"/>
                </w:tcPr>
                <w:p w14:paraId="2447B4D8" w14:textId="77777777" w:rsidR="00446B91" w:rsidRPr="00BD72F0" w:rsidRDefault="00446B91" w:rsidP="0091342C">
                  <w:pPr>
                    <w:pStyle w:val="TableBodyText"/>
                    <w:spacing w:before="80"/>
                  </w:pPr>
                </w:p>
              </w:tc>
              <w:tc>
                <w:tcPr>
                  <w:tcW w:w="433" w:type="pct"/>
                </w:tcPr>
                <w:p w14:paraId="6DF18F45" w14:textId="77777777" w:rsidR="00446B91" w:rsidRDefault="00446B91" w:rsidP="0091342C">
                  <w:pPr>
                    <w:pStyle w:val="TableBodyText"/>
                    <w:spacing w:before="80"/>
                  </w:pPr>
                  <w:r w:rsidRPr="00BD72F0">
                    <w:t>194.3</w:t>
                  </w:r>
                </w:p>
              </w:tc>
              <w:tc>
                <w:tcPr>
                  <w:tcW w:w="434" w:type="pct"/>
                </w:tcPr>
                <w:p w14:paraId="67122ADF" w14:textId="77777777" w:rsidR="00446B91" w:rsidRDefault="00446B91" w:rsidP="0091342C">
                  <w:pPr>
                    <w:pStyle w:val="TableBodyText"/>
                    <w:spacing w:before="80"/>
                    <w:ind w:right="28"/>
                  </w:pPr>
                  <w:r w:rsidRPr="00BD72F0">
                    <w:t>234.8</w:t>
                  </w:r>
                </w:p>
              </w:tc>
              <w:tc>
                <w:tcPr>
                  <w:tcW w:w="434" w:type="pct"/>
                </w:tcPr>
                <w:p w14:paraId="3F03A0ED" w14:textId="77777777" w:rsidR="00446B91" w:rsidRDefault="00446B91" w:rsidP="0091342C">
                  <w:pPr>
                    <w:pStyle w:val="TableBodyText"/>
                    <w:spacing w:before="80"/>
                    <w:ind w:right="28"/>
                  </w:pPr>
                  <w:r w:rsidRPr="00BD72F0">
                    <w:t>147.9</w:t>
                  </w:r>
                </w:p>
              </w:tc>
              <w:tc>
                <w:tcPr>
                  <w:tcW w:w="434" w:type="pct"/>
                </w:tcPr>
                <w:p w14:paraId="09417DDE" w14:textId="77777777" w:rsidR="00446B91" w:rsidRDefault="00446B91" w:rsidP="0091342C">
                  <w:pPr>
                    <w:pStyle w:val="TableBodyText"/>
                    <w:spacing w:before="80"/>
                    <w:ind w:right="28"/>
                  </w:pPr>
                  <w:r w:rsidRPr="00BD72F0">
                    <w:t>237.1</w:t>
                  </w:r>
                </w:p>
              </w:tc>
              <w:tc>
                <w:tcPr>
                  <w:tcW w:w="434" w:type="pct"/>
                </w:tcPr>
                <w:p w14:paraId="308651FD" w14:textId="77777777" w:rsidR="00446B91" w:rsidRDefault="00446B91" w:rsidP="0091342C">
                  <w:pPr>
                    <w:pStyle w:val="TableBodyText"/>
                    <w:spacing w:before="80"/>
                    <w:ind w:right="28"/>
                  </w:pPr>
                  <w:r w:rsidRPr="00BD72F0">
                    <w:t>238.6</w:t>
                  </w:r>
                </w:p>
              </w:tc>
              <w:tc>
                <w:tcPr>
                  <w:tcW w:w="434" w:type="pct"/>
                </w:tcPr>
                <w:p w14:paraId="2C04346C" w14:textId="77777777" w:rsidR="00446B91" w:rsidRDefault="00446B91" w:rsidP="0091342C">
                  <w:pPr>
                    <w:pStyle w:val="TableBodyText"/>
                    <w:spacing w:before="80"/>
                    <w:ind w:right="28"/>
                  </w:pPr>
                  <w:r w:rsidRPr="00BD72F0">
                    <w:t>207.7</w:t>
                  </w:r>
                </w:p>
              </w:tc>
              <w:tc>
                <w:tcPr>
                  <w:tcW w:w="433" w:type="pct"/>
                </w:tcPr>
                <w:p w14:paraId="385BE116" w14:textId="77777777" w:rsidR="00446B91" w:rsidRDefault="00446B91" w:rsidP="0091342C">
                  <w:pPr>
                    <w:pStyle w:val="TableBodyText"/>
                    <w:spacing w:before="80"/>
                    <w:ind w:right="28"/>
                  </w:pPr>
                  <w:r w:rsidRPr="00BD72F0">
                    <w:t>203.0</w:t>
                  </w:r>
                </w:p>
              </w:tc>
            </w:tr>
            <w:tr w:rsidR="00446B91" w14:paraId="4FB3CEAE" w14:textId="77777777" w:rsidTr="0091342C">
              <w:tc>
                <w:tcPr>
                  <w:tcW w:w="1321" w:type="pct"/>
                </w:tcPr>
                <w:p w14:paraId="48338949" w14:textId="77777777" w:rsidR="00446B91" w:rsidRDefault="00446B91" w:rsidP="0091342C">
                  <w:pPr>
                    <w:pStyle w:val="TableBodyText"/>
                    <w:jc w:val="left"/>
                  </w:pPr>
                  <w:r>
                    <w:t>Natural resources</w:t>
                  </w:r>
                </w:p>
              </w:tc>
              <w:tc>
                <w:tcPr>
                  <w:tcW w:w="572" w:type="pct"/>
                </w:tcPr>
                <w:p w14:paraId="7C269486" w14:textId="77777777" w:rsidR="00446B91" w:rsidRDefault="00446B91" w:rsidP="0091342C">
                  <w:pPr>
                    <w:pStyle w:val="TableBodyText"/>
                  </w:pPr>
                  <w:proofErr w:type="spellStart"/>
                  <w:r>
                    <w:t>na</w:t>
                  </w:r>
                  <w:proofErr w:type="spellEnd"/>
                </w:p>
              </w:tc>
              <w:tc>
                <w:tcPr>
                  <w:tcW w:w="71" w:type="pct"/>
                </w:tcPr>
                <w:p w14:paraId="6F1CE52B" w14:textId="77777777" w:rsidR="00446B91" w:rsidRPr="00BD72F0" w:rsidRDefault="00446B91" w:rsidP="0091342C">
                  <w:pPr>
                    <w:pStyle w:val="TableBodyText"/>
                  </w:pPr>
                </w:p>
              </w:tc>
              <w:tc>
                <w:tcPr>
                  <w:tcW w:w="433" w:type="pct"/>
                </w:tcPr>
                <w:p w14:paraId="429092A4" w14:textId="77777777" w:rsidR="00446B91" w:rsidRDefault="00446B91" w:rsidP="0091342C">
                  <w:pPr>
                    <w:pStyle w:val="TableBodyText"/>
                  </w:pPr>
                  <w:r w:rsidRPr="00BD72F0">
                    <w:t>141.7</w:t>
                  </w:r>
                </w:p>
              </w:tc>
              <w:tc>
                <w:tcPr>
                  <w:tcW w:w="434" w:type="pct"/>
                </w:tcPr>
                <w:p w14:paraId="3F566655" w14:textId="77777777" w:rsidR="00446B91" w:rsidRDefault="00446B91" w:rsidP="0091342C">
                  <w:pPr>
                    <w:pStyle w:val="TableBodyText"/>
                    <w:ind w:right="28"/>
                  </w:pPr>
                  <w:r w:rsidRPr="00BD72F0">
                    <w:t>71.5</w:t>
                  </w:r>
                </w:p>
              </w:tc>
              <w:tc>
                <w:tcPr>
                  <w:tcW w:w="434" w:type="pct"/>
                </w:tcPr>
                <w:p w14:paraId="70A0B307" w14:textId="77777777" w:rsidR="00446B91" w:rsidRDefault="00446B91" w:rsidP="0091342C">
                  <w:pPr>
                    <w:pStyle w:val="TableBodyText"/>
                    <w:ind w:right="28"/>
                  </w:pPr>
                  <w:r w:rsidRPr="00BD72F0">
                    <w:t>147.7</w:t>
                  </w:r>
                </w:p>
              </w:tc>
              <w:tc>
                <w:tcPr>
                  <w:tcW w:w="434" w:type="pct"/>
                </w:tcPr>
                <w:p w14:paraId="6000FFD0" w14:textId="77777777" w:rsidR="00446B91" w:rsidRDefault="00446B91" w:rsidP="0091342C">
                  <w:pPr>
                    <w:pStyle w:val="TableBodyText"/>
                    <w:ind w:right="28"/>
                  </w:pPr>
                  <w:r w:rsidRPr="00BD72F0">
                    <w:t>83.9</w:t>
                  </w:r>
                </w:p>
              </w:tc>
              <w:tc>
                <w:tcPr>
                  <w:tcW w:w="434" w:type="pct"/>
                </w:tcPr>
                <w:p w14:paraId="2162BA89" w14:textId="77777777" w:rsidR="00446B91" w:rsidRDefault="00446B91" w:rsidP="0091342C">
                  <w:pPr>
                    <w:pStyle w:val="TableBodyText"/>
                    <w:ind w:right="28"/>
                  </w:pPr>
                  <w:r w:rsidRPr="00BD72F0">
                    <w:t>53.3</w:t>
                  </w:r>
                </w:p>
              </w:tc>
              <w:tc>
                <w:tcPr>
                  <w:tcW w:w="434" w:type="pct"/>
                </w:tcPr>
                <w:p w14:paraId="639AE9CB" w14:textId="77777777" w:rsidR="00446B91" w:rsidRDefault="00446B91" w:rsidP="0091342C">
                  <w:pPr>
                    <w:pStyle w:val="TableBodyText"/>
                    <w:ind w:right="28"/>
                  </w:pPr>
                  <w:r w:rsidRPr="00BD72F0">
                    <w:t>88.6</w:t>
                  </w:r>
                </w:p>
              </w:tc>
              <w:tc>
                <w:tcPr>
                  <w:tcW w:w="433" w:type="pct"/>
                </w:tcPr>
                <w:p w14:paraId="4907EA49" w14:textId="77777777" w:rsidR="00446B91" w:rsidRDefault="00446B91" w:rsidP="0091342C">
                  <w:pPr>
                    <w:pStyle w:val="TableBodyText"/>
                    <w:ind w:right="28"/>
                  </w:pPr>
                  <w:r w:rsidRPr="00BD72F0">
                    <w:t>111.4</w:t>
                  </w:r>
                </w:p>
              </w:tc>
            </w:tr>
            <w:tr w:rsidR="00446B91" w14:paraId="77E3E62A" w14:textId="77777777" w:rsidTr="0091342C">
              <w:tc>
                <w:tcPr>
                  <w:tcW w:w="1321" w:type="pct"/>
                </w:tcPr>
                <w:p w14:paraId="400CD316" w14:textId="77777777" w:rsidR="00446B91" w:rsidRDefault="00446B91" w:rsidP="0091342C">
                  <w:pPr>
                    <w:pStyle w:val="TableBodyText"/>
                    <w:jc w:val="left"/>
                  </w:pPr>
                  <w:r>
                    <w:t>Global tactical asset allocation</w:t>
                  </w:r>
                </w:p>
              </w:tc>
              <w:tc>
                <w:tcPr>
                  <w:tcW w:w="572" w:type="pct"/>
                </w:tcPr>
                <w:p w14:paraId="470ABFB8" w14:textId="77777777" w:rsidR="00446B91" w:rsidRDefault="00446B91" w:rsidP="0091342C">
                  <w:pPr>
                    <w:pStyle w:val="TableBodyText"/>
                  </w:pPr>
                  <w:proofErr w:type="spellStart"/>
                  <w:r>
                    <w:t>na</w:t>
                  </w:r>
                  <w:proofErr w:type="spellEnd"/>
                </w:p>
              </w:tc>
              <w:tc>
                <w:tcPr>
                  <w:tcW w:w="71" w:type="pct"/>
                </w:tcPr>
                <w:p w14:paraId="0269CFB0" w14:textId="77777777" w:rsidR="00446B91" w:rsidRPr="00BD72F0" w:rsidRDefault="00446B91" w:rsidP="0091342C">
                  <w:pPr>
                    <w:pStyle w:val="TableBodyText"/>
                  </w:pPr>
                </w:p>
              </w:tc>
              <w:tc>
                <w:tcPr>
                  <w:tcW w:w="433" w:type="pct"/>
                </w:tcPr>
                <w:p w14:paraId="30513E3F" w14:textId="77777777" w:rsidR="00446B91" w:rsidRDefault="00446B91" w:rsidP="0091342C">
                  <w:pPr>
                    <w:pStyle w:val="TableBodyText"/>
                  </w:pPr>
                  <w:r w:rsidRPr="00BD72F0">
                    <w:t>49.6</w:t>
                  </w:r>
                </w:p>
              </w:tc>
              <w:tc>
                <w:tcPr>
                  <w:tcW w:w="434" w:type="pct"/>
                </w:tcPr>
                <w:p w14:paraId="37CDD048" w14:textId="77777777" w:rsidR="00446B91" w:rsidRDefault="00446B91" w:rsidP="0091342C">
                  <w:pPr>
                    <w:pStyle w:val="TableBodyText"/>
                    <w:ind w:right="28"/>
                  </w:pPr>
                  <w:r w:rsidRPr="00BD72F0">
                    <w:t>8.1</w:t>
                  </w:r>
                </w:p>
              </w:tc>
              <w:tc>
                <w:tcPr>
                  <w:tcW w:w="434" w:type="pct"/>
                </w:tcPr>
                <w:p w14:paraId="6DBC1905" w14:textId="77777777" w:rsidR="00446B91" w:rsidRDefault="00446B91" w:rsidP="0091342C">
                  <w:pPr>
                    <w:pStyle w:val="TableBodyText"/>
                    <w:ind w:right="28"/>
                  </w:pPr>
                  <w:r w:rsidRPr="00BD72F0">
                    <w:t>15.7</w:t>
                  </w:r>
                </w:p>
              </w:tc>
              <w:tc>
                <w:tcPr>
                  <w:tcW w:w="434" w:type="pct"/>
                </w:tcPr>
                <w:p w14:paraId="6418BDDD" w14:textId="77777777" w:rsidR="00446B91" w:rsidRDefault="00446B91" w:rsidP="0091342C">
                  <w:pPr>
                    <w:pStyle w:val="TableBodyText"/>
                    <w:ind w:right="28"/>
                  </w:pPr>
                  <w:r w:rsidRPr="00BD72F0">
                    <w:t>27.1</w:t>
                  </w:r>
                </w:p>
              </w:tc>
              <w:tc>
                <w:tcPr>
                  <w:tcW w:w="434" w:type="pct"/>
                </w:tcPr>
                <w:p w14:paraId="2438BA9A" w14:textId="77777777" w:rsidR="00446B91" w:rsidRDefault="00446B91" w:rsidP="0091342C">
                  <w:pPr>
                    <w:pStyle w:val="TableBodyText"/>
                    <w:ind w:right="28"/>
                  </w:pPr>
                  <w:r w:rsidRPr="00BD72F0">
                    <w:t>63.0</w:t>
                  </w:r>
                </w:p>
              </w:tc>
              <w:tc>
                <w:tcPr>
                  <w:tcW w:w="434" w:type="pct"/>
                </w:tcPr>
                <w:p w14:paraId="2F5B6E54" w14:textId="77777777" w:rsidR="00446B91" w:rsidRDefault="00446B91" w:rsidP="0091342C">
                  <w:pPr>
                    <w:pStyle w:val="TableBodyText"/>
                    <w:ind w:right="28"/>
                  </w:pPr>
                  <w:r w:rsidRPr="00BD72F0">
                    <w:t>25.7</w:t>
                  </w:r>
                </w:p>
              </w:tc>
              <w:tc>
                <w:tcPr>
                  <w:tcW w:w="433" w:type="pct"/>
                </w:tcPr>
                <w:p w14:paraId="61A451D3" w14:textId="77777777" w:rsidR="00446B91" w:rsidRDefault="00446B91" w:rsidP="0091342C">
                  <w:pPr>
                    <w:pStyle w:val="TableBodyText"/>
                    <w:ind w:right="28"/>
                  </w:pPr>
                  <w:r w:rsidRPr="00BD72F0">
                    <w:t>35.8</w:t>
                  </w:r>
                </w:p>
              </w:tc>
            </w:tr>
            <w:tr w:rsidR="00446B91" w14:paraId="44BA46B1" w14:textId="77777777" w:rsidTr="0091342C">
              <w:tc>
                <w:tcPr>
                  <w:tcW w:w="1321" w:type="pct"/>
                  <w:tcBorders>
                    <w:bottom w:val="single" w:sz="6" w:space="0" w:color="BFBFBF"/>
                  </w:tcBorders>
                  <w:shd w:val="clear" w:color="auto" w:fill="auto"/>
                </w:tcPr>
                <w:p w14:paraId="7D01C347" w14:textId="77777777" w:rsidR="00446B91" w:rsidRDefault="00446B91" w:rsidP="0091342C">
                  <w:pPr>
                    <w:pStyle w:val="TableBodyText"/>
                    <w:jc w:val="left"/>
                  </w:pPr>
                  <w:r>
                    <w:t>Commodities</w:t>
                  </w:r>
                </w:p>
              </w:tc>
              <w:tc>
                <w:tcPr>
                  <w:tcW w:w="572" w:type="pct"/>
                  <w:tcBorders>
                    <w:bottom w:val="single" w:sz="6" w:space="0" w:color="BFBFBF"/>
                  </w:tcBorders>
                </w:tcPr>
                <w:p w14:paraId="47AD7BE5" w14:textId="77777777" w:rsidR="00446B91" w:rsidRDefault="00446B91" w:rsidP="0091342C">
                  <w:pPr>
                    <w:pStyle w:val="TableBodyText"/>
                  </w:pPr>
                  <w:proofErr w:type="spellStart"/>
                  <w:r>
                    <w:t>na</w:t>
                  </w:r>
                  <w:proofErr w:type="spellEnd"/>
                </w:p>
              </w:tc>
              <w:tc>
                <w:tcPr>
                  <w:tcW w:w="71" w:type="pct"/>
                  <w:tcBorders>
                    <w:bottom w:val="single" w:sz="6" w:space="0" w:color="BFBFBF"/>
                  </w:tcBorders>
                </w:tcPr>
                <w:p w14:paraId="6576D8D4" w14:textId="77777777" w:rsidR="00446B91" w:rsidRPr="00BD72F0" w:rsidRDefault="00446B91" w:rsidP="0091342C">
                  <w:pPr>
                    <w:pStyle w:val="TableBodyText"/>
                  </w:pPr>
                </w:p>
              </w:tc>
              <w:tc>
                <w:tcPr>
                  <w:tcW w:w="433" w:type="pct"/>
                  <w:tcBorders>
                    <w:bottom w:val="single" w:sz="6" w:space="0" w:color="BFBFBF"/>
                  </w:tcBorders>
                  <w:shd w:val="clear" w:color="auto" w:fill="auto"/>
                </w:tcPr>
                <w:p w14:paraId="1B6938A6" w14:textId="77777777" w:rsidR="00446B91" w:rsidRDefault="00446B91" w:rsidP="0091342C">
                  <w:pPr>
                    <w:pStyle w:val="TableBodyText"/>
                  </w:pPr>
                  <w:r w:rsidRPr="00BD72F0">
                    <w:t>52.8</w:t>
                  </w:r>
                </w:p>
              </w:tc>
              <w:tc>
                <w:tcPr>
                  <w:tcW w:w="434" w:type="pct"/>
                  <w:tcBorders>
                    <w:bottom w:val="single" w:sz="6" w:space="0" w:color="BFBFBF"/>
                  </w:tcBorders>
                </w:tcPr>
                <w:p w14:paraId="2EAF06E8" w14:textId="77777777" w:rsidR="00446B91" w:rsidRDefault="00446B91" w:rsidP="0091342C">
                  <w:pPr>
                    <w:pStyle w:val="TableBodyText"/>
                    <w:ind w:right="28"/>
                  </w:pPr>
                  <w:r w:rsidRPr="00BD72F0">
                    <w:t>5.3</w:t>
                  </w:r>
                </w:p>
              </w:tc>
              <w:tc>
                <w:tcPr>
                  <w:tcW w:w="434" w:type="pct"/>
                  <w:tcBorders>
                    <w:bottom w:val="single" w:sz="6" w:space="0" w:color="BFBFBF"/>
                  </w:tcBorders>
                </w:tcPr>
                <w:p w14:paraId="0BA8BA84" w14:textId="77777777" w:rsidR="00446B91" w:rsidRDefault="00446B91" w:rsidP="0091342C">
                  <w:pPr>
                    <w:pStyle w:val="TableBodyText"/>
                    <w:ind w:right="28"/>
                  </w:pPr>
                  <w:r w:rsidRPr="00BD72F0">
                    <w:t>12.0</w:t>
                  </w:r>
                </w:p>
              </w:tc>
              <w:tc>
                <w:tcPr>
                  <w:tcW w:w="434" w:type="pct"/>
                  <w:tcBorders>
                    <w:bottom w:val="single" w:sz="6" w:space="0" w:color="BFBFBF"/>
                  </w:tcBorders>
                </w:tcPr>
                <w:p w14:paraId="63081153" w14:textId="77777777" w:rsidR="00446B91" w:rsidRDefault="00446B91" w:rsidP="0091342C">
                  <w:pPr>
                    <w:pStyle w:val="TableBodyText"/>
                    <w:ind w:right="28"/>
                  </w:pPr>
                  <w:r w:rsidRPr="00BD72F0">
                    <w:t>45.1</w:t>
                  </w:r>
                </w:p>
              </w:tc>
              <w:tc>
                <w:tcPr>
                  <w:tcW w:w="434" w:type="pct"/>
                  <w:tcBorders>
                    <w:bottom w:val="single" w:sz="6" w:space="0" w:color="BFBFBF"/>
                  </w:tcBorders>
                </w:tcPr>
                <w:p w14:paraId="478D7FE8" w14:textId="77777777" w:rsidR="00446B91" w:rsidRDefault="00446B91" w:rsidP="0091342C">
                  <w:pPr>
                    <w:pStyle w:val="TableBodyText"/>
                    <w:ind w:right="28"/>
                  </w:pPr>
                  <w:r w:rsidRPr="00BD72F0">
                    <w:t>2.7</w:t>
                  </w:r>
                </w:p>
              </w:tc>
              <w:tc>
                <w:tcPr>
                  <w:tcW w:w="434" w:type="pct"/>
                  <w:tcBorders>
                    <w:bottom w:val="single" w:sz="6" w:space="0" w:color="BFBFBF"/>
                  </w:tcBorders>
                </w:tcPr>
                <w:p w14:paraId="1A70D08F" w14:textId="77777777" w:rsidR="00446B91" w:rsidRDefault="00446B91" w:rsidP="0091342C">
                  <w:pPr>
                    <w:pStyle w:val="TableBodyText"/>
                    <w:ind w:right="28"/>
                  </w:pPr>
                  <w:r w:rsidRPr="00BD72F0">
                    <w:t>49.8</w:t>
                  </w:r>
                </w:p>
              </w:tc>
              <w:tc>
                <w:tcPr>
                  <w:tcW w:w="433" w:type="pct"/>
                  <w:tcBorders>
                    <w:bottom w:val="single" w:sz="6" w:space="0" w:color="BFBFBF"/>
                  </w:tcBorders>
                  <w:shd w:val="clear" w:color="auto" w:fill="auto"/>
                </w:tcPr>
                <w:p w14:paraId="74FDB94A" w14:textId="77777777" w:rsidR="00446B91" w:rsidRDefault="00446B91" w:rsidP="0091342C">
                  <w:pPr>
                    <w:pStyle w:val="TableBodyText"/>
                    <w:ind w:right="28"/>
                  </w:pPr>
                  <w:r w:rsidRPr="00BD72F0">
                    <w:t>28.2</w:t>
                  </w:r>
                </w:p>
              </w:tc>
            </w:tr>
          </w:tbl>
          <w:p w14:paraId="3936C30D" w14:textId="77777777" w:rsidR="00446B91" w:rsidRDefault="00446B91" w:rsidP="0091342C">
            <w:pPr>
              <w:pStyle w:val="Box"/>
            </w:pPr>
          </w:p>
        </w:tc>
      </w:tr>
      <w:tr w:rsidR="00446B91" w14:paraId="74D9044A" w14:textId="77777777" w:rsidTr="0091342C">
        <w:tc>
          <w:tcPr>
            <w:tcW w:w="5000" w:type="pct"/>
            <w:tcBorders>
              <w:top w:val="nil"/>
              <w:left w:val="nil"/>
              <w:bottom w:val="nil"/>
              <w:right w:val="nil"/>
            </w:tcBorders>
            <w:shd w:val="clear" w:color="auto" w:fill="auto"/>
          </w:tcPr>
          <w:p w14:paraId="7833C351" w14:textId="77777777" w:rsidR="00446B91" w:rsidRDefault="00446B91" w:rsidP="0091342C">
            <w:pPr>
              <w:pStyle w:val="Note"/>
              <w:rPr>
                <w:i/>
              </w:rPr>
            </w:pPr>
            <w:proofErr w:type="spellStart"/>
            <w:r w:rsidRPr="008E77FE">
              <w:rPr>
                <w:rStyle w:val="NoteLabel"/>
              </w:rPr>
              <w:t>a</w:t>
            </w:r>
            <w:proofErr w:type="spellEnd"/>
            <w:r>
              <w:t xml:space="preserve"> Costs include fees paid to third party managers such as indirect costs. </w:t>
            </w:r>
            <w:proofErr w:type="spellStart"/>
            <w:r w:rsidRPr="00047468">
              <w:t>na</w:t>
            </w:r>
            <w:proofErr w:type="spellEnd"/>
            <w:r w:rsidRPr="00047468">
              <w:t xml:space="preserve"> </w:t>
            </w:r>
            <w:r>
              <w:t>Not available.</w:t>
            </w:r>
          </w:p>
        </w:tc>
      </w:tr>
      <w:tr w:rsidR="00446B91" w14:paraId="79D48E40" w14:textId="77777777" w:rsidTr="0091342C">
        <w:tc>
          <w:tcPr>
            <w:tcW w:w="5000" w:type="pct"/>
            <w:tcBorders>
              <w:top w:val="nil"/>
              <w:left w:val="nil"/>
              <w:bottom w:val="nil"/>
              <w:right w:val="nil"/>
            </w:tcBorders>
            <w:shd w:val="clear" w:color="auto" w:fill="auto"/>
          </w:tcPr>
          <w:p w14:paraId="4486937A" w14:textId="77777777" w:rsidR="00446B91" w:rsidRDefault="00446B91" w:rsidP="0091342C">
            <w:pPr>
              <w:pStyle w:val="Source"/>
            </w:pPr>
            <w:r>
              <w:rPr>
                <w:i/>
              </w:rPr>
              <w:t>Source</w:t>
            </w:r>
            <w:r w:rsidRPr="00167F06">
              <w:t xml:space="preserve">: </w:t>
            </w:r>
            <w:proofErr w:type="spellStart"/>
            <w:r>
              <w:t>CEM</w:t>
            </w:r>
            <w:proofErr w:type="spellEnd"/>
            <w:r>
              <w:t xml:space="preserve"> Benchmarking.</w:t>
            </w:r>
          </w:p>
        </w:tc>
      </w:tr>
      <w:tr w:rsidR="00446B91" w14:paraId="5442A3C7" w14:textId="77777777" w:rsidTr="0091342C">
        <w:tc>
          <w:tcPr>
            <w:tcW w:w="5000" w:type="pct"/>
            <w:tcBorders>
              <w:top w:val="nil"/>
              <w:left w:val="nil"/>
              <w:bottom w:val="single" w:sz="6" w:space="0" w:color="78A22F"/>
              <w:right w:val="nil"/>
            </w:tcBorders>
            <w:shd w:val="clear" w:color="auto" w:fill="auto"/>
          </w:tcPr>
          <w:p w14:paraId="6A6232C5" w14:textId="77777777" w:rsidR="00446B91" w:rsidRDefault="00446B91" w:rsidP="0091342C">
            <w:pPr>
              <w:pStyle w:val="Box"/>
              <w:spacing w:before="0" w:line="120" w:lineRule="exact"/>
            </w:pPr>
          </w:p>
        </w:tc>
      </w:tr>
      <w:tr w:rsidR="00446B91" w:rsidRPr="000863A5" w14:paraId="4AEDD10B" w14:textId="77777777" w:rsidTr="0091342C">
        <w:tc>
          <w:tcPr>
            <w:tcW w:w="5000" w:type="pct"/>
            <w:tcBorders>
              <w:top w:val="single" w:sz="6" w:space="0" w:color="78A22F"/>
              <w:left w:val="nil"/>
              <w:bottom w:val="nil"/>
              <w:right w:val="nil"/>
            </w:tcBorders>
          </w:tcPr>
          <w:p w14:paraId="1B91FEEF" w14:textId="77777777" w:rsidR="00446B91" w:rsidRPr="00174B5A" w:rsidRDefault="00446B91" w:rsidP="0091342C">
            <w:pPr>
              <w:pStyle w:val="BoxSpaceBelow"/>
            </w:pPr>
          </w:p>
        </w:tc>
      </w:tr>
    </w:tbl>
    <w:p w14:paraId="20797202" w14:textId="77777777" w:rsidR="00446B91" w:rsidRDefault="00446B91" w:rsidP="00446B91">
      <w:pPr>
        <w:pStyle w:val="Heading3"/>
      </w:pPr>
      <w:r>
        <w:t>Funds survey data</w:t>
      </w:r>
    </w:p>
    <w:p w14:paraId="6E17767D" w14:textId="77777777" w:rsidR="00446B91" w:rsidRDefault="00446B91" w:rsidP="00446B91">
      <w:pPr>
        <w:pStyle w:val="BodyText"/>
      </w:pPr>
      <w:r>
        <w:t xml:space="preserve">The Commission collected fund cost data through its supplementary funds survey. Table 5.3 </w:t>
      </w:r>
      <w:r w:rsidRPr="004D2D9B">
        <w:t>summarise</w:t>
      </w:r>
      <w:r>
        <w:t>s</w:t>
      </w:r>
      <w:r w:rsidRPr="004D2D9B">
        <w:t xml:space="preserve"> survey response data on investment manage</w:t>
      </w:r>
      <w:r>
        <w:t>ment costs by asset class</w:t>
      </w:r>
      <w:r w:rsidRPr="004D2D9B">
        <w:t>.</w:t>
      </w:r>
    </w:p>
    <w:p w14:paraId="1529895B" w14:textId="77777777" w:rsidR="00446B91" w:rsidRDefault="00446B91" w:rsidP="00446B9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46B91" w14:paraId="4943BB99" w14:textId="77777777" w:rsidTr="0091342C">
        <w:trPr>
          <w:tblHeader/>
        </w:trPr>
        <w:tc>
          <w:tcPr>
            <w:tcW w:w="5000" w:type="pct"/>
            <w:tcBorders>
              <w:top w:val="single" w:sz="6" w:space="0" w:color="78A22F"/>
              <w:left w:val="nil"/>
              <w:bottom w:val="nil"/>
              <w:right w:val="nil"/>
            </w:tcBorders>
            <w:shd w:val="clear" w:color="auto" w:fill="auto"/>
          </w:tcPr>
          <w:p w14:paraId="758729EB" w14:textId="77777777" w:rsidR="00446B91" w:rsidRDefault="00446B91" w:rsidP="0091342C">
            <w:pPr>
              <w:pStyle w:val="TableTitle"/>
            </w:pPr>
            <w:r>
              <w:rPr>
                <w:b w:val="0"/>
              </w:rPr>
              <w:t>Table 5.</w:t>
            </w:r>
            <w:r>
              <w:rPr>
                <w:b w:val="0"/>
                <w:noProof/>
              </w:rPr>
              <w:t>3</w:t>
            </w:r>
            <w:r>
              <w:tab/>
              <w:t>Survey responses: investment management costs</w:t>
            </w:r>
            <w:r w:rsidRPr="00DE507A">
              <w:rPr>
                <w:rStyle w:val="NoteLabel"/>
              </w:rPr>
              <w:t>a</w:t>
            </w:r>
          </w:p>
          <w:p w14:paraId="5D600F9C" w14:textId="77777777" w:rsidR="00446B91" w:rsidRPr="00784A05" w:rsidRDefault="00446B91" w:rsidP="0091342C">
            <w:pPr>
              <w:pStyle w:val="Subtitle"/>
            </w:pPr>
            <w:r>
              <w:t>2017</w:t>
            </w:r>
          </w:p>
        </w:tc>
      </w:tr>
      <w:tr w:rsidR="00446B91" w14:paraId="5D516972" w14:textId="77777777" w:rsidTr="0091342C">
        <w:tc>
          <w:tcPr>
            <w:tcW w:w="5000" w:type="pct"/>
            <w:tcBorders>
              <w:top w:val="nil"/>
              <w:left w:val="nil"/>
              <w:bottom w:val="nil"/>
              <w:right w:val="nil"/>
            </w:tcBorders>
            <w:shd w:val="clear" w:color="auto" w:fill="auto"/>
          </w:tcPr>
          <w:tbl>
            <w:tblPr>
              <w:tblW w:w="0" w:type="auto"/>
              <w:tblCellMar>
                <w:top w:w="28" w:type="dxa"/>
                <w:left w:w="0" w:type="dxa"/>
                <w:right w:w="0" w:type="dxa"/>
              </w:tblCellMar>
              <w:tblLook w:val="0000" w:firstRow="0" w:lastRow="0" w:firstColumn="0" w:lastColumn="0" w:noHBand="0" w:noVBand="0"/>
            </w:tblPr>
            <w:tblGrid>
              <w:gridCol w:w="2171"/>
              <w:gridCol w:w="882"/>
              <w:gridCol w:w="981"/>
              <w:gridCol w:w="1276"/>
              <w:gridCol w:w="927"/>
              <w:gridCol w:w="927"/>
              <w:gridCol w:w="1341"/>
            </w:tblGrid>
            <w:tr w:rsidR="00446B91" w14:paraId="4362D505" w14:textId="77777777" w:rsidTr="0091342C">
              <w:trPr>
                <w:tblHeader/>
              </w:trPr>
              <w:tc>
                <w:tcPr>
                  <w:tcW w:w="0" w:type="auto"/>
                  <w:tcBorders>
                    <w:top w:val="single" w:sz="6" w:space="0" w:color="BFBFBF"/>
                    <w:bottom w:val="single" w:sz="6" w:space="0" w:color="BFBFBF"/>
                  </w:tcBorders>
                  <w:shd w:val="clear" w:color="auto" w:fill="auto"/>
                  <w:tcMar>
                    <w:top w:w="28" w:type="dxa"/>
                  </w:tcMar>
                </w:tcPr>
                <w:p w14:paraId="4680B3F3" w14:textId="77777777" w:rsidR="00446B91" w:rsidRDefault="00446B91" w:rsidP="0091342C">
                  <w:pPr>
                    <w:pStyle w:val="TableColumnHeading"/>
                    <w:jc w:val="left"/>
                  </w:pPr>
                </w:p>
              </w:tc>
              <w:tc>
                <w:tcPr>
                  <w:tcW w:w="3139" w:type="dxa"/>
                  <w:gridSpan w:val="3"/>
                  <w:tcBorders>
                    <w:top w:val="single" w:sz="6" w:space="0" w:color="BFBFBF"/>
                    <w:bottom w:val="single" w:sz="6" w:space="0" w:color="BFBFBF"/>
                  </w:tcBorders>
                </w:tcPr>
                <w:p w14:paraId="5284432C" w14:textId="77777777" w:rsidR="00446B91" w:rsidRDefault="00446B91" w:rsidP="0091342C">
                  <w:pPr>
                    <w:pStyle w:val="TableColumnHeading"/>
                    <w:jc w:val="center"/>
                  </w:pPr>
                  <w:r>
                    <w:t>Number of observations</w:t>
                  </w:r>
                </w:p>
              </w:tc>
              <w:tc>
                <w:tcPr>
                  <w:tcW w:w="3195" w:type="dxa"/>
                  <w:gridSpan w:val="3"/>
                  <w:tcBorders>
                    <w:top w:val="single" w:sz="6" w:space="0" w:color="BFBFBF"/>
                    <w:bottom w:val="single" w:sz="6" w:space="0" w:color="BFBFBF"/>
                  </w:tcBorders>
                  <w:shd w:val="clear" w:color="auto" w:fill="auto"/>
                  <w:tcMar>
                    <w:top w:w="28" w:type="dxa"/>
                  </w:tcMar>
                </w:tcPr>
                <w:p w14:paraId="3711DD48" w14:textId="77777777" w:rsidR="00446B91" w:rsidRDefault="00446B91" w:rsidP="0091342C">
                  <w:pPr>
                    <w:pStyle w:val="TableColumnHeading"/>
                    <w:ind w:right="28"/>
                    <w:jc w:val="center"/>
                  </w:pPr>
                  <w:r>
                    <w:t>Investment management costs</w:t>
                  </w:r>
                  <w:r>
                    <w:br/>
                    <w:t>(per cent)</w:t>
                  </w:r>
                </w:p>
              </w:tc>
            </w:tr>
            <w:tr w:rsidR="00446B91" w14:paraId="18C0B97E" w14:textId="77777777" w:rsidTr="0091342C">
              <w:trPr>
                <w:tblHeader/>
              </w:trPr>
              <w:tc>
                <w:tcPr>
                  <w:tcW w:w="0" w:type="auto"/>
                  <w:tcBorders>
                    <w:top w:val="single" w:sz="6" w:space="0" w:color="BFBFBF"/>
                    <w:bottom w:val="single" w:sz="6" w:space="0" w:color="BFBFBF"/>
                  </w:tcBorders>
                  <w:shd w:val="clear" w:color="auto" w:fill="auto"/>
                  <w:tcMar>
                    <w:top w:w="28" w:type="dxa"/>
                  </w:tcMar>
                </w:tcPr>
                <w:p w14:paraId="4192EDB1" w14:textId="77777777" w:rsidR="00446B91" w:rsidRDefault="00446B91" w:rsidP="0091342C">
                  <w:pPr>
                    <w:pStyle w:val="TableColumnHeading"/>
                    <w:jc w:val="left"/>
                  </w:pPr>
                  <w:r w:rsidRPr="004D2D9B">
                    <w:t>Asset class</w:t>
                  </w:r>
                </w:p>
              </w:tc>
              <w:tc>
                <w:tcPr>
                  <w:tcW w:w="882" w:type="dxa"/>
                  <w:tcBorders>
                    <w:top w:val="single" w:sz="6" w:space="0" w:color="BFBFBF"/>
                    <w:bottom w:val="single" w:sz="6" w:space="0" w:color="BFBFBF"/>
                  </w:tcBorders>
                </w:tcPr>
                <w:p w14:paraId="3CB58714" w14:textId="77777777" w:rsidR="00446B91" w:rsidRDefault="00446B91" w:rsidP="0091342C">
                  <w:pPr>
                    <w:pStyle w:val="TableColumnHeading"/>
                  </w:pPr>
                  <w:r w:rsidRPr="00173A07">
                    <w:t>System</w:t>
                  </w:r>
                </w:p>
              </w:tc>
              <w:tc>
                <w:tcPr>
                  <w:tcW w:w="981" w:type="dxa"/>
                  <w:tcBorders>
                    <w:top w:val="single" w:sz="6" w:space="0" w:color="BFBFBF"/>
                    <w:bottom w:val="single" w:sz="6" w:space="0" w:color="BFBFBF"/>
                  </w:tcBorders>
                </w:tcPr>
                <w:p w14:paraId="1B0BD3B3" w14:textId="77777777" w:rsidR="00446B91" w:rsidRDefault="00446B91" w:rsidP="0091342C">
                  <w:pPr>
                    <w:pStyle w:val="TableColumnHeading"/>
                  </w:pPr>
                  <w:r w:rsidRPr="00173A07">
                    <w:t>Retail</w:t>
                  </w:r>
                </w:p>
              </w:tc>
              <w:tc>
                <w:tcPr>
                  <w:tcW w:w="1276" w:type="dxa"/>
                  <w:tcBorders>
                    <w:top w:val="single" w:sz="6" w:space="0" w:color="BFBFBF"/>
                    <w:bottom w:val="single" w:sz="6" w:space="0" w:color="BFBFBF"/>
                  </w:tcBorders>
                </w:tcPr>
                <w:p w14:paraId="2FC52DCE" w14:textId="77777777" w:rsidR="00446B91" w:rsidRDefault="00446B91" w:rsidP="0091342C">
                  <w:pPr>
                    <w:pStyle w:val="TableColumnHeading"/>
                  </w:pPr>
                  <w:r w:rsidRPr="00173A07">
                    <w:t>Not</w:t>
                  </w:r>
                  <w:r>
                    <w:noBreakHyphen/>
                  </w:r>
                  <w:r w:rsidRPr="00173A07">
                    <w:t>for</w:t>
                  </w:r>
                  <w:r>
                    <w:noBreakHyphen/>
                  </w:r>
                  <w:r w:rsidRPr="00173A07">
                    <w:t>profit</w:t>
                  </w:r>
                </w:p>
              </w:tc>
              <w:tc>
                <w:tcPr>
                  <w:tcW w:w="927" w:type="dxa"/>
                  <w:tcBorders>
                    <w:top w:val="single" w:sz="6" w:space="0" w:color="BFBFBF"/>
                    <w:bottom w:val="single" w:sz="6" w:space="0" w:color="BFBFBF"/>
                  </w:tcBorders>
                  <w:shd w:val="clear" w:color="auto" w:fill="auto"/>
                  <w:tcMar>
                    <w:top w:w="28" w:type="dxa"/>
                  </w:tcMar>
                </w:tcPr>
                <w:p w14:paraId="3A7AFF05" w14:textId="77777777" w:rsidR="00446B91" w:rsidRDefault="00446B91" w:rsidP="0091342C">
                  <w:pPr>
                    <w:pStyle w:val="TableColumnHeading"/>
                  </w:pPr>
                  <w:r w:rsidRPr="00173A07">
                    <w:t>System</w:t>
                  </w:r>
                </w:p>
              </w:tc>
              <w:tc>
                <w:tcPr>
                  <w:tcW w:w="927" w:type="dxa"/>
                  <w:tcBorders>
                    <w:top w:val="single" w:sz="6" w:space="0" w:color="BFBFBF"/>
                    <w:bottom w:val="single" w:sz="6" w:space="0" w:color="BFBFBF"/>
                  </w:tcBorders>
                  <w:shd w:val="clear" w:color="auto" w:fill="auto"/>
                </w:tcPr>
                <w:p w14:paraId="1B962BB9" w14:textId="77777777" w:rsidR="00446B91" w:rsidRDefault="00446B91" w:rsidP="0091342C">
                  <w:pPr>
                    <w:pStyle w:val="TableColumnHeading"/>
                  </w:pPr>
                  <w:r w:rsidRPr="00173A07">
                    <w:t>Retail</w:t>
                  </w:r>
                </w:p>
              </w:tc>
              <w:tc>
                <w:tcPr>
                  <w:tcW w:w="1341" w:type="dxa"/>
                  <w:tcBorders>
                    <w:top w:val="single" w:sz="6" w:space="0" w:color="BFBFBF"/>
                    <w:bottom w:val="single" w:sz="6" w:space="0" w:color="BFBFBF"/>
                  </w:tcBorders>
                  <w:shd w:val="clear" w:color="auto" w:fill="auto"/>
                </w:tcPr>
                <w:p w14:paraId="6B1827EE" w14:textId="77777777" w:rsidR="00446B91" w:rsidRDefault="00446B91" w:rsidP="0091342C">
                  <w:pPr>
                    <w:pStyle w:val="TableColumnHeading"/>
                    <w:ind w:right="28"/>
                  </w:pPr>
                  <w:r w:rsidRPr="00173A07">
                    <w:t>Not</w:t>
                  </w:r>
                  <w:r>
                    <w:noBreakHyphen/>
                  </w:r>
                  <w:r w:rsidRPr="00173A07">
                    <w:t>for</w:t>
                  </w:r>
                  <w:r>
                    <w:noBreakHyphen/>
                  </w:r>
                  <w:r w:rsidRPr="00173A07">
                    <w:t>profit</w:t>
                  </w:r>
                </w:p>
              </w:tc>
            </w:tr>
            <w:tr w:rsidR="00446B91" w14:paraId="14567D06" w14:textId="77777777" w:rsidTr="0091342C">
              <w:tc>
                <w:tcPr>
                  <w:tcW w:w="0" w:type="auto"/>
                </w:tcPr>
                <w:p w14:paraId="3498DD22" w14:textId="77777777" w:rsidR="00446B91" w:rsidRDefault="00446B91" w:rsidP="0091342C">
                  <w:pPr>
                    <w:pStyle w:val="TableBodyText"/>
                    <w:jc w:val="left"/>
                  </w:pPr>
                  <w:r w:rsidRPr="00A72EC1">
                    <w:t>Cash</w:t>
                  </w:r>
                </w:p>
              </w:tc>
              <w:tc>
                <w:tcPr>
                  <w:tcW w:w="882" w:type="dxa"/>
                </w:tcPr>
                <w:p w14:paraId="67682A54" w14:textId="77777777" w:rsidR="00446B91" w:rsidRDefault="00446B91" w:rsidP="0091342C">
                  <w:pPr>
                    <w:pStyle w:val="TableBodyText"/>
                  </w:pPr>
                  <w:r w:rsidRPr="00A72EC1">
                    <w:t>74</w:t>
                  </w:r>
                </w:p>
              </w:tc>
              <w:tc>
                <w:tcPr>
                  <w:tcW w:w="981" w:type="dxa"/>
                </w:tcPr>
                <w:p w14:paraId="222CD593" w14:textId="77777777" w:rsidR="00446B91" w:rsidRDefault="00446B91" w:rsidP="0091342C">
                  <w:pPr>
                    <w:pStyle w:val="TableBodyText"/>
                  </w:pPr>
                  <w:r w:rsidRPr="00A72EC1">
                    <w:t>31</w:t>
                  </w:r>
                </w:p>
              </w:tc>
              <w:tc>
                <w:tcPr>
                  <w:tcW w:w="1276" w:type="dxa"/>
                </w:tcPr>
                <w:p w14:paraId="2D0A21F3" w14:textId="77777777" w:rsidR="00446B91" w:rsidRDefault="00446B91" w:rsidP="0091342C">
                  <w:pPr>
                    <w:pStyle w:val="TableBodyText"/>
                  </w:pPr>
                  <w:r w:rsidRPr="00A72EC1">
                    <w:t>43</w:t>
                  </w:r>
                </w:p>
              </w:tc>
              <w:tc>
                <w:tcPr>
                  <w:tcW w:w="927" w:type="dxa"/>
                </w:tcPr>
                <w:p w14:paraId="78C52DEE" w14:textId="77777777" w:rsidR="00446B91" w:rsidRDefault="00446B91" w:rsidP="0091342C">
                  <w:pPr>
                    <w:pStyle w:val="TableBodyText"/>
                  </w:pPr>
                  <w:r w:rsidRPr="00A72EC1">
                    <w:t>0.19</w:t>
                  </w:r>
                </w:p>
              </w:tc>
              <w:tc>
                <w:tcPr>
                  <w:tcW w:w="927" w:type="dxa"/>
                </w:tcPr>
                <w:p w14:paraId="3F800EAE" w14:textId="77777777" w:rsidR="00446B91" w:rsidRDefault="00446B91" w:rsidP="0091342C">
                  <w:pPr>
                    <w:pStyle w:val="TableBodyText"/>
                  </w:pPr>
                  <w:r w:rsidRPr="002323FC">
                    <w:t>0.44</w:t>
                  </w:r>
                </w:p>
              </w:tc>
              <w:tc>
                <w:tcPr>
                  <w:tcW w:w="1341" w:type="dxa"/>
                </w:tcPr>
                <w:p w14:paraId="2EBFEF92" w14:textId="77777777" w:rsidR="00446B91" w:rsidRDefault="00446B91" w:rsidP="0091342C">
                  <w:pPr>
                    <w:pStyle w:val="TableBodyText"/>
                    <w:ind w:right="28"/>
                  </w:pPr>
                  <w:r w:rsidRPr="00856308">
                    <w:t>0.05</w:t>
                  </w:r>
                </w:p>
              </w:tc>
            </w:tr>
            <w:tr w:rsidR="00446B91" w14:paraId="5DA1E8B6" w14:textId="77777777" w:rsidTr="0091342C">
              <w:tc>
                <w:tcPr>
                  <w:tcW w:w="0" w:type="auto"/>
                </w:tcPr>
                <w:p w14:paraId="5506FF82" w14:textId="77777777" w:rsidR="00446B91" w:rsidRDefault="00446B91" w:rsidP="0091342C">
                  <w:pPr>
                    <w:pStyle w:val="TableBodyText"/>
                    <w:jc w:val="left"/>
                  </w:pPr>
                  <w:r w:rsidRPr="00A72EC1">
                    <w:t>Australian listed equity</w:t>
                  </w:r>
                </w:p>
              </w:tc>
              <w:tc>
                <w:tcPr>
                  <w:tcW w:w="882" w:type="dxa"/>
                </w:tcPr>
                <w:p w14:paraId="0884FE23" w14:textId="77777777" w:rsidR="00446B91" w:rsidRDefault="00446B91" w:rsidP="0091342C">
                  <w:pPr>
                    <w:pStyle w:val="TableBodyText"/>
                  </w:pPr>
                  <w:r w:rsidRPr="00A72EC1">
                    <w:t>80</w:t>
                  </w:r>
                </w:p>
              </w:tc>
              <w:tc>
                <w:tcPr>
                  <w:tcW w:w="981" w:type="dxa"/>
                </w:tcPr>
                <w:p w14:paraId="71164B5F" w14:textId="77777777" w:rsidR="00446B91" w:rsidRDefault="00446B91" w:rsidP="0091342C">
                  <w:pPr>
                    <w:pStyle w:val="TableBodyText"/>
                  </w:pPr>
                  <w:r w:rsidRPr="00A72EC1">
                    <w:t>34</w:t>
                  </w:r>
                </w:p>
              </w:tc>
              <w:tc>
                <w:tcPr>
                  <w:tcW w:w="1276" w:type="dxa"/>
                </w:tcPr>
                <w:p w14:paraId="7F56605D" w14:textId="77777777" w:rsidR="00446B91" w:rsidRDefault="00446B91" w:rsidP="0091342C">
                  <w:pPr>
                    <w:pStyle w:val="TableBodyText"/>
                  </w:pPr>
                  <w:r w:rsidRPr="00A72EC1">
                    <w:t>46</w:t>
                  </w:r>
                </w:p>
              </w:tc>
              <w:tc>
                <w:tcPr>
                  <w:tcW w:w="927" w:type="dxa"/>
                </w:tcPr>
                <w:p w14:paraId="2FBBBC82" w14:textId="77777777" w:rsidR="00446B91" w:rsidRDefault="00446B91" w:rsidP="0091342C">
                  <w:pPr>
                    <w:pStyle w:val="TableBodyText"/>
                  </w:pPr>
                  <w:r w:rsidRPr="00A72EC1">
                    <w:t>0.42</w:t>
                  </w:r>
                </w:p>
              </w:tc>
              <w:tc>
                <w:tcPr>
                  <w:tcW w:w="927" w:type="dxa"/>
                </w:tcPr>
                <w:p w14:paraId="503B9048" w14:textId="77777777" w:rsidR="00446B91" w:rsidRDefault="00446B91" w:rsidP="0091342C">
                  <w:pPr>
                    <w:pStyle w:val="TableBodyText"/>
                  </w:pPr>
                  <w:r w:rsidRPr="002323FC">
                    <w:t>0.60</w:t>
                  </w:r>
                </w:p>
              </w:tc>
              <w:tc>
                <w:tcPr>
                  <w:tcW w:w="1341" w:type="dxa"/>
                </w:tcPr>
                <w:p w14:paraId="181AF7D2" w14:textId="77777777" w:rsidR="00446B91" w:rsidRDefault="00446B91" w:rsidP="0091342C">
                  <w:pPr>
                    <w:pStyle w:val="TableBodyText"/>
                    <w:ind w:right="28"/>
                  </w:pPr>
                  <w:r w:rsidRPr="00856308">
                    <w:t>0.32</w:t>
                  </w:r>
                </w:p>
              </w:tc>
            </w:tr>
            <w:tr w:rsidR="00446B91" w14:paraId="5B259C95" w14:textId="77777777" w:rsidTr="0091342C">
              <w:tc>
                <w:tcPr>
                  <w:tcW w:w="0" w:type="auto"/>
                </w:tcPr>
                <w:p w14:paraId="27697B84" w14:textId="77777777" w:rsidR="00446B91" w:rsidRDefault="00446B91" w:rsidP="0091342C">
                  <w:pPr>
                    <w:pStyle w:val="TableBodyText"/>
                    <w:jc w:val="left"/>
                  </w:pPr>
                  <w:r w:rsidRPr="00A72EC1">
                    <w:t>International listed equity</w:t>
                  </w:r>
                </w:p>
              </w:tc>
              <w:tc>
                <w:tcPr>
                  <w:tcW w:w="882" w:type="dxa"/>
                </w:tcPr>
                <w:p w14:paraId="14B431ED" w14:textId="77777777" w:rsidR="00446B91" w:rsidRDefault="00446B91" w:rsidP="0091342C">
                  <w:pPr>
                    <w:pStyle w:val="TableBodyText"/>
                  </w:pPr>
                  <w:r w:rsidRPr="00A72EC1">
                    <w:t>77</w:t>
                  </w:r>
                </w:p>
              </w:tc>
              <w:tc>
                <w:tcPr>
                  <w:tcW w:w="981" w:type="dxa"/>
                </w:tcPr>
                <w:p w14:paraId="5FEC02B3" w14:textId="77777777" w:rsidR="00446B91" w:rsidRDefault="00446B91" w:rsidP="0091342C">
                  <w:pPr>
                    <w:pStyle w:val="TableBodyText"/>
                  </w:pPr>
                  <w:r w:rsidRPr="00A72EC1">
                    <w:t>32</w:t>
                  </w:r>
                </w:p>
              </w:tc>
              <w:tc>
                <w:tcPr>
                  <w:tcW w:w="1276" w:type="dxa"/>
                </w:tcPr>
                <w:p w14:paraId="7C30704E" w14:textId="77777777" w:rsidR="00446B91" w:rsidRDefault="00446B91" w:rsidP="0091342C">
                  <w:pPr>
                    <w:pStyle w:val="TableBodyText"/>
                  </w:pPr>
                  <w:r w:rsidRPr="00A72EC1">
                    <w:t>45</w:t>
                  </w:r>
                </w:p>
              </w:tc>
              <w:tc>
                <w:tcPr>
                  <w:tcW w:w="927" w:type="dxa"/>
                </w:tcPr>
                <w:p w14:paraId="69515406" w14:textId="77777777" w:rsidR="00446B91" w:rsidRDefault="00446B91" w:rsidP="0091342C">
                  <w:pPr>
                    <w:pStyle w:val="TableBodyText"/>
                  </w:pPr>
                  <w:r w:rsidRPr="00A72EC1">
                    <w:t>0.53</w:t>
                  </w:r>
                </w:p>
              </w:tc>
              <w:tc>
                <w:tcPr>
                  <w:tcW w:w="927" w:type="dxa"/>
                </w:tcPr>
                <w:p w14:paraId="70115566" w14:textId="77777777" w:rsidR="00446B91" w:rsidRDefault="00446B91" w:rsidP="0091342C">
                  <w:pPr>
                    <w:pStyle w:val="TableBodyText"/>
                  </w:pPr>
                  <w:r w:rsidRPr="002323FC">
                    <w:t>0.66</w:t>
                  </w:r>
                </w:p>
              </w:tc>
              <w:tc>
                <w:tcPr>
                  <w:tcW w:w="1341" w:type="dxa"/>
                </w:tcPr>
                <w:p w14:paraId="6406277C" w14:textId="77777777" w:rsidR="00446B91" w:rsidRDefault="00446B91" w:rsidP="0091342C">
                  <w:pPr>
                    <w:pStyle w:val="TableBodyText"/>
                    <w:ind w:right="28"/>
                  </w:pPr>
                  <w:r w:rsidRPr="00856308">
                    <w:t>0.48</w:t>
                  </w:r>
                </w:p>
              </w:tc>
            </w:tr>
            <w:tr w:rsidR="00446B91" w14:paraId="67CFB51C" w14:textId="77777777" w:rsidTr="0091342C">
              <w:tc>
                <w:tcPr>
                  <w:tcW w:w="0" w:type="auto"/>
                </w:tcPr>
                <w:p w14:paraId="4CF4E67B" w14:textId="77777777" w:rsidR="00446B91" w:rsidRDefault="00446B91" w:rsidP="0091342C">
                  <w:pPr>
                    <w:pStyle w:val="TableBodyText"/>
                    <w:jc w:val="left"/>
                  </w:pPr>
                  <w:r w:rsidRPr="00A72EC1">
                    <w:t>Australian fixed income</w:t>
                  </w:r>
                </w:p>
              </w:tc>
              <w:tc>
                <w:tcPr>
                  <w:tcW w:w="882" w:type="dxa"/>
                </w:tcPr>
                <w:p w14:paraId="6A3ADB2A" w14:textId="77777777" w:rsidR="00446B91" w:rsidRDefault="00446B91" w:rsidP="0091342C">
                  <w:pPr>
                    <w:pStyle w:val="TableBodyText"/>
                  </w:pPr>
                  <w:r w:rsidRPr="00A72EC1">
                    <w:t>75</w:t>
                  </w:r>
                </w:p>
              </w:tc>
              <w:tc>
                <w:tcPr>
                  <w:tcW w:w="981" w:type="dxa"/>
                </w:tcPr>
                <w:p w14:paraId="6EF6DC55" w14:textId="77777777" w:rsidR="00446B91" w:rsidRDefault="00446B91" w:rsidP="0091342C">
                  <w:pPr>
                    <w:pStyle w:val="TableBodyText"/>
                  </w:pPr>
                  <w:r w:rsidRPr="00A72EC1">
                    <w:t>34</w:t>
                  </w:r>
                </w:p>
              </w:tc>
              <w:tc>
                <w:tcPr>
                  <w:tcW w:w="1276" w:type="dxa"/>
                </w:tcPr>
                <w:p w14:paraId="0F6F8F4F" w14:textId="77777777" w:rsidR="00446B91" w:rsidRDefault="00446B91" w:rsidP="0091342C">
                  <w:pPr>
                    <w:pStyle w:val="TableBodyText"/>
                  </w:pPr>
                  <w:r w:rsidRPr="00A72EC1">
                    <w:t>41</w:t>
                  </w:r>
                </w:p>
              </w:tc>
              <w:tc>
                <w:tcPr>
                  <w:tcW w:w="927" w:type="dxa"/>
                </w:tcPr>
                <w:p w14:paraId="45D988DD" w14:textId="77777777" w:rsidR="00446B91" w:rsidRDefault="00446B91" w:rsidP="0091342C">
                  <w:pPr>
                    <w:pStyle w:val="TableBodyText"/>
                  </w:pPr>
                  <w:r w:rsidRPr="00A72EC1">
                    <w:t>0.18</w:t>
                  </w:r>
                </w:p>
              </w:tc>
              <w:tc>
                <w:tcPr>
                  <w:tcW w:w="927" w:type="dxa"/>
                </w:tcPr>
                <w:p w14:paraId="456464D8" w14:textId="77777777" w:rsidR="00446B91" w:rsidRDefault="00446B91" w:rsidP="0091342C">
                  <w:pPr>
                    <w:pStyle w:val="TableBodyText"/>
                  </w:pPr>
                  <w:r w:rsidRPr="002323FC">
                    <w:t>0.30</w:t>
                  </w:r>
                </w:p>
              </w:tc>
              <w:tc>
                <w:tcPr>
                  <w:tcW w:w="1341" w:type="dxa"/>
                </w:tcPr>
                <w:p w14:paraId="377D9526" w14:textId="77777777" w:rsidR="00446B91" w:rsidRDefault="00446B91" w:rsidP="0091342C">
                  <w:pPr>
                    <w:pStyle w:val="TableBodyText"/>
                    <w:ind w:right="28"/>
                  </w:pPr>
                  <w:r w:rsidRPr="00856308">
                    <w:t>0.10</w:t>
                  </w:r>
                </w:p>
              </w:tc>
            </w:tr>
            <w:tr w:rsidR="00446B91" w14:paraId="32AFFF59" w14:textId="77777777" w:rsidTr="0091342C">
              <w:tc>
                <w:tcPr>
                  <w:tcW w:w="0" w:type="auto"/>
                </w:tcPr>
                <w:p w14:paraId="2663D900" w14:textId="77777777" w:rsidR="00446B91" w:rsidRDefault="00446B91" w:rsidP="0091342C">
                  <w:pPr>
                    <w:pStyle w:val="TableBodyText"/>
                    <w:jc w:val="left"/>
                  </w:pPr>
                  <w:r w:rsidRPr="00A72EC1">
                    <w:t>International fixed income</w:t>
                  </w:r>
                </w:p>
              </w:tc>
              <w:tc>
                <w:tcPr>
                  <w:tcW w:w="882" w:type="dxa"/>
                </w:tcPr>
                <w:p w14:paraId="5F88A911" w14:textId="77777777" w:rsidR="00446B91" w:rsidRDefault="00446B91" w:rsidP="0091342C">
                  <w:pPr>
                    <w:pStyle w:val="TableBodyText"/>
                  </w:pPr>
                  <w:r w:rsidRPr="00A72EC1">
                    <w:t>66</w:t>
                  </w:r>
                </w:p>
              </w:tc>
              <w:tc>
                <w:tcPr>
                  <w:tcW w:w="981" w:type="dxa"/>
                </w:tcPr>
                <w:p w14:paraId="18CAE9BD" w14:textId="77777777" w:rsidR="00446B91" w:rsidRDefault="00446B91" w:rsidP="0091342C">
                  <w:pPr>
                    <w:pStyle w:val="TableBodyText"/>
                  </w:pPr>
                  <w:r w:rsidRPr="00A72EC1">
                    <w:t>28</w:t>
                  </w:r>
                </w:p>
              </w:tc>
              <w:tc>
                <w:tcPr>
                  <w:tcW w:w="1276" w:type="dxa"/>
                </w:tcPr>
                <w:p w14:paraId="3B75B51A" w14:textId="77777777" w:rsidR="00446B91" w:rsidRDefault="00446B91" w:rsidP="0091342C">
                  <w:pPr>
                    <w:pStyle w:val="TableBodyText"/>
                  </w:pPr>
                  <w:r w:rsidRPr="00A72EC1">
                    <w:t>38</w:t>
                  </w:r>
                </w:p>
              </w:tc>
              <w:tc>
                <w:tcPr>
                  <w:tcW w:w="927" w:type="dxa"/>
                </w:tcPr>
                <w:p w14:paraId="2DB17E30" w14:textId="77777777" w:rsidR="00446B91" w:rsidRDefault="00446B91" w:rsidP="0091342C">
                  <w:pPr>
                    <w:pStyle w:val="TableBodyText"/>
                  </w:pPr>
                  <w:r w:rsidRPr="00A72EC1">
                    <w:t>0.41</w:t>
                  </w:r>
                </w:p>
              </w:tc>
              <w:tc>
                <w:tcPr>
                  <w:tcW w:w="927" w:type="dxa"/>
                </w:tcPr>
                <w:p w14:paraId="0D42C5D1" w14:textId="77777777" w:rsidR="00446B91" w:rsidRDefault="00446B91" w:rsidP="0091342C">
                  <w:pPr>
                    <w:pStyle w:val="TableBodyText"/>
                  </w:pPr>
                  <w:r w:rsidRPr="002323FC">
                    <w:t>0.57</w:t>
                  </w:r>
                </w:p>
              </w:tc>
              <w:tc>
                <w:tcPr>
                  <w:tcW w:w="1341" w:type="dxa"/>
                </w:tcPr>
                <w:p w14:paraId="55AB9640" w14:textId="77777777" w:rsidR="00446B91" w:rsidRDefault="00446B91" w:rsidP="0091342C">
                  <w:pPr>
                    <w:pStyle w:val="TableBodyText"/>
                    <w:ind w:right="28"/>
                  </w:pPr>
                  <w:r w:rsidRPr="00856308">
                    <w:t>0.31</w:t>
                  </w:r>
                </w:p>
              </w:tc>
            </w:tr>
            <w:tr w:rsidR="00446B91" w14:paraId="3D6FBE0F" w14:textId="77777777" w:rsidTr="0091342C">
              <w:tc>
                <w:tcPr>
                  <w:tcW w:w="0" w:type="auto"/>
                </w:tcPr>
                <w:p w14:paraId="24E3DAF7" w14:textId="77777777" w:rsidR="00446B91" w:rsidRDefault="00446B91" w:rsidP="0091342C">
                  <w:pPr>
                    <w:pStyle w:val="TableBodyText"/>
                    <w:jc w:val="left"/>
                  </w:pPr>
                  <w:r w:rsidRPr="00A72EC1">
                    <w:t>Listed infrastructure</w:t>
                  </w:r>
                </w:p>
              </w:tc>
              <w:tc>
                <w:tcPr>
                  <w:tcW w:w="882" w:type="dxa"/>
                </w:tcPr>
                <w:p w14:paraId="54540335" w14:textId="77777777" w:rsidR="00446B91" w:rsidRDefault="00446B91" w:rsidP="0091342C">
                  <w:pPr>
                    <w:pStyle w:val="TableBodyText"/>
                  </w:pPr>
                  <w:r w:rsidRPr="00A72EC1">
                    <w:t>27</w:t>
                  </w:r>
                </w:p>
              </w:tc>
              <w:tc>
                <w:tcPr>
                  <w:tcW w:w="981" w:type="dxa"/>
                </w:tcPr>
                <w:p w14:paraId="360BDB0D" w14:textId="77777777" w:rsidR="00446B91" w:rsidRDefault="00446B91" w:rsidP="0091342C">
                  <w:pPr>
                    <w:pStyle w:val="TableBodyText"/>
                  </w:pPr>
                  <w:r w:rsidRPr="00A72EC1">
                    <w:t>16</w:t>
                  </w:r>
                </w:p>
              </w:tc>
              <w:tc>
                <w:tcPr>
                  <w:tcW w:w="1276" w:type="dxa"/>
                </w:tcPr>
                <w:p w14:paraId="7FDF508B" w14:textId="77777777" w:rsidR="00446B91" w:rsidRDefault="00446B91" w:rsidP="0091342C">
                  <w:pPr>
                    <w:pStyle w:val="TableBodyText"/>
                  </w:pPr>
                  <w:r w:rsidRPr="00A72EC1">
                    <w:t>11</w:t>
                  </w:r>
                </w:p>
              </w:tc>
              <w:tc>
                <w:tcPr>
                  <w:tcW w:w="927" w:type="dxa"/>
                </w:tcPr>
                <w:p w14:paraId="3521E7FF" w14:textId="77777777" w:rsidR="00446B91" w:rsidRDefault="00446B91" w:rsidP="0091342C">
                  <w:pPr>
                    <w:pStyle w:val="TableBodyText"/>
                  </w:pPr>
                  <w:r w:rsidRPr="00A72EC1">
                    <w:t>0.49</w:t>
                  </w:r>
                </w:p>
              </w:tc>
              <w:tc>
                <w:tcPr>
                  <w:tcW w:w="927" w:type="dxa"/>
                </w:tcPr>
                <w:p w14:paraId="70CDF315" w14:textId="77777777" w:rsidR="00446B91" w:rsidRDefault="00446B91" w:rsidP="0091342C">
                  <w:pPr>
                    <w:pStyle w:val="TableBodyText"/>
                  </w:pPr>
                  <w:r w:rsidRPr="002323FC">
                    <w:t>0.75</w:t>
                  </w:r>
                </w:p>
              </w:tc>
              <w:tc>
                <w:tcPr>
                  <w:tcW w:w="1341" w:type="dxa"/>
                </w:tcPr>
                <w:p w14:paraId="27F3577A" w14:textId="77777777" w:rsidR="00446B91" w:rsidRDefault="00446B91" w:rsidP="0091342C">
                  <w:pPr>
                    <w:pStyle w:val="TableBodyText"/>
                    <w:ind w:right="28"/>
                  </w:pPr>
                  <w:r w:rsidRPr="00856308">
                    <w:t>0.38</w:t>
                  </w:r>
                </w:p>
              </w:tc>
            </w:tr>
            <w:tr w:rsidR="00446B91" w14:paraId="2A695F24" w14:textId="77777777" w:rsidTr="0091342C">
              <w:tc>
                <w:tcPr>
                  <w:tcW w:w="0" w:type="auto"/>
                </w:tcPr>
                <w:p w14:paraId="02DB1E05" w14:textId="77777777" w:rsidR="00446B91" w:rsidRDefault="00446B91" w:rsidP="0091342C">
                  <w:pPr>
                    <w:pStyle w:val="TableBodyText"/>
                    <w:jc w:val="left"/>
                  </w:pPr>
                  <w:r w:rsidRPr="00A72EC1">
                    <w:t>Unlisted infrastructure</w:t>
                  </w:r>
                </w:p>
              </w:tc>
              <w:tc>
                <w:tcPr>
                  <w:tcW w:w="882" w:type="dxa"/>
                </w:tcPr>
                <w:p w14:paraId="2B1B4DC1" w14:textId="77777777" w:rsidR="00446B91" w:rsidRDefault="00446B91" w:rsidP="0091342C">
                  <w:pPr>
                    <w:pStyle w:val="TableBodyText"/>
                  </w:pPr>
                  <w:r w:rsidRPr="00A72EC1">
                    <w:t>43</w:t>
                  </w:r>
                </w:p>
              </w:tc>
              <w:tc>
                <w:tcPr>
                  <w:tcW w:w="981" w:type="dxa"/>
                </w:tcPr>
                <w:p w14:paraId="5182B7D6" w14:textId="77777777" w:rsidR="00446B91" w:rsidRDefault="00446B91" w:rsidP="0091342C">
                  <w:pPr>
                    <w:pStyle w:val="TableBodyText"/>
                  </w:pPr>
                  <w:r w:rsidRPr="00A72EC1">
                    <w:t>7</w:t>
                  </w:r>
                </w:p>
              </w:tc>
              <w:tc>
                <w:tcPr>
                  <w:tcW w:w="1276" w:type="dxa"/>
                </w:tcPr>
                <w:p w14:paraId="1ED36B9B" w14:textId="77777777" w:rsidR="00446B91" w:rsidRDefault="00446B91" w:rsidP="0091342C">
                  <w:pPr>
                    <w:pStyle w:val="TableBodyText"/>
                  </w:pPr>
                  <w:r w:rsidRPr="00A72EC1">
                    <w:t>36</w:t>
                  </w:r>
                </w:p>
              </w:tc>
              <w:tc>
                <w:tcPr>
                  <w:tcW w:w="927" w:type="dxa"/>
                </w:tcPr>
                <w:p w14:paraId="2FD3CB23" w14:textId="77777777" w:rsidR="00446B91" w:rsidRDefault="00446B91" w:rsidP="0091342C">
                  <w:pPr>
                    <w:pStyle w:val="TableBodyText"/>
                  </w:pPr>
                  <w:r w:rsidRPr="00A72EC1">
                    <w:t>0.95</w:t>
                  </w:r>
                </w:p>
              </w:tc>
              <w:tc>
                <w:tcPr>
                  <w:tcW w:w="927" w:type="dxa"/>
                </w:tcPr>
                <w:p w14:paraId="6B24CF89" w14:textId="77777777" w:rsidR="00446B91" w:rsidRDefault="00446B91" w:rsidP="0091342C">
                  <w:pPr>
                    <w:pStyle w:val="TableBodyText"/>
                  </w:pPr>
                  <w:r w:rsidRPr="002323FC">
                    <w:t>3.28</w:t>
                  </w:r>
                </w:p>
              </w:tc>
              <w:tc>
                <w:tcPr>
                  <w:tcW w:w="1341" w:type="dxa"/>
                </w:tcPr>
                <w:p w14:paraId="7E3AA218" w14:textId="77777777" w:rsidR="00446B91" w:rsidRDefault="00446B91" w:rsidP="0091342C">
                  <w:pPr>
                    <w:pStyle w:val="TableBodyText"/>
                    <w:ind w:right="28"/>
                  </w:pPr>
                  <w:r w:rsidRPr="00856308">
                    <w:t>0.89</w:t>
                  </w:r>
                </w:p>
              </w:tc>
            </w:tr>
            <w:tr w:rsidR="00446B91" w14:paraId="46A79CE2" w14:textId="77777777" w:rsidTr="0091342C">
              <w:tc>
                <w:tcPr>
                  <w:tcW w:w="0" w:type="auto"/>
                </w:tcPr>
                <w:p w14:paraId="2773BBA0" w14:textId="77777777" w:rsidR="00446B91" w:rsidRDefault="00446B91" w:rsidP="0091342C">
                  <w:pPr>
                    <w:pStyle w:val="TableBodyText"/>
                    <w:jc w:val="left"/>
                  </w:pPr>
                  <w:r w:rsidRPr="00A72EC1">
                    <w:t>Private equity</w:t>
                  </w:r>
                </w:p>
              </w:tc>
              <w:tc>
                <w:tcPr>
                  <w:tcW w:w="882" w:type="dxa"/>
                </w:tcPr>
                <w:p w14:paraId="1DF1B0E9" w14:textId="77777777" w:rsidR="00446B91" w:rsidRDefault="00446B91" w:rsidP="0091342C">
                  <w:pPr>
                    <w:pStyle w:val="TableBodyText"/>
                  </w:pPr>
                  <w:r w:rsidRPr="00A72EC1">
                    <w:t>43</w:t>
                  </w:r>
                </w:p>
              </w:tc>
              <w:tc>
                <w:tcPr>
                  <w:tcW w:w="981" w:type="dxa"/>
                </w:tcPr>
                <w:p w14:paraId="5C1C8E92" w14:textId="77777777" w:rsidR="00446B91" w:rsidRDefault="00446B91" w:rsidP="0091342C">
                  <w:pPr>
                    <w:pStyle w:val="TableBodyText"/>
                  </w:pPr>
                  <w:r w:rsidRPr="00A72EC1">
                    <w:t>3</w:t>
                  </w:r>
                </w:p>
              </w:tc>
              <w:tc>
                <w:tcPr>
                  <w:tcW w:w="1276" w:type="dxa"/>
                </w:tcPr>
                <w:p w14:paraId="4E964C28" w14:textId="77777777" w:rsidR="00446B91" w:rsidRDefault="00446B91" w:rsidP="0091342C">
                  <w:pPr>
                    <w:pStyle w:val="TableBodyText"/>
                  </w:pPr>
                  <w:r w:rsidRPr="00A72EC1">
                    <w:t>40</w:t>
                  </w:r>
                </w:p>
              </w:tc>
              <w:tc>
                <w:tcPr>
                  <w:tcW w:w="927" w:type="dxa"/>
                </w:tcPr>
                <w:p w14:paraId="76F4818E" w14:textId="77777777" w:rsidR="00446B91" w:rsidRDefault="00446B91" w:rsidP="0091342C">
                  <w:pPr>
                    <w:pStyle w:val="TableBodyText"/>
                  </w:pPr>
                  <w:r w:rsidRPr="00A72EC1">
                    <w:t>2.79</w:t>
                  </w:r>
                </w:p>
              </w:tc>
              <w:tc>
                <w:tcPr>
                  <w:tcW w:w="927" w:type="dxa"/>
                </w:tcPr>
                <w:p w14:paraId="1D1B1B6D" w14:textId="77777777" w:rsidR="00446B91" w:rsidRDefault="00446B91" w:rsidP="0091342C">
                  <w:pPr>
                    <w:pStyle w:val="TableBodyText"/>
                  </w:pPr>
                  <w:r w:rsidRPr="002323FC">
                    <w:t>3.13</w:t>
                  </w:r>
                </w:p>
              </w:tc>
              <w:tc>
                <w:tcPr>
                  <w:tcW w:w="1341" w:type="dxa"/>
                </w:tcPr>
                <w:p w14:paraId="33F7DB5F" w14:textId="77777777" w:rsidR="00446B91" w:rsidRDefault="00446B91" w:rsidP="0091342C">
                  <w:pPr>
                    <w:pStyle w:val="TableBodyText"/>
                    <w:ind w:right="28"/>
                  </w:pPr>
                  <w:r w:rsidRPr="00856308">
                    <w:t>2.75</w:t>
                  </w:r>
                </w:p>
              </w:tc>
            </w:tr>
            <w:tr w:rsidR="00446B91" w14:paraId="724642DE" w14:textId="77777777" w:rsidTr="0091342C">
              <w:tc>
                <w:tcPr>
                  <w:tcW w:w="0" w:type="auto"/>
                </w:tcPr>
                <w:p w14:paraId="273A6DFC" w14:textId="77777777" w:rsidR="00446B91" w:rsidRDefault="00446B91" w:rsidP="0091342C">
                  <w:pPr>
                    <w:pStyle w:val="TableBodyText"/>
                    <w:jc w:val="left"/>
                  </w:pPr>
                  <w:r w:rsidRPr="00A72EC1">
                    <w:t>Listed property</w:t>
                  </w:r>
                </w:p>
              </w:tc>
              <w:tc>
                <w:tcPr>
                  <w:tcW w:w="882" w:type="dxa"/>
                </w:tcPr>
                <w:p w14:paraId="079A14E6" w14:textId="77777777" w:rsidR="00446B91" w:rsidRDefault="00446B91" w:rsidP="0091342C">
                  <w:pPr>
                    <w:pStyle w:val="TableBodyText"/>
                  </w:pPr>
                  <w:r w:rsidRPr="00A72EC1">
                    <w:t>42</w:t>
                  </w:r>
                </w:p>
              </w:tc>
              <w:tc>
                <w:tcPr>
                  <w:tcW w:w="981" w:type="dxa"/>
                </w:tcPr>
                <w:p w14:paraId="3D205F72" w14:textId="77777777" w:rsidR="00446B91" w:rsidRDefault="00446B91" w:rsidP="0091342C">
                  <w:pPr>
                    <w:pStyle w:val="TableBodyText"/>
                  </w:pPr>
                  <w:r w:rsidRPr="00A72EC1">
                    <w:t>25</w:t>
                  </w:r>
                </w:p>
              </w:tc>
              <w:tc>
                <w:tcPr>
                  <w:tcW w:w="1276" w:type="dxa"/>
                </w:tcPr>
                <w:p w14:paraId="1DFA727B" w14:textId="77777777" w:rsidR="00446B91" w:rsidRDefault="00446B91" w:rsidP="0091342C">
                  <w:pPr>
                    <w:pStyle w:val="TableBodyText"/>
                  </w:pPr>
                  <w:r w:rsidRPr="00A72EC1">
                    <w:t>17</w:t>
                  </w:r>
                </w:p>
              </w:tc>
              <w:tc>
                <w:tcPr>
                  <w:tcW w:w="927" w:type="dxa"/>
                </w:tcPr>
                <w:p w14:paraId="2C0698E6" w14:textId="77777777" w:rsidR="00446B91" w:rsidRDefault="00446B91" w:rsidP="0091342C">
                  <w:pPr>
                    <w:pStyle w:val="TableBodyText"/>
                  </w:pPr>
                  <w:r w:rsidRPr="00A72EC1">
                    <w:t>0.54</w:t>
                  </w:r>
                </w:p>
              </w:tc>
              <w:tc>
                <w:tcPr>
                  <w:tcW w:w="927" w:type="dxa"/>
                </w:tcPr>
                <w:p w14:paraId="14247C95" w14:textId="77777777" w:rsidR="00446B91" w:rsidRDefault="00446B91" w:rsidP="0091342C">
                  <w:pPr>
                    <w:pStyle w:val="TableBodyText"/>
                  </w:pPr>
                  <w:r w:rsidRPr="002323FC">
                    <w:t>0.65</w:t>
                  </w:r>
                </w:p>
              </w:tc>
              <w:tc>
                <w:tcPr>
                  <w:tcW w:w="1341" w:type="dxa"/>
                </w:tcPr>
                <w:p w14:paraId="56CC2F7A" w14:textId="77777777" w:rsidR="00446B91" w:rsidRDefault="00446B91" w:rsidP="0091342C">
                  <w:pPr>
                    <w:pStyle w:val="TableBodyText"/>
                    <w:ind w:right="28"/>
                  </w:pPr>
                  <w:r w:rsidRPr="00856308">
                    <w:t>0.37</w:t>
                  </w:r>
                </w:p>
              </w:tc>
            </w:tr>
            <w:tr w:rsidR="00446B91" w14:paraId="60CAD05D" w14:textId="77777777" w:rsidTr="0091342C">
              <w:tc>
                <w:tcPr>
                  <w:tcW w:w="0" w:type="auto"/>
                  <w:tcBorders>
                    <w:bottom w:val="single" w:sz="6" w:space="0" w:color="BFBFBF"/>
                  </w:tcBorders>
                  <w:shd w:val="clear" w:color="auto" w:fill="auto"/>
                </w:tcPr>
                <w:p w14:paraId="0C803FE7" w14:textId="77777777" w:rsidR="00446B91" w:rsidRDefault="00446B91" w:rsidP="0091342C">
                  <w:pPr>
                    <w:pStyle w:val="TableBodyText"/>
                    <w:jc w:val="left"/>
                  </w:pPr>
                  <w:r w:rsidRPr="003E795F">
                    <w:t>Unlisted property</w:t>
                  </w:r>
                </w:p>
              </w:tc>
              <w:tc>
                <w:tcPr>
                  <w:tcW w:w="882" w:type="dxa"/>
                  <w:tcBorders>
                    <w:bottom w:val="single" w:sz="6" w:space="0" w:color="BFBFBF"/>
                  </w:tcBorders>
                </w:tcPr>
                <w:p w14:paraId="2F204122" w14:textId="77777777" w:rsidR="00446B91" w:rsidRDefault="00446B91" w:rsidP="0091342C">
                  <w:pPr>
                    <w:pStyle w:val="TableBodyText"/>
                  </w:pPr>
                  <w:r w:rsidRPr="003E795F">
                    <w:t>50</w:t>
                  </w:r>
                </w:p>
              </w:tc>
              <w:tc>
                <w:tcPr>
                  <w:tcW w:w="981" w:type="dxa"/>
                  <w:tcBorders>
                    <w:bottom w:val="single" w:sz="6" w:space="0" w:color="BFBFBF"/>
                  </w:tcBorders>
                </w:tcPr>
                <w:p w14:paraId="036F8262" w14:textId="77777777" w:rsidR="00446B91" w:rsidRDefault="00446B91" w:rsidP="0091342C">
                  <w:pPr>
                    <w:pStyle w:val="TableBodyText"/>
                  </w:pPr>
                  <w:r w:rsidRPr="003E795F">
                    <w:t>13</w:t>
                  </w:r>
                </w:p>
              </w:tc>
              <w:tc>
                <w:tcPr>
                  <w:tcW w:w="1276" w:type="dxa"/>
                  <w:tcBorders>
                    <w:bottom w:val="single" w:sz="6" w:space="0" w:color="BFBFBF"/>
                  </w:tcBorders>
                </w:tcPr>
                <w:p w14:paraId="67E99296" w14:textId="77777777" w:rsidR="00446B91" w:rsidRDefault="00446B91" w:rsidP="0091342C">
                  <w:pPr>
                    <w:pStyle w:val="TableBodyText"/>
                  </w:pPr>
                  <w:r w:rsidRPr="003E795F">
                    <w:t>37</w:t>
                  </w:r>
                </w:p>
              </w:tc>
              <w:tc>
                <w:tcPr>
                  <w:tcW w:w="927" w:type="dxa"/>
                  <w:tcBorders>
                    <w:bottom w:val="single" w:sz="6" w:space="0" w:color="BFBFBF"/>
                  </w:tcBorders>
                  <w:shd w:val="clear" w:color="auto" w:fill="auto"/>
                </w:tcPr>
                <w:p w14:paraId="06A96C0C" w14:textId="77777777" w:rsidR="00446B91" w:rsidRDefault="00446B91" w:rsidP="0091342C">
                  <w:pPr>
                    <w:pStyle w:val="TableBodyText"/>
                  </w:pPr>
                  <w:r w:rsidRPr="003E795F">
                    <w:t>0.88</w:t>
                  </w:r>
                </w:p>
              </w:tc>
              <w:tc>
                <w:tcPr>
                  <w:tcW w:w="927" w:type="dxa"/>
                  <w:tcBorders>
                    <w:bottom w:val="single" w:sz="6" w:space="0" w:color="BFBFBF"/>
                  </w:tcBorders>
                  <w:shd w:val="clear" w:color="auto" w:fill="auto"/>
                </w:tcPr>
                <w:p w14:paraId="2CA2BCE3" w14:textId="77777777" w:rsidR="00446B91" w:rsidRDefault="00446B91" w:rsidP="0091342C">
                  <w:pPr>
                    <w:pStyle w:val="TableBodyText"/>
                  </w:pPr>
                  <w:r w:rsidRPr="002323FC">
                    <w:t>0.93</w:t>
                  </w:r>
                </w:p>
              </w:tc>
              <w:tc>
                <w:tcPr>
                  <w:tcW w:w="1341" w:type="dxa"/>
                  <w:tcBorders>
                    <w:bottom w:val="single" w:sz="6" w:space="0" w:color="BFBFBF"/>
                  </w:tcBorders>
                  <w:shd w:val="clear" w:color="auto" w:fill="auto"/>
                </w:tcPr>
                <w:p w14:paraId="7A35109A" w14:textId="77777777" w:rsidR="00446B91" w:rsidRDefault="00446B91" w:rsidP="0091342C">
                  <w:pPr>
                    <w:pStyle w:val="TableBodyText"/>
                    <w:ind w:right="28"/>
                  </w:pPr>
                  <w:r w:rsidRPr="00856308">
                    <w:t>0.88</w:t>
                  </w:r>
                </w:p>
              </w:tc>
            </w:tr>
          </w:tbl>
          <w:p w14:paraId="5FA879B1" w14:textId="77777777" w:rsidR="00446B91" w:rsidRDefault="00446B91" w:rsidP="0091342C">
            <w:pPr>
              <w:pStyle w:val="Box"/>
            </w:pPr>
          </w:p>
        </w:tc>
      </w:tr>
      <w:tr w:rsidR="00446B91" w14:paraId="1CF21283" w14:textId="77777777" w:rsidTr="0091342C">
        <w:tc>
          <w:tcPr>
            <w:tcW w:w="5000" w:type="pct"/>
            <w:tcBorders>
              <w:top w:val="nil"/>
              <w:left w:val="nil"/>
              <w:bottom w:val="nil"/>
              <w:right w:val="nil"/>
            </w:tcBorders>
            <w:shd w:val="clear" w:color="auto" w:fill="auto"/>
          </w:tcPr>
          <w:p w14:paraId="174714B5" w14:textId="77777777" w:rsidR="00446B91" w:rsidRDefault="00446B91" w:rsidP="0091342C">
            <w:pPr>
              <w:pStyle w:val="Note"/>
              <w:rPr>
                <w:i/>
              </w:rPr>
            </w:pPr>
            <w:proofErr w:type="spellStart"/>
            <w:r w:rsidRPr="008E77FE">
              <w:rPr>
                <w:rStyle w:val="NoteLabel"/>
              </w:rPr>
              <w:t>a</w:t>
            </w:r>
            <w:proofErr w:type="spellEnd"/>
            <w:r>
              <w:t xml:space="preserve"> </w:t>
            </w:r>
            <w:r w:rsidRPr="00DE507A">
              <w:t xml:space="preserve">Investment management costs for each asset class are calculated </w:t>
            </w:r>
            <w:r>
              <w:t>as</w:t>
            </w:r>
            <w:r w:rsidRPr="00DE507A">
              <w:t xml:space="preserve"> the average</w:t>
            </w:r>
            <w:r>
              <w:t xml:space="preserve"> cost (weighted by fund assets).</w:t>
            </w:r>
          </w:p>
        </w:tc>
      </w:tr>
      <w:tr w:rsidR="00446B91" w14:paraId="23C04A17" w14:textId="77777777" w:rsidTr="0091342C">
        <w:tc>
          <w:tcPr>
            <w:tcW w:w="5000" w:type="pct"/>
            <w:tcBorders>
              <w:top w:val="nil"/>
              <w:left w:val="nil"/>
              <w:bottom w:val="nil"/>
              <w:right w:val="nil"/>
            </w:tcBorders>
            <w:shd w:val="clear" w:color="auto" w:fill="auto"/>
          </w:tcPr>
          <w:p w14:paraId="0DBCEC42" w14:textId="77777777" w:rsidR="00446B91" w:rsidRDefault="00446B91" w:rsidP="0091342C">
            <w:pPr>
              <w:pStyle w:val="Source"/>
            </w:pPr>
            <w:r>
              <w:rPr>
                <w:i/>
              </w:rPr>
              <w:t>Source</w:t>
            </w:r>
            <w:r w:rsidRPr="00167F06">
              <w:t xml:space="preserve">: </w:t>
            </w:r>
            <w:r>
              <w:t>Supplementary funds survey.</w:t>
            </w:r>
          </w:p>
        </w:tc>
      </w:tr>
      <w:tr w:rsidR="00446B91" w14:paraId="149D029F" w14:textId="77777777" w:rsidTr="0091342C">
        <w:tc>
          <w:tcPr>
            <w:tcW w:w="5000" w:type="pct"/>
            <w:tcBorders>
              <w:top w:val="nil"/>
              <w:left w:val="nil"/>
              <w:bottom w:val="single" w:sz="6" w:space="0" w:color="78A22F"/>
              <w:right w:val="nil"/>
            </w:tcBorders>
            <w:shd w:val="clear" w:color="auto" w:fill="auto"/>
          </w:tcPr>
          <w:p w14:paraId="22E70AFB" w14:textId="77777777" w:rsidR="00446B91" w:rsidRDefault="00446B91" w:rsidP="0091342C">
            <w:pPr>
              <w:pStyle w:val="Box"/>
              <w:spacing w:before="0" w:line="120" w:lineRule="exact"/>
            </w:pPr>
          </w:p>
        </w:tc>
      </w:tr>
      <w:tr w:rsidR="00446B91" w:rsidRPr="000863A5" w14:paraId="7DE2F346" w14:textId="77777777" w:rsidTr="0091342C">
        <w:tc>
          <w:tcPr>
            <w:tcW w:w="5000" w:type="pct"/>
            <w:tcBorders>
              <w:top w:val="single" w:sz="6" w:space="0" w:color="78A22F"/>
              <w:left w:val="nil"/>
              <w:bottom w:val="nil"/>
              <w:right w:val="nil"/>
            </w:tcBorders>
          </w:tcPr>
          <w:p w14:paraId="667A5385" w14:textId="77777777" w:rsidR="00446B91" w:rsidRPr="00626D32" w:rsidRDefault="00446B91" w:rsidP="0091342C">
            <w:pPr>
              <w:pStyle w:val="BoxSpaceBelow"/>
            </w:pPr>
          </w:p>
        </w:tc>
      </w:tr>
    </w:tbl>
    <w:p w14:paraId="069BBC18" w14:textId="77777777" w:rsidR="00446B91" w:rsidRDefault="00446B91" w:rsidP="00446B91">
      <w:pPr>
        <w:pStyle w:val="Heading2"/>
      </w:pPr>
      <w:bookmarkStart w:id="9" w:name="_Toc532997262"/>
      <w:bookmarkStart w:id="10" w:name="_Toc534642281"/>
      <w:r>
        <w:t>5.</w:t>
      </w:r>
      <w:r>
        <w:rPr>
          <w:noProof/>
        </w:rPr>
        <w:t>2</w:t>
      </w:r>
      <w:r>
        <w:tab/>
        <w:t>Methodological issues</w:t>
      </w:r>
      <w:bookmarkEnd w:id="9"/>
      <w:bookmarkEnd w:id="10"/>
    </w:p>
    <w:p w14:paraId="1F8B9B58" w14:textId="77777777" w:rsidR="00446B91" w:rsidRDefault="00446B91" w:rsidP="00446B91">
      <w:pPr>
        <w:pStyle w:val="BodyText"/>
      </w:pPr>
      <w:r w:rsidRPr="008A0754">
        <w:t xml:space="preserve">Assessing fees and costs, and what they mean for members, is not straightforward. </w:t>
      </w:r>
      <w:r>
        <w:t xml:space="preserve">Data on fees and costs come from disparate sources, sometimes employing different conceptual frameworks such that the data are not readily comparable. There are also data quality issues. Several </w:t>
      </w:r>
      <w:r w:rsidRPr="00E635F1">
        <w:t xml:space="preserve">methodological considerations </w:t>
      </w:r>
      <w:r>
        <w:t>were encountered by the Commission and are outlined below.</w:t>
      </w:r>
    </w:p>
    <w:p w14:paraId="49D34267" w14:textId="77777777" w:rsidR="00446B91" w:rsidRDefault="00446B91" w:rsidP="00446B91">
      <w:pPr>
        <w:pStyle w:val="Heading3"/>
      </w:pPr>
      <w:r>
        <w:t>There are gaps in reported investment management costs</w:t>
      </w:r>
    </w:p>
    <w:p w14:paraId="48A7558A" w14:textId="77777777" w:rsidR="00446B91" w:rsidRDefault="00446B91" w:rsidP="00446B91">
      <w:pPr>
        <w:pStyle w:val="BodyText"/>
      </w:pPr>
      <w:r>
        <w:t xml:space="preserve">As noted in chapter 3, APRA data contain gaps in reported investment management costs, particularly indirect costs paid to related parties. For example, about 25 per cent of funds reported </w:t>
      </w:r>
      <w:r w:rsidRPr="00854CC3">
        <w:rPr>
          <w:i/>
        </w:rPr>
        <w:t>zero</w:t>
      </w:r>
      <w:r>
        <w:t xml:space="preserve"> investment management costs to APRA in both 2016 and 2017 (these funds represent about $248 billion in assets, or an average of $5 billion each). Of these funds, 80 per cent were retail funds (figure 5.1). </w:t>
      </w:r>
    </w:p>
    <w:p w14:paraId="56896D18" w14:textId="77777777" w:rsidR="00446B91" w:rsidRDefault="00446B91" w:rsidP="00446B91">
      <w:pPr>
        <w:pStyle w:val="BodyText"/>
      </w:pPr>
      <w:r>
        <w:t xml:space="preserve">Further, there is likely to be significant </w:t>
      </w:r>
      <w:r w:rsidRPr="0006044D">
        <w:t>underreporting</w:t>
      </w:r>
      <w:r>
        <w:t xml:space="preserve"> of i</w:t>
      </w:r>
      <w:r w:rsidRPr="003827C1">
        <w:t xml:space="preserve">ndirect investment costs </w:t>
      </w:r>
      <w:r>
        <w:t xml:space="preserve">(although the precise extent of it cannot be directly quantified). </w:t>
      </w:r>
      <w:r w:rsidRPr="003827C1">
        <w:t>Indirect investment costs are deducted from a</w:t>
      </w:r>
      <w:r>
        <w:t>n investment return before those returns are</w:t>
      </w:r>
      <w:r w:rsidRPr="003827C1">
        <w:t xml:space="preserve"> paid back to members, but </w:t>
      </w:r>
      <w:r>
        <w:t xml:space="preserve">because </w:t>
      </w:r>
      <w:r w:rsidRPr="003827C1">
        <w:t>these are not charged as direct investment fees to the member</w:t>
      </w:r>
      <w:r>
        <w:t>, they are not captured in APRA fee data</w:t>
      </w:r>
      <w:r w:rsidRPr="003827C1">
        <w:t>.</w:t>
      </w:r>
      <w:r>
        <w:t xml:space="preserve"> This omission materially influences estimates of fee revenue, given that costs that are netted off investment returns (and ultimately paid for by the member) are not explicitly reported as fees. This has implications for the analysis of particular indicators on costs (and </w:t>
      </w:r>
      <w:r>
        <w:lastRenderedPageBreak/>
        <w:t xml:space="preserve">their alignment with fees). It also affects the Commission’s decomposition of investment returns (chapter 2), where </w:t>
      </w:r>
      <w:proofErr w:type="spellStart"/>
      <w:r>
        <w:t>SuperRatings</w:t>
      </w:r>
      <w:proofErr w:type="spellEnd"/>
      <w:r>
        <w:t xml:space="preserve"> data have been used to provide an indicative estimate of the magnitude of unreported investment costs.</w:t>
      </w:r>
    </w:p>
    <w:p w14:paraId="712B0303" w14:textId="77777777" w:rsidR="00446B91" w:rsidRDefault="00446B91" w:rsidP="00446B9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46B91" w14:paraId="6FED7646" w14:textId="77777777" w:rsidTr="0091342C">
        <w:trPr>
          <w:tblHeader/>
        </w:trPr>
        <w:tc>
          <w:tcPr>
            <w:tcW w:w="5000" w:type="pct"/>
            <w:tcBorders>
              <w:top w:val="single" w:sz="6" w:space="0" w:color="78A22F"/>
              <w:left w:val="nil"/>
              <w:bottom w:val="nil"/>
              <w:right w:val="nil"/>
            </w:tcBorders>
            <w:shd w:val="clear" w:color="auto" w:fill="auto"/>
          </w:tcPr>
          <w:p w14:paraId="1A1F8D5E" w14:textId="77777777" w:rsidR="00446B91" w:rsidRDefault="00446B91" w:rsidP="0091342C">
            <w:pPr>
              <w:pStyle w:val="FigureTitle"/>
            </w:pPr>
            <w:r w:rsidRPr="00784A05">
              <w:rPr>
                <w:b w:val="0"/>
              </w:rPr>
              <w:t xml:space="preserve">Figure </w:t>
            </w:r>
            <w:r>
              <w:rPr>
                <w:b w:val="0"/>
              </w:rPr>
              <w:t>5.</w:t>
            </w:r>
            <w:r>
              <w:rPr>
                <w:b w:val="0"/>
                <w:noProof/>
              </w:rPr>
              <w:t>1</w:t>
            </w:r>
            <w:r>
              <w:tab/>
            </w:r>
            <w:r w:rsidRPr="00F97719">
              <w:t>Value of assets in APRA</w:t>
            </w:r>
            <w:r>
              <w:noBreakHyphen/>
            </w:r>
            <w:r w:rsidRPr="00F97719">
              <w:t>regulated funds that did not report investment costs</w:t>
            </w:r>
          </w:p>
          <w:p w14:paraId="477F0B9E" w14:textId="77777777" w:rsidR="00446B91" w:rsidRPr="00176D3F" w:rsidRDefault="00446B91" w:rsidP="0091342C">
            <w:pPr>
              <w:pStyle w:val="Subtitle"/>
            </w:pPr>
            <w:r>
              <w:t>2017</w:t>
            </w:r>
          </w:p>
        </w:tc>
      </w:tr>
      <w:tr w:rsidR="00446B91" w14:paraId="1AD4A9CC" w14:textId="77777777" w:rsidTr="0091342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446B91" w:rsidRPr="00B1465D" w14:paraId="2B5AE122" w14:textId="77777777" w:rsidTr="0091342C">
              <w:trPr>
                <w:trHeight w:val="129"/>
                <w:tblHeader/>
                <w:jc w:val="center"/>
              </w:trPr>
              <w:tc>
                <w:tcPr>
                  <w:tcW w:w="5000" w:type="pct"/>
                  <w:tcBorders>
                    <w:top w:val="nil"/>
                    <w:bottom w:val="nil"/>
                  </w:tcBorders>
                </w:tcPr>
                <w:p w14:paraId="03DF5F62" w14:textId="77777777" w:rsidR="00446B91" w:rsidRPr="00B1465D" w:rsidRDefault="00446B91" w:rsidP="0091342C">
                  <w:pPr>
                    <w:pStyle w:val="Figure"/>
                    <w:spacing w:before="60" w:after="60"/>
                    <w:rPr>
                      <w:rFonts w:ascii="Arial" w:hAnsi="Arial" w:cs="Arial"/>
                      <w:sz w:val="18"/>
                      <w:szCs w:val="18"/>
                    </w:rPr>
                  </w:pPr>
                  <w:r w:rsidRPr="002740B7">
                    <w:rPr>
                      <w:rFonts w:ascii="Arial" w:hAnsi="Arial" w:cs="Arial"/>
                      <w:noProof/>
                      <w:sz w:val="18"/>
                      <w:szCs w:val="18"/>
                    </w:rPr>
                    <w:drawing>
                      <wp:inline distT="0" distB="0" distL="0" distR="0" wp14:anchorId="08585281" wp14:editId="3F61D76F">
                        <wp:extent cx="5426075" cy="2303780"/>
                        <wp:effectExtent l="0" t="0" r="3175" b="1270"/>
                        <wp:docPr id="228" name="Picture 228" descr="This figure shows the value of assets in 2017 and the fund type of those funds that did not report investment costs to APRA in 2016 or 2017. Most of these funds were retail funds, with assets ranging down from over $50 b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6075" cy="2303780"/>
                                </a:xfrm>
                                <a:prstGeom prst="rect">
                                  <a:avLst/>
                                </a:prstGeom>
                                <a:noFill/>
                                <a:ln>
                                  <a:noFill/>
                                </a:ln>
                              </pic:spPr>
                            </pic:pic>
                          </a:graphicData>
                        </a:graphic>
                      </wp:inline>
                    </w:drawing>
                  </w:r>
                </w:p>
              </w:tc>
            </w:tr>
          </w:tbl>
          <w:p w14:paraId="587BA779" w14:textId="77777777" w:rsidR="00446B91" w:rsidRDefault="00446B91" w:rsidP="0091342C">
            <w:pPr>
              <w:pStyle w:val="Figure"/>
            </w:pPr>
          </w:p>
        </w:tc>
      </w:tr>
      <w:tr w:rsidR="00446B91" w:rsidRPr="00176D3F" w14:paraId="62733ABB" w14:textId="77777777" w:rsidTr="0091342C">
        <w:tc>
          <w:tcPr>
            <w:tcW w:w="5000" w:type="pct"/>
            <w:tcBorders>
              <w:top w:val="nil"/>
              <w:left w:val="nil"/>
              <w:bottom w:val="nil"/>
              <w:right w:val="nil"/>
            </w:tcBorders>
            <w:shd w:val="clear" w:color="auto" w:fill="auto"/>
          </w:tcPr>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2127"/>
              <w:gridCol w:w="2126"/>
              <w:gridCol w:w="2126"/>
              <w:gridCol w:w="2126"/>
            </w:tblGrid>
            <w:tr w:rsidR="00446B91" w:rsidRPr="003513DC" w14:paraId="0CB465C6" w14:textId="77777777" w:rsidTr="0091342C">
              <w:trPr>
                <w:trHeight w:val="108"/>
              </w:trPr>
              <w:tc>
                <w:tcPr>
                  <w:tcW w:w="1250" w:type="pct"/>
                  <w:tcBorders>
                    <w:top w:val="nil"/>
                    <w:left w:val="nil"/>
                    <w:bottom w:val="nil"/>
                    <w:right w:val="nil"/>
                  </w:tcBorders>
                  <w:shd w:val="clear" w:color="auto" w:fill="F2F2F2" w:themeFill="background1" w:themeFillShade="F2"/>
                </w:tcPr>
                <w:p w14:paraId="6B82AC9B" w14:textId="77777777" w:rsidR="00446B91" w:rsidRDefault="00446B91" w:rsidP="0091342C">
                  <w:pPr>
                    <w:pStyle w:val="Note"/>
                    <w:spacing w:before="0" w:line="240" w:lineRule="atLeast"/>
                    <w:rPr>
                      <w:rStyle w:val="NoteLabel"/>
                    </w:rPr>
                  </w:pPr>
                  <w:r>
                    <w:rPr>
                      <w:rStyle w:val="NoteLabel"/>
                    </w:rPr>
                    <w:t>Source</w:t>
                  </w:r>
                </w:p>
              </w:tc>
              <w:tc>
                <w:tcPr>
                  <w:tcW w:w="3750" w:type="pct"/>
                  <w:gridSpan w:val="3"/>
                  <w:tcBorders>
                    <w:top w:val="nil"/>
                    <w:left w:val="nil"/>
                    <w:bottom w:val="nil"/>
                    <w:right w:val="nil"/>
                  </w:tcBorders>
                  <w:shd w:val="clear" w:color="auto" w:fill="F2F2F2" w:themeFill="background1" w:themeFillShade="F2"/>
                </w:tcPr>
                <w:p w14:paraId="0F24AAAD" w14:textId="77777777" w:rsidR="00446B91" w:rsidRPr="003513DC" w:rsidRDefault="00446B91" w:rsidP="0091342C">
                  <w:pPr>
                    <w:pStyle w:val="Note"/>
                    <w:spacing w:before="0"/>
                    <w:rPr>
                      <w:rStyle w:val="NoteLabel"/>
                      <w:b w:val="0"/>
                    </w:rPr>
                  </w:pPr>
                  <w:r w:rsidRPr="00CD71CC">
                    <w:rPr>
                      <w:rStyle w:val="NoteLabel"/>
                    </w:rPr>
                    <w:t xml:space="preserve">PC analysis of </w:t>
                  </w:r>
                  <w:r>
                    <w:rPr>
                      <w:rStyle w:val="NoteLabel"/>
                    </w:rPr>
                    <w:t>APRA unpublished data.</w:t>
                  </w:r>
                </w:p>
              </w:tc>
            </w:tr>
            <w:tr w:rsidR="00446B91" w:rsidRPr="00CC6CB4" w14:paraId="08A368A1" w14:textId="77777777" w:rsidTr="0091342C">
              <w:trPr>
                <w:trHeight w:val="108"/>
              </w:trPr>
              <w:tc>
                <w:tcPr>
                  <w:tcW w:w="1250" w:type="pct"/>
                  <w:tcBorders>
                    <w:top w:val="nil"/>
                    <w:left w:val="nil"/>
                    <w:bottom w:val="nil"/>
                    <w:right w:val="nil"/>
                  </w:tcBorders>
                  <w:shd w:val="clear" w:color="auto" w:fill="F2F2F2" w:themeFill="background1" w:themeFillShade="F2"/>
                </w:tcPr>
                <w:p w14:paraId="7FB115DF" w14:textId="77777777" w:rsidR="00446B91" w:rsidRDefault="00446B91" w:rsidP="0091342C">
                  <w:pPr>
                    <w:pStyle w:val="Note"/>
                    <w:spacing w:before="0" w:line="240" w:lineRule="atLeast"/>
                    <w:rPr>
                      <w:rStyle w:val="NoteLabel"/>
                    </w:rPr>
                  </w:pPr>
                  <w:r>
                    <w:rPr>
                      <w:rStyle w:val="NoteLabel"/>
                    </w:rPr>
                    <w:t>Coverage</w:t>
                  </w:r>
                </w:p>
              </w:tc>
              <w:tc>
                <w:tcPr>
                  <w:tcW w:w="3750" w:type="pct"/>
                  <w:gridSpan w:val="3"/>
                  <w:tcBorders>
                    <w:top w:val="nil"/>
                    <w:left w:val="nil"/>
                    <w:bottom w:val="nil"/>
                    <w:right w:val="nil"/>
                  </w:tcBorders>
                  <w:shd w:val="clear" w:color="auto" w:fill="F2F2F2" w:themeFill="background1" w:themeFillShade="F2"/>
                </w:tcPr>
                <w:p w14:paraId="47A10E03" w14:textId="77777777" w:rsidR="00446B91" w:rsidRPr="00CC6CB4" w:rsidRDefault="00446B91" w:rsidP="0091342C">
                  <w:pPr>
                    <w:pStyle w:val="Note"/>
                    <w:spacing w:before="0"/>
                    <w:rPr>
                      <w:rStyle w:val="NoteLabel"/>
                      <w:b w:val="0"/>
                    </w:rPr>
                  </w:pPr>
                  <w:r>
                    <w:rPr>
                      <w:rStyle w:val="NoteLabel"/>
                    </w:rPr>
                    <w:t>All APRA</w:t>
                  </w:r>
                  <w:r>
                    <w:rPr>
                      <w:rStyle w:val="NoteLabel"/>
                    </w:rPr>
                    <w:noBreakHyphen/>
                    <w:t>regulated funds</w:t>
                  </w:r>
                  <w:r w:rsidRPr="00C66A3B">
                    <w:rPr>
                      <w:rStyle w:val="NoteLabel"/>
                    </w:rPr>
                    <w:t>.</w:t>
                  </w:r>
                </w:p>
              </w:tc>
            </w:tr>
            <w:tr w:rsidR="00446B91" w14:paraId="71AE79FD" w14:textId="77777777" w:rsidTr="0091342C">
              <w:trPr>
                <w:trHeight w:val="107"/>
              </w:trPr>
              <w:tc>
                <w:tcPr>
                  <w:tcW w:w="1250" w:type="pct"/>
                  <w:tcBorders>
                    <w:top w:val="nil"/>
                    <w:left w:val="nil"/>
                    <w:bottom w:val="nil"/>
                    <w:right w:val="nil"/>
                  </w:tcBorders>
                  <w:shd w:val="clear" w:color="auto" w:fill="F2F2F2" w:themeFill="background1" w:themeFillShade="F2"/>
                </w:tcPr>
                <w:p w14:paraId="7FF18C4D" w14:textId="77777777" w:rsidR="00446B91" w:rsidRDefault="00446B91" w:rsidP="0091342C">
                  <w:pPr>
                    <w:pStyle w:val="Note"/>
                    <w:spacing w:before="0" w:line="240" w:lineRule="atLeast"/>
                    <w:rPr>
                      <w:rStyle w:val="NoteLabel"/>
                    </w:rPr>
                  </w:pPr>
                  <w:r>
                    <w:rPr>
                      <w:rStyle w:val="NoteLabel"/>
                    </w:rPr>
                    <w:t>Survivor Bias</w:t>
                  </w:r>
                </w:p>
              </w:tc>
              <w:tc>
                <w:tcPr>
                  <w:tcW w:w="1250" w:type="pct"/>
                  <w:tcBorders>
                    <w:top w:val="nil"/>
                    <w:left w:val="nil"/>
                    <w:bottom w:val="nil"/>
                    <w:right w:val="nil"/>
                  </w:tcBorders>
                  <w:shd w:val="clear" w:color="auto" w:fill="F2F2F2" w:themeFill="background1" w:themeFillShade="F2"/>
                </w:tcPr>
                <w:p w14:paraId="70A05F6E" w14:textId="77777777" w:rsidR="00446B91" w:rsidRDefault="00446B91" w:rsidP="0091342C">
                  <w:pPr>
                    <w:pStyle w:val="Note"/>
                    <w:spacing w:before="0" w:line="240" w:lineRule="auto"/>
                    <w:rPr>
                      <w:rStyle w:val="NoteLabel"/>
                    </w:rPr>
                  </w:pPr>
                  <w:r>
                    <w:rPr>
                      <w:rStyle w:val="NoteLabel"/>
                    </w:rPr>
                    <w:t>No</w:t>
                  </w:r>
                </w:p>
              </w:tc>
              <w:tc>
                <w:tcPr>
                  <w:tcW w:w="1250" w:type="pct"/>
                  <w:tcBorders>
                    <w:top w:val="nil"/>
                    <w:left w:val="nil"/>
                    <w:bottom w:val="nil"/>
                    <w:right w:val="nil"/>
                  </w:tcBorders>
                  <w:shd w:val="clear" w:color="auto" w:fill="F2F2F2" w:themeFill="background1" w:themeFillShade="F2"/>
                </w:tcPr>
                <w:p w14:paraId="5379E9BC" w14:textId="77777777" w:rsidR="00446B91" w:rsidRDefault="00446B91" w:rsidP="0091342C">
                  <w:pPr>
                    <w:pStyle w:val="Note"/>
                    <w:spacing w:before="0" w:line="240" w:lineRule="atLeast"/>
                    <w:rPr>
                      <w:rStyle w:val="NoteLabel"/>
                    </w:rPr>
                  </w:pPr>
                  <w:r>
                    <w:rPr>
                      <w:rStyle w:val="NoteLabel"/>
                    </w:rPr>
                    <w:t>Selection Bias</w:t>
                  </w:r>
                </w:p>
              </w:tc>
              <w:tc>
                <w:tcPr>
                  <w:tcW w:w="1250" w:type="pct"/>
                  <w:tcBorders>
                    <w:top w:val="nil"/>
                    <w:left w:val="nil"/>
                    <w:bottom w:val="nil"/>
                    <w:right w:val="nil"/>
                  </w:tcBorders>
                  <w:shd w:val="clear" w:color="auto" w:fill="F2F2F2" w:themeFill="background1" w:themeFillShade="F2"/>
                </w:tcPr>
                <w:p w14:paraId="0708A4FF" w14:textId="77777777" w:rsidR="00446B91" w:rsidRDefault="00446B91" w:rsidP="0091342C">
                  <w:pPr>
                    <w:pStyle w:val="Note"/>
                    <w:spacing w:before="0" w:line="240" w:lineRule="auto"/>
                    <w:rPr>
                      <w:rStyle w:val="NoteLabel"/>
                    </w:rPr>
                  </w:pPr>
                  <w:r>
                    <w:rPr>
                      <w:rStyle w:val="NoteLabel"/>
                    </w:rPr>
                    <w:t>No</w:t>
                  </w:r>
                </w:p>
              </w:tc>
            </w:tr>
          </w:tbl>
          <w:p w14:paraId="4D8AD752" w14:textId="77777777" w:rsidR="00446B91" w:rsidRPr="00176D3F" w:rsidRDefault="00446B91" w:rsidP="0091342C">
            <w:pPr>
              <w:pStyle w:val="Note"/>
            </w:pPr>
          </w:p>
        </w:tc>
      </w:tr>
      <w:tr w:rsidR="00446B91" w14:paraId="305F13F9" w14:textId="77777777" w:rsidTr="0091342C">
        <w:tc>
          <w:tcPr>
            <w:tcW w:w="5000" w:type="pct"/>
            <w:tcBorders>
              <w:top w:val="nil"/>
              <w:left w:val="nil"/>
              <w:bottom w:val="single" w:sz="6" w:space="0" w:color="78A22F"/>
              <w:right w:val="nil"/>
            </w:tcBorders>
            <w:shd w:val="clear" w:color="auto" w:fill="auto"/>
          </w:tcPr>
          <w:p w14:paraId="79A0FEE2" w14:textId="77777777" w:rsidR="00446B91" w:rsidRDefault="00446B91" w:rsidP="0091342C">
            <w:pPr>
              <w:pStyle w:val="Figurespace"/>
            </w:pPr>
          </w:p>
        </w:tc>
      </w:tr>
      <w:tr w:rsidR="00446B91" w:rsidRPr="000863A5" w14:paraId="429457D3" w14:textId="77777777" w:rsidTr="0091342C">
        <w:tc>
          <w:tcPr>
            <w:tcW w:w="5000" w:type="pct"/>
            <w:tcBorders>
              <w:top w:val="single" w:sz="6" w:space="0" w:color="78A22F"/>
              <w:left w:val="nil"/>
              <w:bottom w:val="nil"/>
              <w:right w:val="nil"/>
            </w:tcBorders>
          </w:tcPr>
          <w:p w14:paraId="4A8DF247" w14:textId="77777777" w:rsidR="00446B91" w:rsidRPr="00626D32" w:rsidRDefault="00446B91" w:rsidP="0091342C">
            <w:pPr>
              <w:pStyle w:val="BoxSpaceBelow"/>
            </w:pPr>
          </w:p>
        </w:tc>
      </w:tr>
    </w:tbl>
    <w:p w14:paraId="4FF9FECF" w14:textId="77777777" w:rsidR="00446B91" w:rsidRPr="009A29FE" w:rsidRDefault="00446B91" w:rsidP="00446B91">
      <w:pPr>
        <w:pStyle w:val="Heading3"/>
      </w:pPr>
      <w:r>
        <w:t>The difference between advertised fees and fee revenue data</w:t>
      </w:r>
    </w:p>
    <w:p w14:paraId="44B13E24" w14:textId="77777777" w:rsidR="00446B91" w:rsidRDefault="00446B91" w:rsidP="00446B91">
      <w:pPr>
        <w:pStyle w:val="BodyText"/>
      </w:pPr>
      <w:r>
        <w:t>Broadly speaking, there are two ways of evaluating trends in fees: by analysing the fees advertised in product disclosure statements (and collected by research firms — sometimes referred to as ‘sticker’ fees); or by analysing fee revenue collected by funds (and reported to APRA). Conceptually, advertised fees would capture the unit price of what an individual member will pay for a particular product, or an element within a product (such as the ability to switch options), whereas fee revenue data capture what members actually pay in aggregate dollar terms</w:t>
      </w:r>
      <w:r w:rsidRPr="005E66B7">
        <w:t xml:space="preserve"> </w:t>
      </w:r>
      <w:r>
        <w:t>at the fund level.</w:t>
      </w:r>
    </w:p>
    <w:p w14:paraId="5EA9B6FB" w14:textId="77777777" w:rsidR="00446B91" w:rsidRDefault="00446B91" w:rsidP="00446B91">
      <w:pPr>
        <w:pStyle w:val="BodyText"/>
      </w:pPr>
      <w:r>
        <w:t>In practice, the fees in advertised fee data are notably higher than in fee revenue data (as a percentage of assets). This reflects that advertised investment fees include (though not fully) the indirect costs disclosed in product disclosure statements (from which the research firm data are largely sourced). These indirect fees are generally absent in the fee revenue data reported to APRA as they are not paid directly from the member to the fund. This is discussed above.</w:t>
      </w:r>
    </w:p>
    <w:p w14:paraId="2FDD9519" w14:textId="77777777" w:rsidR="00446B91" w:rsidRDefault="00446B91" w:rsidP="00446B91">
      <w:pPr>
        <w:pStyle w:val="BodyText"/>
      </w:pPr>
      <w:r>
        <w:t xml:space="preserve">While advertised fee data do not necessarily provide a complete picture of the fees an individual member might pay (as this could depend on a range of factors including whether </w:t>
      </w:r>
      <w:r>
        <w:lastRenderedPageBreak/>
        <w:t xml:space="preserve">the member accesses specialised advice services), they do provide a consistent basis on which to assess fee trends, and in any case will capture a significant majority of fees incurred by members. </w:t>
      </w:r>
    </w:p>
    <w:p w14:paraId="62ADB8B8" w14:textId="77777777" w:rsidR="00446B91" w:rsidRDefault="00446B91" w:rsidP="00446B91">
      <w:pPr>
        <w:pStyle w:val="BodyText"/>
      </w:pPr>
      <w:r>
        <w:t>In contrast, fee revenue in a given year could be impacted by differences in how members use their accounts, rather than differences in the underlying fee structures that members actually face. The Commission has used both data sources to analyse fees, but is aware of the differences between them</w:t>
      </w:r>
      <w:r w:rsidDel="00330DF1">
        <w:t xml:space="preserve">. </w:t>
      </w:r>
    </w:p>
    <w:p w14:paraId="3D94667A" w14:textId="77777777" w:rsidR="00446B91" w:rsidRDefault="00446B91" w:rsidP="00446B91">
      <w:pPr>
        <w:pStyle w:val="BodyText"/>
      </w:pPr>
      <w:r>
        <w:t>Two further differences between advertised fees and fee revenue paid by members are worth noting.</w:t>
      </w:r>
    </w:p>
    <w:p w14:paraId="012C24ED" w14:textId="77777777" w:rsidR="00446B91" w:rsidRDefault="00446B91" w:rsidP="00446B91">
      <w:pPr>
        <w:pStyle w:val="ListBullet"/>
      </w:pPr>
      <w:r>
        <w:t>Some members are given a rebate on particular fees (for example, in some employer</w:t>
      </w:r>
      <w:r>
        <w:noBreakHyphen/>
        <w:t>based plans). However, it is unlikely that fee rebates materially affect segment</w:t>
      </w:r>
      <w:r>
        <w:noBreakHyphen/>
        <w:t>level trends in fees paid by members. In 2017, total fee rebates across funds represented just 5.6 per cent of total fee revenue, or 8 per cent of total administration and investment fee revenue </w:t>
      </w:r>
      <w:r w:rsidRPr="00E65644">
        <w:rPr>
          <w:szCs w:val="24"/>
        </w:rPr>
        <w:t>(APRA </w:t>
      </w:r>
      <w:proofErr w:type="spellStart"/>
      <w:r w:rsidRPr="00E65644">
        <w:rPr>
          <w:szCs w:val="24"/>
        </w:rPr>
        <w:t>2018b</w:t>
      </w:r>
      <w:proofErr w:type="spellEnd"/>
      <w:r w:rsidRPr="00E65644">
        <w:rPr>
          <w:szCs w:val="24"/>
        </w:rPr>
        <w:t>, tables 6 and 8)</w:t>
      </w:r>
      <w:r>
        <w:t>. Fee rebates constituted a similar proportion of fee revenue in the years 2014 to 2016 (the years for which fee rebate data are available).</w:t>
      </w:r>
    </w:p>
    <w:p w14:paraId="159139F8" w14:textId="77777777" w:rsidR="00446B91" w:rsidRDefault="00446B91" w:rsidP="00446B91">
      <w:pPr>
        <w:pStyle w:val="ListBullet"/>
      </w:pPr>
      <w:r>
        <w:t>Funds technically source fee revenue from sources other than members, and these would not be picked up in advertised fees reported in product disclosure statements. Again, however, this is unlikely to materially contribute to differences between advertised fees and fee revenue. In aggregate, member fees constituted 93 per cent of total fee revenue.</w:t>
      </w:r>
    </w:p>
    <w:p w14:paraId="7F699677" w14:textId="77777777" w:rsidR="00446B91" w:rsidRDefault="00446B91" w:rsidP="00446B91">
      <w:pPr>
        <w:pStyle w:val="Heading3"/>
      </w:pPr>
      <w:r>
        <w:t>What is a ‘representative member’?</w:t>
      </w:r>
    </w:p>
    <w:p w14:paraId="10BE417E" w14:textId="77777777" w:rsidR="00446B91" w:rsidRDefault="00446B91" w:rsidP="00446B91">
      <w:pPr>
        <w:pStyle w:val="BodyText"/>
      </w:pPr>
      <w:r>
        <w:t>The fees charged to members by superannuation funds depend on a range of factors, including the extent to which fees are levied as a percentage of the member’s account balance. Therefore, the Commission has employed the concept of a ‘representative member’ with a fixed account balance in its analysis of advertised fees.</w:t>
      </w:r>
    </w:p>
    <w:p w14:paraId="6DE32A01" w14:textId="77777777" w:rsidR="00446B91" w:rsidRDefault="00446B91" w:rsidP="00446B91">
      <w:pPr>
        <w:pStyle w:val="BodyText"/>
      </w:pPr>
      <w:r>
        <w:t xml:space="preserve">The concept of a ‘representative member’ is used by APRA (in its </w:t>
      </w:r>
      <w:proofErr w:type="spellStart"/>
      <w:r>
        <w:t>MySuper</w:t>
      </w:r>
      <w:proofErr w:type="spellEnd"/>
      <w:r>
        <w:t xml:space="preserve"> reporting framework) and by a number of research firms and rating groups, with the convention being to use an account balance of $50 000. </w:t>
      </w:r>
    </w:p>
    <w:p w14:paraId="3ECF6126" w14:textId="77777777" w:rsidR="00446B91" w:rsidRDefault="00446B91" w:rsidP="00446B91">
      <w:pPr>
        <w:pStyle w:val="BodyText"/>
      </w:pPr>
      <w:r>
        <w:t>Consistent with this, the Commission has focused its analysis of fees for a representative member in the accumulation phase on representative account balances of $50 000, but has also considered fees for alternative representative balances. Likewise, in the retirement phase, in which there are higher average balances, the Commission used several representative balances ranging up to $500 000, and compared these with fees in the accumulation phase.</w:t>
      </w:r>
    </w:p>
    <w:p w14:paraId="34CEC127" w14:textId="77777777" w:rsidR="00446B91" w:rsidRDefault="00446B91" w:rsidP="00446B91">
      <w:pPr>
        <w:pStyle w:val="Heading3"/>
      </w:pPr>
      <w:r>
        <w:lastRenderedPageBreak/>
        <w:t xml:space="preserve">There are challenges when comparing APRA and </w:t>
      </w:r>
      <w:proofErr w:type="spellStart"/>
      <w:r>
        <w:t>ATO</w:t>
      </w:r>
      <w:proofErr w:type="spellEnd"/>
      <w:r>
        <w:t xml:space="preserve"> data</w:t>
      </w:r>
    </w:p>
    <w:p w14:paraId="7AD4C08B" w14:textId="77777777" w:rsidR="00446B91" w:rsidRDefault="00446B91" w:rsidP="00446B91">
      <w:pPr>
        <w:pStyle w:val="BodyText"/>
      </w:pPr>
      <w:r>
        <w:t xml:space="preserve">Data limitations and differences in methodologies affect comparisons of costs for </w:t>
      </w:r>
      <w:proofErr w:type="spellStart"/>
      <w:r>
        <w:t>SMSFs</w:t>
      </w:r>
      <w:proofErr w:type="spellEnd"/>
      <w:r>
        <w:t xml:space="preserve"> with APRA</w:t>
      </w:r>
      <w:r>
        <w:noBreakHyphen/>
        <w:t xml:space="preserve">regulated funds. While the methodology used by the </w:t>
      </w:r>
      <w:proofErr w:type="spellStart"/>
      <w:r>
        <w:t>ATO</w:t>
      </w:r>
      <w:proofErr w:type="spellEnd"/>
      <w:r>
        <w:t xml:space="preserve"> (to estimate </w:t>
      </w:r>
      <w:proofErr w:type="spellStart"/>
      <w:r>
        <w:t>SMSF</w:t>
      </w:r>
      <w:proofErr w:type="spellEnd"/>
      <w:r>
        <w:t xml:space="preserve"> expenses) is similar to that used by APRA (to estimate APRA</w:t>
      </w:r>
      <w:r>
        <w:noBreakHyphen/>
        <w:t xml:space="preserve">regulated funds’ costs), the data collected are invariably different and in some instances not suitable for direct comparison. </w:t>
      </w:r>
    </w:p>
    <w:p w14:paraId="4EEB8A5C" w14:textId="77777777" w:rsidR="00446B91" w:rsidRDefault="00446B91" w:rsidP="00446B91">
      <w:pPr>
        <w:pStyle w:val="ListBullet"/>
      </w:pPr>
      <w:proofErr w:type="spellStart"/>
      <w:r>
        <w:t>SMSF</w:t>
      </w:r>
      <w:proofErr w:type="spellEnd"/>
      <w:r>
        <w:t xml:space="preserve"> expenses are estimated using data disclosed on annual tax returns, and thus may include costs that would not be treated as operating expenses in </w:t>
      </w:r>
      <w:proofErr w:type="spellStart"/>
      <w:r>
        <w:t>APRA’s</w:t>
      </w:r>
      <w:proofErr w:type="spellEnd"/>
      <w:r>
        <w:t xml:space="preserve"> institutional fund data, such as insurance premiums and deductions related to capital gains. </w:t>
      </w:r>
    </w:p>
    <w:p w14:paraId="3D27BA9F" w14:textId="77777777" w:rsidR="00446B91" w:rsidRDefault="00446B91" w:rsidP="00446B91">
      <w:pPr>
        <w:pStyle w:val="ListBullet"/>
      </w:pPr>
      <w:proofErr w:type="spellStart"/>
      <w:r>
        <w:t>SMSFs</w:t>
      </w:r>
      <w:proofErr w:type="spellEnd"/>
      <w:r>
        <w:t xml:space="preserve"> do not report the ‘opportunity costs’ associated with the (unpaid) time and effort of trustees, whereas all labour costs would be reflected in the expenses captured for institutional funds. In this respect, </w:t>
      </w:r>
      <w:proofErr w:type="spellStart"/>
      <w:r>
        <w:t>SMSF</w:t>
      </w:r>
      <w:proofErr w:type="spellEnd"/>
      <w:r>
        <w:t xml:space="preserve"> expenses are likely to be underestimated.</w:t>
      </w:r>
    </w:p>
    <w:p w14:paraId="382F3F60" w14:textId="77777777" w:rsidR="00446B91" w:rsidRDefault="00446B91" w:rsidP="00446B91">
      <w:pPr>
        <w:pStyle w:val="ListBullet"/>
      </w:pPr>
      <w:r>
        <w:t>Establishment and wind</w:t>
      </w:r>
      <w:r>
        <w:noBreakHyphen/>
        <w:t xml:space="preserve">up costs incurred by members of </w:t>
      </w:r>
      <w:proofErr w:type="spellStart"/>
      <w:r>
        <w:t>SMSFs</w:t>
      </w:r>
      <w:proofErr w:type="spellEnd"/>
      <w:r>
        <w:t xml:space="preserve"> are not distinguished from operating costs in the </w:t>
      </w:r>
      <w:proofErr w:type="spellStart"/>
      <w:r>
        <w:t>ATO</w:t>
      </w:r>
      <w:proofErr w:type="spellEnd"/>
      <w:r>
        <w:t xml:space="preserve"> data (this is because these costs are capital in nature and thereby not deductible from assessable income for tax purposes). The impact of these costs on average expense ratios is examined below (section 5.3). Similar costs are generally not embedded in administration cost data for APRA</w:t>
      </w:r>
      <w:r>
        <w:noBreakHyphen/>
        <w:t xml:space="preserve">regulated funds. </w:t>
      </w:r>
    </w:p>
    <w:p w14:paraId="079F2902" w14:textId="77777777" w:rsidR="00446B91" w:rsidRDefault="00446B91" w:rsidP="00446B91">
      <w:pPr>
        <w:pStyle w:val="ListBullet"/>
      </w:pPr>
      <w:r>
        <w:t xml:space="preserve">The </w:t>
      </w:r>
      <w:proofErr w:type="spellStart"/>
      <w:r>
        <w:t>ATO</w:t>
      </w:r>
      <w:proofErr w:type="spellEnd"/>
      <w:r>
        <w:t xml:space="preserve"> reports the ratio of costs to assets in terms of the average value of assets over the period. In contrast, APRA reports costs relative to assets at the beginning of the period. The </w:t>
      </w:r>
      <w:proofErr w:type="spellStart"/>
      <w:r>
        <w:t>ATO’s</w:t>
      </w:r>
      <w:proofErr w:type="spellEnd"/>
      <w:r>
        <w:t xml:space="preserve"> approach tends to inflate the cost ratio for smaller </w:t>
      </w:r>
      <w:proofErr w:type="spellStart"/>
      <w:r>
        <w:t>SMSFs</w:t>
      </w:r>
      <w:proofErr w:type="spellEnd"/>
      <w:r>
        <w:t xml:space="preserve"> because it discounts </w:t>
      </w:r>
      <w:proofErr w:type="spellStart"/>
      <w:r>
        <w:t>SMSFs</w:t>
      </w:r>
      <w:proofErr w:type="spellEnd"/>
      <w:r>
        <w:t xml:space="preserve"> that move into higher bands during the period by virtue of earning high investment returns. </w:t>
      </w:r>
    </w:p>
    <w:p w14:paraId="7FF4F11D" w14:textId="77777777" w:rsidR="00446B91" w:rsidRDefault="00446B91" w:rsidP="00446B91">
      <w:pPr>
        <w:pStyle w:val="BodyText"/>
      </w:pPr>
      <w:r>
        <w:t xml:space="preserve">Taken together, the above factors suggest that any comparison of </w:t>
      </w:r>
      <w:proofErr w:type="spellStart"/>
      <w:r>
        <w:t>SMSF</w:t>
      </w:r>
      <w:proofErr w:type="spellEnd"/>
      <w:r>
        <w:t xml:space="preserve"> costs with APRA</w:t>
      </w:r>
      <w:r>
        <w:noBreakHyphen/>
        <w:t xml:space="preserve">regulated funds’ costs is complicated by the structural differences between the two. This means that, in general, costs for </w:t>
      </w:r>
      <w:proofErr w:type="spellStart"/>
      <w:r>
        <w:t>SMSFs</w:t>
      </w:r>
      <w:proofErr w:type="spellEnd"/>
      <w:r>
        <w:t xml:space="preserve"> and institutional funds cannot be compared on a completely like</w:t>
      </w:r>
      <w:r>
        <w:noBreakHyphen/>
        <w:t>for</w:t>
      </w:r>
      <w:r>
        <w:noBreakHyphen/>
        <w:t>like basis.</w:t>
      </w:r>
    </w:p>
    <w:p w14:paraId="72D2D8FF" w14:textId="77777777" w:rsidR="00446B91" w:rsidRDefault="00446B91" w:rsidP="00446B91">
      <w:pPr>
        <w:pStyle w:val="Heading2"/>
      </w:pPr>
      <w:bookmarkStart w:id="11" w:name="_Toc532997263"/>
      <w:bookmarkStart w:id="12" w:name="_Toc534642282"/>
      <w:r>
        <w:t>5.</w:t>
      </w:r>
      <w:r>
        <w:rPr>
          <w:noProof/>
        </w:rPr>
        <w:t>3</w:t>
      </w:r>
      <w:r>
        <w:tab/>
        <w:t>Supporting analysis</w:t>
      </w:r>
      <w:bookmarkEnd w:id="11"/>
      <w:bookmarkEnd w:id="12"/>
    </w:p>
    <w:p w14:paraId="1DDBAB65" w14:textId="77777777" w:rsidR="00446B91" w:rsidRPr="003750E3" w:rsidRDefault="00446B91" w:rsidP="00446B91">
      <w:pPr>
        <w:pStyle w:val="BodyText"/>
      </w:pPr>
      <w:r>
        <w:t xml:space="preserve">The Commission undertook additional analysis on investment management costs, investment management fees, administration fees and </w:t>
      </w:r>
      <w:proofErr w:type="spellStart"/>
      <w:r>
        <w:t>SMSFs</w:t>
      </w:r>
      <w:proofErr w:type="spellEnd"/>
      <w:r>
        <w:t xml:space="preserve">. </w:t>
      </w:r>
    </w:p>
    <w:p w14:paraId="0F4B05CE" w14:textId="77777777" w:rsidR="00446B91" w:rsidRDefault="00446B91" w:rsidP="00446B91">
      <w:pPr>
        <w:pStyle w:val="Heading3"/>
      </w:pPr>
      <w:r>
        <w:t>Investment management costs</w:t>
      </w:r>
    </w:p>
    <w:p w14:paraId="4C2A6795" w14:textId="77777777" w:rsidR="00446B91" w:rsidRDefault="00446B91" w:rsidP="00446B91">
      <w:pPr>
        <w:pStyle w:val="BodyText"/>
      </w:pPr>
      <w:r w:rsidRPr="00FD1AD8">
        <w:t xml:space="preserve">In the supplementary </w:t>
      </w:r>
      <w:r>
        <w:t xml:space="preserve">funds </w:t>
      </w:r>
      <w:r w:rsidRPr="00FD1AD8">
        <w:t xml:space="preserve">survey, </w:t>
      </w:r>
      <w:r>
        <w:t xml:space="preserve">the Commission asked </w:t>
      </w:r>
      <w:r w:rsidRPr="00FD1AD8">
        <w:t xml:space="preserve">funds to provide data on investment management fees and costs by asset class for each year over the period 2008 to 2017. This included investment management fees incurred with </w:t>
      </w:r>
      <w:r>
        <w:t>unrelated</w:t>
      </w:r>
      <w:r w:rsidRPr="00FD1AD8">
        <w:t xml:space="preserve"> investment managers, and costs incurred either in</w:t>
      </w:r>
      <w:r>
        <w:noBreakHyphen/>
      </w:r>
      <w:r w:rsidRPr="00FD1AD8">
        <w:t>house or with related party investment managers. It also included any indirect costs that are taken out of returns.</w:t>
      </w:r>
      <w:r>
        <w:t xml:space="preserve"> A comparison using reported </w:t>
      </w:r>
      <w:r>
        <w:lastRenderedPageBreak/>
        <w:t>data for 2017 indicates that t</w:t>
      </w:r>
      <w:r w:rsidRPr="00512754">
        <w:t xml:space="preserve">he distribution of investment costs for retail funds exhibits larger variance across all asset classes </w:t>
      </w:r>
      <w:r>
        <w:t xml:space="preserve">(with at least 25 observations) </w:t>
      </w:r>
      <w:r w:rsidRPr="00512754">
        <w:t xml:space="preserve">compared </w:t>
      </w:r>
      <w:r>
        <w:t>with</w:t>
      </w:r>
      <w:r w:rsidRPr="00512754">
        <w:t xml:space="preserve"> </w:t>
      </w:r>
      <w:r>
        <w:t>not</w:t>
      </w:r>
      <w:r>
        <w:noBreakHyphen/>
        <w:t>for</w:t>
      </w:r>
      <w:r>
        <w:noBreakHyphen/>
        <w:t>profit funds (figure 5.2</w:t>
      </w:r>
      <w:r w:rsidRPr="00512754">
        <w:t>). Other asset classes are not reported here due to small sample sizes.</w:t>
      </w:r>
    </w:p>
    <w:p w14:paraId="11D49E5E" w14:textId="77777777" w:rsidR="00446B91" w:rsidRDefault="00446B91" w:rsidP="00446B9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46B91" w14:paraId="478587B8" w14:textId="77777777" w:rsidTr="0091342C">
        <w:trPr>
          <w:tblHeader/>
        </w:trPr>
        <w:tc>
          <w:tcPr>
            <w:tcW w:w="5000" w:type="pct"/>
            <w:tcBorders>
              <w:top w:val="single" w:sz="6" w:space="0" w:color="78A22F"/>
              <w:left w:val="nil"/>
              <w:bottom w:val="nil"/>
              <w:right w:val="nil"/>
            </w:tcBorders>
            <w:shd w:val="clear" w:color="auto" w:fill="auto"/>
          </w:tcPr>
          <w:p w14:paraId="24CC2A75" w14:textId="77777777" w:rsidR="00446B91" w:rsidRPr="00176D3F" w:rsidRDefault="00446B91" w:rsidP="0091342C">
            <w:pPr>
              <w:pStyle w:val="FigureTitle"/>
            </w:pPr>
            <w:r w:rsidRPr="00784A05">
              <w:rPr>
                <w:b w:val="0"/>
              </w:rPr>
              <w:t xml:space="preserve">Figure </w:t>
            </w:r>
            <w:r>
              <w:rPr>
                <w:b w:val="0"/>
              </w:rPr>
              <w:t>5.</w:t>
            </w:r>
            <w:r>
              <w:rPr>
                <w:b w:val="0"/>
                <w:noProof/>
              </w:rPr>
              <w:t>2</w:t>
            </w:r>
            <w:r>
              <w:tab/>
              <w:t>Variation in asset class investment costs by segment, 2017</w:t>
            </w:r>
            <w:r w:rsidRPr="00047DA1">
              <w:rPr>
                <w:rStyle w:val="NoteLabel"/>
              </w:rPr>
              <w:t>a</w:t>
            </w:r>
          </w:p>
        </w:tc>
      </w:tr>
      <w:tr w:rsidR="00446B91" w14:paraId="5C8D83BC" w14:textId="77777777" w:rsidTr="0091342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446B91" w:rsidRPr="00B1465D" w14:paraId="70AD8BBB" w14:textId="77777777" w:rsidTr="0091342C">
              <w:trPr>
                <w:tblHeader/>
                <w:jc w:val="center"/>
              </w:trPr>
              <w:tc>
                <w:tcPr>
                  <w:tcW w:w="5000" w:type="pct"/>
                  <w:tcBorders>
                    <w:top w:val="nil"/>
                    <w:bottom w:val="nil"/>
                  </w:tcBorders>
                </w:tcPr>
                <w:p w14:paraId="68B4870A" w14:textId="77777777" w:rsidR="00446B91" w:rsidRPr="00B1465D" w:rsidRDefault="00446B91" w:rsidP="0091342C">
                  <w:pPr>
                    <w:pStyle w:val="Figure"/>
                    <w:spacing w:before="60" w:after="60"/>
                    <w:rPr>
                      <w:rFonts w:ascii="Arial" w:hAnsi="Arial" w:cs="Arial"/>
                      <w:sz w:val="18"/>
                      <w:szCs w:val="18"/>
                    </w:rPr>
                  </w:pPr>
                  <w:r>
                    <w:rPr>
                      <w:rFonts w:ascii="Arial" w:hAnsi="Arial" w:cs="Arial"/>
                      <w:noProof/>
                      <w:sz w:val="18"/>
                      <w:szCs w:val="18"/>
                    </w:rPr>
                    <w:drawing>
                      <wp:inline distT="0" distB="0" distL="0" distR="0" wp14:anchorId="27929C7C" wp14:editId="3E8A0EBF">
                        <wp:extent cx="5581015" cy="2791460"/>
                        <wp:effectExtent l="0" t="0" r="0" b="0"/>
                        <wp:docPr id="29" name="Picture 29" descr="The 10th percentile, median, and 90th percentile are shown for cash, listed equity, and fixed income for retail and not-for-profit funds in 2017. The difference between the 10th and 90th percentile is larger for retail funds across all asset classes, indicating a higher degree of variation in co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rrorbar_fees_NFP.em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81015" cy="2791460"/>
                                </a:xfrm>
                                <a:prstGeom prst="rect">
                                  <a:avLst/>
                                </a:prstGeom>
                              </pic:spPr>
                            </pic:pic>
                          </a:graphicData>
                        </a:graphic>
                      </wp:inline>
                    </w:drawing>
                  </w:r>
                </w:p>
              </w:tc>
            </w:tr>
          </w:tbl>
          <w:p w14:paraId="4CD683DD" w14:textId="77777777" w:rsidR="00446B91" w:rsidRDefault="00446B91" w:rsidP="0091342C">
            <w:pPr>
              <w:pStyle w:val="Figure"/>
            </w:pPr>
          </w:p>
        </w:tc>
      </w:tr>
      <w:tr w:rsidR="00446B91" w:rsidRPr="00176D3F" w14:paraId="33910823" w14:textId="77777777" w:rsidTr="0091342C">
        <w:tc>
          <w:tcPr>
            <w:tcW w:w="5000" w:type="pct"/>
            <w:tcBorders>
              <w:top w:val="nil"/>
              <w:left w:val="nil"/>
              <w:bottom w:val="nil"/>
              <w:right w:val="nil"/>
            </w:tcBorders>
            <w:shd w:val="clear" w:color="auto" w:fill="auto"/>
          </w:tcPr>
          <w:tbl>
            <w:tblPr>
              <w:tblW w:w="8505" w:type="dxa"/>
              <w:tblLook w:val="04A0" w:firstRow="1" w:lastRow="0" w:firstColumn="1" w:lastColumn="0" w:noHBand="0" w:noVBand="1"/>
            </w:tblPr>
            <w:tblGrid>
              <w:gridCol w:w="1562"/>
              <w:gridCol w:w="2313"/>
              <w:gridCol w:w="2315"/>
              <w:gridCol w:w="2315"/>
            </w:tblGrid>
            <w:tr w:rsidR="00446B91" w14:paraId="3ED26868" w14:textId="77777777" w:rsidTr="0091342C">
              <w:trPr>
                <w:tblHeader/>
              </w:trPr>
              <w:tc>
                <w:tcPr>
                  <w:tcW w:w="918" w:type="pct"/>
                  <w:shd w:val="clear" w:color="auto" w:fill="F2F2F2" w:themeFill="background1" w:themeFillShade="F2"/>
                </w:tcPr>
                <w:p w14:paraId="3C03A3F4" w14:textId="77777777" w:rsidR="00446B91" w:rsidRDefault="00446B91" w:rsidP="0091342C">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w:t>
                  </w:r>
                </w:p>
              </w:tc>
              <w:tc>
                <w:tcPr>
                  <w:tcW w:w="4082" w:type="pct"/>
                  <w:gridSpan w:val="3"/>
                  <w:shd w:val="clear" w:color="auto" w:fill="F2F2F2" w:themeFill="background1" w:themeFillShade="F2"/>
                </w:tcPr>
                <w:p w14:paraId="72B5AD9E" w14:textId="77777777" w:rsidR="00446B91" w:rsidRDefault="00446B91" w:rsidP="0091342C">
                  <w:pPr>
                    <w:pStyle w:val="Figure"/>
                    <w:spacing w:before="0" w:after="0"/>
                    <w:jc w:val="left"/>
                    <w:rPr>
                      <w:rFonts w:ascii="Arial" w:hAnsi="Arial" w:cs="Arial"/>
                      <w:sz w:val="18"/>
                      <w:szCs w:val="18"/>
                    </w:rPr>
                  </w:pPr>
                  <w:r>
                    <w:rPr>
                      <w:rFonts w:ascii="Arial" w:eastAsia="+mn-ea" w:hAnsi="Arial" w:cs="Arial"/>
                      <w:color w:val="000000" w:themeColor="text1"/>
                      <w:kern w:val="24"/>
                      <w:sz w:val="18"/>
                      <w:szCs w:val="18"/>
                    </w:rPr>
                    <w:t>Supplementary funds survey.</w:t>
                  </w:r>
                </w:p>
              </w:tc>
            </w:tr>
            <w:tr w:rsidR="00446B91" w:rsidRPr="001F53B0" w14:paraId="013DEAE6" w14:textId="77777777" w:rsidTr="0091342C">
              <w:tc>
                <w:tcPr>
                  <w:tcW w:w="918" w:type="pct"/>
                  <w:shd w:val="clear" w:color="auto" w:fill="F2F2F2" w:themeFill="background1" w:themeFillShade="F2"/>
                </w:tcPr>
                <w:p w14:paraId="28FC27BD" w14:textId="77777777" w:rsidR="00446B91" w:rsidRDefault="00446B91" w:rsidP="0091342C">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p>
              </w:tc>
              <w:tc>
                <w:tcPr>
                  <w:tcW w:w="4082" w:type="pct"/>
                  <w:gridSpan w:val="3"/>
                  <w:shd w:val="clear" w:color="auto" w:fill="F2F2F2" w:themeFill="background1" w:themeFillShade="F2"/>
                </w:tcPr>
                <w:p w14:paraId="6C8D3BD9" w14:textId="77777777" w:rsidR="00446B91" w:rsidRPr="001F53B0" w:rsidRDefault="00446B91" w:rsidP="0091342C">
                  <w:pPr>
                    <w:pStyle w:val="NormalWeb"/>
                    <w:spacing w:before="0" w:beforeAutospacing="0" w:after="0" w:afterAutospacing="0"/>
                    <w:rPr>
                      <w:color w:val="000000" w:themeColor="text1"/>
                    </w:rPr>
                  </w:pPr>
                  <w:r>
                    <w:rPr>
                      <w:rFonts w:ascii="Arial" w:eastAsia="+mn-ea" w:hAnsi="Arial" w:cs="Arial"/>
                      <w:color w:val="000000" w:themeColor="text1"/>
                      <w:kern w:val="24"/>
                      <w:sz w:val="18"/>
                      <w:szCs w:val="18"/>
                    </w:rPr>
                    <w:t>In 2017, the funds in this figure represent up to 81 per cent of total assets and 73 per cent of member accounts of APRA</w:t>
                  </w:r>
                  <w:r>
                    <w:rPr>
                      <w:rFonts w:ascii="Arial" w:eastAsia="+mn-ea" w:hAnsi="Arial" w:cs="Arial"/>
                      <w:color w:val="000000" w:themeColor="text1"/>
                      <w:kern w:val="24"/>
                      <w:sz w:val="18"/>
                      <w:szCs w:val="18"/>
                    </w:rPr>
                    <w:noBreakHyphen/>
                    <w:t>regulated funds.</w:t>
                  </w:r>
                </w:p>
              </w:tc>
            </w:tr>
            <w:tr w:rsidR="00446B91" w:rsidRPr="00A95597" w14:paraId="1805BB65" w14:textId="77777777" w:rsidTr="0091342C">
              <w:tc>
                <w:tcPr>
                  <w:tcW w:w="918" w:type="pct"/>
                  <w:shd w:val="clear" w:color="auto" w:fill="F2F2F2" w:themeFill="background1" w:themeFillShade="F2"/>
                </w:tcPr>
                <w:p w14:paraId="3F691ECB" w14:textId="77777777" w:rsidR="00446B91" w:rsidRPr="004E69F4" w:rsidRDefault="00446B91" w:rsidP="0091342C">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1360" w:type="pct"/>
                  <w:shd w:val="clear" w:color="auto" w:fill="F2F2F2" w:themeFill="background1" w:themeFillShade="F2"/>
                </w:tcPr>
                <w:p w14:paraId="3ECF3627" w14:textId="77777777" w:rsidR="00446B91" w:rsidRPr="00A95597" w:rsidRDefault="00446B91" w:rsidP="0091342C">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c>
                <w:tcPr>
                  <w:tcW w:w="1361" w:type="pct"/>
                  <w:shd w:val="clear" w:color="auto" w:fill="F2F2F2" w:themeFill="background1" w:themeFillShade="F2"/>
                </w:tcPr>
                <w:p w14:paraId="2E5D4465" w14:textId="77777777" w:rsidR="00446B91" w:rsidRPr="004E69F4" w:rsidRDefault="00446B91" w:rsidP="0091342C">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1361" w:type="pct"/>
                  <w:shd w:val="clear" w:color="auto" w:fill="F2F2F2" w:themeFill="background1" w:themeFillShade="F2"/>
                </w:tcPr>
                <w:p w14:paraId="4B15A272" w14:textId="77777777" w:rsidR="00446B91" w:rsidRPr="00A95597" w:rsidRDefault="00446B91" w:rsidP="0091342C">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r>
          </w:tbl>
          <w:p w14:paraId="2EF2CC36" w14:textId="77777777" w:rsidR="00446B91" w:rsidRDefault="00446B91" w:rsidP="0091342C">
            <w:pPr>
              <w:pStyle w:val="Note"/>
              <w:rPr>
                <w:rStyle w:val="NoteLabel"/>
              </w:rPr>
            </w:pPr>
          </w:p>
        </w:tc>
      </w:tr>
      <w:tr w:rsidR="00446B91" w:rsidRPr="00176D3F" w14:paraId="276B2080" w14:textId="77777777" w:rsidTr="0091342C">
        <w:tc>
          <w:tcPr>
            <w:tcW w:w="5000" w:type="pct"/>
            <w:tcBorders>
              <w:top w:val="nil"/>
              <w:left w:val="nil"/>
              <w:bottom w:val="nil"/>
              <w:right w:val="nil"/>
            </w:tcBorders>
            <w:shd w:val="clear" w:color="auto" w:fill="auto"/>
          </w:tcPr>
          <w:p w14:paraId="5DF1FC5B" w14:textId="77777777" w:rsidR="00446B91" w:rsidRPr="00176D3F" w:rsidRDefault="00446B91" w:rsidP="0091342C">
            <w:pPr>
              <w:pStyle w:val="Note"/>
            </w:pPr>
            <w:proofErr w:type="spellStart"/>
            <w:r>
              <w:rPr>
                <w:rStyle w:val="NoteLabel"/>
              </w:rPr>
              <w:t>a</w:t>
            </w:r>
            <w:proofErr w:type="spellEnd"/>
            <w:r>
              <w:t xml:space="preserve"> </w:t>
            </w:r>
            <w:r w:rsidRPr="00512754">
              <w:t>The figure shows investment costs reported by funds for 2017. The dot</w:t>
            </w:r>
            <w:r>
              <w:t>s represent</w:t>
            </w:r>
            <w:r w:rsidRPr="00512754">
              <w:t xml:space="preserve"> the median investment cost for each asset class by segment. The lower and upper bars are the 10th and 90</w:t>
            </w:r>
            <w:r w:rsidRPr="006A2909">
              <w:rPr>
                <w:vertAlign w:val="superscript"/>
              </w:rPr>
              <w:t>th</w:t>
            </w:r>
            <w:r>
              <w:t> </w:t>
            </w:r>
            <w:r w:rsidRPr="00512754">
              <w:t>percentile respectively, meaning 10</w:t>
            </w:r>
            <w:r>
              <w:t> </w:t>
            </w:r>
            <w:r w:rsidRPr="00512754">
              <w:t>per cent of observations are below the bottom bar and 90</w:t>
            </w:r>
            <w:r>
              <w:t> </w:t>
            </w:r>
            <w:r w:rsidRPr="00512754">
              <w:t>per cent are below the top bar. Only asset classes with at least 25</w:t>
            </w:r>
            <w:r>
              <w:t> </w:t>
            </w:r>
            <w:r w:rsidRPr="00512754">
              <w:t>observations for both retail and not</w:t>
            </w:r>
            <w:r>
              <w:noBreakHyphen/>
            </w:r>
            <w:r w:rsidRPr="00512754">
              <w:t>for</w:t>
            </w:r>
            <w:r>
              <w:noBreakHyphen/>
            </w:r>
            <w:r w:rsidRPr="00512754">
              <w:t xml:space="preserve">profit funds are reported. </w:t>
            </w:r>
          </w:p>
        </w:tc>
      </w:tr>
      <w:tr w:rsidR="00446B91" w14:paraId="20AEA305" w14:textId="77777777" w:rsidTr="0091342C">
        <w:tc>
          <w:tcPr>
            <w:tcW w:w="5000" w:type="pct"/>
            <w:tcBorders>
              <w:top w:val="nil"/>
              <w:left w:val="nil"/>
              <w:bottom w:val="single" w:sz="6" w:space="0" w:color="78A22F"/>
              <w:right w:val="nil"/>
            </w:tcBorders>
            <w:shd w:val="clear" w:color="auto" w:fill="auto"/>
          </w:tcPr>
          <w:p w14:paraId="53CAA87D" w14:textId="77777777" w:rsidR="00446B91" w:rsidRDefault="00446B91" w:rsidP="0091342C">
            <w:pPr>
              <w:pStyle w:val="Figurespace"/>
            </w:pPr>
          </w:p>
        </w:tc>
      </w:tr>
      <w:tr w:rsidR="00446B91" w:rsidRPr="000863A5" w14:paraId="26F41DB5" w14:textId="77777777" w:rsidTr="0091342C">
        <w:tc>
          <w:tcPr>
            <w:tcW w:w="5000" w:type="pct"/>
            <w:tcBorders>
              <w:top w:val="single" w:sz="6" w:space="0" w:color="78A22F"/>
              <w:left w:val="nil"/>
              <w:bottom w:val="nil"/>
              <w:right w:val="nil"/>
            </w:tcBorders>
          </w:tcPr>
          <w:p w14:paraId="66B0C7F6" w14:textId="77777777" w:rsidR="00446B91" w:rsidRPr="00626D32" w:rsidRDefault="00446B91" w:rsidP="0091342C">
            <w:pPr>
              <w:pStyle w:val="BoxSpaceBelow"/>
            </w:pPr>
          </w:p>
        </w:tc>
      </w:tr>
    </w:tbl>
    <w:p w14:paraId="7E246D76" w14:textId="77777777" w:rsidR="00446B91" w:rsidRDefault="00446B91" w:rsidP="00446B91">
      <w:pPr>
        <w:pStyle w:val="Heading3"/>
      </w:pPr>
      <w:r>
        <w:t>Investment management fees by option type</w:t>
      </w:r>
    </w:p>
    <w:p w14:paraId="5688375C" w14:textId="77777777" w:rsidR="00446B91" w:rsidRDefault="00446B91" w:rsidP="00446B91">
      <w:pPr>
        <w:pStyle w:val="BodyText"/>
      </w:pPr>
      <w:r>
        <w:t xml:space="preserve">The Commission drew on </w:t>
      </w:r>
      <w:proofErr w:type="spellStart"/>
      <w:r>
        <w:t>SuperRatings</w:t>
      </w:r>
      <w:proofErr w:type="spellEnd"/>
      <w:r>
        <w:t xml:space="preserve"> advertised fee data to examine how investment management fees for different investment option types have changed over time (figure 5.3, upper panel</w:t>
      </w:r>
      <w:r w:rsidRPr="00C10D7F">
        <w:t xml:space="preserve">). </w:t>
      </w:r>
      <w:r>
        <w:t>A</w:t>
      </w:r>
      <w:r w:rsidRPr="00C10D7F">
        <w:t xml:space="preserve"> fall in investment management fees has been broadly observed across all types of investment options. </w:t>
      </w:r>
    </w:p>
    <w:p w14:paraId="42C0A90D" w14:textId="77777777" w:rsidR="00446B91" w:rsidRDefault="00446B91" w:rsidP="00446B91">
      <w:pPr>
        <w:pStyle w:val="BodyText"/>
      </w:pPr>
      <w:r>
        <w:t xml:space="preserve">Further, </w:t>
      </w:r>
      <w:r w:rsidRPr="00C10D7F">
        <w:t>there has been a compositional shift away from high</w:t>
      </w:r>
      <w:r>
        <w:noBreakHyphen/>
      </w:r>
      <w:r w:rsidRPr="00C10D7F">
        <w:t>growth products towards balanced options</w:t>
      </w:r>
      <w:r>
        <w:t xml:space="preserve"> since 2009</w:t>
      </w:r>
      <w:r w:rsidRPr="00C10D7F">
        <w:t xml:space="preserve"> (defined as having 60 to 76</w:t>
      </w:r>
      <w:r>
        <w:t> </w:t>
      </w:r>
      <w:r w:rsidRPr="00C10D7F">
        <w:t>per cent of fund</w:t>
      </w:r>
      <w:r>
        <w:t>s in growth assets) (figure 5.3, lower panel</w:t>
      </w:r>
      <w:r w:rsidRPr="00C10D7F">
        <w:t>). Since the average fee for a balanced option is less than that of higher</w:t>
      </w:r>
      <w:r>
        <w:noBreakHyphen/>
      </w:r>
      <w:r w:rsidRPr="00C10D7F">
        <w:t xml:space="preserve">risk growth options, this shift has contributed </w:t>
      </w:r>
      <w:r>
        <w:t xml:space="preserve">to </w:t>
      </w:r>
      <w:r w:rsidRPr="00C10D7F">
        <w:t>the observed decline in the average total investment management fees.</w:t>
      </w:r>
    </w:p>
    <w:p w14:paraId="74222F63" w14:textId="77777777" w:rsidR="00446B91" w:rsidRDefault="00446B91" w:rsidP="00446B9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46B91" w14:paraId="0FBAC82F" w14:textId="77777777" w:rsidTr="0091342C">
        <w:trPr>
          <w:tblHeader/>
        </w:trPr>
        <w:tc>
          <w:tcPr>
            <w:tcW w:w="5000" w:type="pct"/>
            <w:tcBorders>
              <w:top w:val="single" w:sz="6" w:space="0" w:color="78A22F"/>
              <w:left w:val="nil"/>
              <w:bottom w:val="nil"/>
              <w:right w:val="nil"/>
            </w:tcBorders>
            <w:shd w:val="clear" w:color="auto" w:fill="auto"/>
          </w:tcPr>
          <w:p w14:paraId="5E80D6BC" w14:textId="77777777" w:rsidR="00446B91" w:rsidRPr="00176D3F" w:rsidRDefault="00446B91" w:rsidP="0091342C">
            <w:pPr>
              <w:pStyle w:val="FigureTitle"/>
            </w:pPr>
            <w:r w:rsidRPr="00784A05">
              <w:rPr>
                <w:b w:val="0"/>
              </w:rPr>
              <w:t xml:space="preserve">Figure </w:t>
            </w:r>
            <w:r>
              <w:rPr>
                <w:b w:val="0"/>
              </w:rPr>
              <w:t>5.</w:t>
            </w:r>
            <w:r>
              <w:rPr>
                <w:b w:val="0"/>
                <w:noProof/>
              </w:rPr>
              <w:t>3</w:t>
            </w:r>
            <w:r>
              <w:tab/>
            </w:r>
            <w:r w:rsidRPr="00A15DAF">
              <w:t>Investment fees have fallen across most option types</w:t>
            </w:r>
            <w:r>
              <w:t xml:space="preserve"> and assets have shifted towards balanced options</w:t>
            </w:r>
            <w:r w:rsidRPr="00A15DAF">
              <w:rPr>
                <w:rStyle w:val="NoteLabel"/>
              </w:rPr>
              <w:t>a</w:t>
            </w:r>
          </w:p>
        </w:tc>
      </w:tr>
      <w:tr w:rsidR="00446B91" w14:paraId="5707BC86" w14:textId="77777777" w:rsidTr="0091342C">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446B91" w:rsidRPr="00B1465D" w14:paraId="5A3DB973" w14:textId="77777777" w:rsidTr="0091342C">
              <w:trPr>
                <w:trHeight w:val="83"/>
                <w:tblHeader/>
                <w:jc w:val="center"/>
              </w:trPr>
              <w:tc>
                <w:tcPr>
                  <w:tcW w:w="5000" w:type="pct"/>
                  <w:tcBorders>
                    <w:top w:val="nil"/>
                    <w:bottom w:val="nil"/>
                  </w:tcBorders>
                </w:tcPr>
                <w:p w14:paraId="0B9E7D68" w14:textId="77777777" w:rsidR="00446B91" w:rsidRPr="00B1465D" w:rsidRDefault="00446B91" w:rsidP="0091342C">
                  <w:pPr>
                    <w:pStyle w:val="Figure"/>
                    <w:spacing w:before="60" w:after="60"/>
                    <w:rPr>
                      <w:rFonts w:ascii="Arial" w:hAnsi="Arial" w:cs="Arial"/>
                      <w:sz w:val="18"/>
                      <w:szCs w:val="18"/>
                    </w:rPr>
                  </w:pPr>
                  <w:r>
                    <w:rPr>
                      <w:rFonts w:ascii="Arial" w:hAnsi="Arial" w:cs="Arial"/>
                      <w:sz w:val="18"/>
                      <w:szCs w:val="18"/>
                    </w:rPr>
                    <w:t>Investment management fees as a share of assets</w:t>
                  </w:r>
                </w:p>
              </w:tc>
            </w:tr>
            <w:tr w:rsidR="00446B91" w:rsidRPr="00B1465D" w14:paraId="6085F232" w14:textId="77777777" w:rsidTr="0091342C">
              <w:trPr>
                <w:trHeight w:val="80"/>
                <w:tblHeader/>
                <w:jc w:val="center"/>
              </w:trPr>
              <w:tc>
                <w:tcPr>
                  <w:tcW w:w="5000" w:type="pct"/>
                  <w:tcBorders>
                    <w:top w:val="nil"/>
                    <w:bottom w:val="nil"/>
                  </w:tcBorders>
                </w:tcPr>
                <w:p w14:paraId="0D00533D" w14:textId="77777777" w:rsidR="00446B91" w:rsidRDefault="00446B91" w:rsidP="0091342C">
                  <w:pPr>
                    <w:pStyle w:val="Figure"/>
                    <w:spacing w:before="60" w:after="60"/>
                    <w:rPr>
                      <w:rFonts w:ascii="Arial" w:hAnsi="Arial" w:cs="Arial"/>
                      <w:sz w:val="18"/>
                      <w:szCs w:val="18"/>
                    </w:rPr>
                  </w:pPr>
                  <w:r w:rsidRPr="00543131">
                    <w:rPr>
                      <w:rFonts w:ascii="Arial" w:hAnsi="Arial" w:cs="Arial"/>
                      <w:noProof/>
                      <w:sz w:val="18"/>
                      <w:szCs w:val="18"/>
                    </w:rPr>
                    <w:drawing>
                      <wp:inline distT="0" distB="0" distL="0" distR="0" wp14:anchorId="51649D16" wp14:editId="1BEB3DD2">
                        <wp:extent cx="5393987" cy="1740657"/>
                        <wp:effectExtent l="0" t="0" r="0" b="0"/>
                        <wp:docPr id="229" name="Picture 229" descr="This figure shows trends in investment fees from 2006 to 2017 for different investment options as a proxy for different asset classes. It shows that investment fees have fallen across most asset classes over this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99733" cy="1742511"/>
                                </a:xfrm>
                                <a:prstGeom prst="rect">
                                  <a:avLst/>
                                </a:prstGeom>
                                <a:noFill/>
                                <a:ln>
                                  <a:noFill/>
                                </a:ln>
                              </pic:spPr>
                            </pic:pic>
                          </a:graphicData>
                        </a:graphic>
                      </wp:inline>
                    </w:drawing>
                  </w:r>
                </w:p>
              </w:tc>
            </w:tr>
            <w:tr w:rsidR="00446B91" w:rsidRPr="00B1465D" w14:paraId="34FC2801" w14:textId="77777777" w:rsidTr="0091342C">
              <w:trPr>
                <w:trHeight w:val="80"/>
                <w:tblHeader/>
                <w:jc w:val="center"/>
              </w:trPr>
              <w:tc>
                <w:tcPr>
                  <w:tcW w:w="5000" w:type="pct"/>
                  <w:tcBorders>
                    <w:top w:val="nil"/>
                    <w:bottom w:val="nil"/>
                  </w:tcBorders>
                </w:tcPr>
                <w:p w14:paraId="0DA95A5C" w14:textId="77777777" w:rsidR="00446B91" w:rsidRDefault="00446B91" w:rsidP="0091342C">
                  <w:pPr>
                    <w:pStyle w:val="Figure"/>
                    <w:spacing w:before="60" w:after="60"/>
                    <w:rPr>
                      <w:rFonts w:ascii="Arial" w:hAnsi="Arial" w:cs="Arial"/>
                      <w:sz w:val="18"/>
                      <w:szCs w:val="18"/>
                    </w:rPr>
                  </w:pPr>
                  <w:r w:rsidRPr="0066427D">
                    <w:rPr>
                      <w:rFonts w:ascii="Arial" w:hAnsi="Arial" w:cs="Arial"/>
                      <w:sz w:val="18"/>
                      <w:szCs w:val="18"/>
                    </w:rPr>
                    <w:t>Assets by option type as a share of total assets</w:t>
                  </w:r>
                </w:p>
              </w:tc>
            </w:tr>
            <w:tr w:rsidR="00446B91" w:rsidRPr="00B1465D" w14:paraId="78C11F84" w14:textId="77777777" w:rsidTr="0091342C">
              <w:trPr>
                <w:trHeight w:val="80"/>
                <w:tblHeader/>
                <w:jc w:val="center"/>
              </w:trPr>
              <w:tc>
                <w:tcPr>
                  <w:tcW w:w="5000" w:type="pct"/>
                  <w:tcBorders>
                    <w:top w:val="nil"/>
                    <w:bottom w:val="nil"/>
                  </w:tcBorders>
                </w:tcPr>
                <w:p w14:paraId="48978B20" w14:textId="77777777" w:rsidR="00446B91" w:rsidRDefault="00446B91" w:rsidP="0091342C">
                  <w:pPr>
                    <w:pStyle w:val="Figure"/>
                    <w:spacing w:before="60" w:after="60"/>
                    <w:rPr>
                      <w:rFonts w:ascii="Arial" w:hAnsi="Arial" w:cs="Arial"/>
                      <w:sz w:val="18"/>
                      <w:szCs w:val="18"/>
                    </w:rPr>
                  </w:pPr>
                  <w:r w:rsidRPr="00E82895">
                    <w:rPr>
                      <w:rFonts w:ascii="Arial" w:hAnsi="Arial" w:cs="Arial"/>
                      <w:noProof/>
                      <w:sz w:val="18"/>
                      <w:szCs w:val="18"/>
                    </w:rPr>
                    <w:drawing>
                      <wp:inline distT="0" distB="0" distL="0" distR="0" wp14:anchorId="2AAF5930" wp14:editId="23FD4D3F">
                        <wp:extent cx="5387196" cy="2430448"/>
                        <wp:effectExtent l="0" t="0" r="4445" b="8255"/>
                        <wp:docPr id="236" name="Picture 236" descr="This figure shows trends in the composition of total assets from 2006 to 2017 for different investment options as a proxy for different asset classes. It shows a broad compositional shift towards balanced growth options since the global financial cri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96797" cy="2434780"/>
                                </a:xfrm>
                                <a:prstGeom prst="rect">
                                  <a:avLst/>
                                </a:prstGeom>
                                <a:noFill/>
                                <a:ln>
                                  <a:noFill/>
                                </a:ln>
                              </pic:spPr>
                            </pic:pic>
                          </a:graphicData>
                        </a:graphic>
                      </wp:inline>
                    </w:drawing>
                  </w:r>
                </w:p>
              </w:tc>
            </w:tr>
          </w:tbl>
          <w:p w14:paraId="23E30371" w14:textId="77777777" w:rsidR="00446B91" w:rsidRDefault="00446B91" w:rsidP="0091342C">
            <w:pPr>
              <w:pStyle w:val="Figure"/>
            </w:pPr>
          </w:p>
        </w:tc>
      </w:tr>
      <w:tr w:rsidR="00446B91" w:rsidRPr="00176D3F" w14:paraId="439B0504" w14:textId="77777777" w:rsidTr="0091342C">
        <w:tc>
          <w:tcPr>
            <w:tcW w:w="5000" w:type="pct"/>
            <w:tcBorders>
              <w:top w:val="nil"/>
              <w:left w:val="nil"/>
              <w:bottom w:val="nil"/>
              <w:right w:val="nil"/>
            </w:tcBorders>
            <w:shd w:val="clear" w:color="auto" w:fill="auto"/>
          </w:tcPr>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2127"/>
              <w:gridCol w:w="2126"/>
              <w:gridCol w:w="2126"/>
              <w:gridCol w:w="2126"/>
            </w:tblGrid>
            <w:tr w:rsidR="00446B91" w:rsidRPr="003513DC" w14:paraId="5476DB59" w14:textId="77777777" w:rsidTr="0091342C">
              <w:trPr>
                <w:trHeight w:val="108"/>
              </w:trPr>
              <w:tc>
                <w:tcPr>
                  <w:tcW w:w="1250" w:type="pct"/>
                  <w:tcBorders>
                    <w:top w:val="nil"/>
                    <w:left w:val="nil"/>
                    <w:bottom w:val="nil"/>
                    <w:right w:val="nil"/>
                  </w:tcBorders>
                  <w:shd w:val="clear" w:color="auto" w:fill="F2F2F2" w:themeFill="background1" w:themeFillShade="F2"/>
                </w:tcPr>
                <w:p w14:paraId="5ED83C8A" w14:textId="77777777" w:rsidR="00446B91" w:rsidRDefault="00446B91" w:rsidP="0091342C">
                  <w:pPr>
                    <w:pStyle w:val="Note"/>
                    <w:spacing w:before="0" w:line="240" w:lineRule="atLeast"/>
                    <w:rPr>
                      <w:rStyle w:val="NoteLabel"/>
                    </w:rPr>
                  </w:pPr>
                  <w:r>
                    <w:rPr>
                      <w:rStyle w:val="NoteLabel"/>
                    </w:rPr>
                    <w:t>Source</w:t>
                  </w:r>
                </w:p>
              </w:tc>
              <w:tc>
                <w:tcPr>
                  <w:tcW w:w="3750" w:type="pct"/>
                  <w:gridSpan w:val="3"/>
                  <w:tcBorders>
                    <w:top w:val="nil"/>
                    <w:left w:val="nil"/>
                    <w:bottom w:val="nil"/>
                    <w:right w:val="nil"/>
                  </w:tcBorders>
                  <w:shd w:val="clear" w:color="auto" w:fill="F2F2F2" w:themeFill="background1" w:themeFillShade="F2"/>
                </w:tcPr>
                <w:p w14:paraId="28976E80" w14:textId="77777777" w:rsidR="00446B91" w:rsidRPr="003513DC" w:rsidRDefault="00446B91" w:rsidP="0091342C">
                  <w:pPr>
                    <w:pStyle w:val="Note"/>
                    <w:spacing w:before="0" w:line="240" w:lineRule="atLeast"/>
                    <w:rPr>
                      <w:rStyle w:val="NoteLabel"/>
                      <w:b w:val="0"/>
                    </w:rPr>
                  </w:pPr>
                  <w:r w:rsidRPr="00CD71CC">
                    <w:rPr>
                      <w:rStyle w:val="NoteLabel"/>
                    </w:rPr>
                    <w:t xml:space="preserve">PC analysis of </w:t>
                  </w:r>
                  <w:proofErr w:type="spellStart"/>
                  <w:r w:rsidRPr="00CD71CC">
                    <w:rPr>
                      <w:rStyle w:val="NoteLabel"/>
                    </w:rPr>
                    <w:t>SuperRatings</w:t>
                  </w:r>
                  <w:proofErr w:type="spellEnd"/>
                  <w:r w:rsidRPr="00CD71CC">
                    <w:rPr>
                      <w:rStyle w:val="NoteLabel"/>
                    </w:rPr>
                    <w:t xml:space="preserve"> </w:t>
                  </w:r>
                  <w:r>
                    <w:rPr>
                      <w:rStyle w:val="NoteLabel"/>
                    </w:rPr>
                    <w:t xml:space="preserve">options </w:t>
                  </w:r>
                  <w:r w:rsidRPr="00CD71CC">
                    <w:rPr>
                      <w:rStyle w:val="NoteLabel"/>
                    </w:rPr>
                    <w:t>data.</w:t>
                  </w:r>
                </w:p>
              </w:tc>
            </w:tr>
            <w:tr w:rsidR="00446B91" w:rsidRPr="00CC6CB4" w14:paraId="24B2DCC2" w14:textId="77777777" w:rsidTr="0091342C">
              <w:trPr>
                <w:trHeight w:val="108"/>
              </w:trPr>
              <w:tc>
                <w:tcPr>
                  <w:tcW w:w="1250" w:type="pct"/>
                  <w:tcBorders>
                    <w:top w:val="nil"/>
                    <w:left w:val="nil"/>
                    <w:bottom w:val="nil"/>
                    <w:right w:val="nil"/>
                  </w:tcBorders>
                  <w:shd w:val="clear" w:color="auto" w:fill="F2F2F2" w:themeFill="background1" w:themeFillShade="F2"/>
                </w:tcPr>
                <w:p w14:paraId="6EC9BDAC" w14:textId="77777777" w:rsidR="00446B91" w:rsidRDefault="00446B91" w:rsidP="0091342C">
                  <w:pPr>
                    <w:pStyle w:val="Note"/>
                    <w:spacing w:before="0" w:line="240" w:lineRule="atLeast"/>
                    <w:rPr>
                      <w:rStyle w:val="NoteLabel"/>
                    </w:rPr>
                  </w:pPr>
                  <w:r>
                    <w:rPr>
                      <w:rStyle w:val="NoteLabel"/>
                    </w:rPr>
                    <w:t>Coverage</w:t>
                  </w:r>
                </w:p>
              </w:tc>
              <w:tc>
                <w:tcPr>
                  <w:tcW w:w="3750" w:type="pct"/>
                  <w:gridSpan w:val="3"/>
                  <w:tcBorders>
                    <w:top w:val="nil"/>
                    <w:left w:val="nil"/>
                    <w:bottom w:val="nil"/>
                    <w:right w:val="nil"/>
                  </w:tcBorders>
                  <w:shd w:val="clear" w:color="auto" w:fill="F2F2F2" w:themeFill="background1" w:themeFillShade="F2"/>
                </w:tcPr>
                <w:p w14:paraId="4C7E4F3E" w14:textId="77777777" w:rsidR="00446B91" w:rsidRPr="00CC6CB4" w:rsidRDefault="00446B91" w:rsidP="0091342C">
                  <w:pPr>
                    <w:pStyle w:val="Note"/>
                    <w:spacing w:before="0" w:line="240" w:lineRule="atLeast"/>
                    <w:rPr>
                      <w:rStyle w:val="NoteLabel"/>
                      <w:b w:val="0"/>
                    </w:rPr>
                  </w:pPr>
                  <w:r w:rsidRPr="00853021">
                    <w:rPr>
                      <w:rStyle w:val="NoteLabel"/>
                    </w:rPr>
                    <w:t xml:space="preserve">The </w:t>
                  </w:r>
                  <w:proofErr w:type="spellStart"/>
                  <w:r w:rsidRPr="00853021">
                    <w:rPr>
                      <w:rStyle w:val="NoteLabel"/>
                    </w:rPr>
                    <w:t>SuperRatings</w:t>
                  </w:r>
                  <w:proofErr w:type="spellEnd"/>
                  <w:r w:rsidRPr="00853021">
                    <w:rPr>
                      <w:rStyle w:val="NoteLabel"/>
                    </w:rPr>
                    <w:t xml:space="preserve"> sample is APRA</w:t>
                  </w:r>
                  <w:r>
                    <w:rPr>
                      <w:rStyle w:val="NoteLabel"/>
                    </w:rPr>
                    <w:noBreakHyphen/>
                  </w:r>
                  <w:r w:rsidRPr="00853021">
                    <w:rPr>
                      <w:rStyle w:val="NoteLabel"/>
                    </w:rPr>
                    <w:t xml:space="preserve">regulated funds </w:t>
                  </w:r>
                  <w:r>
                    <w:rPr>
                      <w:rStyle w:val="NoteLabel"/>
                    </w:rPr>
                    <w:t>which,</w:t>
                  </w:r>
                  <w:r w:rsidRPr="00853021">
                    <w:rPr>
                      <w:rStyle w:val="NoteLabel"/>
                    </w:rPr>
                    <w:t xml:space="preserve"> in 2017, comprised 7605 options.</w:t>
                  </w:r>
                  <w:r w:rsidRPr="003513DC">
                    <w:rPr>
                      <w:rStyle w:val="NoteLabel"/>
                    </w:rPr>
                    <w:t xml:space="preserve"> </w:t>
                  </w:r>
                </w:p>
              </w:tc>
            </w:tr>
            <w:tr w:rsidR="00446B91" w14:paraId="7654DD41" w14:textId="77777777" w:rsidTr="0091342C">
              <w:trPr>
                <w:trHeight w:val="107"/>
              </w:trPr>
              <w:tc>
                <w:tcPr>
                  <w:tcW w:w="1250" w:type="pct"/>
                  <w:tcBorders>
                    <w:top w:val="nil"/>
                    <w:left w:val="nil"/>
                    <w:bottom w:val="nil"/>
                    <w:right w:val="nil"/>
                  </w:tcBorders>
                  <w:shd w:val="clear" w:color="auto" w:fill="F2F2F2" w:themeFill="background1" w:themeFillShade="F2"/>
                </w:tcPr>
                <w:p w14:paraId="7CCBD324" w14:textId="77777777" w:rsidR="00446B91" w:rsidRDefault="00446B91" w:rsidP="0091342C">
                  <w:pPr>
                    <w:pStyle w:val="Note"/>
                    <w:spacing w:before="0" w:line="240" w:lineRule="atLeast"/>
                    <w:rPr>
                      <w:rStyle w:val="NoteLabel"/>
                    </w:rPr>
                  </w:pPr>
                  <w:r>
                    <w:rPr>
                      <w:rStyle w:val="NoteLabel"/>
                    </w:rPr>
                    <w:t>Survivor Bias</w:t>
                  </w:r>
                </w:p>
              </w:tc>
              <w:tc>
                <w:tcPr>
                  <w:tcW w:w="1250" w:type="pct"/>
                  <w:tcBorders>
                    <w:top w:val="nil"/>
                    <w:left w:val="nil"/>
                    <w:bottom w:val="nil"/>
                    <w:right w:val="nil"/>
                  </w:tcBorders>
                  <w:shd w:val="clear" w:color="auto" w:fill="F2F2F2" w:themeFill="background1" w:themeFillShade="F2"/>
                </w:tcPr>
                <w:p w14:paraId="32701606" w14:textId="77777777" w:rsidR="00446B91" w:rsidRDefault="00446B91" w:rsidP="0091342C">
                  <w:pPr>
                    <w:pStyle w:val="Note"/>
                    <w:spacing w:before="0" w:line="240" w:lineRule="atLeast"/>
                    <w:rPr>
                      <w:rStyle w:val="NoteLabel"/>
                    </w:rPr>
                  </w:pPr>
                  <w:r w:rsidRPr="00A05F52">
                    <w:rPr>
                      <w:rStyle w:val="NoteLabel"/>
                    </w:rPr>
                    <w:t>Yes</w:t>
                  </w:r>
                </w:p>
              </w:tc>
              <w:tc>
                <w:tcPr>
                  <w:tcW w:w="1250" w:type="pct"/>
                  <w:tcBorders>
                    <w:top w:val="nil"/>
                    <w:left w:val="nil"/>
                    <w:bottom w:val="nil"/>
                    <w:right w:val="nil"/>
                  </w:tcBorders>
                  <w:shd w:val="clear" w:color="auto" w:fill="F2F2F2" w:themeFill="background1" w:themeFillShade="F2"/>
                </w:tcPr>
                <w:p w14:paraId="1109A718" w14:textId="77777777" w:rsidR="00446B91" w:rsidRDefault="00446B91" w:rsidP="0091342C">
                  <w:pPr>
                    <w:pStyle w:val="Note"/>
                    <w:spacing w:before="0" w:line="240" w:lineRule="atLeast"/>
                    <w:rPr>
                      <w:rStyle w:val="NoteLabel"/>
                    </w:rPr>
                  </w:pPr>
                  <w:r>
                    <w:rPr>
                      <w:rStyle w:val="NoteLabel"/>
                    </w:rPr>
                    <w:t>Selection Bias</w:t>
                  </w:r>
                </w:p>
              </w:tc>
              <w:tc>
                <w:tcPr>
                  <w:tcW w:w="1250" w:type="pct"/>
                  <w:tcBorders>
                    <w:top w:val="nil"/>
                    <w:left w:val="nil"/>
                    <w:bottom w:val="nil"/>
                    <w:right w:val="nil"/>
                  </w:tcBorders>
                  <w:shd w:val="clear" w:color="auto" w:fill="F2F2F2" w:themeFill="background1" w:themeFillShade="F2"/>
                </w:tcPr>
                <w:p w14:paraId="3A5BFF10" w14:textId="77777777" w:rsidR="00446B91" w:rsidRDefault="00446B91" w:rsidP="0091342C">
                  <w:pPr>
                    <w:pStyle w:val="Note"/>
                    <w:spacing w:before="0" w:line="240" w:lineRule="atLeast"/>
                    <w:rPr>
                      <w:rStyle w:val="NoteLabel"/>
                    </w:rPr>
                  </w:pPr>
                  <w:r w:rsidRPr="00A05F52">
                    <w:rPr>
                      <w:rStyle w:val="NoteLabel"/>
                    </w:rPr>
                    <w:t>Yes</w:t>
                  </w:r>
                </w:p>
              </w:tc>
            </w:tr>
          </w:tbl>
          <w:p w14:paraId="30B8FBA7" w14:textId="77777777" w:rsidR="00446B91" w:rsidRDefault="00446B91" w:rsidP="0091342C">
            <w:pPr>
              <w:pStyle w:val="Note"/>
              <w:rPr>
                <w:rStyle w:val="NoteLabel"/>
              </w:rPr>
            </w:pPr>
          </w:p>
        </w:tc>
      </w:tr>
      <w:tr w:rsidR="00446B91" w:rsidRPr="00176D3F" w14:paraId="3282CB41" w14:textId="77777777" w:rsidTr="0091342C">
        <w:tc>
          <w:tcPr>
            <w:tcW w:w="5000" w:type="pct"/>
            <w:tcBorders>
              <w:top w:val="nil"/>
              <w:left w:val="nil"/>
              <w:bottom w:val="nil"/>
              <w:right w:val="nil"/>
            </w:tcBorders>
            <w:shd w:val="clear" w:color="auto" w:fill="auto"/>
          </w:tcPr>
          <w:p w14:paraId="2D1C5201" w14:textId="77777777" w:rsidR="00446B91" w:rsidRPr="00176D3F" w:rsidRDefault="00446B91" w:rsidP="0091342C">
            <w:pPr>
              <w:pStyle w:val="Note"/>
            </w:pPr>
            <w:r>
              <w:rPr>
                <w:rStyle w:val="NoteLabel"/>
              </w:rPr>
              <w:t>a</w:t>
            </w:r>
            <w:r>
              <w:t xml:space="preserve"> Numbers in parenthesis in the legend are the proportion of growth assets in each option type.</w:t>
            </w:r>
          </w:p>
        </w:tc>
      </w:tr>
      <w:tr w:rsidR="00446B91" w14:paraId="76737E2B" w14:textId="77777777" w:rsidTr="0091342C">
        <w:tc>
          <w:tcPr>
            <w:tcW w:w="5000" w:type="pct"/>
            <w:tcBorders>
              <w:top w:val="nil"/>
              <w:left w:val="nil"/>
              <w:bottom w:val="single" w:sz="6" w:space="0" w:color="78A22F"/>
              <w:right w:val="nil"/>
            </w:tcBorders>
            <w:shd w:val="clear" w:color="auto" w:fill="auto"/>
          </w:tcPr>
          <w:p w14:paraId="5EBC3CC0" w14:textId="77777777" w:rsidR="00446B91" w:rsidRDefault="00446B91" w:rsidP="0091342C">
            <w:pPr>
              <w:pStyle w:val="Figurespace"/>
            </w:pPr>
          </w:p>
        </w:tc>
      </w:tr>
      <w:tr w:rsidR="00446B91" w:rsidRPr="000863A5" w14:paraId="19C21678" w14:textId="77777777" w:rsidTr="0091342C">
        <w:tc>
          <w:tcPr>
            <w:tcW w:w="5000" w:type="pct"/>
            <w:tcBorders>
              <w:top w:val="single" w:sz="6" w:space="0" w:color="78A22F"/>
              <w:left w:val="nil"/>
              <w:bottom w:val="nil"/>
              <w:right w:val="nil"/>
            </w:tcBorders>
          </w:tcPr>
          <w:p w14:paraId="47BC3174" w14:textId="77777777" w:rsidR="00446B91" w:rsidRPr="00626D32" w:rsidRDefault="00446B91" w:rsidP="0091342C">
            <w:pPr>
              <w:pStyle w:val="BoxSpaceBelow"/>
            </w:pPr>
          </w:p>
        </w:tc>
      </w:tr>
    </w:tbl>
    <w:p w14:paraId="45E4BF94" w14:textId="77777777" w:rsidR="00446B91" w:rsidRDefault="00446B91" w:rsidP="00446B91">
      <w:pPr>
        <w:pStyle w:val="Heading3"/>
      </w:pPr>
      <w:r>
        <w:t>How are administration fees levied?</w:t>
      </w:r>
    </w:p>
    <w:p w14:paraId="73965D44" w14:textId="77777777" w:rsidR="00446B91" w:rsidRDefault="00446B91" w:rsidP="00446B91">
      <w:pPr>
        <w:pStyle w:val="BodyText"/>
      </w:pPr>
      <w:r>
        <w:t xml:space="preserve">The Commission used </w:t>
      </w:r>
      <w:proofErr w:type="spellStart"/>
      <w:r>
        <w:t>SuperRatings</w:t>
      </w:r>
      <w:proofErr w:type="spellEnd"/>
      <w:r>
        <w:t xml:space="preserve"> advertised fee data to examine how funds levy administration fees. Funds levy administration fees as a fixed</w:t>
      </w:r>
      <w:r>
        <w:noBreakHyphen/>
        <w:t>dollar fee per member or as a percentage of a member’s balance (table 5.4). Percentage</w:t>
      </w:r>
      <w:r>
        <w:noBreakHyphen/>
        <w:t xml:space="preserve">based administration fees are more common in retail products. Just under 70 per cent of all products include both types of administration fees. </w:t>
      </w:r>
    </w:p>
    <w:p w14:paraId="6A84E500" w14:textId="77777777" w:rsidR="00446B91" w:rsidRDefault="00446B91" w:rsidP="00446B9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46B91" w14:paraId="100FF490" w14:textId="77777777" w:rsidTr="0091342C">
        <w:trPr>
          <w:tblHeader/>
        </w:trPr>
        <w:tc>
          <w:tcPr>
            <w:tcW w:w="5000" w:type="pct"/>
            <w:tcBorders>
              <w:top w:val="single" w:sz="6" w:space="0" w:color="78A22F"/>
              <w:left w:val="nil"/>
              <w:bottom w:val="nil"/>
              <w:right w:val="nil"/>
            </w:tcBorders>
            <w:shd w:val="clear" w:color="auto" w:fill="auto"/>
          </w:tcPr>
          <w:p w14:paraId="07520F0A" w14:textId="77777777" w:rsidR="00446B91" w:rsidRDefault="00446B91" w:rsidP="0091342C">
            <w:pPr>
              <w:pStyle w:val="TableTitle"/>
            </w:pPr>
            <w:r>
              <w:rPr>
                <w:b w:val="0"/>
              </w:rPr>
              <w:t>Table 5.</w:t>
            </w:r>
            <w:r>
              <w:rPr>
                <w:b w:val="0"/>
                <w:noProof/>
              </w:rPr>
              <w:t>4</w:t>
            </w:r>
            <w:r>
              <w:tab/>
            </w:r>
            <w:r w:rsidRPr="00000A45">
              <w:t>How are administration fees charged to members?</w:t>
            </w:r>
            <w:proofErr w:type="spellStart"/>
            <w:r w:rsidRPr="00000A45">
              <w:rPr>
                <w:rStyle w:val="NoteLabel"/>
              </w:rPr>
              <w:t>a</w:t>
            </w:r>
            <w:r>
              <w:rPr>
                <w:rStyle w:val="NoteLabel"/>
              </w:rPr>
              <w:t>,b</w:t>
            </w:r>
            <w:proofErr w:type="spellEnd"/>
          </w:p>
          <w:p w14:paraId="7217A488" w14:textId="77777777" w:rsidR="00446B91" w:rsidRPr="00784A05" w:rsidRDefault="00446B91" w:rsidP="0091342C">
            <w:pPr>
              <w:pStyle w:val="Subtitle"/>
            </w:pPr>
            <w:r w:rsidRPr="00000A45">
              <w:t>Type of fee as a proportion of products, June 2017</w:t>
            </w:r>
          </w:p>
        </w:tc>
      </w:tr>
      <w:tr w:rsidR="00446B91" w14:paraId="5B5F0992"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985"/>
              <w:gridCol w:w="2269"/>
              <w:gridCol w:w="2126"/>
              <w:gridCol w:w="2125"/>
            </w:tblGrid>
            <w:tr w:rsidR="00446B91" w14:paraId="1194F4FB" w14:textId="77777777" w:rsidTr="0091342C">
              <w:trPr>
                <w:tblHeader/>
              </w:trPr>
              <w:tc>
                <w:tcPr>
                  <w:tcW w:w="1167" w:type="pct"/>
                  <w:tcBorders>
                    <w:top w:val="single" w:sz="6" w:space="0" w:color="BFBFBF"/>
                    <w:bottom w:val="single" w:sz="6" w:space="0" w:color="BFBFBF"/>
                  </w:tcBorders>
                  <w:shd w:val="clear" w:color="auto" w:fill="auto"/>
                  <w:tcMar>
                    <w:top w:w="28" w:type="dxa"/>
                  </w:tcMar>
                </w:tcPr>
                <w:p w14:paraId="4F25F53B" w14:textId="77777777" w:rsidR="00446B91" w:rsidRDefault="00446B91" w:rsidP="0091342C">
                  <w:pPr>
                    <w:pStyle w:val="TableColumnHeading"/>
                    <w:jc w:val="left"/>
                  </w:pPr>
                </w:p>
              </w:tc>
              <w:tc>
                <w:tcPr>
                  <w:tcW w:w="1334" w:type="pct"/>
                  <w:tcBorders>
                    <w:top w:val="single" w:sz="6" w:space="0" w:color="BFBFBF"/>
                    <w:bottom w:val="single" w:sz="6" w:space="0" w:color="BFBFBF"/>
                  </w:tcBorders>
                </w:tcPr>
                <w:p w14:paraId="7E3DA5C2" w14:textId="77777777" w:rsidR="00446B91" w:rsidRDefault="00446B91" w:rsidP="0091342C">
                  <w:pPr>
                    <w:pStyle w:val="TableColumnHeading"/>
                  </w:pPr>
                  <w:r w:rsidRPr="00000A45">
                    <w:t>Percentage</w:t>
                  </w:r>
                  <w:r>
                    <w:noBreakHyphen/>
                  </w:r>
                  <w:r w:rsidRPr="00000A45">
                    <w:t>based fee only</w:t>
                  </w:r>
                </w:p>
              </w:tc>
              <w:tc>
                <w:tcPr>
                  <w:tcW w:w="1250" w:type="pct"/>
                  <w:tcBorders>
                    <w:top w:val="single" w:sz="6" w:space="0" w:color="BFBFBF"/>
                    <w:bottom w:val="single" w:sz="6" w:space="0" w:color="BFBFBF"/>
                  </w:tcBorders>
                  <w:shd w:val="clear" w:color="auto" w:fill="auto"/>
                  <w:tcMar>
                    <w:top w:w="28" w:type="dxa"/>
                  </w:tcMar>
                </w:tcPr>
                <w:p w14:paraId="1E0CEEB4" w14:textId="77777777" w:rsidR="00446B91" w:rsidRDefault="00446B91" w:rsidP="0091342C">
                  <w:pPr>
                    <w:pStyle w:val="TableColumnHeading"/>
                  </w:pPr>
                  <w:r w:rsidRPr="00000A45">
                    <w:t>Fixed</w:t>
                  </w:r>
                  <w:r>
                    <w:noBreakHyphen/>
                  </w:r>
                  <w:r w:rsidRPr="00000A45">
                    <w:t>dollar fee only</w:t>
                  </w:r>
                </w:p>
              </w:tc>
              <w:tc>
                <w:tcPr>
                  <w:tcW w:w="1249" w:type="pct"/>
                  <w:tcBorders>
                    <w:top w:val="single" w:sz="6" w:space="0" w:color="BFBFBF"/>
                    <w:bottom w:val="single" w:sz="6" w:space="0" w:color="BFBFBF"/>
                  </w:tcBorders>
                  <w:shd w:val="clear" w:color="auto" w:fill="auto"/>
                  <w:tcMar>
                    <w:top w:w="28" w:type="dxa"/>
                  </w:tcMar>
                </w:tcPr>
                <w:p w14:paraId="712E202B" w14:textId="77777777" w:rsidR="00446B91" w:rsidRDefault="00446B91" w:rsidP="0091342C">
                  <w:pPr>
                    <w:pStyle w:val="TableColumnHeading"/>
                    <w:ind w:right="28"/>
                  </w:pPr>
                  <w:r w:rsidRPr="00000A45">
                    <w:t>Both fee types</w:t>
                  </w:r>
                </w:p>
              </w:tc>
            </w:tr>
            <w:tr w:rsidR="00446B91" w14:paraId="7955791A" w14:textId="77777777" w:rsidTr="0091342C">
              <w:tc>
                <w:tcPr>
                  <w:tcW w:w="1167" w:type="pct"/>
                  <w:tcBorders>
                    <w:top w:val="single" w:sz="6" w:space="0" w:color="BFBFBF"/>
                  </w:tcBorders>
                </w:tcPr>
                <w:p w14:paraId="1A86EF44" w14:textId="77777777" w:rsidR="00446B91" w:rsidRDefault="00446B91" w:rsidP="0091342C">
                  <w:pPr>
                    <w:pStyle w:val="TableUnitsRow"/>
                    <w:jc w:val="left"/>
                  </w:pPr>
                </w:p>
              </w:tc>
              <w:tc>
                <w:tcPr>
                  <w:tcW w:w="1334" w:type="pct"/>
                  <w:tcBorders>
                    <w:top w:val="single" w:sz="6" w:space="0" w:color="BFBFBF"/>
                  </w:tcBorders>
                </w:tcPr>
                <w:p w14:paraId="4595D261" w14:textId="77777777" w:rsidR="00446B91" w:rsidRDefault="00446B91" w:rsidP="0091342C">
                  <w:pPr>
                    <w:pStyle w:val="TableUnitsRow"/>
                  </w:pPr>
                  <w:r>
                    <w:t>%</w:t>
                  </w:r>
                </w:p>
              </w:tc>
              <w:tc>
                <w:tcPr>
                  <w:tcW w:w="1250" w:type="pct"/>
                  <w:tcBorders>
                    <w:top w:val="single" w:sz="6" w:space="0" w:color="BFBFBF"/>
                  </w:tcBorders>
                </w:tcPr>
                <w:p w14:paraId="1FB4A271" w14:textId="77777777" w:rsidR="00446B91" w:rsidRDefault="00446B91" w:rsidP="0091342C">
                  <w:pPr>
                    <w:pStyle w:val="TableUnitsRow"/>
                  </w:pPr>
                  <w:r>
                    <w:t>%</w:t>
                  </w:r>
                </w:p>
              </w:tc>
              <w:tc>
                <w:tcPr>
                  <w:tcW w:w="1249" w:type="pct"/>
                  <w:tcBorders>
                    <w:top w:val="single" w:sz="6" w:space="0" w:color="BFBFBF"/>
                  </w:tcBorders>
                </w:tcPr>
                <w:p w14:paraId="6FC87C4D" w14:textId="77777777" w:rsidR="00446B91" w:rsidRDefault="00446B91" w:rsidP="0091342C">
                  <w:pPr>
                    <w:pStyle w:val="TableUnitsRow"/>
                    <w:ind w:right="28"/>
                  </w:pPr>
                  <w:r>
                    <w:t>%</w:t>
                  </w:r>
                </w:p>
              </w:tc>
            </w:tr>
            <w:tr w:rsidR="00446B91" w14:paraId="5A66C889" w14:textId="77777777" w:rsidTr="0091342C">
              <w:tc>
                <w:tcPr>
                  <w:tcW w:w="1167" w:type="pct"/>
                </w:tcPr>
                <w:p w14:paraId="5F13C045" w14:textId="77777777" w:rsidR="00446B91" w:rsidRDefault="00446B91" w:rsidP="0091342C">
                  <w:pPr>
                    <w:pStyle w:val="TableBodyText"/>
                    <w:jc w:val="left"/>
                  </w:pPr>
                  <w:r>
                    <w:t>Retail</w:t>
                  </w:r>
                </w:p>
              </w:tc>
              <w:tc>
                <w:tcPr>
                  <w:tcW w:w="1334" w:type="pct"/>
                </w:tcPr>
                <w:p w14:paraId="13C41194" w14:textId="77777777" w:rsidR="00446B91" w:rsidRDefault="00446B91" w:rsidP="0091342C">
                  <w:pPr>
                    <w:pStyle w:val="TableBodyText"/>
                  </w:pPr>
                  <w:r>
                    <w:t>27</w:t>
                  </w:r>
                </w:p>
              </w:tc>
              <w:tc>
                <w:tcPr>
                  <w:tcW w:w="1250" w:type="pct"/>
                </w:tcPr>
                <w:p w14:paraId="63E30D91" w14:textId="77777777" w:rsidR="00446B91" w:rsidRDefault="00446B91" w:rsidP="0091342C">
                  <w:pPr>
                    <w:pStyle w:val="TableBodyText"/>
                  </w:pPr>
                  <w:r>
                    <w:t>11</w:t>
                  </w:r>
                </w:p>
              </w:tc>
              <w:tc>
                <w:tcPr>
                  <w:tcW w:w="1249" w:type="pct"/>
                </w:tcPr>
                <w:p w14:paraId="188C535D" w14:textId="77777777" w:rsidR="00446B91" w:rsidRDefault="00446B91" w:rsidP="0091342C">
                  <w:pPr>
                    <w:pStyle w:val="TableBodyText"/>
                    <w:ind w:right="28"/>
                  </w:pPr>
                  <w:r>
                    <w:t>59</w:t>
                  </w:r>
                </w:p>
              </w:tc>
            </w:tr>
            <w:tr w:rsidR="00446B91" w14:paraId="06687D44" w14:textId="77777777" w:rsidTr="0091342C">
              <w:tc>
                <w:tcPr>
                  <w:tcW w:w="1167" w:type="pct"/>
                </w:tcPr>
                <w:p w14:paraId="342820FD" w14:textId="77777777" w:rsidR="00446B91" w:rsidRDefault="00446B91" w:rsidP="0091342C">
                  <w:pPr>
                    <w:pStyle w:val="TableBodyText"/>
                    <w:jc w:val="left"/>
                  </w:pPr>
                  <w:r>
                    <w:t>Not</w:t>
                  </w:r>
                  <w:r>
                    <w:noBreakHyphen/>
                    <w:t>for</w:t>
                  </w:r>
                  <w:r>
                    <w:noBreakHyphen/>
                    <w:t>profit</w:t>
                  </w:r>
                </w:p>
              </w:tc>
              <w:tc>
                <w:tcPr>
                  <w:tcW w:w="1334" w:type="pct"/>
                </w:tcPr>
                <w:p w14:paraId="02864F00" w14:textId="77777777" w:rsidR="00446B91" w:rsidRDefault="00446B91" w:rsidP="0091342C">
                  <w:pPr>
                    <w:pStyle w:val="TableBodyText"/>
                  </w:pPr>
                  <w:r>
                    <w:t>5</w:t>
                  </w:r>
                </w:p>
              </w:tc>
              <w:tc>
                <w:tcPr>
                  <w:tcW w:w="1250" w:type="pct"/>
                </w:tcPr>
                <w:p w14:paraId="7591523E" w14:textId="77777777" w:rsidR="00446B91" w:rsidRDefault="00446B91" w:rsidP="0091342C">
                  <w:pPr>
                    <w:pStyle w:val="TableBodyText"/>
                  </w:pPr>
                  <w:r>
                    <w:t>14</w:t>
                  </w:r>
                </w:p>
              </w:tc>
              <w:tc>
                <w:tcPr>
                  <w:tcW w:w="1249" w:type="pct"/>
                </w:tcPr>
                <w:p w14:paraId="630D0AE9" w14:textId="77777777" w:rsidR="00446B91" w:rsidRDefault="00446B91" w:rsidP="0091342C">
                  <w:pPr>
                    <w:pStyle w:val="TableBodyText"/>
                    <w:ind w:right="28"/>
                  </w:pPr>
                  <w:r>
                    <w:t>78</w:t>
                  </w:r>
                </w:p>
              </w:tc>
            </w:tr>
            <w:tr w:rsidR="00446B91" w14:paraId="0343C341" w14:textId="77777777" w:rsidTr="0091342C">
              <w:tc>
                <w:tcPr>
                  <w:tcW w:w="1167" w:type="pct"/>
                  <w:tcBorders>
                    <w:bottom w:val="single" w:sz="6" w:space="0" w:color="BFBFBF"/>
                  </w:tcBorders>
                  <w:shd w:val="clear" w:color="auto" w:fill="auto"/>
                </w:tcPr>
                <w:p w14:paraId="719A4D67" w14:textId="77777777" w:rsidR="00446B91" w:rsidRPr="0014031F" w:rsidRDefault="00446B91" w:rsidP="0091342C">
                  <w:pPr>
                    <w:pStyle w:val="TableBodyText"/>
                    <w:spacing w:before="40"/>
                    <w:jc w:val="left"/>
                    <w:rPr>
                      <w:b/>
                    </w:rPr>
                  </w:pPr>
                  <w:r w:rsidRPr="0014031F">
                    <w:rPr>
                      <w:b/>
                    </w:rPr>
                    <w:t>Total</w:t>
                  </w:r>
                </w:p>
              </w:tc>
              <w:tc>
                <w:tcPr>
                  <w:tcW w:w="1334" w:type="pct"/>
                  <w:tcBorders>
                    <w:bottom w:val="single" w:sz="6" w:space="0" w:color="BFBFBF"/>
                  </w:tcBorders>
                </w:tcPr>
                <w:p w14:paraId="47984EFF" w14:textId="77777777" w:rsidR="00446B91" w:rsidRPr="0014031F" w:rsidRDefault="00446B91" w:rsidP="0091342C">
                  <w:pPr>
                    <w:pStyle w:val="TableBodyText"/>
                    <w:spacing w:before="40"/>
                    <w:rPr>
                      <w:b/>
                    </w:rPr>
                  </w:pPr>
                  <w:r w:rsidRPr="0014031F">
                    <w:rPr>
                      <w:b/>
                    </w:rPr>
                    <w:t>17</w:t>
                  </w:r>
                </w:p>
              </w:tc>
              <w:tc>
                <w:tcPr>
                  <w:tcW w:w="1250" w:type="pct"/>
                  <w:tcBorders>
                    <w:bottom w:val="single" w:sz="6" w:space="0" w:color="BFBFBF"/>
                  </w:tcBorders>
                  <w:shd w:val="clear" w:color="auto" w:fill="auto"/>
                </w:tcPr>
                <w:p w14:paraId="391B59BD" w14:textId="77777777" w:rsidR="00446B91" w:rsidRPr="0014031F" w:rsidRDefault="00446B91" w:rsidP="0091342C">
                  <w:pPr>
                    <w:pStyle w:val="TableBodyText"/>
                    <w:spacing w:before="40"/>
                    <w:rPr>
                      <w:b/>
                    </w:rPr>
                  </w:pPr>
                  <w:r w:rsidRPr="0014031F">
                    <w:rPr>
                      <w:b/>
                    </w:rPr>
                    <w:t>12</w:t>
                  </w:r>
                </w:p>
              </w:tc>
              <w:tc>
                <w:tcPr>
                  <w:tcW w:w="1249" w:type="pct"/>
                  <w:tcBorders>
                    <w:bottom w:val="single" w:sz="6" w:space="0" w:color="BFBFBF"/>
                  </w:tcBorders>
                  <w:shd w:val="clear" w:color="auto" w:fill="auto"/>
                </w:tcPr>
                <w:p w14:paraId="694E7DFA" w14:textId="77777777" w:rsidR="00446B91" w:rsidRPr="0014031F" w:rsidRDefault="00446B91" w:rsidP="0091342C">
                  <w:pPr>
                    <w:pStyle w:val="TableBodyText"/>
                    <w:spacing w:before="40"/>
                    <w:ind w:right="28"/>
                    <w:rPr>
                      <w:b/>
                    </w:rPr>
                  </w:pPr>
                  <w:r w:rsidRPr="0014031F">
                    <w:rPr>
                      <w:b/>
                    </w:rPr>
                    <w:t>68</w:t>
                  </w:r>
                </w:p>
              </w:tc>
            </w:tr>
          </w:tbl>
          <w:p w14:paraId="59A64983" w14:textId="77777777" w:rsidR="00446B91" w:rsidRDefault="00446B91" w:rsidP="0091342C">
            <w:pPr>
              <w:pStyle w:val="Box"/>
            </w:pPr>
          </w:p>
        </w:tc>
      </w:tr>
      <w:tr w:rsidR="00446B91" w14:paraId="3FD00833" w14:textId="77777777" w:rsidTr="0091342C">
        <w:tc>
          <w:tcPr>
            <w:tcW w:w="5000" w:type="pct"/>
            <w:tcBorders>
              <w:top w:val="nil"/>
              <w:left w:val="nil"/>
              <w:bottom w:val="nil"/>
              <w:right w:val="nil"/>
            </w:tcBorders>
            <w:shd w:val="clear" w:color="auto" w:fill="auto"/>
          </w:tcPr>
          <w:p w14:paraId="67FF14DB" w14:textId="77777777" w:rsidR="00446B91" w:rsidRDefault="00446B91" w:rsidP="0091342C">
            <w:pPr>
              <w:pStyle w:val="Note"/>
              <w:rPr>
                <w:i/>
              </w:rPr>
            </w:pPr>
            <w:r w:rsidRPr="008E77FE">
              <w:rPr>
                <w:rStyle w:val="NoteLabel"/>
              </w:rPr>
              <w:t>a</w:t>
            </w:r>
            <w:r>
              <w:t xml:space="preserve"> </w:t>
            </w:r>
            <w:r w:rsidRPr="00000A45">
              <w:t>Percentage shares by fund type do not add up to 100</w:t>
            </w:r>
            <w:r>
              <w:t> </w:t>
            </w:r>
            <w:r w:rsidRPr="00000A45">
              <w:t xml:space="preserve">per cent because there are no administration fees data in </w:t>
            </w:r>
            <w:proofErr w:type="spellStart"/>
            <w:r w:rsidRPr="00000A45">
              <w:t>SuperRatings</w:t>
            </w:r>
            <w:proofErr w:type="spellEnd"/>
            <w:r w:rsidRPr="00000A45">
              <w:t xml:space="preserve"> for some funds.</w:t>
            </w:r>
            <w:r>
              <w:t xml:space="preserve"> </w:t>
            </w:r>
            <w:r>
              <w:rPr>
                <w:rStyle w:val="NoteLabel"/>
              </w:rPr>
              <w:t>b</w:t>
            </w:r>
            <w:r>
              <w:t xml:space="preserve"> </w:t>
            </w:r>
            <w:r w:rsidRPr="00000A45">
              <w:t>Data are for a representative asset balance of $50</w:t>
            </w:r>
            <w:r>
              <w:t> </w:t>
            </w:r>
            <w:r w:rsidRPr="00000A45">
              <w:t>000.</w:t>
            </w:r>
          </w:p>
        </w:tc>
      </w:tr>
      <w:tr w:rsidR="00446B91" w14:paraId="23FABBC5" w14:textId="77777777" w:rsidTr="0091342C">
        <w:tc>
          <w:tcPr>
            <w:tcW w:w="5000" w:type="pct"/>
            <w:tcBorders>
              <w:top w:val="nil"/>
              <w:left w:val="nil"/>
              <w:bottom w:val="nil"/>
              <w:right w:val="nil"/>
            </w:tcBorders>
            <w:shd w:val="clear" w:color="auto" w:fill="auto"/>
          </w:tcPr>
          <w:p w14:paraId="2AD762EC" w14:textId="77777777" w:rsidR="00446B91" w:rsidRDefault="00446B91" w:rsidP="0091342C">
            <w:pPr>
              <w:pStyle w:val="Source"/>
            </w:pPr>
            <w:r>
              <w:rPr>
                <w:i/>
              </w:rPr>
              <w:t>Source</w:t>
            </w:r>
            <w:r w:rsidRPr="00167F06">
              <w:t xml:space="preserve">: </w:t>
            </w:r>
            <w:r w:rsidRPr="00000A45">
              <w:t xml:space="preserve">PC analysis of </w:t>
            </w:r>
            <w:proofErr w:type="spellStart"/>
            <w:r w:rsidRPr="00000A45">
              <w:t>SuperRatings</w:t>
            </w:r>
            <w:proofErr w:type="spellEnd"/>
            <w:r w:rsidRPr="00000A45">
              <w:t xml:space="preserve"> data</w:t>
            </w:r>
            <w:r>
              <w:t>.</w:t>
            </w:r>
          </w:p>
        </w:tc>
      </w:tr>
      <w:tr w:rsidR="00446B91" w14:paraId="241F421C" w14:textId="77777777" w:rsidTr="0091342C">
        <w:tc>
          <w:tcPr>
            <w:tcW w:w="5000" w:type="pct"/>
            <w:tcBorders>
              <w:top w:val="nil"/>
              <w:left w:val="nil"/>
              <w:bottom w:val="single" w:sz="6" w:space="0" w:color="78A22F"/>
              <w:right w:val="nil"/>
            </w:tcBorders>
            <w:shd w:val="clear" w:color="auto" w:fill="auto"/>
          </w:tcPr>
          <w:p w14:paraId="65024BB5" w14:textId="77777777" w:rsidR="00446B91" w:rsidRDefault="00446B91" w:rsidP="0091342C">
            <w:pPr>
              <w:pStyle w:val="Box"/>
              <w:spacing w:before="0" w:line="120" w:lineRule="exact"/>
            </w:pPr>
          </w:p>
        </w:tc>
      </w:tr>
      <w:tr w:rsidR="00446B91" w:rsidRPr="000863A5" w14:paraId="2576BC55" w14:textId="77777777" w:rsidTr="0091342C">
        <w:tc>
          <w:tcPr>
            <w:tcW w:w="5000" w:type="pct"/>
            <w:tcBorders>
              <w:top w:val="single" w:sz="6" w:space="0" w:color="78A22F"/>
              <w:left w:val="nil"/>
              <w:bottom w:val="nil"/>
              <w:right w:val="nil"/>
            </w:tcBorders>
          </w:tcPr>
          <w:p w14:paraId="5E380077" w14:textId="77777777" w:rsidR="00446B91" w:rsidRPr="00626D32" w:rsidRDefault="00446B91" w:rsidP="0091342C">
            <w:pPr>
              <w:pStyle w:val="BoxSpaceBelow"/>
            </w:pPr>
          </w:p>
        </w:tc>
      </w:tr>
    </w:tbl>
    <w:p w14:paraId="5723E052" w14:textId="77777777" w:rsidR="00446B91" w:rsidRDefault="00446B91" w:rsidP="00446B91">
      <w:pPr>
        <w:pStyle w:val="BodyText"/>
      </w:pPr>
      <w:r>
        <w:t>Fixed</w:t>
      </w:r>
      <w:r>
        <w:noBreakHyphen/>
        <w:t>dollar administration fees are typically lower (in dollar equivalent terms) per member than percentage</w:t>
      </w:r>
      <w:r>
        <w:noBreakHyphen/>
        <w:t>based fees, other than for very low account balances (table 5.5). Because of the contribution of percentage</w:t>
      </w:r>
      <w:r>
        <w:noBreakHyphen/>
        <w:t xml:space="preserve">based fees, the average administration fees paid by a member rises with the member’s balance, for example from $220 for an asset balance of $50 000 to over $1200 for an asset balance of $500 000. </w:t>
      </w:r>
    </w:p>
    <w:p w14:paraId="166182A8" w14:textId="77777777" w:rsidR="00446B91" w:rsidRDefault="00446B91" w:rsidP="00446B9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46B91" w14:paraId="53BD831C" w14:textId="77777777" w:rsidTr="0091342C">
        <w:trPr>
          <w:tblHeader/>
        </w:trPr>
        <w:tc>
          <w:tcPr>
            <w:tcW w:w="5000" w:type="pct"/>
            <w:tcBorders>
              <w:top w:val="single" w:sz="6" w:space="0" w:color="78A22F"/>
              <w:left w:val="nil"/>
              <w:bottom w:val="nil"/>
              <w:right w:val="nil"/>
            </w:tcBorders>
            <w:shd w:val="clear" w:color="auto" w:fill="auto"/>
          </w:tcPr>
          <w:p w14:paraId="35DE2AD8" w14:textId="77777777" w:rsidR="00446B91" w:rsidRDefault="00446B91" w:rsidP="0091342C">
            <w:pPr>
              <w:pStyle w:val="TableTitle"/>
            </w:pPr>
            <w:r>
              <w:rPr>
                <w:b w:val="0"/>
              </w:rPr>
              <w:t>Table 5.</w:t>
            </w:r>
            <w:r>
              <w:rPr>
                <w:b w:val="0"/>
                <w:noProof/>
              </w:rPr>
              <w:t>5</w:t>
            </w:r>
            <w:r>
              <w:tab/>
            </w:r>
            <w:r w:rsidRPr="00780F67">
              <w:t xml:space="preserve">Average administration fees vary by </w:t>
            </w:r>
            <w:r>
              <w:t xml:space="preserve">size of </w:t>
            </w:r>
            <w:r w:rsidRPr="00780F67">
              <w:t>balance</w:t>
            </w:r>
            <w:proofErr w:type="spellStart"/>
            <w:r w:rsidRPr="00000A45">
              <w:rPr>
                <w:rStyle w:val="NoteLabel"/>
              </w:rPr>
              <w:t>a</w:t>
            </w:r>
            <w:r>
              <w:rPr>
                <w:rStyle w:val="NoteLabel"/>
              </w:rPr>
              <w:t>,b</w:t>
            </w:r>
            <w:proofErr w:type="spellEnd"/>
          </w:p>
          <w:p w14:paraId="271E62B5" w14:textId="77777777" w:rsidR="00446B91" w:rsidRPr="00784A05" w:rsidRDefault="00446B91" w:rsidP="0091342C">
            <w:pPr>
              <w:pStyle w:val="Subtitle"/>
            </w:pPr>
            <w:r w:rsidRPr="00780F67">
              <w:t>$</w:t>
            </w:r>
            <w:r>
              <w:noBreakHyphen/>
              <w:t>equivalent</w:t>
            </w:r>
            <w:r w:rsidRPr="00780F67">
              <w:t>, June 2017</w:t>
            </w:r>
          </w:p>
        </w:tc>
      </w:tr>
      <w:tr w:rsidR="00446B91" w14:paraId="106B02D6"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8"/>
              <w:gridCol w:w="2126"/>
              <w:gridCol w:w="2126"/>
              <w:gridCol w:w="2125"/>
            </w:tblGrid>
            <w:tr w:rsidR="00446B91" w14:paraId="4DAFB94E" w14:textId="77777777" w:rsidTr="0091342C">
              <w:trPr>
                <w:tblHeader/>
              </w:trPr>
              <w:tc>
                <w:tcPr>
                  <w:tcW w:w="1251" w:type="pct"/>
                  <w:tcBorders>
                    <w:top w:val="single" w:sz="6" w:space="0" w:color="BFBFBF"/>
                    <w:bottom w:val="single" w:sz="6" w:space="0" w:color="BFBFBF"/>
                  </w:tcBorders>
                  <w:shd w:val="clear" w:color="auto" w:fill="auto"/>
                  <w:tcMar>
                    <w:top w:w="28" w:type="dxa"/>
                  </w:tcMar>
                </w:tcPr>
                <w:p w14:paraId="285B9C58" w14:textId="77777777" w:rsidR="00446B91" w:rsidRDefault="00446B91" w:rsidP="0091342C">
                  <w:pPr>
                    <w:pStyle w:val="TableColumnHeading"/>
                    <w:jc w:val="left"/>
                  </w:pPr>
                  <w:r>
                    <w:t>Member balance</w:t>
                  </w:r>
                </w:p>
              </w:tc>
              <w:tc>
                <w:tcPr>
                  <w:tcW w:w="1250" w:type="pct"/>
                  <w:tcBorders>
                    <w:top w:val="single" w:sz="6" w:space="0" w:color="BFBFBF"/>
                    <w:bottom w:val="single" w:sz="6" w:space="0" w:color="BFBFBF"/>
                  </w:tcBorders>
                </w:tcPr>
                <w:p w14:paraId="5D89A745" w14:textId="77777777" w:rsidR="00446B91" w:rsidRDefault="00446B91" w:rsidP="0091342C">
                  <w:pPr>
                    <w:pStyle w:val="TableColumnHeading"/>
                  </w:pPr>
                  <w:r>
                    <w:t>Percentage</w:t>
                  </w:r>
                  <w:r>
                    <w:noBreakHyphen/>
                    <w:t>based fee</w:t>
                  </w:r>
                </w:p>
              </w:tc>
              <w:tc>
                <w:tcPr>
                  <w:tcW w:w="1250" w:type="pct"/>
                  <w:tcBorders>
                    <w:top w:val="single" w:sz="6" w:space="0" w:color="BFBFBF"/>
                    <w:bottom w:val="single" w:sz="6" w:space="0" w:color="BFBFBF"/>
                  </w:tcBorders>
                  <w:shd w:val="clear" w:color="auto" w:fill="auto"/>
                  <w:tcMar>
                    <w:top w:w="28" w:type="dxa"/>
                  </w:tcMar>
                </w:tcPr>
                <w:p w14:paraId="04E2F0F7" w14:textId="77777777" w:rsidR="00446B91" w:rsidRDefault="00446B91" w:rsidP="0091342C">
                  <w:pPr>
                    <w:pStyle w:val="TableColumnHeading"/>
                  </w:pPr>
                  <w:r>
                    <w:t>Fixed</w:t>
                  </w:r>
                  <w:r>
                    <w:noBreakHyphen/>
                    <w:t>dollar fee</w:t>
                  </w:r>
                </w:p>
              </w:tc>
              <w:tc>
                <w:tcPr>
                  <w:tcW w:w="1249" w:type="pct"/>
                  <w:tcBorders>
                    <w:top w:val="single" w:sz="6" w:space="0" w:color="BFBFBF"/>
                    <w:bottom w:val="single" w:sz="6" w:space="0" w:color="BFBFBF"/>
                  </w:tcBorders>
                  <w:shd w:val="clear" w:color="auto" w:fill="auto"/>
                  <w:tcMar>
                    <w:top w:w="28" w:type="dxa"/>
                  </w:tcMar>
                </w:tcPr>
                <w:p w14:paraId="1142E09E" w14:textId="77777777" w:rsidR="00446B91" w:rsidRDefault="00446B91" w:rsidP="0091342C">
                  <w:pPr>
                    <w:pStyle w:val="TableColumnHeading"/>
                    <w:ind w:right="28"/>
                  </w:pPr>
                  <w:r>
                    <w:t>Total administration fee</w:t>
                  </w:r>
                </w:p>
              </w:tc>
            </w:tr>
            <w:tr w:rsidR="00446B91" w14:paraId="429D9ED4" w14:textId="77777777" w:rsidTr="0091342C">
              <w:tc>
                <w:tcPr>
                  <w:tcW w:w="1251" w:type="pct"/>
                  <w:tcBorders>
                    <w:top w:val="single" w:sz="6" w:space="0" w:color="BFBFBF"/>
                  </w:tcBorders>
                </w:tcPr>
                <w:p w14:paraId="6964D01B" w14:textId="77777777" w:rsidR="00446B91" w:rsidRDefault="00446B91" w:rsidP="0091342C">
                  <w:pPr>
                    <w:pStyle w:val="TableUnitsRow"/>
                    <w:jc w:val="left"/>
                  </w:pPr>
                  <w:r>
                    <w:t>10 000</w:t>
                  </w:r>
                </w:p>
              </w:tc>
              <w:tc>
                <w:tcPr>
                  <w:tcW w:w="1250" w:type="pct"/>
                  <w:tcBorders>
                    <w:top w:val="single" w:sz="6" w:space="0" w:color="BFBFBF"/>
                  </w:tcBorders>
                </w:tcPr>
                <w:p w14:paraId="5B9095CA" w14:textId="77777777" w:rsidR="00446B91" w:rsidRDefault="00446B91" w:rsidP="0091342C">
                  <w:pPr>
                    <w:pStyle w:val="TableUnitsRow"/>
                  </w:pPr>
                  <w:r w:rsidRPr="00FD15BC">
                    <w:t>27</w:t>
                  </w:r>
                </w:p>
              </w:tc>
              <w:tc>
                <w:tcPr>
                  <w:tcW w:w="1250" w:type="pct"/>
                  <w:tcBorders>
                    <w:top w:val="single" w:sz="6" w:space="0" w:color="BFBFBF"/>
                  </w:tcBorders>
                </w:tcPr>
                <w:p w14:paraId="54CF5B7F" w14:textId="77777777" w:rsidR="00446B91" w:rsidRDefault="00446B91" w:rsidP="0091342C">
                  <w:pPr>
                    <w:pStyle w:val="TableUnitsRow"/>
                  </w:pPr>
                  <w:r w:rsidRPr="00FD15BC">
                    <w:t>83</w:t>
                  </w:r>
                </w:p>
              </w:tc>
              <w:tc>
                <w:tcPr>
                  <w:tcW w:w="1249" w:type="pct"/>
                  <w:tcBorders>
                    <w:top w:val="single" w:sz="6" w:space="0" w:color="BFBFBF"/>
                  </w:tcBorders>
                </w:tcPr>
                <w:p w14:paraId="31F5ED4E" w14:textId="77777777" w:rsidR="00446B91" w:rsidRDefault="00446B91" w:rsidP="0091342C">
                  <w:pPr>
                    <w:pStyle w:val="TableUnitsRow"/>
                    <w:ind w:right="28"/>
                  </w:pPr>
                  <w:r w:rsidRPr="00FD15BC">
                    <w:t>111</w:t>
                  </w:r>
                </w:p>
              </w:tc>
            </w:tr>
            <w:tr w:rsidR="00446B91" w14:paraId="3B8BE918" w14:textId="77777777" w:rsidTr="0091342C">
              <w:tc>
                <w:tcPr>
                  <w:tcW w:w="1251" w:type="pct"/>
                </w:tcPr>
                <w:p w14:paraId="33E30E85" w14:textId="77777777" w:rsidR="00446B91" w:rsidRDefault="00446B91" w:rsidP="0091342C">
                  <w:pPr>
                    <w:pStyle w:val="TableBodyText"/>
                    <w:jc w:val="left"/>
                  </w:pPr>
                  <w:r>
                    <w:t>25 000</w:t>
                  </w:r>
                </w:p>
              </w:tc>
              <w:tc>
                <w:tcPr>
                  <w:tcW w:w="1250" w:type="pct"/>
                </w:tcPr>
                <w:p w14:paraId="28B0E68D" w14:textId="77777777" w:rsidR="00446B91" w:rsidRDefault="00446B91" w:rsidP="0091342C">
                  <w:pPr>
                    <w:pStyle w:val="TableBodyText"/>
                  </w:pPr>
                  <w:r w:rsidRPr="00FD15BC">
                    <w:t>69</w:t>
                  </w:r>
                </w:p>
              </w:tc>
              <w:tc>
                <w:tcPr>
                  <w:tcW w:w="1250" w:type="pct"/>
                </w:tcPr>
                <w:p w14:paraId="258967B8" w14:textId="77777777" w:rsidR="00446B91" w:rsidRDefault="00446B91" w:rsidP="0091342C">
                  <w:pPr>
                    <w:pStyle w:val="TableBodyText"/>
                  </w:pPr>
                  <w:r w:rsidRPr="00FD15BC">
                    <w:t>83</w:t>
                  </w:r>
                </w:p>
              </w:tc>
              <w:tc>
                <w:tcPr>
                  <w:tcW w:w="1249" w:type="pct"/>
                </w:tcPr>
                <w:p w14:paraId="235CD609" w14:textId="77777777" w:rsidR="00446B91" w:rsidRDefault="00446B91" w:rsidP="0091342C">
                  <w:pPr>
                    <w:pStyle w:val="TableBodyText"/>
                    <w:ind w:right="28"/>
                  </w:pPr>
                  <w:r w:rsidRPr="00FD15BC">
                    <w:t>152</w:t>
                  </w:r>
                </w:p>
              </w:tc>
            </w:tr>
            <w:tr w:rsidR="00446B91" w14:paraId="7EFC9139" w14:textId="77777777" w:rsidTr="0091342C">
              <w:tc>
                <w:tcPr>
                  <w:tcW w:w="1251" w:type="pct"/>
                </w:tcPr>
                <w:p w14:paraId="0179FEB0" w14:textId="77777777" w:rsidR="00446B91" w:rsidRDefault="00446B91" w:rsidP="0091342C">
                  <w:pPr>
                    <w:pStyle w:val="TableBodyText"/>
                    <w:jc w:val="left"/>
                  </w:pPr>
                  <w:r>
                    <w:t>50 000</w:t>
                  </w:r>
                </w:p>
              </w:tc>
              <w:tc>
                <w:tcPr>
                  <w:tcW w:w="1250" w:type="pct"/>
                </w:tcPr>
                <w:p w14:paraId="402C458F" w14:textId="77777777" w:rsidR="00446B91" w:rsidRDefault="00446B91" w:rsidP="0091342C">
                  <w:pPr>
                    <w:pStyle w:val="TableBodyText"/>
                  </w:pPr>
                  <w:r w:rsidRPr="00FD15BC">
                    <w:t>139</w:t>
                  </w:r>
                </w:p>
              </w:tc>
              <w:tc>
                <w:tcPr>
                  <w:tcW w:w="1250" w:type="pct"/>
                </w:tcPr>
                <w:p w14:paraId="7D754B73" w14:textId="77777777" w:rsidR="00446B91" w:rsidRDefault="00446B91" w:rsidP="0091342C">
                  <w:pPr>
                    <w:pStyle w:val="TableBodyText"/>
                  </w:pPr>
                  <w:r w:rsidRPr="00FD15BC">
                    <w:t>81</w:t>
                  </w:r>
                </w:p>
              </w:tc>
              <w:tc>
                <w:tcPr>
                  <w:tcW w:w="1249" w:type="pct"/>
                </w:tcPr>
                <w:p w14:paraId="17DC718B" w14:textId="77777777" w:rsidR="00446B91" w:rsidRDefault="00446B91" w:rsidP="0091342C">
                  <w:pPr>
                    <w:pStyle w:val="TableBodyText"/>
                    <w:ind w:right="28"/>
                  </w:pPr>
                  <w:r w:rsidRPr="00FD15BC">
                    <w:t>219</w:t>
                  </w:r>
                </w:p>
              </w:tc>
            </w:tr>
            <w:tr w:rsidR="00446B91" w14:paraId="40E36A05" w14:textId="77777777" w:rsidTr="0091342C">
              <w:tc>
                <w:tcPr>
                  <w:tcW w:w="1251" w:type="pct"/>
                </w:tcPr>
                <w:p w14:paraId="3A5C2C99" w14:textId="77777777" w:rsidR="00446B91" w:rsidRDefault="00446B91" w:rsidP="0091342C">
                  <w:pPr>
                    <w:pStyle w:val="TableBodyText"/>
                    <w:jc w:val="left"/>
                  </w:pPr>
                  <w:r>
                    <w:t>100 000</w:t>
                  </w:r>
                </w:p>
              </w:tc>
              <w:tc>
                <w:tcPr>
                  <w:tcW w:w="1250" w:type="pct"/>
                </w:tcPr>
                <w:p w14:paraId="7D27AAD7" w14:textId="77777777" w:rsidR="00446B91" w:rsidRDefault="00446B91" w:rsidP="0091342C">
                  <w:pPr>
                    <w:pStyle w:val="TableBodyText"/>
                  </w:pPr>
                  <w:r w:rsidRPr="00FD15BC">
                    <w:t>279</w:t>
                  </w:r>
                </w:p>
              </w:tc>
              <w:tc>
                <w:tcPr>
                  <w:tcW w:w="1250" w:type="pct"/>
                </w:tcPr>
                <w:p w14:paraId="75D20252" w14:textId="77777777" w:rsidR="00446B91" w:rsidRDefault="00446B91" w:rsidP="0091342C">
                  <w:pPr>
                    <w:pStyle w:val="TableBodyText"/>
                  </w:pPr>
                  <w:r w:rsidRPr="00FD15BC">
                    <w:t>71</w:t>
                  </w:r>
                </w:p>
              </w:tc>
              <w:tc>
                <w:tcPr>
                  <w:tcW w:w="1249" w:type="pct"/>
                </w:tcPr>
                <w:p w14:paraId="14B00CB0" w14:textId="77777777" w:rsidR="00446B91" w:rsidRDefault="00446B91" w:rsidP="0091342C">
                  <w:pPr>
                    <w:pStyle w:val="TableBodyText"/>
                    <w:ind w:right="28"/>
                  </w:pPr>
                  <w:r w:rsidRPr="00FD15BC">
                    <w:t>350</w:t>
                  </w:r>
                </w:p>
              </w:tc>
            </w:tr>
            <w:tr w:rsidR="00446B91" w14:paraId="2B4B8AC4" w14:textId="77777777" w:rsidTr="0091342C">
              <w:tc>
                <w:tcPr>
                  <w:tcW w:w="1251" w:type="pct"/>
                </w:tcPr>
                <w:p w14:paraId="6F67107D" w14:textId="77777777" w:rsidR="00446B91" w:rsidRDefault="00446B91" w:rsidP="0091342C">
                  <w:pPr>
                    <w:pStyle w:val="TableBodyText"/>
                    <w:jc w:val="left"/>
                  </w:pPr>
                  <w:r>
                    <w:t>200 000</w:t>
                  </w:r>
                </w:p>
              </w:tc>
              <w:tc>
                <w:tcPr>
                  <w:tcW w:w="1250" w:type="pct"/>
                </w:tcPr>
                <w:p w14:paraId="5FF080F9" w14:textId="77777777" w:rsidR="00446B91" w:rsidRDefault="00446B91" w:rsidP="0091342C">
                  <w:pPr>
                    <w:pStyle w:val="TableBodyText"/>
                  </w:pPr>
                  <w:r w:rsidRPr="00FD15BC">
                    <w:t>559</w:t>
                  </w:r>
                </w:p>
              </w:tc>
              <w:tc>
                <w:tcPr>
                  <w:tcW w:w="1250" w:type="pct"/>
                </w:tcPr>
                <w:p w14:paraId="2890AA26" w14:textId="77777777" w:rsidR="00446B91" w:rsidRDefault="00446B91" w:rsidP="0091342C">
                  <w:pPr>
                    <w:pStyle w:val="TableBodyText"/>
                  </w:pPr>
                  <w:r w:rsidRPr="00FD15BC">
                    <w:t>65</w:t>
                  </w:r>
                </w:p>
              </w:tc>
              <w:tc>
                <w:tcPr>
                  <w:tcW w:w="1249" w:type="pct"/>
                </w:tcPr>
                <w:p w14:paraId="50DC378A" w14:textId="77777777" w:rsidR="00446B91" w:rsidRDefault="00446B91" w:rsidP="0091342C">
                  <w:pPr>
                    <w:pStyle w:val="TableBodyText"/>
                    <w:ind w:right="28"/>
                  </w:pPr>
                  <w:r w:rsidRPr="00FD15BC">
                    <w:t>625</w:t>
                  </w:r>
                </w:p>
              </w:tc>
            </w:tr>
            <w:tr w:rsidR="00446B91" w14:paraId="0E3C3FCC" w14:textId="77777777" w:rsidTr="0091342C">
              <w:tc>
                <w:tcPr>
                  <w:tcW w:w="1251" w:type="pct"/>
                  <w:tcBorders>
                    <w:bottom w:val="single" w:sz="6" w:space="0" w:color="BFBFBF"/>
                  </w:tcBorders>
                  <w:shd w:val="clear" w:color="auto" w:fill="auto"/>
                </w:tcPr>
                <w:p w14:paraId="0C174EAF" w14:textId="77777777" w:rsidR="00446B91" w:rsidRDefault="00446B91" w:rsidP="0091342C">
                  <w:pPr>
                    <w:pStyle w:val="TableBodyText"/>
                    <w:jc w:val="left"/>
                  </w:pPr>
                  <w:r>
                    <w:t>500 000</w:t>
                  </w:r>
                </w:p>
              </w:tc>
              <w:tc>
                <w:tcPr>
                  <w:tcW w:w="1250" w:type="pct"/>
                  <w:tcBorders>
                    <w:bottom w:val="single" w:sz="6" w:space="0" w:color="BFBFBF"/>
                  </w:tcBorders>
                </w:tcPr>
                <w:p w14:paraId="75323C01" w14:textId="77777777" w:rsidR="00446B91" w:rsidRDefault="00446B91" w:rsidP="0091342C">
                  <w:pPr>
                    <w:pStyle w:val="TableBodyText"/>
                  </w:pPr>
                  <w:r w:rsidRPr="00FD15BC">
                    <w:t>1</w:t>
                  </w:r>
                  <w:r>
                    <w:t> </w:t>
                  </w:r>
                  <w:r w:rsidRPr="00FD15BC">
                    <w:t>226</w:t>
                  </w:r>
                </w:p>
              </w:tc>
              <w:tc>
                <w:tcPr>
                  <w:tcW w:w="1250" w:type="pct"/>
                  <w:tcBorders>
                    <w:bottom w:val="single" w:sz="6" w:space="0" w:color="BFBFBF"/>
                  </w:tcBorders>
                  <w:shd w:val="clear" w:color="auto" w:fill="auto"/>
                </w:tcPr>
                <w:p w14:paraId="2334E78E" w14:textId="77777777" w:rsidR="00446B91" w:rsidRDefault="00446B91" w:rsidP="0091342C">
                  <w:pPr>
                    <w:pStyle w:val="TableBodyText"/>
                  </w:pPr>
                  <w:r w:rsidRPr="00FD15BC">
                    <w:t>65</w:t>
                  </w:r>
                </w:p>
              </w:tc>
              <w:tc>
                <w:tcPr>
                  <w:tcW w:w="1249" w:type="pct"/>
                  <w:tcBorders>
                    <w:bottom w:val="single" w:sz="6" w:space="0" w:color="BFBFBF"/>
                  </w:tcBorders>
                  <w:shd w:val="clear" w:color="auto" w:fill="auto"/>
                </w:tcPr>
                <w:p w14:paraId="3FA3E95C" w14:textId="77777777" w:rsidR="00446B91" w:rsidRDefault="00446B91" w:rsidP="0091342C">
                  <w:pPr>
                    <w:pStyle w:val="TableBodyText"/>
                    <w:ind w:right="28"/>
                  </w:pPr>
                  <w:r w:rsidRPr="00FD15BC">
                    <w:t>1</w:t>
                  </w:r>
                  <w:r>
                    <w:t> </w:t>
                  </w:r>
                  <w:r w:rsidRPr="00FD15BC">
                    <w:t>291</w:t>
                  </w:r>
                </w:p>
              </w:tc>
            </w:tr>
          </w:tbl>
          <w:p w14:paraId="386832A0" w14:textId="77777777" w:rsidR="00446B91" w:rsidRDefault="00446B91" w:rsidP="0091342C">
            <w:pPr>
              <w:pStyle w:val="Box"/>
            </w:pPr>
          </w:p>
        </w:tc>
      </w:tr>
      <w:tr w:rsidR="00446B91" w14:paraId="057F31B4" w14:textId="77777777" w:rsidTr="0091342C">
        <w:tc>
          <w:tcPr>
            <w:tcW w:w="5000" w:type="pct"/>
            <w:tcBorders>
              <w:top w:val="nil"/>
              <w:left w:val="nil"/>
              <w:bottom w:val="nil"/>
              <w:right w:val="nil"/>
            </w:tcBorders>
            <w:shd w:val="clear" w:color="auto" w:fill="auto"/>
          </w:tcPr>
          <w:p w14:paraId="745895FE" w14:textId="77777777" w:rsidR="00446B91" w:rsidRDefault="00446B91" w:rsidP="0091342C">
            <w:pPr>
              <w:pStyle w:val="Note"/>
              <w:rPr>
                <w:i/>
              </w:rPr>
            </w:pPr>
            <w:r w:rsidRPr="008E77FE">
              <w:rPr>
                <w:rStyle w:val="NoteLabel"/>
              </w:rPr>
              <w:t>a</w:t>
            </w:r>
            <w:r>
              <w:t xml:space="preserve"> </w:t>
            </w:r>
            <w:proofErr w:type="spellStart"/>
            <w:r w:rsidRPr="00780F67">
              <w:t>SuperRatings</w:t>
            </w:r>
            <w:proofErr w:type="spellEnd"/>
            <w:r w:rsidRPr="00780F67">
              <w:t xml:space="preserve"> data do not include any administration fee caps</w:t>
            </w:r>
            <w:r>
              <w:t xml:space="preserve">. </w:t>
            </w:r>
            <w:r>
              <w:rPr>
                <w:rStyle w:val="NoteLabel"/>
              </w:rPr>
              <w:t>b</w:t>
            </w:r>
            <w:r>
              <w:t xml:space="preserve"> </w:t>
            </w:r>
            <w:r w:rsidRPr="00780F67">
              <w:t>Figures may not add due to rounding</w:t>
            </w:r>
            <w:r>
              <w:t>.</w:t>
            </w:r>
          </w:p>
        </w:tc>
      </w:tr>
      <w:tr w:rsidR="00446B91" w14:paraId="25187514" w14:textId="77777777" w:rsidTr="0091342C">
        <w:tc>
          <w:tcPr>
            <w:tcW w:w="5000" w:type="pct"/>
            <w:tcBorders>
              <w:top w:val="nil"/>
              <w:left w:val="nil"/>
              <w:bottom w:val="nil"/>
              <w:right w:val="nil"/>
            </w:tcBorders>
            <w:shd w:val="clear" w:color="auto" w:fill="auto"/>
          </w:tcPr>
          <w:p w14:paraId="7BA286C0" w14:textId="77777777" w:rsidR="00446B91" w:rsidRDefault="00446B91" w:rsidP="0091342C">
            <w:pPr>
              <w:pStyle w:val="Source"/>
            </w:pPr>
            <w:r>
              <w:rPr>
                <w:i/>
              </w:rPr>
              <w:t>Source</w:t>
            </w:r>
            <w:r w:rsidRPr="00167F06">
              <w:t xml:space="preserve">: </w:t>
            </w:r>
            <w:r w:rsidRPr="00780F67">
              <w:t xml:space="preserve">PC analysis of </w:t>
            </w:r>
            <w:proofErr w:type="spellStart"/>
            <w:r w:rsidRPr="00780F67">
              <w:t>SuperRatings</w:t>
            </w:r>
            <w:proofErr w:type="spellEnd"/>
            <w:r w:rsidRPr="00780F67">
              <w:t xml:space="preserve"> data</w:t>
            </w:r>
            <w:r>
              <w:t>.</w:t>
            </w:r>
          </w:p>
        </w:tc>
      </w:tr>
      <w:tr w:rsidR="00446B91" w14:paraId="40D4AF8E" w14:textId="77777777" w:rsidTr="0091342C">
        <w:tc>
          <w:tcPr>
            <w:tcW w:w="5000" w:type="pct"/>
            <w:tcBorders>
              <w:top w:val="nil"/>
              <w:left w:val="nil"/>
              <w:bottom w:val="single" w:sz="6" w:space="0" w:color="78A22F"/>
              <w:right w:val="nil"/>
            </w:tcBorders>
            <w:shd w:val="clear" w:color="auto" w:fill="auto"/>
          </w:tcPr>
          <w:p w14:paraId="36504786" w14:textId="77777777" w:rsidR="00446B91" w:rsidRDefault="00446B91" w:rsidP="0091342C">
            <w:pPr>
              <w:pStyle w:val="Box"/>
              <w:spacing w:before="0" w:line="120" w:lineRule="exact"/>
            </w:pPr>
          </w:p>
        </w:tc>
      </w:tr>
      <w:tr w:rsidR="00446B91" w:rsidRPr="000863A5" w14:paraId="027763D8" w14:textId="77777777" w:rsidTr="0091342C">
        <w:tc>
          <w:tcPr>
            <w:tcW w:w="5000" w:type="pct"/>
            <w:tcBorders>
              <w:top w:val="single" w:sz="6" w:space="0" w:color="78A22F"/>
              <w:left w:val="nil"/>
              <w:bottom w:val="nil"/>
              <w:right w:val="nil"/>
            </w:tcBorders>
          </w:tcPr>
          <w:p w14:paraId="3A5FA630" w14:textId="77777777" w:rsidR="00446B91" w:rsidRPr="00626D32" w:rsidRDefault="00446B91" w:rsidP="0091342C">
            <w:pPr>
              <w:pStyle w:val="BoxSpaceBelow"/>
            </w:pPr>
          </w:p>
        </w:tc>
      </w:tr>
    </w:tbl>
    <w:p w14:paraId="393E183B" w14:textId="77777777" w:rsidR="00446B91" w:rsidRDefault="00446B91" w:rsidP="00446B91">
      <w:pPr>
        <w:pStyle w:val="BodyText"/>
      </w:pPr>
      <w:r>
        <w:t>There are also large differences across segments — a member with a $50 000 balance would pay a much higher administration fee in dollar terms if they were in the average retail fund ($374 per year) than if they were in the average not</w:t>
      </w:r>
      <w:r>
        <w:noBreakHyphen/>
        <w:t>for</w:t>
      </w:r>
      <w:r>
        <w:noBreakHyphen/>
        <w:t>profit fund ($127) (table 5.6). Most of the difference is due to percentage</w:t>
      </w:r>
      <w:r>
        <w:noBreakHyphen/>
        <w:t>based fees.</w:t>
      </w:r>
    </w:p>
    <w:p w14:paraId="1E346335" w14:textId="77777777" w:rsidR="00446B91" w:rsidRDefault="00446B91" w:rsidP="00446B9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46B91" w14:paraId="1F6F95FB" w14:textId="77777777" w:rsidTr="0091342C">
        <w:trPr>
          <w:tblHeader/>
        </w:trPr>
        <w:tc>
          <w:tcPr>
            <w:tcW w:w="5000" w:type="pct"/>
            <w:tcBorders>
              <w:top w:val="single" w:sz="6" w:space="0" w:color="78A22F"/>
              <w:left w:val="nil"/>
              <w:bottom w:val="nil"/>
              <w:right w:val="nil"/>
            </w:tcBorders>
            <w:shd w:val="clear" w:color="auto" w:fill="auto"/>
          </w:tcPr>
          <w:p w14:paraId="5ACEB594" w14:textId="77777777" w:rsidR="00446B91" w:rsidRDefault="00446B91" w:rsidP="0091342C">
            <w:pPr>
              <w:pStyle w:val="TableTitle"/>
            </w:pPr>
            <w:r>
              <w:rPr>
                <w:b w:val="0"/>
              </w:rPr>
              <w:t>Table 5.</w:t>
            </w:r>
            <w:r>
              <w:rPr>
                <w:b w:val="0"/>
                <w:noProof/>
              </w:rPr>
              <w:t>6</w:t>
            </w:r>
            <w:r>
              <w:tab/>
            </w:r>
            <w:r w:rsidRPr="00780F67">
              <w:t>Administration fee levels vary by fund type</w:t>
            </w:r>
            <w:r w:rsidRPr="00000A45">
              <w:rPr>
                <w:rStyle w:val="NoteLabel"/>
              </w:rPr>
              <w:t>a</w:t>
            </w:r>
          </w:p>
          <w:p w14:paraId="4718D9FD" w14:textId="77777777" w:rsidR="00446B91" w:rsidRPr="00784A05" w:rsidRDefault="00446B91" w:rsidP="0091342C">
            <w:pPr>
              <w:pStyle w:val="Subtitle"/>
            </w:pPr>
            <w:r>
              <w:t xml:space="preserve">Administration fees for an average member account, </w:t>
            </w:r>
            <w:r w:rsidRPr="00000A45">
              <w:t>June 2017</w:t>
            </w:r>
          </w:p>
        </w:tc>
      </w:tr>
      <w:tr w:rsidR="00446B91" w14:paraId="457D7939" w14:textId="77777777" w:rsidTr="0091342C">
        <w:tc>
          <w:tcPr>
            <w:tcW w:w="5000" w:type="pct"/>
            <w:tcBorders>
              <w:top w:val="nil"/>
              <w:left w:val="nil"/>
              <w:bottom w:val="nil"/>
              <w:right w:val="nil"/>
            </w:tcBorders>
            <w:shd w:val="clear" w:color="auto" w:fill="auto"/>
          </w:tcPr>
          <w:tbl>
            <w:tblPr>
              <w:tblW w:w="0" w:type="auto"/>
              <w:tblCellMar>
                <w:top w:w="28" w:type="dxa"/>
                <w:left w:w="0" w:type="dxa"/>
                <w:right w:w="0" w:type="dxa"/>
              </w:tblCellMar>
              <w:tblLook w:val="0000" w:firstRow="0" w:lastRow="0" w:firstColumn="0" w:lastColumn="0" w:noHBand="0" w:noVBand="0"/>
            </w:tblPr>
            <w:tblGrid>
              <w:gridCol w:w="1130"/>
              <w:gridCol w:w="1591"/>
              <w:gridCol w:w="1211"/>
              <w:gridCol w:w="1703"/>
              <w:gridCol w:w="2870"/>
            </w:tblGrid>
            <w:tr w:rsidR="00446B91" w14:paraId="7B952D47" w14:textId="77777777" w:rsidTr="0091342C">
              <w:trPr>
                <w:tblHeader/>
              </w:trPr>
              <w:tc>
                <w:tcPr>
                  <w:tcW w:w="0" w:type="auto"/>
                  <w:tcBorders>
                    <w:top w:val="single" w:sz="6" w:space="0" w:color="BFBFBF"/>
                    <w:bottom w:val="single" w:sz="6" w:space="0" w:color="BFBFBF"/>
                  </w:tcBorders>
                  <w:shd w:val="clear" w:color="auto" w:fill="auto"/>
                  <w:tcMar>
                    <w:top w:w="28" w:type="dxa"/>
                  </w:tcMar>
                </w:tcPr>
                <w:p w14:paraId="16D97436" w14:textId="77777777" w:rsidR="00446B91" w:rsidRDefault="00446B91" w:rsidP="0091342C">
                  <w:pPr>
                    <w:pStyle w:val="TableColumnHeading"/>
                    <w:jc w:val="left"/>
                  </w:pPr>
                </w:p>
              </w:tc>
              <w:tc>
                <w:tcPr>
                  <w:tcW w:w="0" w:type="auto"/>
                  <w:tcBorders>
                    <w:top w:val="single" w:sz="6" w:space="0" w:color="BFBFBF"/>
                    <w:bottom w:val="single" w:sz="6" w:space="0" w:color="BFBFBF"/>
                  </w:tcBorders>
                </w:tcPr>
                <w:p w14:paraId="2F4BEDAC" w14:textId="77777777" w:rsidR="00446B91" w:rsidRDefault="00446B91" w:rsidP="0091342C">
                  <w:pPr>
                    <w:pStyle w:val="TableColumnHeading"/>
                  </w:pPr>
                  <w:r w:rsidRPr="002A56C8">
                    <w:t>Percentage</w:t>
                  </w:r>
                  <w:r>
                    <w:noBreakHyphen/>
                  </w:r>
                  <w:r w:rsidRPr="002A56C8">
                    <w:t>based fee</w:t>
                  </w:r>
                </w:p>
              </w:tc>
              <w:tc>
                <w:tcPr>
                  <w:tcW w:w="1218" w:type="dxa"/>
                  <w:tcBorders>
                    <w:top w:val="single" w:sz="6" w:space="0" w:color="BFBFBF"/>
                    <w:bottom w:val="single" w:sz="6" w:space="0" w:color="BFBFBF"/>
                  </w:tcBorders>
                  <w:shd w:val="clear" w:color="auto" w:fill="auto"/>
                  <w:tcMar>
                    <w:top w:w="28" w:type="dxa"/>
                  </w:tcMar>
                </w:tcPr>
                <w:p w14:paraId="0EE99FDA" w14:textId="77777777" w:rsidR="00446B91" w:rsidRDefault="00446B91" w:rsidP="0091342C">
                  <w:pPr>
                    <w:pStyle w:val="TableColumnHeading"/>
                  </w:pPr>
                  <w:r w:rsidRPr="002A56C8">
                    <w:t>Fixed</w:t>
                  </w:r>
                  <w:r>
                    <w:noBreakHyphen/>
                  </w:r>
                  <w:r w:rsidRPr="002A56C8">
                    <w:t>dollar fee</w:t>
                  </w:r>
                </w:p>
              </w:tc>
              <w:tc>
                <w:tcPr>
                  <w:tcW w:w="1735" w:type="dxa"/>
                  <w:tcBorders>
                    <w:top w:val="single" w:sz="6" w:space="0" w:color="BFBFBF"/>
                    <w:bottom w:val="single" w:sz="6" w:space="0" w:color="BFBFBF"/>
                  </w:tcBorders>
                </w:tcPr>
                <w:p w14:paraId="33A622CC" w14:textId="77777777" w:rsidR="00446B91" w:rsidRDefault="00446B91" w:rsidP="0091342C">
                  <w:pPr>
                    <w:pStyle w:val="TableColumnHeading"/>
                    <w:ind w:right="28"/>
                  </w:pPr>
                  <w:r w:rsidRPr="002A56C8">
                    <w:t>Total administration fee</w:t>
                  </w:r>
                </w:p>
              </w:tc>
              <w:tc>
                <w:tcPr>
                  <w:tcW w:w="2952" w:type="dxa"/>
                  <w:tcBorders>
                    <w:top w:val="single" w:sz="6" w:space="0" w:color="BFBFBF"/>
                    <w:bottom w:val="single" w:sz="6" w:space="0" w:color="BFBFBF"/>
                  </w:tcBorders>
                  <w:shd w:val="clear" w:color="auto" w:fill="auto"/>
                  <w:tcMar>
                    <w:top w:w="28" w:type="dxa"/>
                  </w:tcMar>
                </w:tcPr>
                <w:p w14:paraId="0791B338" w14:textId="77777777" w:rsidR="00446B91" w:rsidRDefault="00446B91" w:rsidP="0091342C">
                  <w:pPr>
                    <w:pStyle w:val="TableColumnHeading"/>
                    <w:ind w:right="28"/>
                  </w:pPr>
                  <w:r>
                    <w:t>Contribution of percentage</w:t>
                  </w:r>
                  <w:r>
                    <w:noBreakHyphen/>
                    <w:t>based fee to total administration fee</w:t>
                  </w:r>
                </w:p>
              </w:tc>
            </w:tr>
            <w:tr w:rsidR="00446B91" w14:paraId="12D03FCE" w14:textId="77777777" w:rsidTr="0091342C">
              <w:tc>
                <w:tcPr>
                  <w:tcW w:w="0" w:type="auto"/>
                  <w:tcBorders>
                    <w:top w:val="single" w:sz="6" w:space="0" w:color="BFBFBF"/>
                  </w:tcBorders>
                </w:tcPr>
                <w:p w14:paraId="24F6F701" w14:textId="77777777" w:rsidR="00446B91" w:rsidRDefault="00446B91" w:rsidP="0091342C">
                  <w:pPr>
                    <w:pStyle w:val="TableUnitsRow"/>
                    <w:jc w:val="left"/>
                  </w:pPr>
                </w:p>
              </w:tc>
              <w:tc>
                <w:tcPr>
                  <w:tcW w:w="0" w:type="auto"/>
                  <w:tcBorders>
                    <w:top w:val="single" w:sz="6" w:space="0" w:color="BFBFBF"/>
                  </w:tcBorders>
                </w:tcPr>
                <w:p w14:paraId="316E9EBB" w14:textId="77777777" w:rsidR="00446B91" w:rsidRDefault="00446B91" w:rsidP="0091342C">
                  <w:pPr>
                    <w:pStyle w:val="TableUnitsRow"/>
                  </w:pPr>
                  <w:r>
                    <w:t>$</w:t>
                  </w:r>
                  <w:r>
                    <w:noBreakHyphen/>
                    <w:t>equivalent</w:t>
                  </w:r>
                </w:p>
              </w:tc>
              <w:tc>
                <w:tcPr>
                  <w:tcW w:w="1218" w:type="dxa"/>
                  <w:tcBorders>
                    <w:top w:val="single" w:sz="6" w:space="0" w:color="BFBFBF"/>
                  </w:tcBorders>
                </w:tcPr>
                <w:p w14:paraId="7BCC3CB4" w14:textId="77777777" w:rsidR="00446B91" w:rsidRDefault="00446B91" w:rsidP="0091342C">
                  <w:pPr>
                    <w:pStyle w:val="TableUnitsRow"/>
                  </w:pPr>
                  <w:r>
                    <w:t>$</w:t>
                  </w:r>
                  <w:r>
                    <w:noBreakHyphen/>
                    <w:t>equivalent</w:t>
                  </w:r>
                </w:p>
              </w:tc>
              <w:tc>
                <w:tcPr>
                  <w:tcW w:w="1735" w:type="dxa"/>
                  <w:tcBorders>
                    <w:top w:val="single" w:sz="6" w:space="0" w:color="BFBFBF"/>
                  </w:tcBorders>
                </w:tcPr>
                <w:p w14:paraId="6541BE3F" w14:textId="77777777" w:rsidR="00446B91" w:rsidRDefault="00446B91" w:rsidP="0091342C">
                  <w:pPr>
                    <w:pStyle w:val="TableUnitsRow"/>
                    <w:ind w:right="28"/>
                  </w:pPr>
                  <w:r w:rsidRPr="00954F48">
                    <w:t>$</w:t>
                  </w:r>
                  <w:r>
                    <w:noBreakHyphen/>
                  </w:r>
                  <w:r w:rsidRPr="00954F48">
                    <w:t>equivalent</w:t>
                  </w:r>
                </w:p>
              </w:tc>
              <w:tc>
                <w:tcPr>
                  <w:tcW w:w="2952" w:type="dxa"/>
                  <w:tcBorders>
                    <w:top w:val="single" w:sz="6" w:space="0" w:color="BFBFBF"/>
                  </w:tcBorders>
                </w:tcPr>
                <w:p w14:paraId="262C76A4" w14:textId="77777777" w:rsidR="00446B91" w:rsidRDefault="00446B91" w:rsidP="0091342C">
                  <w:pPr>
                    <w:pStyle w:val="TableUnitsRow"/>
                    <w:ind w:right="28"/>
                  </w:pPr>
                  <w:r>
                    <w:t>% share</w:t>
                  </w:r>
                </w:p>
              </w:tc>
            </w:tr>
            <w:tr w:rsidR="00446B91" w14:paraId="1ABE67A6" w14:textId="77777777" w:rsidTr="0091342C">
              <w:tc>
                <w:tcPr>
                  <w:tcW w:w="0" w:type="auto"/>
                </w:tcPr>
                <w:p w14:paraId="5A2C8D96" w14:textId="77777777" w:rsidR="00446B91" w:rsidRDefault="00446B91" w:rsidP="0091342C">
                  <w:pPr>
                    <w:pStyle w:val="TableBodyText"/>
                    <w:jc w:val="left"/>
                  </w:pPr>
                  <w:r>
                    <w:t>Retail</w:t>
                  </w:r>
                </w:p>
              </w:tc>
              <w:tc>
                <w:tcPr>
                  <w:tcW w:w="0" w:type="auto"/>
                </w:tcPr>
                <w:p w14:paraId="7A40A5D4" w14:textId="77777777" w:rsidR="00446B91" w:rsidRDefault="00446B91" w:rsidP="0091342C">
                  <w:pPr>
                    <w:pStyle w:val="TableBodyText"/>
                  </w:pPr>
                  <w:r w:rsidRPr="00592AF8">
                    <w:t>268</w:t>
                  </w:r>
                </w:p>
              </w:tc>
              <w:tc>
                <w:tcPr>
                  <w:tcW w:w="1218" w:type="dxa"/>
                </w:tcPr>
                <w:p w14:paraId="1D26BD43" w14:textId="77777777" w:rsidR="00446B91" w:rsidRDefault="00446B91" w:rsidP="0091342C">
                  <w:pPr>
                    <w:pStyle w:val="TableBodyText"/>
                  </w:pPr>
                  <w:r w:rsidRPr="00592AF8">
                    <w:t>106</w:t>
                  </w:r>
                </w:p>
              </w:tc>
              <w:tc>
                <w:tcPr>
                  <w:tcW w:w="1735" w:type="dxa"/>
                </w:tcPr>
                <w:p w14:paraId="723787EE" w14:textId="77777777" w:rsidR="00446B91" w:rsidRDefault="00446B91" w:rsidP="0091342C">
                  <w:pPr>
                    <w:pStyle w:val="TableBodyText"/>
                    <w:ind w:right="28"/>
                  </w:pPr>
                  <w:r w:rsidRPr="00592AF8">
                    <w:t>374</w:t>
                  </w:r>
                </w:p>
              </w:tc>
              <w:tc>
                <w:tcPr>
                  <w:tcW w:w="2952" w:type="dxa"/>
                </w:tcPr>
                <w:p w14:paraId="5766B86F" w14:textId="77777777" w:rsidR="00446B91" w:rsidRDefault="00446B91" w:rsidP="0091342C">
                  <w:pPr>
                    <w:pStyle w:val="TableBodyText"/>
                    <w:ind w:right="28"/>
                  </w:pPr>
                  <w:r w:rsidRPr="00592AF8">
                    <w:t>72</w:t>
                  </w:r>
                </w:p>
              </w:tc>
            </w:tr>
            <w:tr w:rsidR="00446B91" w14:paraId="1FB08882" w14:textId="77777777" w:rsidTr="0091342C">
              <w:tc>
                <w:tcPr>
                  <w:tcW w:w="0" w:type="auto"/>
                </w:tcPr>
                <w:p w14:paraId="159AFF4F" w14:textId="77777777" w:rsidR="00446B91" w:rsidRDefault="00446B91" w:rsidP="0091342C">
                  <w:pPr>
                    <w:pStyle w:val="TableBodyText"/>
                    <w:jc w:val="left"/>
                  </w:pPr>
                  <w:r>
                    <w:t>Not</w:t>
                  </w:r>
                  <w:r>
                    <w:noBreakHyphen/>
                    <w:t>for</w:t>
                  </w:r>
                  <w:r>
                    <w:noBreakHyphen/>
                    <w:t>profit</w:t>
                  </w:r>
                </w:p>
              </w:tc>
              <w:tc>
                <w:tcPr>
                  <w:tcW w:w="0" w:type="auto"/>
                </w:tcPr>
                <w:p w14:paraId="76412F6B" w14:textId="77777777" w:rsidR="00446B91" w:rsidRDefault="00446B91" w:rsidP="0091342C">
                  <w:pPr>
                    <w:pStyle w:val="TableBodyText"/>
                  </w:pPr>
                  <w:r w:rsidRPr="00592AF8">
                    <w:t>61</w:t>
                  </w:r>
                </w:p>
              </w:tc>
              <w:tc>
                <w:tcPr>
                  <w:tcW w:w="1218" w:type="dxa"/>
                </w:tcPr>
                <w:p w14:paraId="3DC52524" w14:textId="77777777" w:rsidR="00446B91" w:rsidRDefault="00446B91" w:rsidP="0091342C">
                  <w:pPr>
                    <w:pStyle w:val="TableBodyText"/>
                  </w:pPr>
                  <w:r w:rsidRPr="00592AF8">
                    <w:t>66</w:t>
                  </w:r>
                </w:p>
              </w:tc>
              <w:tc>
                <w:tcPr>
                  <w:tcW w:w="1735" w:type="dxa"/>
                </w:tcPr>
                <w:p w14:paraId="4F2EA6ED" w14:textId="77777777" w:rsidR="00446B91" w:rsidRDefault="00446B91" w:rsidP="0091342C">
                  <w:pPr>
                    <w:pStyle w:val="TableBodyText"/>
                    <w:ind w:right="28"/>
                  </w:pPr>
                  <w:r w:rsidRPr="00592AF8">
                    <w:t>127</w:t>
                  </w:r>
                </w:p>
              </w:tc>
              <w:tc>
                <w:tcPr>
                  <w:tcW w:w="2952" w:type="dxa"/>
                </w:tcPr>
                <w:p w14:paraId="4BC6AB90" w14:textId="77777777" w:rsidR="00446B91" w:rsidRDefault="00446B91" w:rsidP="0091342C">
                  <w:pPr>
                    <w:pStyle w:val="TableBodyText"/>
                    <w:ind w:right="28"/>
                  </w:pPr>
                  <w:r w:rsidRPr="00592AF8">
                    <w:t>48</w:t>
                  </w:r>
                </w:p>
              </w:tc>
            </w:tr>
            <w:tr w:rsidR="00446B91" w14:paraId="2D89CB43" w14:textId="77777777" w:rsidTr="0091342C">
              <w:tc>
                <w:tcPr>
                  <w:tcW w:w="0" w:type="auto"/>
                  <w:tcBorders>
                    <w:bottom w:val="single" w:sz="6" w:space="0" w:color="BFBFBF"/>
                  </w:tcBorders>
                  <w:shd w:val="clear" w:color="auto" w:fill="auto"/>
                </w:tcPr>
                <w:p w14:paraId="5271AADB" w14:textId="77777777" w:rsidR="00446B91" w:rsidRPr="0014031F" w:rsidRDefault="00446B91" w:rsidP="0091342C">
                  <w:pPr>
                    <w:pStyle w:val="TableBodyText"/>
                    <w:spacing w:before="40"/>
                    <w:jc w:val="left"/>
                    <w:rPr>
                      <w:b/>
                    </w:rPr>
                  </w:pPr>
                  <w:r w:rsidRPr="0014031F">
                    <w:rPr>
                      <w:b/>
                    </w:rPr>
                    <w:t>Total</w:t>
                  </w:r>
                </w:p>
              </w:tc>
              <w:tc>
                <w:tcPr>
                  <w:tcW w:w="0" w:type="auto"/>
                  <w:tcBorders>
                    <w:bottom w:val="single" w:sz="6" w:space="0" w:color="BFBFBF"/>
                  </w:tcBorders>
                </w:tcPr>
                <w:p w14:paraId="6DB48645" w14:textId="77777777" w:rsidR="00446B91" w:rsidRPr="0014031F" w:rsidRDefault="00446B91" w:rsidP="0091342C">
                  <w:pPr>
                    <w:pStyle w:val="TableBodyText"/>
                    <w:spacing w:before="40"/>
                    <w:rPr>
                      <w:b/>
                    </w:rPr>
                  </w:pPr>
                  <w:r w:rsidRPr="0014031F">
                    <w:rPr>
                      <w:b/>
                    </w:rPr>
                    <w:t>139</w:t>
                  </w:r>
                </w:p>
              </w:tc>
              <w:tc>
                <w:tcPr>
                  <w:tcW w:w="1218" w:type="dxa"/>
                  <w:tcBorders>
                    <w:bottom w:val="single" w:sz="6" w:space="0" w:color="BFBFBF"/>
                  </w:tcBorders>
                  <w:shd w:val="clear" w:color="auto" w:fill="auto"/>
                </w:tcPr>
                <w:p w14:paraId="419008CA" w14:textId="77777777" w:rsidR="00446B91" w:rsidRPr="0014031F" w:rsidRDefault="00446B91" w:rsidP="0091342C">
                  <w:pPr>
                    <w:pStyle w:val="TableBodyText"/>
                    <w:spacing w:before="40"/>
                    <w:rPr>
                      <w:b/>
                    </w:rPr>
                  </w:pPr>
                  <w:r w:rsidRPr="0014031F">
                    <w:rPr>
                      <w:b/>
                    </w:rPr>
                    <w:t>81</w:t>
                  </w:r>
                </w:p>
              </w:tc>
              <w:tc>
                <w:tcPr>
                  <w:tcW w:w="1735" w:type="dxa"/>
                  <w:tcBorders>
                    <w:bottom w:val="single" w:sz="6" w:space="0" w:color="BFBFBF"/>
                  </w:tcBorders>
                </w:tcPr>
                <w:p w14:paraId="4DAE13CF" w14:textId="77777777" w:rsidR="00446B91" w:rsidRPr="0014031F" w:rsidRDefault="00446B91" w:rsidP="0091342C">
                  <w:pPr>
                    <w:pStyle w:val="TableBodyText"/>
                    <w:spacing w:before="40"/>
                    <w:ind w:right="28"/>
                    <w:rPr>
                      <w:b/>
                    </w:rPr>
                  </w:pPr>
                  <w:r w:rsidRPr="0014031F">
                    <w:rPr>
                      <w:b/>
                    </w:rPr>
                    <w:t>219</w:t>
                  </w:r>
                </w:p>
              </w:tc>
              <w:tc>
                <w:tcPr>
                  <w:tcW w:w="2952" w:type="dxa"/>
                  <w:tcBorders>
                    <w:bottom w:val="single" w:sz="6" w:space="0" w:color="BFBFBF"/>
                  </w:tcBorders>
                  <w:shd w:val="clear" w:color="auto" w:fill="auto"/>
                </w:tcPr>
                <w:p w14:paraId="2A3AD1A7" w14:textId="77777777" w:rsidR="00446B91" w:rsidRPr="0014031F" w:rsidRDefault="00446B91" w:rsidP="0091342C">
                  <w:pPr>
                    <w:pStyle w:val="TableBodyText"/>
                    <w:spacing w:before="40"/>
                    <w:ind w:right="28"/>
                    <w:rPr>
                      <w:b/>
                    </w:rPr>
                  </w:pPr>
                  <w:r w:rsidRPr="0014031F">
                    <w:rPr>
                      <w:b/>
                    </w:rPr>
                    <w:t>63</w:t>
                  </w:r>
                </w:p>
              </w:tc>
            </w:tr>
          </w:tbl>
          <w:p w14:paraId="1A4789C8" w14:textId="77777777" w:rsidR="00446B91" w:rsidRDefault="00446B91" w:rsidP="0091342C">
            <w:pPr>
              <w:pStyle w:val="Box"/>
            </w:pPr>
          </w:p>
        </w:tc>
      </w:tr>
      <w:tr w:rsidR="00446B91" w14:paraId="19EB26C3" w14:textId="77777777" w:rsidTr="0091342C">
        <w:tc>
          <w:tcPr>
            <w:tcW w:w="5000" w:type="pct"/>
            <w:tcBorders>
              <w:top w:val="nil"/>
              <w:left w:val="nil"/>
              <w:bottom w:val="nil"/>
              <w:right w:val="nil"/>
            </w:tcBorders>
            <w:shd w:val="clear" w:color="auto" w:fill="auto"/>
          </w:tcPr>
          <w:p w14:paraId="79A0690E" w14:textId="77777777" w:rsidR="00446B91" w:rsidRDefault="00446B91" w:rsidP="0091342C">
            <w:pPr>
              <w:pStyle w:val="Note"/>
              <w:rPr>
                <w:i/>
              </w:rPr>
            </w:pPr>
            <w:r w:rsidRPr="008E77FE">
              <w:rPr>
                <w:rStyle w:val="NoteLabel"/>
              </w:rPr>
              <w:t>a</w:t>
            </w:r>
            <w:r>
              <w:t xml:space="preserve"> </w:t>
            </w:r>
            <w:r w:rsidRPr="00000A45">
              <w:t>Data are for a representative asset balance of $50</w:t>
            </w:r>
            <w:r>
              <w:t> </w:t>
            </w:r>
            <w:r w:rsidRPr="00000A45">
              <w:t>000.</w:t>
            </w:r>
          </w:p>
        </w:tc>
      </w:tr>
      <w:tr w:rsidR="00446B91" w14:paraId="0560152F" w14:textId="77777777" w:rsidTr="0091342C">
        <w:tc>
          <w:tcPr>
            <w:tcW w:w="5000" w:type="pct"/>
            <w:tcBorders>
              <w:top w:val="nil"/>
              <w:left w:val="nil"/>
              <w:bottom w:val="nil"/>
              <w:right w:val="nil"/>
            </w:tcBorders>
            <w:shd w:val="clear" w:color="auto" w:fill="auto"/>
          </w:tcPr>
          <w:p w14:paraId="6D3AD73C" w14:textId="77777777" w:rsidR="00446B91" w:rsidRDefault="00446B91" w:rsidP="0091342C">
            <w:pPr>
              <w:pStyle w:val="Source"/>
            </w:pPr>
            <w:r>
              <w:rPr>
                <w:i/>
              </w:rPr>
              <w:t>Source</w:t>
            </w:r>
            <w:r w:rsidRPr="00167F06">
              <w:t xml:space="preserve">: </w:t>
            </w:r>
            <w:r w:rsidRPr="00000A45">
              <w:t xml:space="preserve">PC analysis of </w:t>
            </w:r>
            <w:proofErr w:type="spellStart"/>
            <w:r w:rsidRPr="00000A45">
              <w:t>SuperRatings</w:t>
            </w:r>
            <w:proofErr w:type="spellEnd"/>
            <w:r w:rsidRPr="00000A45">
              <w:t xml:space="preserve"> data</w:t>
            </w:r>
            <w:r>
              <w:t>.</w:t>
            </w:r>
          </w:p>
        </w:tc>
      </w:tr>
      <w:tr w:rsidR="00446B91" w14:paraId="2FB61574" w14:textId="77777777" w:rsidTr="0091342C">
        <w:tc>
          <w:tcPr>
            <w:tcW w:w="5000" w:type="pct"/>
            <w:tcBorders>
              <w:top w:val="nil"/>
              <w:left w:val="nil"/>
              <w:bottom w:val="single" w:sz="6" w:space="0" w:color="78A22F"/>
              <w:right w:val="nil"/>
            </w:tcBorders>
            <w:shd w:val="clear" w:color="auto" w:fill="auto"/>
          </w:tcPr>
          <w:p w14:paraId="52194D44" w14:textId="77777777" w:rsidR="00446B91" w:rsidRDefault="00446B91" w:rsidP="0091342C">
            <w:pPr>
              <w:pStyle w:val="Box"/>
              <w:spacing w:before="0" w:line="120" w:lineRule="exact"/>
            </w:pPr>
          </w:p>
        </w:tc>
      </w:tr>
      <w:tr w:rsidR="00446B91" w:rsidRPr="000863A5" w14:paraId="7BCCCFE0" w14:textId="77777777" w:rsidTr="0091342C">
        <w:tc>
          <w:tcPr>
            <w:tcW w:w="5000" w:type="pct"/>
            <w:tcBorders>
              <w:top w:val="single" w:sz="6" w:space="0" w:color="78A22F"/>
              <w:left w:val="nil"/>
              <w:bottom w:val="nil"/>
              <w:right w:val="nil"/>
            </w:tcBorders>
          </w:tcPr>
          <w:p w14:paraId="7761BE42" w14:textId="77777777" w:rsidR="00446B91" w:rsidRPr="00626D32" w:rsidRDefault="00446B91" w:rsidP="0091342C">
            <w:pPr>
              <w:pStyle w:val="BoxSpaceBelow"/>
            </w:pPr>
          </w:p>
        </w:tc>
      </w:tr>
    </w:tbl>
    <w:p w14:paraId="7B4FC5C6" w14:textId="77777777" w:rsidR="00446B91" w:rsidRDefault="00446B91" w:rsidP="00446B91">
      <w:pPr>
        <w:pStyle w:val="BodyText"/>
      </w:pPr>
      <w:r>
        <w:t>The estimates above do not include data for caps on percentage</w:t>
      </w:r>
      <w:r>
        <w:noBreakHyphen/>
        <w:t xml:space="preserve">based fees because these data are currently only available from APRA for </w:t>
      </w:r>
      <w:proofErr w:type="spellStart"/>
      <w:r>
        <w:t>MySuper</w:t>
      </w:r>
      <w:proofErr w:type="spellEnd"/>
      <w:r>
        <w:t xml:space="preserve"> products. APRA data indicated that caps on </w:t>
      </w:r>
      <w:proofErr w:type="spellStart"/>
      <w:r>
        <w:t>MySuper</w:t>
      </w:r>
      <w:proofErr w:type="spellEnd"/>
      <w:r>
        <w:t xml:space="preserve"> products ranged from $73 to $2735 per member per year in 2017 </w:t>
      </w:r>
      <w:r w:rsidRPr="00E65644">
        <w:rPr>
          <w:szCs w:val="24"/>
        </w:rPr>
        <w:t>(APRA </w:t>
      </w:r>
      <w:proofErr w:type="spellStart"/>
      <w:r w:rsidRPr="00E65644">
        <w:rPr>
          <w:szCs w:val="24"/>
        </w:rPr>
        <w:t>2018a</w:t>
      </w:r>
      <w:proofErr w:type="spellEnd"/>
      <w:r w:rsidRPr="00E65644">
        <w:rPr>
          <w:szCs w:val="24"/>
        </w:rPr>
        <w:t>, table 3)</w:t>
      </w:r>
      <w:r>
        <w:t xml:space="preserve">. </w:t>
      </w:r>
    </w:p>
    <w:p w14:paraId="3E633172" w14:textId="77777777" w:rsidR="00446B91" w:rsidRDefault="00446B91" w:rsidP="00446B91">
      <w:pPr>
        <w:pStyle w:val="Heading3"/>
      </w:pPr>
      <w:proofErr w:type="spellStart"/>
      <w:r>
        <w:t>SMSF</w:t>
      </w:r>
      <w:proofErr w:type="spellEnd"/>
      <w:r>
        <w:t xml:space="preserve"> expenses</w:t>
      </w:r>
    </w:p>
    <w:p w14:paraId="7E6CA745" w14:textId="77777777" w:rsidR="00446B91" w:rsidRDefault="00446B91" w:rsidP="00446B91">
      <w:pPr>
        <w:pStyle w:val="Heading4"/>
        <w:spacing w:before="240"/>
      </w:pPr>
      <w:r>
        <w:t>Age and size data</w:t>
      </w:r>
    </w:p>
    <w:p w14:paraId="2959FF80" w14:textId="77777777" w:rsidR="00446B91" w:rsidRDefault="00446B91" w:rsidP="00446B91">
      <w:pPr>
        <w:pStyle w:val="BodyText"/>
      </w:pPr>
      <w:r>
        <w:t xml:space="preserve">To shed light on whether </w:t>
      </w:r>
      <w:proofErr w:type="spellStart"/>
      <w:r>
        <w:t>SMSF</w:t>
      </w:r>
      <w:proofErr w:type="spellEnd"/>
      <w:r>
        <w:t xml:space="preserve"> returns are biased by establishment costs, the Commission obtained </w:t>
      </w:r>
      <w:proofErr w:type="spellStart"/>
      <w:r>
        <w:t>ATO</w:t>
      </w:r>
      <w:proofErr w:type="spellEnd"/>
      <w:r>
        <w:t xml:space="preserve"> data on returns and expenses by the age and size of </w:t>
      </w:r>
      <w:proofErr w:type="spellStart"/>
      <w:r>
        <w:t>SMSFs</w:t>
      </w:r>
      <w:proofErr w:type="spellEnd"/>
      <w:r>
        <w:t xml:space="preserve"> (in size brackets based on balances at the beginning of each year). While most </w:t>
      </w:r>
      <w:proofErr w:type="spellStart"/>
      <w:r>
        <w:t>SMSFs</w:t>
      </w:r>
      <w:proofErr w:type="spellEnd"/>
      <w:r>
        <w:t xml:space="preserve"> have existed for five or more years, a material portion is younger than this, especially in the smaller size brackets (figure 5.4). This size and age distribution has not changed markedly in the five years to 2016.</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46B91" w14:paraId="74196B60" w14:textId="77777777" w:rsidTr="0091342C">
        <w:trPr>
          <w:tblHeader/>
        </w:trPr>
        <w:tc>
          <w:tcPr>
            <w:tcW w:w="5000" w:type="pct"/>
            <w:tcBorders>
              <w:top w:val="single" w:sz="6" w:space="0" w:color="78A22F"/>
              <w:left w:val="nil"/>
              <w:bottom w:val="nil"/>
              <w:right w:val="nil"/>
            </w:tcBorders>
            <w:shd w:val="clear" w:color="auto" w:fill="auto"/>
          </w:tcPr>
          <w:p w14:paraId="7CAB87AB" w14:textId="77777777" w:rsidR="00446B91" w:rsidRDefault="00446B91" w:rsidP="0091342C">
            <w:pPr>
              <w:pStyle w:val="FigureTitle"/>
            </w:pPr>
            <w:r w:rsidRPr="00784A05">
              <w:rPr>
                <w:b w:val="0"/>
              </w:rPr>
              <w:lastRenderedPageBreak/>
              <w:t>Figure</w:t>
            </w:r>
            <w:r>
              <w:rPr>
                <w:b w:val="0"/>
              </w:rPr>
              <w:t> 5.</w:t>
            </w:r>
            <w:r>
              <w:rPr>
                <w:b w:val="0"/>
                <w:noProof/>
              </w:rPr>
              <w:t>4</w:t>
            </w:r>
            <w:r>
              <w:tab/>
              <w:t xml:space="preserve">Younger </w:t>
            </w:r>
            <w:proofErr w:type="spellStart"/>
            <w:r>
              <w:t>SMSFs</w:t>
            </w:r>
            <w:proofErr w:type="spellEnd"/>
            <w:r>
              <w:t xml:space="preserve"> are more prevalent in smaller size brackets</w:t>
            </w:r>
          </w:p>
          <w:p w14:paraId="5B80B7D6" w14:textId="77777777" w:rsidR="00446B91" w:rsidRPr="00176D3F" w:rsidRDefault="00446B91" w:rsidP="0091342C">
            <w:pPr>
              <w:pStyle w:val="Subtitle"/>
            </w:pPr>
            <w:r w:rsidRPr="00E73622">
              <w:rPr>
                <w:rStyle w:val="SubtitleChar"/>
              </w:rPr>
              <w:t>2016</w:t>
            </w:r>
          </w:p>
        </w:tc>
      </w:tr>
      <w:tr w:rsidR="00446B91" w14:paraId="7F81D56B" w14:textId="77777777" w:rsidTr="0091342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446B91" w:rsidRPr="00B1465D" w14:paraId="42479204" w14:textId="77777777" w:rsidTr="0091342C">
              <w:trPr>
                <w:trHeight w:val="129"/>
                <w:tblHeader/>
                <w:jc w:val="center"/>
              </w:trPr>
              <w:tc>
                <w:tcPr>
                  <w:tcW w:w="5000" w:type="pct"/>
                  <w:tcBorders>
                    <w:top w:val="nil"/>
                    <w:bottom w:val="nil"/>
                  </w:tcBorders>
                </w:tcPr>
                <w:p w14:paraId="0E392B87" w14:textId="77777777" w:rsidR="00446B91" w:rsidRPr="00B1465D" w:rsidRDefault="00446B91" w:rsidP="0091342C">
                  <w:pPr>
                    <w:pStyle w:val="Figure"/>
                    <w:spacing w:before="60" w:after="60"/>
                    <w:rPr>
                      <w:rFonts w:ascii="Arial" w:hAnsi="Arial" w:cs="Arial"/>
                      <w:sz w:val="18"/>
                      <w:szCs w:val="18"/>
                    </w:rPr>
                  </w:pPr>
                  <w:r w:rsidRPr="00862CC1">
                    <w:rPr>
                      <w:rFonts w:ascii="Arial" w:hAnsi="Arial" w:cs="Arial"/>
                      <w:noProof/>
                      <w:sz w:val="18"/>
                      <w:szCs w:val="18"/>
                    </w:rPr>
                    <w:drawing>
                      <wp:inline distT="0" distB="0" distL="0" distR="0" wp14:anchorId="47893650" wp14:editId="75F57F63">
                        <wp:extent cx="5403714" cy="2333602"/>
                        <wp:effectExtent l="0" t="0" r="6985" b="0"/>
                        <wp:docPr id="231" name="Picture 231" descr="This figure shows the age profile for SMSFs in each size bracket in 2016, which indicates that SMSFs of 5 or more years age are more prevalent in higher brack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9604" cy="2336146"/>
                                </a:xfrm>
                                <a:prstGeom prst="rect">
                                  <a:avLst/>
                                </a:prstGeom>
                                <a:noFill/>
                                <a:ln>
                                  <a:noFill/>
                                </a:ln>
                              </pic:spPr>
                            </pic:pic>
                          </a:graphicData>
                        </a:graphic>
                      </wp:inline>
                    </w:drawing>
                  </w:r>
                </w:p>
              </w:tc>
            </w:tr>
            <w:tr w:rsidR="00446B91" w:rsidRPr="00B1465D" w14:paraId="3B39ACBD" w14:textId="77777777" w:rsidTr="0091342C">
              <w:trPr>
                <w:trHeight w:val="129"/>
                <w:tblHeader/>
                <w:jc w:val="center"/>
              </w:trPr>
              <w:tc>
                <w:tcPr>
                  <w:tcW w:w="5000" w:type="pct"/>
                  <w:tcBorders>
                    <w:top w:val="nil"/>
                    <w:bottom w:val="nil"/>
                  </w:tcBorders>
                </w:tcPr>
                <w:p w14:paraId="4EB9713A" w14:textId="77777777" w:rsidR="00446B91" w:rsidRDefault="00446B91" w:rsidP="0091342C">
                  <w:pPr>
                    <w:pStyle w:val="Figure"/>
                    <w:spacing w:before="60" w:after="60"/>
                    <w:rPr>
                      <w:rFonts w:ascii="Arial" w:hAnsi="Arial" w:cs="Arial"/>
                      <w:sz w:val="18"/>
                      <w:szCs w:val="18"/>
                    </w:rPr>
                  </w:pPr>
                  <w:r w:rsidRPr="00862CC1">
                    <w:rPr>
                      <w:rFonts w:ascii="Arial" w:hAnsi="Arial" w:cs="Arial"/>
                      <w:noProof/>
                      <w:sz w:val="18"/>
                      <w:szCs w:val="18"/>
                    </w:rPr>
                    <w:drawing>
                      <wp:inline distT="0" distB="0" distL="0" distR="0" wp14:anchorId="6625017B" wp14:editId="34B6CA17">
                        <wp:extent cx="5369668" cy="2120067"/>
                        <wp:effectExtent l="0" t="0" r="2540" b="0"/>
                        <wp:docPr id="232" name="Picture 232" descr="The figure shows the composition by size bracket of SMSFs in each age cohort. Five per cent of SMSFs were less than 2 years of age in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8623" cy="2123603"/>
                                </a:xfrm>
                                <a:prstGeom prst="rect">
                                  <a:avLst/>
                                </a:prstGeom>
                                <a:noFill/>
                                <a:ln>
                                  <a:noFill/>
                                </a:ln>
                              </pic:spPr>
                            </pic:pic>
                          </a:graphicData>
                        </a:graphic>
                      </wp:inline>
                    </w:drawing>
                  </w:r>
                </w:p>
              </w:tc>
            </w:tr>
          </w:tbl>
          <w:p w14:paraId="2EA4B35D" w14:textId="77777777" w:rsidR="00446B91" w:rsidRDefault="00446B91" w:rsidP="0091342C">
            <w:pPr>
              <w:pStyle w:val="Figure"/>
            </w:pPr>
          </w:p>
        </w:tc>
      </w:tr>
      <w:tr w:rsidR="00446B91" w:rsidRPr="00176D3F" w14:paraId="490DEB2B" w14:textId="77777777" w:rsidTr="0091342C">
        <w:tc>
          <w:tcPr>
            <w:tcW w:w="5000" w:type="pct"/>
            <w:tcBorders>
              <w:top w:val="nil"/>
              <w:left w:val="nil"/>
              <w:bottom w:val="nil"/>
              <w:right w:val="nil"/>
            </w:tcBorders>
            <w:shd w:val="clear" w:color="auto" w:fill="auto"/>
          </w:tcPr>
          <w:tbl>
            <w:tblPr>
              <w:tblW w:w="8505" w:type="dxa"/>
              <w:tblLook w:val="04A0" w:firstRow="1" w:lastRow="0" w:firstColumn="1" w:lastColumn="0" w:noHBand="0" w:noVBand="1"/>
            </w:tblPr>
            <w:tblGrid>
              <w:gridCol w:w="1614"/>
              <w:gridCol w:w="2783"/>
              <w:gridCol w:w="1606"/>
              <w:gridCol w:w="2502"/>
            </w:tblGrid>
            <w:tr w:rsidR="00446B91" w14:paraId="05AD1B73" w14:textId="77777777" w:rsidTr="0091342C">
              <w:trPr>
                <w:tblHeader/>
              </w:trPr>
              <w:tc>
                <w:tcPr>
                  <w:tcW w:w="949" w:type="pct"/>
                  <w:shd w:val="clear" w:color="auto" w:fill="F2F2F2" w:themeFill="background1" w:themeFillShade="F2"/>
                </w:tcPr>
                <w:p w14:paraId="32E55385" w14:textId="77777777" w:rsidR="00446B91" w:rsidRDefault="00446B91" w:rsidP="0091342C">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4051" w:type="pct"/>
                  <w:gridSpan w:val="3"/>
                  <w:shd w:val="clear" w:color="auto" w:fill="F2F2F2" w:themeFill="background1" w:themeFillShade="F2"/>
                </w:tcPr>
                <w:p w14:paraId="22C1F3A7" w14:textId="77777777" w:rsidR="00446B91" w:rsidRDefault="00446B91" w:rsidP="0091342C">
                  <w:pPr>
                    <w:pStyle w:val="Figure"/>
                    <w:spacing w:before="0" w:after="0"/>
                    <w:jc w:val="left"/>
                    <w:rPr>
                      <w:rFonts w:ascii="Arial" w:hAnsi="Arial" w:cs="Arial"/>
                      <w:sz w:val="18"/>
                      <w:szCs w:val="18"/>
                    </w:rPr>
                  </w:pPr>
                  <w:proofErr w:type="spellStart"/>
                  <w:r>
                    <w:rPr>
                      <w:rFonts w:asciiTheme="minorHAnsi" w:hAnsi="Arial" w:cstheme="minorBidi"/>
                      <w:color w:val="000000" w:themeColor="text1"/>
                      <w:kern w:val="24"/>
                      <w:sz w:val="18"/>
                      <w:szCs w:val="18"/>
                    </w:rPr>
                    <w:t>ATO</w:t>
                  </w:r>
                  <w:proofErr w:type="spellEnd"/>
                  <w:r>
                    <w:rPr>
                      <w:rFonts w:asciiTheme="minorHAnsi" w:hAnsi="Arial" w:cstheme="minorBidi"/>
                      <w:color w:val="000000" w:themeColor="text1"/>
                      <w:kern w:val="24"/>
                      <w:sz w:val="18"/>
                      <w:szCs w:val="18"/>
                    </w:rPr>
                    <w:t> (pers. comm., 31 August 2018, 24 September 2018).</w:t>
                  </w:r>
                </w:p>
              </w:tc>
            </w:tr>
            <w:tr w:rsidR="00446B91" w:rsidRPr="0032089A" w14:paraId="4E94207E" w14:textId="77777777" w:rsidTr="0091342C">
              <w:tc>
                <w:tcPr>
                  <w:tcW w:w="949" w:type="pct"/>
                  <w:shd w:val="clear" w:color="auto" w:fill="F2F2F2" w:themeFill="background1" w:themeFillShade="F2"/>
                </w:tcPr>
                <w:p w14:paraId="5D02ACB8" w14:textId="77777777" w:rsidR="00446B91" w:rsidRDefault="00446B91" w:rsidP="0091342C">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p>
              </w:tc>
              <w:tc>
                <w:tcPr>
                  <w:tcW w:w="4051" w:type="pct"/>
                  <w:gridSpan w:val="3"/>
                  <w:shd w:val="clear" w:color="auto" w:fill="F2F2F2" w:themeFill="background1" w:themeFillShade="F2"/>
                </w:tcPr>
                <w:p w14:paraId="4AA8F38C" w14:textId="77777777" w:rsidR="00446B91" w:rsidRPr="0032089A" w:rsidRDefault="00446B91" w:rsidP="0091342C">
                  <w:pPr>
                    <w:pStyle w:val="NormalWeb"/>
                    <w:rPr>
                      <w:color w:val="000000" w:themeColor="text1"/>
                      <w:sz w:val="18"/>
                      <w:szCs w:val="18"/>
                    </w:rPr>
                  </w:pPr>
                  <w:r w:rsidRPr="002420FA">
                    <w:rPr>
                      <w:rFonts w:asciiTheme="minorHAnsi" w:hAnsi="Arial" w:cstheme="minorBidi"/>
                      <w:color w:val="000000" w:themeColor="text1"/>
                      <w:kern w:val="24"/>
                      <w:sz w:val="18"/>
                      <w:szCs w:val="18"/>
                    </w:rPr>
                    <w:t xml:space="preserve">The </w:t>
                  </w:r>
                  <w:proofErr w:type="spellStart"/>
                  <w:r w:rsidRPr="002420FA">
                    <w:rPr>
                      <w:rFonts w:asciiTheme="minorHAnsi" w:hAnsi="Arial" w:cstheme="minorBidi"/>
                      <w:color w:val="000000" w:themeColor="text1"/>
                      <w:kern w:val="24"/>
                      <w:sz w:val="18"/>
                      <w:szCs w:val="18"/>
                    </w:rPr>
                    <w:t>ATO</w:t>
                  </w:r>
                  <w:proofErr w:type="spellEnd"/>
                  <w:r w:rsidRPr="002420FA">
                    <w:rPr>
                      <w:rFonts w:asciiTheme="minorHAnsi" w:hAnsi="Arial" w:cstheme="minorBidi"/>
                      <w:color w:val="000000" w:themeColor="text1"/>
                      <w:kern w:val="24"/>
                      <w:sz w:val="18"/>
                      <w:szCs w:val="18"/>
                    </w:rPr>
                    <w:t xml:space="preserve"> data represent all </w:t>
                  </w:r>
                  <w:proofErr w:type="spellStart"/>
                  <w:r w:rsidRPr="002420FA">
                    <w:rPr>
                      <w:rFonts w:asciiTheme="minorHAnsi" w:hAnsi="Arial" w:cstheme="minorBidi"/>
                      <w:color w:val="000000" w:themeColor="text1"/>
                      <w:kern w:val="24"/>
                      <w:sz w:val="18"/>
                      <w:szCs w:val="18"/>
                    </w:rPr>
                    <w:t>SMSFs</w:t>
                  </w:r>
                  <w:proofErr w:type="spellEnd"/>
                  <w:r w:rsidRPr="002420FA">
                    <w:rPr>
                      <w:rFonts w:asciiTheme="minorHAnsi" w:hAnsi="Arial" w:cstheme="minorBidi"/>
                      <w:color w:val="000000" w:themeColor="text1"/>
                      <w:kern w:val="24"/>
                      <w:sz w:val="18"/>
                      <w:szCs w:val="18"/>
                    </w:rPr>
                    <w:t xml:space="preserve"> in the system</w:t>
                  </w:r>
                  <w:r>
                    <w:rPr>
                      <w:rFonts w:asciiTheme="minorHAnsi" w:hAnsi="Arial" w:cstheme="minorBidi"/>
                      <w:color w:val="000000" w:themeColor="text1"/>
                      <w:kern w:val="24"/>
                      <w:sz w:val="18"/>
                      <w:szCs w:val="18"/>
                    </w:rPr>
                    <w:t>.</w:t>
                  </w:r>
                </w:p>
              </w:tc>
            </w:tr>
            <w:tr w:rsidR="00446B91" w:rsidDel="009516F9" w14:paraId="410BC7BB" w14:textId="77777777" w:rsidTr="0091342C">
              <w:tc>
                <w:tcPr>
                  <w:tcW w:w="949" w:type="pct"/>
                  <w:shd w:val="clear" w:color="auto" w:fill="F2F2F2" w:themeFill="background1" w:themeFillShade="F2"/>
                </w:tcPr>
                <w:p w14:paraId="23AF6B6D" w14:textId="77777777" w:rsidR="00446B91" w:rsidRPr="00311D4D" w:rsidRDefault="00446B91" w:rsidP="0091342C">
                  <w:pPr>
                    <w:pStyle w:val="Figure"/>
                    <w:spacing w:before="0" w:after="0"/>
                    <w:jc w:val="left"/>
                    <w:rPr>
                      <w:rFonts w:ascii="Arial" w:hAnsi="Arial" w:cs="Arial"/>
                      <w:b/>
                      <w:sz w:val="18"/>
                      <w:szCs w:val="18"/>
                    </w:rPr>
                  </w:pPr>
                  <w:r w:rsidRPr="005F68B0">
                    <w:rPr>
                      <w:rFonts w:ascii="Arial" w:hAnsi="Arial" w:cs="Arial"/>
                      <w:b/>
                      <w:sz w:val="18"/>
                      <w:szCs w:val="18"/>
                    </w:rPr>
                    <w:t>Survivor bias</w:t>
                  </w:r>
                </w:p>
              </w:tc>
              <w:tc>
                <w:tcPr>
                  <w:tcW w:w="1636" w:type="pct"/>
                  <w:shd w:val="clear" w:color="auto" w:fill="F2F2F2" w:themeFill="background1" w:themeFillShade="F2"/>
                </w:tcPr>
                <w:p w14:paraId="1BB8EC6C" w14:textId="77777777" w:rsidR="00446B91" w:rsidDel="009516F9" w:rsidRDefault="00446B91" w:rsidP="0091342C">
                  <w:pPr>
                    <w:pStyle w:val="Figure"/>
                    <w:spacing w:before="0" w:after="0"/>
                    <w:jc w:val="left"/>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No.</w:t>
                  </w:r>
                </w:p>
              </w:tc>
              <w:tc>
                <w:tcPr>
                  <w:tcW w:w="944" w:type="pct"/>
                  <w:shd w:val="clear" w:color="auto" w:fill="F2F2F2" w:themeFill="background1" w:themeFillShade="F2"/>
                </w:tcPr>
                <w:p w14:paraId="2052AB13" w14:textId="77777777" w:rsidR="00446B91" w:rsidRPr="005F68B0" w:rsidDel="009516F9" w:rsidRDefault="00446B91" w:rsidP="0091342C">
                  <w:pPr>
                    <w:pStyle w:val="Figure"/>
                    <w:spacing w:before="0" w:after="0"/>
                    <w:jc w:val="left"/>
                    <w:rPr>
                      <w:rFonts w:asciiTheme="minorHAnsi" w:hAnsi="Arial" w:cstheme="minorBidi"/>
                      <w:b/>
                      <w:color w:val="000000" w:themeColor="text1"/>
                      <w:kern w:val="24"/>
                      <w:sz w:val="18"/>
                      <w:szCs w:val="18"/>
                    </w:rPr>
                  </w:pPr>
                  <w:r w:rsidRPr="005F68B0">
                    <w:rPr>
                      <w:rFonts w:asciiTheme="minorHAnsi" w:hAnsi="Arial" w:cstheme="minorBidi"/>
                      <w:b/>
                      <w:color w:val="000000" w:themeColor="text1"/>
                      <w:kern w:val="24"/>
                      <w:sz w:val="18"/>
                      <w:szCs w:val="18"/>
                    </w:rPr>
                    <w:t>Selection bias</w:t>
                  </w:r>
                </w:p>
              </w:tc>
              <w:tc>
                <w:tcPr>
                  <w:tcW w:w="1471" w:type="pct"/>
                  <w:shd w:val="clear" w:color="auto" w:fill="F2F2F2" w:themeFill="background1" w:themeFillShade="F2"/>
                </w:tcPr>
                <w:p w14:paraId="1E79C874" w14:textId="77777777" w:rsidR="00446B91" w:rsidDel="009516F9" w:rsidRDefault="00446B91" w:rsidP="0091342C">
                  <w:pPr>
                    <w:pStyle w:val="Figure"/>
                    <w:spacing w:before="0" w:after="0"/>
                    <w:jc w:val="left"/>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No.</w:t>
                  </w:r>
                </w:p>
              </w:tc>
            </w:tr>
          </w:tbl>
          <w:p w14:paraId="7BFA369C" w14:textId="77777777" w:rsidR="00446B91" w:rsidRDefault="00446B91" w:rsidP="0091342C">
            <w:pPr>
              <w:pStyle w:val="Source"/>
              <w:rPr>
                <w:i/>
              </w:rPr>
            </w:pPr>
          </w:p>
        </w:tc>
      </w:tr>
      <w:tr w:rsidR="00446B91" w14:paraId="45C64181" w14:textId="77777777" w:rsidTr="0091342C">
        <w:tc>
          <w:tcPr>
            <w:tcW w:w="5000" w:type="pct"/>
            <w:tcBorders>
              <w:top w:val="nil"/>
              <w:left w:val="nil"/>
              <w:bottom w:val="single" w:sz="6" w:space="0" w:color="78A22F"/>
              <w:right w:val="nil"/>
            </w:tcBorders>
            <w:shd w:val="clear" w:color="auto" w:fill="auto"/>
          </w:tcPr>
          <w:p w14:paraId="3603AB0F" w14:textId="77777777" w:rsidR="00446B91" w:rsidRDefault="00446B91" w:rsidP="0091342C">
            <w:pPr>
              <w:pStyle w:val="Figurespace"/>
            </w:pPr>
          </w:p>
        </w:tc>
      </w:tr>
      <w:tr w:rsidR="00446B91" w:rsidRPr="000863A5" w14:paraId="63104186" w14:textId="77777777" w:rsidTr="0091342C">
        <w:tc>
          <w:tcPr>
            <w:tcW w:w="5000" w:type="pct"/>
            <w:tcBorders>
              <w:top w:val="single" w:sz="6" w:space="0" w:color="78A22F"/>
              <w:left w:val="nil"/>
              <w:bottom w:val="nil"/>
              <w:right w:val="nil"/>
            </w:tcBorders>
          </w:tcPr>
          <w:p w14:paraId="61CBD0A5" w14:textId="77777777" w:rsidR="00446B91" w:rsidRPr="00626D32" w:rsidRDefault="00446B91" w:rsidP="0091342C">
            <w:pPr>
              <w:pStyle w:val="BoxSpaceBelow"/>
            </w:pPr>
          </w:p>
        </w:tc>
      </w:tr>
    </w:tbl>
    <w:p w14:paraId="01AEADFD" w14:textId="77777777" w:rsidR="00446B91" w:rsidRDefault="00446B91" w:rsidP="00446B91">
      <w:pPr>
        <w:pStyle w:val="BodyText"/>
      </w:pPr>
      <w:r>
        <w:t xml:space="preserve">In aggregate, newer </w:t>
      </w:r>
      <w:proofErr w:type="spellStart"/>
      <w:r>
        <w:t>SMSFs</w:t>
      </w:r>
      <w:proofErr w:type="spellEnd"/>
      <w:r>
        <w:t xml:space="preserve"> (under 2 years of age) had systematically higher average expense ratios (expenses as a percentage of total assets) and therefore lower net returns than older </w:t>
      </w:r>
      <w:proofErr w:type="spellStart"/>
      <w:r>
        <w:t>SMSFs</w:t>
      </w:r>
      <w:proofErr w:type="spellEnd"/>
      <w:r>
        <w:t xml:space="preserve"> (figure 5.5). These differences between new and established </w:t>
      </w:r>
      <w:proofErr w:type="spellStart"/>
      <w:r>
        <w:t>SMSFs</w:t>
      </w:r>
      <w:proofErr w:type="spellEnd"/>
      <w:r>
        <w:t xml:space="preserve"> appear to persist over time. To the extent they reflect one</w:t>
      </w:r>
      <w:r>
        <w:noBreakHyphen/>
        <w:t xml:space="preserve">off establishment costs being a temporary influence on expense ratios for newer </w:t>
      </w:r>
      <w:proofErr w:type="spellStart"/>
      <w:r>
        <w:t>SMSFs</w:t>
      </w:r>
      <w:proofErr w:type="spellEnd"/>
      <w:r>
        <w:t>, members would not necessarily be worse off over the long term.</w:t>
      </w:r>
    </w:p>
    <w:p w14:paraId="25558380" w14:textId="77777777" w:rsidR="00446B91" w:rsidRDefault="00446B91" w:rsidP="00446B91">
      <w:pPr>
        <w:pStyle w:val="BodyText"/>
      </w:pPr>
      <w:r>
        <w:t xml:space="preserve">However, the effect of establishment costs is likely to be modest for two reasons. First, the </w:t>
      </w:r>
      <w:proofErr w:type="spellStart"/>
      <w:r>
        <w:t>SMSF</w:t>
      </w:r>
      <w:proofErr w:type="spellEnd"/>
      <w:r>
        <w:t xml:space="preserve"> Association (sub. </w:t>
      </w:r>
      <w:proofErr w:type="spellStart"/>
      <w:r>
        <w:t>DR194</w:t>
      </w:r>
      <w:proofErr w:type="spellEnd"/>
      <w:r>
        <w:t xml:space="preserve">, p. 14) submitted that the average establishment cost over the years 2015–2017 was $2129. Since the average size of new </w:t>
      </w:r>
      <w:proofErr w:type="spellStart"/>
      <w:r>
        <w:t>SMSFs</w:t>
      </w:r>
      <w:proofErr w:type="spellEnd"/>
      <w:r>
        <w:t xml:space="preserve"> (less than 2 years old) in 2016 was $390 000, this suggests average establishment costs in the vicinity of 0.5 per cent of initial balances.</w:t>
      </w:r>
    </w:p>
    <w:p w14:paraId="5CA28F01" w14:textId="77777777" w:rsidR="00446B91" w:rsidRDefault="00446B91" w:rsidP="00446B91">
      <w:pPr>
        <w:pStyle w:val="BoxSpaceAbove"/>
        <w:tabs>
          <w:tab w:val="right" w:pos="8789"/>
        </w:tab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46B91" w14:paraId="0A000089" w14:textId="77777777" w:rsidTr="0091342C">
        <w:trPr>
          <w:tblHeader/>
        </w:trPr>
        <w:tc>
          <w:tcPr>
            <w:tcW w:w="5000" w:type="pct"/>
            <w:tcBorders>
              <w:top w:val="single" w:sz="6" w:space="0" w:color="78A22F"/>
              <w:left w:val="nil"/>
              <w:bottom w:val="nil"/>
              <w:right w:val="nil"/>
            </w:tcBorders>
            <w:shd w:val="clear" w:color="auto" w:fill="auto"/>
          </w:tcPr>
          <w:p w14:paraId="63551179" w14:textId="77777777" w:rsidR="00446B91" w:rsidRPr="000B61FD" w:rsidRDefault="00446B91" w:rsidP="0091342C">
            <w:pPr>
              <w:pStyle w:val="FigureTitle"/>
              <w:rPr>
                <w:rStyle w:val="NoteLabel"/>
              </w:rPr>
            </w:pPr>
            <w:r w:rsidRPr="00784A05">
              <w:rPr>
                <w:b w:val="0"/>
              </w:rPr>
              <w:t>Figure</w:t>
            </w:r>
            <w:r>
              <w:rPr>
                <w:b w:val="0"/>
                <w:noProof/>
              </w:rPr>
              <w:t> </w:t>
            </w:r>
            <w:r>
              <w:rPr>
                <w:b w:val="0"/>
              </w:rPr>
              <w:t>5.</w:t>
            </w:r>
            <w:r>
              <w:rPr>
                <w:b w:val="0"/>
                <w:noProof/>
              </w:rPr>
              <w:t>5</w:t>
            </w:r>
            <w:r>
              <w:tab/>
              <w:t xml:space="preserve">Younger </w:t>
            </w:r>
            <w:proofErr w:type="spellStart"/>
            <w:r>
              <w:t>SMSFs</w:t>
            </w:r>
            <w:proofErr w:type="spellEnd"/>
            <w:r>
              <w:t xml:space="preserve"> have higher costs and lower net returns, on average</w:t>
            </w:r>
            <w:r w:rsidRPr="000B61FD">
              <w:rPr>
                <w:rStyle w:val="NoteLabel"/>
              </w:rPr>
              <w:t>a</w:t>
            </w:r>
          </w:p>
          <w:p w14:paraId="518C2F50" w14:textId="77777777" w:rsidR="00446B91" w:rsidRPr="00176D3F" w:rsidRDefault="00446B91" w:rsidP="0091342C">
            <w:pPr>
              <w:pStyle w:val="Subtitle"/>
            </w:pPr>
            <w:r>
              <w:t>2013–2016</w:t>
            </w:r>
          </w:p>
        </w:tc>
      </w:tr>
      <w:tr w:rsidR="00446B91" w14:paraId="6B7C46B9" w14:textId="77777777" w:rsidTr="0091342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446B91" w:rsidRPr="00B1465D" w14:paraId="3CDCA93A" w14:textId="77777777" w:rsidTr="0091342C">
              <w:trPr>
                <w:trHeight w:val="129"/>
                <w:tblHeader/>
                <w:jc w:val="center"/>
              </w:trPr>
              <w:tc>
                <w:tcPr>
                  <w:tcW w:w="5000" w:type="pct"/>
                  <w:tcBorders>
                    <w:top w:val="nil"/>
                    <w:bottom w:val="nil"/>
                  </w:tcBorders>
                </w:tcPr>
                <w:p w14:paraId="3D212D89" w14:textId="77777777" w:rsidR="00446B91" w:rsidRPr="00B1465D" w:rsidRDefault="00446B91" w:rsidP="0091342C">
                  <w:pPr>
                    <w:pStyle w:val="Figure"/>
                    <w:spacing w:before="60" w:after="60"/>
                    <w:rPr>
                      <w:rFonts w:ascii="Arial" w:hAnsi="Arial" w:cs="Arial"/>
                      <w:sz w:val="18"/>
                      <w:szCs w:val="18"/>
                    </w:rPr>
                  </w:pPr>
                  <w:r w:rsidRPr="006F27B3">
                    <w:rPr>
                      <w:rFonts w:ascii="Arial" w:hAnsi="Arial" w:cs="Arial"/>
                      <w:noProof/>
                      <w:sz w:val="18"/>
                      <w:szCs w:val="18"/>
                    </w:rPr>
                    <w:drawing>
                      <wp:inline distT="0" distB="0" distL="0" distR="0" wp14:anchorId="6373983D" wp14:editId="64A44BBA">
                        <wp:extent cx="5024120" cy="4270375"/>
                        <wp:effectExtent l="0" t="0" r="5080" b="0"/>
                        <wp:docPr id="233" name="Picture 233" descr="The top figure shows that, in aggregate, SMSFs under 2 years of age had higher average expense ratios than older SMSFs, in each year.&#10;The bottom figure shows that, in aggregate, SMSFs under 2 years of age had systematically lower net returns than older SMSFs, in each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24120" cy="4270375"/>
                                </a:xfrm>
                                <a:prstGeom prst="rect">
                                  <a:avLst/>
                                </a:prstGeom>
                                <a:noFill/>
                                <a:ln>
                                  <a:noFill/>
                                </a:ln>
                              </pic:spPr>
                            </pic:pic>
                          </a:graphicData>
                        </a:graphic>
                      </wp:inline>
                    </w:drawing>
                  </w:r>
                </w:p>
              </w:tc>
            </w:tr>
          </w:tbl>
          <w:p w14:paraId="7854E258" w14:textId="77777777" w:rsidR="00446B91" w:rsidRDefault="00446B91" w:rsidP="0091342C">
            <w:pPr>
              <w:pStyle w:val="Figure"/>
            </w:pPr>
          </w:p>
        </w:tc>
      </w:tr>
      <w:tr w:rsidR="00446B91" w:rsidRPr="00176D3F" w14:paraId="3B1B8200" w14:textId="77777777" w:rsidTr="0091342C">
        <w:tc>
          <w:tcPr>
            <w:tcW w:w="5000" w:type="pct"/>
            <w:tcBorders>
              <w:top w:val="nil"/>
              <w:left w:val="nil"/>
              <w:bottom w:val="nil"/>
              <w:right w:val="nil"/>
            </w:tcBorders>
            <w:shd w:val="clear" w:color="auto" w:fill="auto"/>
          </w:tcPr>
          <w:tbl>
            <w:tblPr>
              <w:tblW w:w="8505" w:type="dxa"/>
              <w:tblLook w:val="04A0" w:firstRow="1" w:lastRow="0" w:firstColumn="1" w:lastColumn="0" w:noHBand="0" w:noVBand="1"/>
            </w:tblPr>
            <w:tblGrid>
              <w:gridCol w:w="1614"/>
              <w:gridCol w:w="2783"/>
              <w:gridCol w:w="1606"/>
              <w:gridCol w:w="2502"/>
            </w:tblGrid>
            <w:tr w:rsidR="00446B91" w14:paraId="1263EEE6" w14:textId="77777777" w:rsidTr="0091342C">
              <w:trPr>
                <w:tblHeader/>
              </w:trPr>
              <w:tc>
                <w:tcPr>
                  <w:tcW w:w="949" w:type="pct"/>
                  <w:shd w:val="clear" w:color="auto" w:fill="F2F2F2" w:themeFill="background1" w:themeFillShade="F2"/>
                </w:tcPr>
                <w:p w14:paraId="19B211AF" w14:textId="77777777" w:rsidR="00446B91" w:rsidRDefault="00446B91" w:rsidP="0091342C">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w:t>
                  </w:r>
                </w:p>
              </w:tc>
              <w:tc>
                <w:tcPr>
                  <w:tcW w:w="4051" w:type="pct"/>
                  <w:gridSpan w:val="3"/>
                  <w:shd w:val="clear" w:color="auto" w:fill="F2F2F2" w:themeFill="background1" w:themeFillShade="F2"/>
                </w:tcPr>
                <w:p w14:paraId="5F5D1E65" w14:textId="77777777" w:rsidR="00446B91" w:rsidRDefault="00446B91" w:rsidP="0091342C">
                  <w:pPr>
                    <w:pStyle w:val="Figure"/>
                    <w:spacing w:before="0" w:after="0"/>
                    <w:jc w:val="left"/>
                    <w:rPr>
                      <w:rFonts w:ascii="Arial" w:hAnsi="Arial" w:cs="Arial"/>
                      <w:sz w:val="18"/>
                      <w:szCs w:val="18"/>
                    </w:rPr>
                  </w:pPr>
                  <w:proofErr w:type="spellStart"/>
                  <w:r>
                    <w:rPr>
                      <w:rFonts w:asciiTheme="minorHAnsi" w:hAnsi="Arial" w:cstheme="minorBidi"/>
                      <w:color w:val="000000" w:themeColor="text1"/>
                      <w:kern w:val="24"/>
                      <w:sz w:val="18"/>
                      <w:szCs w:val="18"/>
                    </w:rPr>
                    <w:t>ATO</w:t>
                  </w:r>
                  <w:proofErr w:type="spellEnd"/>
                  <w:r>
                    <w:rPr>
                      <w:rFonts w:asciiTheme="minorHAnsi" w:hAnsi="Arial" w:cstheme="minorBidi"/>
                      <w:color w:val="000000" w:themeColor="text1"/>
                      <w:kern w:val="24"/>
                      <w:sz w:val="18"/>
                      <w:szCs w:val="18"/>
                    </w:rPr>
                    <w:t> (pers. comm., 31 August 2018).</w:t>
                  </w:r>
                </w:p>
              </w:tc>
            </w:tr>
            <w:tr w:rsidR="00446B91" w:rsidRPr="0032089A" w14:paraId="716299B6" w14:textId="77777777" w:rsidTr="0091342C">
              <w:tc>
                <w:tcPr>
                  <w:tcW w:w="949" w:type="pct"/>
                  <w:shd w:val="clear" w:color="auto" w:fill="F2F2F2" w:themeFill="background1" w:themeFillShade="F2"/>
                </w:tcPr>
                <w:p w14:paraId="1ED097BE" w14:textId="77777777" w:rsidR="00446B91" w:rsidRDefault="00446B91" w:rsidP="0091342C">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p>
              </w:tc>
              <w:tc>
                <w:tcPr>
                  <w:tcW w:w="4051" w:type="pct"/>
                  <w:gridSpan w:val="3"/>
                  <w:shd w:val="clear" w:color="auto" w:fill="F2F2F2" w:themeFill="background1" w:themeFillShade="F2"/>
                </w:tcPr>
                <w:p w14:paraId="435A119D" w14:textId="77777777" w:rsidR="00446B91" w:rsidRPr="0032089A" w:rsidRDefault="00446B91" w:rsidP="0091342C">
                  <w:pPr>
                    <w:pStyle w:val="NormalWeb"/>
                    <w:rPr>
                      <w:color w:val="000000" w:themeColor="text1"/>
                      <w:sz w:val="18"/>
                      <w:szCs w:val="18"/>
                    </w:rPr>
                  </w:pPr>
                  <w:r w:rsidRPr="002420FA">
                    <w:rPr>
                      <w:rFonts w:asciiTheme="minorHAnsi" w:hAnsi="Arial" w:cstheme="minorBidi"/>
                      <w:color w:val="000000" w:themeColor="text1"/>
                      <w:kern w:val="24"/>
                      <w:sz w:val="18"/>
                      <w:szCs w:val="18"/>
                    </w:rPr>
                    <w:t xml:space="preserve">The </w:t>
                  </w:r>
                  <w:proofErr w:type="spellStart"/>
                  <w:r w:rsidRPr="002420FA">
                    <w:rPr>
                      <w:rFonts w:asciiTheme="minorHAnsi" w:hAnsi="Arial" w:cstheme="minorBidi"/>
                      <w:color w:val="000000" w:themeColor="text1"/>
                      <w:kern w:val="24"/>
                      <w:sz w:val="18"/>
                      <w:szCs w:val="18"/>
                    </w:rPr>
                    <w:t>ATO</w:t>
                  </w:r>
                  <w:proofErr w:type="spellEnd"/>
                  <w:r w:rsidRPr="002420FA">
                    <w:rPr>
                      <w:rFonts w:asciiTheme="minorHAnsi" w:hAnsi="Arial" w:cstheme="minorBidi"/>
                      <w:color w:val="000000" w:themeColor="text1"/>
                      <w:kern w:val="24"/>
                      <w:sz w:val="18"/>
                      <w:szCs w:val="18"/>
                    </w:rPr>
                    <w:t xml:space="preserve"> data represent all </w:t>
                  </w:r>
                  <w:proofErr w:type="spellStart"/>
                  <w:r w:rsidRPr="002420FA">
                    <w:rPr>
                      <w:rFonts w:asciiTheme="minorHAnsi" w:hAnsi="Arial" w:cstheme="minorBidi"/>
                      <w:color w:val="000000" w:themeColor="text1"/>
                      <w:kern w:val="24"/>
                      <w:sz w:val="18"/>
                      <w:szCs w:val="18"/>
                    </w:rPr>
                    <w:t>SMSFs</w:t>
                  </w:r>
                  <w:proofErr w:type="spellEnd"/>
                  <w:r w:rsidRPr="002420FA">
                    <w:rPr>
                      <w:rFonts w:asciiTheme="minorHAnsi" w:hAnsi="Arial" w:cstheme="minorBidi"/>
                      <w:color w:val="000000" w:themeColor="text1"/>
                      <w:kern w:val="24"/>
                      <w:sz w:val="18"/>
                      <w:szCs w:val="18"/>
                    </w:rPr>
                    <w:t xml:space="preserve"> in the system</w:t>
                  </w:r>
                  <w:r>
                    <w:rPr>
                      <w:rFonts w:asciiTheme="minorHAnsi" w:hAnsi="Arial" w:cstheme="minorBidi"/>
                      <w:color w:val="000000" w:themeColor="text1"/>
                      <w:kern w:val="24"/>
                      <w:sz w:val="18"/>
                      <w:szCs w:val="18"/>
                    </w:rPr>
                    <w:t>.</w:t>
                  </w:r>
                </w:p>
              </w:tc>
            </w:tr>
            <w:tr w:rsidR="00446B91" w:rsidDel="009516F9" w14:paraId="216D827D" w14:textId="77777777" w:rsidTr="0091342C">
              <w:tc>
                <w:tcPr>
                  <w:tcW w:w="949" w:type="pct"/>
                  <w:shd w:val="clear" w:color="auto" w:fill="F2F2F2" w:themeFill="background1" w:themeFillShade="F2"/>
                </w:tcPr>
                <w:p w14:paraId="6EAFC79C" w14:textId="77777777" w:rsidR="00446B91" w:rsidRPr="00311D4D" w:rsidRDefault="00446B91" w:rsidP="0091342C">
                  <w:pPr>
                    <w:pStyle w:val="Figure"/>
                    <w:spacing w:before="0" w:after="0"/>
                    <w:jc w:val="left"/>
                    <w:rPr>
                      <w:rFonts w:ascii="Arial" w:hAnsi="Arial" w:cs="Arial"/>
                      <w:b/>
                      <w:sz w:val="18"/>
                      <w:szCs w:val="18"/>
                    </w:rPr>
                  </w:pPr>
                  <w:r w:rsidRPr="005F68B0">
                    <w:rPr>
                      <w:rFonts w:ascii="Arial" w:hAnsi="Arial" w:cs="Arial"/>
                      <w:b/>
                      <w:sz w:val="18"/>
                      <w:szCs w:val="18"/>
                    </w:rPr>
                    <w:t>Survivor bias</w:t>
                  </w:r>
                </w:p>
              </w:tc>
              <w:tc>
                <w:tcPr>
                  <w:tcW w:w="1636" w:type="pct"/>
                  <w:shd w:val="clear" w:color="auto" w:fill="F2F2F2" w:themeFill="background1" w:themeFillShade="F2"/>
                </w:tcPr>
                <w:p w14:paraId="6889AC79" w14:textId="77777777" w:rsidR="00446B91" w:rsidDel="009516F9" w:rsidRDefault="00446B91" w:rsidP="0091342C">
                  <w:pPr>
                    <w:pStyle w:val="Figure"/>
                    <w:spacing w:before="0" w:after="0"/>
                    <w:jc w:val="left"/>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No.</w:t>
                  </w:r>
                </w:p>
              </w:tc>
              <w:tc>
                <w:tcPr>
                  <w:tcW w:w="944" w:type="pct"/>
                  <w:shd w:val="clear" w:color="auto" w:fill="F2F2F2" w:themeFill="background1" w:themeFillShade="F2"/>
                </w:tcPr>
                <w:p w14:paraId="04AA8117" w14:textId="77777777" w:rsidR="00446B91" w:rsidRPr="005F68B0" w:rsidDel="009516F9" w:rsidRDefault="00446B91" w:rsidP="0091342C">
                  <w:pPr>
                    <w:pStyle w:val="Figure"/>
                    <w:spacing w:before="0" w:after="0"/>
                    <w:jc w:val="left"/>
                    <w:rPr>
                      <w:rFonts w:asciiTheme="minorHAnsi" w:hAnsi="Arial" w:cstheme="minorBidi"/>
                      <w:b/>
                      <w:color w:val="000000" w:themeColor="text1"/>
                      <w:kern w:val="24"/>
                      <w:sz w:val="18"/>
                      <w:szCs w:val="18"/>
                    </w:rPr>
                  </w:pPr>
                  <w:r w:rsidRPr="005F68B0">
                    <w:rPr>
                      <w:rFonts w:asciiTheme="minorHAnsi" w:hAnsi="Arial" w:cstheme="minorBidi"/>
                      <w:b/>
                      <w:color w:val="000000" w:themeColor="text1"/>
                      <w:kern w:val="24"/>
                      <w:sz w:val="18"/>
                      <w:szCs w:val="18"/>
                    </w:rPr>
                    <w:t>Selection bias</w:t>
                  </w:r>
                </w:p>
              </w:tc>
              <w:tc>
                <w:tcPr>
                  <w:tcW w:w="1471" w:type="pct"/>
                  <w:shd w:val="clear" w:color="auto" w:fill="F2F2F2" w:themeFill="background1" w:themeFillShade="F2"/>
                </w:tcPr>
                <w:p w14:paraId="1C270EBF" w14:textId="77777777" w:rsidR="00446B91" w:rsidDel="009516F9" w:rsidRDefault="00446B91" w:rsidP="0091342C">
                  <w:pPr>
                    <w:pStyle w:val="Figure"/>
                    <w:spacing w:before="0" w:after="0"/>
                    <w:jc w:val="left"/>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No.</w:t>
                  </w:r>
                </w:p>
              </w:tc>
            </w:tr>
          </w:tbl>
          <w:p w14:paraId="0133CBBB" w14:textId="77777777" w:rsidR="00446B91" w:rsidRDefault="00446B91" w:rsidP="0091342C">
            <w:pPr>
              <w:pStyle w:val="Note"/>
              <w:rPr>
                <w:rStyle w:val="NoteLabel"/>
              </w:rPr>
            </w:pPr>
          </w:p>
        </w:tc>
      </w:tr>
      <w:tr w:rsidR="00446B91" w:rsidRPr="00176D3F" w14:paraId="0CD799CA" w14:textId="77777777" w:rsidTr="0091342C">
        <w:tc>
          <w:tcPr>
            <w:tcW w:w="5000" w:type="pct"/>
            <w:tcBorders>
              <w:top w:val="nil"/>
              <w:left w:val="nil"/>
              <w:bottom w:val="nil"/>
              <w:right w:val="nil"/>
            </w:tcBorders>
            <w:shd w:val="clear" w:color="auto" w:fill="auto"/>
          </w:tcPr>
          <w:p w14:paraId="29571544" w14:textId="77777777" w:rsidR="00446B91" w:rsidRPr="00176D3F" w:rsidRDefault="00446B91" w:rsidP="0091342C">
            <w:pPr>
              <w:pStyle w:val="Note"/>
            </w:pPr>
            <w:proofErr w:type="spellStart"/>
            <w:r>
              <w:rPr>
                <w:rStyle w:val="NoteLabel"/>
              </w:rPr>
              <w:t>a</w:t>
            </w:r>
            <w:proofErr w:type="spellEnd"/>
            <w:r>
              <w:t xml:space="preserve"> Adjustments have been applied to </w:t>
            </w:r>
            <w:proofErr w:type="spellStart"/>
            <w:r>
              <w:t>SMSF</w:t>
            </w:r>
            <w:proofErr w:type="spellEnd"/>
            <w:r>
              <w:t xml:space="preserve"> returns data to approximate a ‘rate of return’ calculation, as per </w:t>
            </w:r>
            <w:proofErr w:type="spellStart"/>
            <w:r>
              <w:t>Sy</w:t>
            </w:r>
            <w:proofErr w:type="spellEnd"/>
            <w:r>
              <w:t> </w:t>
            </w:r>
            <w:r w:rsidRPr="001634DF">
              <w:rPr>
                <w:rFonts w:cs="Arial"/>
              </w:rPr>
              <w:t>(2009)</w:t>
            </w:r>
            <w:r>
              <w:t>.</w:t>
            </w:r>
          </w:p>
        </w:tc>
      </w:tr>
      <w:tr w:rsidR="00446B91" w14:paraId="4154D3EC" w14:textId="77777777" w:rsidTr="0091342C">
        <w:tc>
          <w:tcPr>
            <w:tcW w:w="5000" w:type="pct"/>
            <w:tcBorders>
              <w:top w:val="nil"/>
              <w:left w:val="nil"/>
              <w:bottom w:val="single" w:sz="6" w:space="0" w:color="78A22F"/>
              <w:right w:val="nil"/>
            </w:tcBorders>
            <w:shd w:val="clear" w:color="auto" w:fill="auto"/>
          </w:tcPr>
          <w:p w14:paraId="463383D1" w14:textId="77777777" w:rsidR="00446B91" w:rsidRDefault="00446B91" w:rsidP="0091342C">
            <w:pPr>
              <w:pStyle w:val="Figurespace"/>
            </w:pPr>
          </w:p>
        </w:tc>
      </w:tr>
      <w:tr w:rsidR="00446B91" w:rsidRPr="000863A5" w14:paraId="7E64E5B9" w14:textId="77777777" w:rsidTr="0091342C">
        <w:tc>
          <w:tcPr>
            <w:tcW w:w="5000" w:type="pct"/>
            <w:tcBorders>
              <w:top w:val="single" w:sz="6" w:space="0" w:color="78A22F"/>
              <w:left w:val="nil"/>
              <w:bottom w:val="nil"/>
              <w:right w:val="nil"/>
            </w:tcBorders>
          </w:tcPr>
          <w:p w14:paraId="6E52ED42" w14:textId="77777777" w:rsidR="00446B91" w:rsidRPr="00626D32" w:rsidRDefault="00446B91" w:rsidP="0091342C">
            <w:pPr>
              <w:pStyle w:val="BoxSpaceBelow"/>
            </w:pPr>
          </w:p>
        </w:tc>
      </w:tr>
    </w:tbl>
    <w:p w14:paraId="7FCDE802" w14:textId="77777777" w:rsidR="00446B91" w:rsidRDefault="00446B91" w:rsidP="00446B91">
      <w:pPr>
        <w:pStyle w:val="BodyText"/>
      </w:pPr>
      <w:r>
        <w:t xml:space="preserve">Second, </w:t>
      </w:r>
      <w:proofErr w:type="spellStart"/>
      <w:r>
        <w:t>ATO</w:t>
      </w:r>
      <w:proofErr w:type="spellEnd"/>
      <w:r>
        <w:t xml:space="preserve"> data indicate that expense ratios are much more clearly related to fund size than fund age. Indeed, </w:t>
      </w:r>
      <w:proofErr w:type="spellStart"/>
      <w:r>
        <w:t>SMSFs</w:t>
      </w:r>
      <w:proofErr w:type="spellEnd"/>
      <w:r>
        <w:t xml:space="preserve"> between 4 and 5 years old have expenses that remain above 1.5 per cent of assets a year on average, and those aged between 2 and 3 years have similar or higher expenses on average compared with those that are under 2 years (figure 5.5 above).</w:t>
      </w:r>
    </w:p>
    <w:p w14:paraId="194A9408" w14:textId="77777777" w:rsidR="00446B91" w:rsidRDefault="00446B91" w:rsidP="00446B91">
      <w:pPr>
        <w:pStyle w:val="BodyText"/>
      </w:pPr>
      <w:r>
        <w:t>The results could reflect the presence of wind</w:t>
      </w:r>
      <w:r>
        <w:noBreakHyphen/>
        <w:t xml:space="preserve">up costs (where some funds in the sample are in the process of being closed), especially for established </w:t>
      </w:r>
      <w:proofErr w:type="spellStart"/>
      <w:r>
        <w:t>SMSFs</w:t>
      </w:r>
      <w:proofErr w:type="spellEnd"/>
      <w:r>
        <w:t xml:space="preserve"> in the smaller size categories. In 2016, average costs for </w:t>
      </w:r>
      <w:proofErr w:type="spellStart"/>
      <w:r>
        <w:t>SMSFs</w:t>
      </w:r>
      <w:proofErr w:type="spellEnd"/>
      <w:r>
        <w:t xml:space="preserve"> that were wound up were $5860, and collectively the costs of these wound</w:t>
      </w:r>
      <w:r>
        <w:noBreakHyphen/>
        <w:t xml:space="preserve">up </w:t>
      </w:r>
      <w:proofErr w:type="spellStart"/>
      <w:r>
        <w:t>SMSFs</w:t>
      </w:r>
      <w:proofErr w:type="spellEnd"/>
      <w:r>
        <w:t xml:space="preserve"> were equivalent to about 1.1 per cent of aggregate expenses across all </w:t>
      </w:r>
      <w:proofErr w:type="spellStart"/>
      <w:r>
        <w:t>SMSFs</w:t>
      </w:r>
      <w:proofErr w:type="spellEnd"/>
      <w:r>
        <w:t xml:space="preserve"> in that year (</w:t>
      </w:r>
      <w:proofErr w:type="spellStart"/>
      <w:r>
        <w:t>ATO</w:t>
      </w:r>
      <w:proofErr w:type="spellEnd"/>
      <w:r>
        <w:t xml:space="preserve">, pers. comm., 31 August 2018). </w:t>
      </w:r>
    </w:p>
    <w:p w14:paraId="5D1DC1C2" w14:textId="77777777" w:rsidR="00446B91" w:rsidRDefault="00446B91" w:rsidP="00446B91">
      <w:pPr>
        <w:pStyle w:val="BodyText"/>
      </w:pPr>
      <w:r>
        <w:lastRenderedPageBreak/>
        <w:t>Wind</w:t>
      </w:r>
      <w:r>
        <w:noBreakHyphen/>
        <w:t xml:space="preserve">up rates are generally low, with approximately 1.9 per cent of </w:t>
      </w:r>
      <w:proofErr w:type="spellStart"/>
      <w:r>
        <w:t>SMSFs</w:t>
      </w:r>
      <w:proofErr w:type="spellEnd"/>
      <w:r>
        <w:t xml:space="preserve"> wound up in 2016</w:t>
      </w:r>
      <w:r>
        <w:rPr>
          <w:szCs w:val="24"/>
        </w:rPr>
        <w:t> </w:t>
      </w:r>
      <w:r w:rsidRPr="009615A2">
        <w:rPr>
          <w:szCs w:val="24"/>
        </w:rPr>
        <w:t>(</w:t>
      </w:r>
      <w:proofErr w:type="spellStart"/>
      <w:r w:rsidRPr="009615A2">
        <w:rPr>
          <w:szCs w:val="24"/>
        </w:rPr>
        <w:t>ATO</w:t>
      </w:r>
      <w:proofErr w:type="spellEnd"/>
      <w:r w:rsidRPr="009615A2">
        <w:rPr>
          <w:szCs w:val="24"/>
        </w:rPr>
        <w:t> </w:t>
      </w:r>
      <w:proofErr w:type="spellStart"/>
      <w:r w:rsidRPr="009615A2">
        <w:rPr>
          <w:szCs w:val="24"/>
        </w:rPr>
        <w:t>2018a</w:t>
      </w:r>
      <w:proofErr w:type="spellEnd"/>
      <w:r w:rsidRPr="009615A2">
        <w:rPr>
          <w:szCs w:val="24"/>
        </w:rPr>
        <w:t>)</w:t>
      </w:r>
      <w:r>
        <w:t xml:space="preserve">, though rates are around 10 per cent for small </w:t>
      </w:r>
      <w:proofErr w:type="spellStart"/>
      <w:r>
        <w:t>SMSFs</w:t>
      </w:r>
      <w:proofErr w:type="spellEnd"/>
      <w:r>
        <w:t> </w:t>
      </w:r>
      <w:r w:rsidRPr="009615A2">
        <w:rPr>
          <w:szCs w:val="24"/>
        </w:rPr>
        <w:t>(</w:t>
      </w:r>
      <w:proofErr w:type="spellStart"/>
      <w:r w:rsidRPr="009615A2">
        <w:rPr>
          <w:szCs w:val="24"/>
        </w:rPr>
        <w:t>ATO</w:t>
      </w:r>
      <w:proofErr w:type="spellEnd"/>
      <w:r w:rsidRPr="009615A2">
        <w:rPr>
          <w:szCs w:val="24"/>
        </w:rPr>
        <w:t> </w:t>
      </w:r>
      <w:proofErr w:type="spellStart"/>
      <w:r w:rsidRPr="009615A2">
        <w:rPr>
          <w:szCs w:val="24"/>
        </w:rPr>
        <w:t>2018b</w:t>
      </w:r>
      <w:proofErr w:type="spellEnd"/>
      <w:r w:rsidRPr="009615A2">
        <w:rPr>
          <w:szCs w:val="24"/>
        </w:rPr>
        <w:t>)</w:t>
      </w:r>
      <w:r>
        <w:t xml:space="preserve">. This implies that the impact of </w:t>
      </w:r>
      <w:proofErr w:type="spellStart"/>
      <w:r>
        <w:t>SMSFs</w:t>
      </w:r>
      <w:proofErr w:type="spellEnd"/>
      <w:r>
        <w:t xml:space="preserve"> being wound up on average</w:t>
      </w:r>
      <w:r w:rsidDel="00137B39">
        <w:t xml:space="preserve"> </w:t>
      </w:r>
      <w:r>
        <w:t xml:space="preserve">expenses for all </w:t>
      </w:r>
      <w:proofErr w:type="spellStart"/>
      <w:r>
        <w:t>SMSFs</w:t>
      </w:r>
      <w:proofErr w:type="spellEnd"/>
      <w:r>
        <w:t xml:space="preserve"> in the smallest size bracket could be about 1</w:t>
      </w:r>
      <w:r>
        <w:softHyphen/>
        <w:t>2 percentage points.</w:t>
      </w:r>
    </w:p>
    <w:p w14:paraId="599F1AEC" w14:textId="77777777" w:rsidR="00446B91" w:rsidRDefault="00446B91" w:rsidP="00446B91">
      <w:pPr>
        <w:pStyle w:val="Heading4"/>
      </w:pPr>
      <w:bookmarkStart w:id="13" w:name="_Toc528158058"/>
      <w:r>
        <w:t xml:space="preserve">Age of </w:t>
      </w:r>
      <w:proofErr w:type="spellStart"/>
      <w:r>
        <w:t>SMSF</w:t>
      </w:r>
      <w:proofErr w:type="spellEnd"/>
      <w:r>
        <w:t xml:space="preserve"> trustees</w:t>
      </w:r>
      <w:bookmarkEnd w:id="13"/>
    </w:p>
    <w:p w14:paraId="47D8BBB5" w14:textId="77777777" w:rsidR="00446B91" w:rsidRDefault="00446B91" w:rsidP="00446B91">
      <w:pPr>
        <w:pStyle w:val="BodyText"/>
      </w:pPr>
      <w:r>
        <w:t xml:space="preserve">Figure 5.6 shows the age distribution of </w:t>
      </w:r>
      <w:proofErr w:type="spellStart"/>
      <w:r>
        <w:t>SMSF</w:t>
      </w:r>
      <w:proofErr w:type="spellEnd"/>
      <w:r>
        <w:t xml:space="preserve"> trustee</w:t>
      </w:r>
      <w:r>
        <w:noBreakHyphen/>
        <w:t xml:space="preserve">members, for all </w:t>
      </w:r>
      <w:proofErr w:type="spellStart"/>
      <w:r>
        <w:t>SMSFs</w:t>
      </w:r>
      <w:proofErr w:type="spellEnd"/>
      <w:r>
        <w:t xml:space="preserve"> (left panel) and newly established </w:t>
      </w:r>
      <w:proofErr w:type="spellStart"/>
      <w:r>
        <w:t>SMSFs</w:t>
      </w:r>
      <w:proofErr w:type="spellEnd"/>
      <w:r>
        <w:t xml:space="preserve"> by year of establishment (right panel). </w:t>
      </w:r>
      <w:proofErr w:type="spellStart"/>
      <w:r>
        <w:t>SMSFs</w:t>
      </w:r>
      <w:proofErr w:type="spellEnd"/>
      <w:r>
        <w:t xml:space="preserve"> established in each of the past seven years had a materially higher proportion of trustees aged under 45 (about two in five, compared with less than one in five), with the strongest growth in the 35</w:t>
      </w:r>
      <w:r>
        <w:softHyphen/>
        <w:t xml:space="preserve">44 age bracket. There was also modest growth in the share aged under 35. By contrast, the number of new </w:t>
      </w:r>
      <w:proofErr w:type="spellStart"/>
      <w:r>
        <w:t>SMSF</w:t>
      </w:r>
      <w:proofErr w:type="spellEnd"/>
      <w:r>
        <w:t xml:space="preserve"> trustees aged over 60 has been declining. The combined effect of these trends is a median age of 47.2 for trustees of new </w:t>
      </w:r>
      <w:proofErr w:type="spellStart"/>
      <w:r>
        <w:t>SMSFs</w:t>
      </w:r>
      <w:proofErr w:type="spellEnd"/>
      <w:r>
        <w:t xml:space="preserve"> (as of 2016), compared with 58.9 years for all </w:t>
      </w:r>
      <w:proofErr w:type="spellStart"/>
      <w:r>
        <w:t>SMSFs</w:t>
      </w:r>
      <w:proofErr w:type="spellEnd"/>
      <w:r>
        <w:t> </w:t>
      </w:r>
      <w:r w:rsidRPr="00CB0375">
        <w:rPr>
          <w:szCs w:val="24"/>
        </w:rPr>
        <w:t>(</w:t>
      </w:r>
      <w:proofErr w:type="spellStart"/>
      <w:r w:rsidRPr="00CB0375">
        <w:rPr>
          <w:szCs w:val="24"/>
        </w:rPr>
        <w:t>ATO</w:t>
      </w:r>
      <w:proofErr w:type="spellEnd"/>
      <w:r w:rsidRPr="00CB0375">
        <w:rPr>
          <w:szCs w:val="24"/>
        </w:rPr>
        <w:t> </w:t>
      </w:r>
      <w:proofErr w:type="spellStart"/>
      <w:r w:rsidRPr="00CB0375">
        <w:rPr>
          <w:szCs w:val="24"/>
        </w:rPr>
        <w:t>2018a</w:t>
      </w:r>
      <w:proofErr w:type="spellEnd"/>
      <w:r w:rsidRPr="00CB0375">
        <w:rPr>
          <w:szCs w:val="24"/>
        </w:rPr>
        <w:t>)</w:t>
      </w:r>
      <w:r>
        <w:t>.</w:t>
      </w:r>
    </w:p>
    <w:p w14:paraId="60A5DEC7" w14:textId="77777777" w:rsidR="00446B91" w:rsidRDefault="00446B91" w:rsidP="00446B9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46B91" w14:paraId="7C5C7C01" w14:textId="77777777" w:rsidTr="0091342C">
        <w:trPr>
          <w:tblHeader/>
        </w:trPr>
        <w:tc>
          <w:tcPr>
            <w:tcW w:w="5000" w:type="pct"/>
            <w:tcBorders>
              <w:top w:val="single" w:sz="6" w:space="0" w:color="78A22F"/>
              <w:left w:val="nil"/>
              <w:bottom w:val="nil"/>
              <w:right w:val="nil"/>
            </w:tcBorders>
            <w:shd w:val="clear" w:color="auto" w:fill="auto"/>
          </w:tcPr>
          <w:p w14:paraId="566051D5" w14:textId="77777777" w:rsidR="00446B91" w:rsidRDefault="00446B91" w:rsidP="0091342C">
            <w:pPr>
              <w:pStyle w:val="FigureTitle"/>
              <w:rPr>
                <w:rStyle w:val="NoteLabel"/>
                <w:b/>
              </w:rPr>
            </w:pPr>
            <w:r w:rsidRPr="00784A05">
              <w:rPr>
                <w:b w:val="0"/>
              </w:rPr>
              <w:t>Figure</w:t>
            </w:r>
            <w:r>
              <w:rPr>
                <w:b w:val="0"/>
                <w:noProof/>
              </w:rPr>
              <w:t> </w:t>
            </w:r>
            <w:r>
              <w:rPr>
                <w:b w:val="0"/>
              </w:rPr>
              <w:t>5.</w:t>
            </w:r>
            <w:r>
              <w:rPr>
                <w:b w:val="0"/>
                <w:noProof/>
              </w:rPr>
              <w:t>6</w:t>
            </w:r>
            <w:r>
              <w:tab/>
              <w:t xml:space="preserve">Age distribution of </w:t>
            </w:r>
            <w:proofErr w:type="spellStart"/>
            <w:r>
              <w:t>SMSF</w:t>
            </w:r>
            <w:proofErr w:type="spellEnd"/>
            <w:r>
              <w:t xml:space="preserve"> trustees</w:t>
            </w:r>
            <w:r w:rsidRPr="00DC5570">
              <w:rPr>
                <w:rStyle w:val="NoteLabel"/>
              </w:rPr>
              <w:t>a</w:t>
            </w:r>
          </w:p>
          <w:p w14:paraId="4830348A" w14:textId="77777777" w:rsidR="00446B91" w:rsidRPr="00845899" w:rsidRDefault="00446B91" w:rsidP="0091342C">
            <w:pPr>
              <w:pStyle w:val="Subtitle"/>
            </w:pPr>
            <w:r>
              <w:t>Members in age brackets as a proportion of members of all ages</w:t>
            </w:r>
          </w:p>
        </w:tc>
      </w:tr>
      <w:tr w:rsidR="00446B91" w14:paraId="2060230B" w14:textId="77777777" w:rsidTr="0091342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2323"/>
              <w:gridCol w:w="6181"/>
            </w:tblGrid>
            <w:tr w:rsidR="00446B91" w:rsidRPr="00B1465D" w14:paraId="645BEADB" w14:textId="77777777" w:rsidTr="0091342C">
              <w:trPr>
                <w:trHeight w:val="202"/>
                <w:tblHeader/>
                <w:jc w:val="center"/>
              </w:trPr>
              <w:tc>
                <w:tcPr>
                  <w:tcW w:w="1366" w:type="pct"/>
                  <w:tcBorders>
                    <w:top w:val="nil"/>
                    <w:bottom w:val="nil"/>
                  </w:tcBorders>
                </w:tcPr>
                <w:p w14:paraId="030E2575" w14:textId="77777777" w:rsidR="00446B91" w:rsidRDefault="00446B91" w:rsidP="0091342C">
                  <w:pPr>
                    <w:pStyle w:val="Figure"/>
                    <w:spacing w:before="60" w:after="60"/>
                    <w:rPr>
                      <w:rFonts w:ascii="Arial" w:hAnsi="Arial" w:cs="Arial"/>
                      <w:noProof/>
                      <w:sz w:val="18"/>
                      <w:szCs w:val="18"/>
                    </w:rPr>
                  </w:pPr>
                  <w:r>
                    <w:rPr>
                      <w:rFonts w:ascii="Arial" w:hAnsi="Arial" w:cs="Arial"/>
                      <w:noProof/>
                      <w:sz w:val="18"/>
                      <w:szCs w:val="18"/>
                    </w:rPr>
                    <w:t>All SMSFs</w:t>
                  </w:r>
                </w:p>
              </w:tc>
              <w:tc>
                <w:tcPr>
                  <w:tcW w:w="3634" w:type="pct"/>
                  <w:tcBorders>
                    <w:top w:val="nil"/>
                    <w:bottom w:val="nil"/>
                  </w:tcBorders>
                </w:tcPr>
                <w:p w14:paraId="50BFACFB" w14:textId="77777777" w:rsidR="00446B91" w:rsidRDefault="00446B91" w:rsidP="0091342C">
                  <w:pPr>
                    <w:pStyle w:val="Figure"/>
                    <w:spacing w:before="60" w:after="60"/>
                    <w:rPr>
                      <w:rFonts w:ascii="Arial" w:hAnsi="Arial" w:cs="Arial"/>
                      <w:sz w:val="18"/>
                      <w:szCs w:val="18"/>
                    </w:rPr>
                  </w:pPr>
                  <w:r>
                    <w:rPr>
                      <w:rFonts w:ascii="Arial" w:hAnsi="Arial" w:cs="Arial"/>
                      <w:sz w:val="18"/>
                      <w:szCs w:val="18"/>
                    </w:rPr>
                    <w:t>By establishment year</w:t>
                  </w:r>
                </w:p>
              </w:tc>
            </w:tr>
            <w:tr w:rsidR="00446B91" w:rsidRPr="00B1465D" w14:paraId="0EBA810D" w14:textId="77777777" w:rsidTr="0091342C">
              <w:trPr>
                <w:trHeight w:val="202"/>
                <w:tblHeader/>
                <w:jc w:val="center"/>
              </w:trPr>
              <w:tc>
                <w:tcPr>
                  <w:tcW w:w="1366" w:type="pct"/>
                  <w:tcBorders>
                    <w:top w:val="nil"/>
                    <w:bottom w:val="nil"/>
                  </w:tcBorders>
                </w:tcPr>
                <w:p w14:paraId="354DC3F4" w14:textId="77777777" w:rsidR="00446B91" w:rsidRPr="00B1465D" w:rsidRDefault="00446B91" w:rsidP="0091342C">
                  <w:pPr>
                    <w:pStyle w:val="Figure"/>
                    <w:spacing w:before="60" w:after="60"/>
                    <w:rPr>
                      <w:rFonts w:ascii="Arial" w:hAnsi="Arial" w:cs="Arial"/>
                      <w:sz w:val="18"/>
                      <w:szCs w:val="18"/>
                    </w:rPr>
                  </w:pPr>
                  <w:r>
                    <w:rPr>
                      <w:rFonts w:ascii="Arial" w:hAnsi="Arial" w:cs="Arial"/>
                      <w:sz w:val="18"/>
                      <w:szCs w:val="18"/>
                    </w:rPr>
                    <w:t xml:space="preserve"> </w:t>
                  </w:r>
                  <w:r w:rsidRPr="006F27B3">
                    <w:rPr>
                      <w:rFonts w:ascii="Arial" w:hAnsi="Arial" w:cs="Arial"/>
                      <w:noProof/>
                      <w:sz w:val="18"/>
                      <w:szCs w:val="18"/>
                    </w:rPr>
                    <w:drawing>
                      <wp:inline distT="0" distB="0" distL="0" distR="0" wp14:anchorId="0DFA0A2C" wp14:editId="4C64E72A">
                        <wp:extent cx="1249045" cy="2091055"/>
                        <wp:effectExtent l="0" t="0" r="8255" b="4445"/>
                        <wp:docPr id="234" name="Picture 234" descr="This figure shows the age distribution of SMSF trustees as at 2017 for all SMSFs. Most SMSF members are over 60 years of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9045" cy="2091055"/>
                                </a:xfrm>
                                <a:prstGeom prst="rect">
                                  <a:avLst/>
                                </a:prstGeom>
                                <a:noFill/>
                                <a:ln>
                                  <a:noFill/>
                                </a:ln>
                              </pic:spPr>
                            </pic:pic>
                          </a:graphicData>
                        </a:graphic>
                      </wp:inline>
                    </w:drawing>
                  </w:r>
                </w:p>
              </w:tc>
              <w:tc>
                <w:tcPr>
                  <w:tcW w:w="3634" w:type="pct"/>
                  <w:tcBorders>
                    <w:top w:val="nil"/>
                    <w:bottom w:val="nil"/>
                  </w:tcBorders>
                </w:tcPr>
                <w:p w14:paraId="03632CCE" w14:textId="77777777" w:rsidR="00446B91" w:rsidRPr="00B1465D" w:rsidRDefault="00446B91" w:rsidP="0091342C">
                  <w:pPr>
                    <w:pStyle w:val="Figure"/>
                    <w:spacing w:before="60" w:after="60"/>
                    <w:rPr>
                      <w:rFonts w:ascii="Arial" w:hAnsi="Arial" w:cs="Arial"/>
                      <w:sz w:val="18"/>
                      <w:szCs w:val="18"/>
                    </w:rPr>
                  </w:pPr>
                  <w:r w:rsidRPr="00075016">
                    <w:rPr>
                      <w:rFonts w:ascii="Arial" w:hAnsi="Arial" w:cs="Arial"/>
                      <w:noProof/>
                      <w:sz w:val="18"/>
                      <w:szCs w:val="18"/>
                    </w:rPr>
                    <w:drawing>
                      <wp:inline distT="0" distB="0" distL="0" distR="0" wp14:anchorId="56052467" wp14:editId="1E525DB5">
                        <wp:extent cx="3925078" cy="2350770"/>
                        <wp:effectExtent l="0" t="0" r="0" b="0"/>
                        <wp:docPr id="237" name="Picture 237" descr="This figure shows the age distribution of SMSF trustees as at 2017 separately for SMSFs established in each year. Most members of newly established SMSFs are younger than 60 years of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3001"/>
                                <a:stretch/>
                              </pic:blipFill>
                              <pic:spPr bwMode="auto">
                                <a:xfrm>
                                  <a:off x="0" y="0"/>
                                  <a:ext cx="3925078" cy="235077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3F59BA1" w14:textId="77777777" w:rsidR="00446B91" w:rsidRDefault="00446B91" w:rsidP="0091342C">
            <w:pPr>
              <w:pStyle w:val="Figure"/>
            </w:pPr>
          </w:p>
        </w:tc>
      </w:tr>
      <w:tr w:rsidR="00446B91" w:rsidRPr="00176D3F" w14:paraId="5CE7830E" w14:textId="77777777" w:rsidTr="0091342C">
        <w:tc>
          <w:tcPr>
            <w:tcW w:w="5000" w:type="pct"/>
            <w:tcBorders>
              <w:top w:val="nil"/>
              <w:left w:val="nil"/>
              <w:bottom w:val="nil"/>
              <w:right w:val="nil"/>
            </w:tcBorders>
            <w:shd w:val="clear" w:color="auto" w:fill="auto"/>
          </w:tcPr>
          <w:tbl>
            <w:tblPr>
              <w:tblW w:w="8505" w:type="dxa"/>
              <w:tblLook w:val="04A0" w:firstRow="1" w:lastRow="0" w:firstColumn="1" w:lastColumn="0" w:noHBand="0" w:noVBand="1"/>
            </w:tblPr>
            <w:tblGrid>
              <w:gridCol w:w="1614"/>
              <w:gridCol w:w="2783"/>
              <w:gridCol w:w="1606"/>
              <w:gridCol w:w="2502"/>
            </w:tblGrid>
            <w:tr w:rsidR="00446B91" w14:paraId="7C4032A0" w14:textId="77777777" w:rsidTr="0091342C">
              <w:trPr>
                <w:tblHeader/>
              </w:trPr>
              <w:tc>
                <w:tcPr>
                  <w:tcW w:w="949" w:type="pct"/>
                  <w:shd w:val="clear" w:color="auto" w:fill="F2F2F2" w:themeFill="background1" w:themeFillShade="F2"/>
                </w:tcPr>
                <w:p w14:paraId="232D0F46" w14:textId="77777777" w:rsidR="00446B91" w:rsidRDefault="00446B91" w:rsidP="0091342C">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4051" w:type="pct"/>
                  <w:gridSpan w:val="3"/>
                  <w:shd w:val="clear" w:color="auto" w:fill="F2F2F2" w:themeFill="background1" w:themeFillShade="F2"/>
                </w:tcPr>
                <w:p w14:paraId="12AFC5B4" w14:textId="77777777" w:rsidR="00446B91" w:rsidRDefault="00446B91" w:rsidP="0091342C">
                  <w:pPr>
                    <w:pStyle w:val="Figure"/>
                    <w:spacing w:before="0" w:after="0"/>
                    <w:jc w:val="left"/>
                    <w:rPr>
                      <w:rFonts w:ascii="Arial" w:hAnsi="Arial" w:cs="Arial"/>
                      <w:sz w:val="18"/>
                      <w:szCs w:val="18"/>
                    </w:rPr>
                  </w:pPr>
                  <w:proofErr w:type="spellStart"/>
                  <w:r>
                    <w:rPr>
                      <w:rFonts w:asciiTheme="minorHAnsi" w:hAnsi="Arial" w:cstheme="minorBidi"/>
                      <w:color w:val="000000" w:themeColor="text1"/>
                      <w:kern w:val="24"/>
                      <w:sz w:val="18"/>
                      <w:szCs w:val="18"/>
                    </w:rPr>
                    <w:t>ATO</w:t>
                  </w:r>
                  <w:proofErr w:type="spellEnd"/>
                  <w:r>
                    <w:rPr>
                      <w:rFonts w:asciiTheme="minorHAnsi" w:hAnsi="Arial" w:cstheme="minorBidi"/>
                      <w:color w:val="000000" w:themeColor="text1"/>
                      <w:kern w:val="24"/>
                      <w:sz w:val="18"/>
                      <w:szCs w:val="18"/>
                    </w:rPr>
                    <w:t> </w:t>
                  </w:r>
                  <w:r w:rsidRPr="00CB0375">
                    <w:rPr>
                      <w:rFonts w:ascii="Arial" w:hAnsi="Arial" w:cs="Arial"/>
                      <w:sz w:val="18"/>
                    </w:rPr>
                    <w:t>(</w:t>
                  </w:r>
                  <w:proofErr w:type="spellStart"/>
                  <w:r w:rsidRPr="00CB0375">
                    <w:rPr>
                      <w:rFonts w:ascii="Arial" w:hAnsi="Arial" w:cs="Arial"/>
                      <w:sz w:val="18"/>
                    </w:rPr>
                    <w:t>2018a</w:t>
                  </w:r>
                  <w:proofErr w:type="spellEnd"/>
                  <w:r w:rsidRPr="00CB0375">
                    <w:rPr>
                      <w:rFonts w:ascii="Arial" w:hAnsi="Arial" w:cs="Arial"/>
                      <w:sz w:val="18"/>
                    </w:rPr>
                    <w:t>, and various back editions)</w:t>
                  </w:r>
                  <w:r>
                    <w:rPr>
                      <w:rFonts w:asciiTheme="minorHAnsi" w:hAnsi="Arial" w:cstheme="minorBidi"/>
                      <w:color w:val="000000" w:themeColor="text1"/>
                      <w:kern w:val="24"/>
                      <w:sz w:val="18"/>
                      <w:szCs w:val="18"/>
                    </w:rPr>
                    <w:t>.</w:t>
                  </w:r>
                </w:p>
              </w:tc>
            </w:tr>
            <w:tr w:rsidR="00446B91" w:rsidRPr="0032089A" w14:paraId="6B06E285" w14:textId="77777777" w:rsidTr="0091342C">
              <w:tc>
                <w:tcPr>
                  <w:tcW w:w="949" w:type="pct"/>
                  <w:shd w:val="clear" w:color="auto" w:fill="F2F2F2" w:themeFill="background1" w:themeFillShade="F2"/>
                </w:tcPr>
                <w:p w14:paraId="45E312B8" w14:textId="77777777" w:rsidR="00446B91" w:rsidRDefault="00446B91" w:rsidP="0091342C">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p>
              </w:tc>
              <w:tc>
                <w:tcPr>
                  <w:tcW w:w="4051" w:type="pct"/>
                  <w:gridSpan w:val="3"/>
                  <w:shd w:val="clear" w:color="auto" w:fill="F2F2F2" w:themeFill="background1" w:themeFillShade="F2"/>
                </w:tcPr>
                <w:p w14:paraId="3351FA95" w14:textId="77777777" w:rsidR="00446B91" w:rsidRPr="0032089A" w:rsidRDefault="00446B91" w:rsidP="0091342C">
                  <w:pPr>
                    <w:pStyle w:val="NormalWeb"/>
                    <w:rPr>
                      <w:color w:val="000000" w:themeColor="text1"/>
                      <w:sz w:val="18"/>
                      <w:szCs w:val="18"/>
                    </w:rPr>
                  </w:pPr>
                  <w:r w:rsidRPr="002420FA">
                    <w:rPr>
                      <w:rFonts w:asciiTheme="minorHAnsi" w:hAnsi="Arial" w:cstheme="minorBidi"/>
                      <w:color w:val="000000" w:themeColor="text1"/>
                      <w:kern w:val="24"/>
                      <w:sz w:val="18"/>
                      <w:szCs w:val="18"/>
                    </w:rPr>
                    <w:t xml:space="preserve">The </w:t>
                  </w:r>
                  <w:proofErr w:type="spellStart"/>
                  <w:r w:rsidRPr="002420FA">
                    <w:rPr>
                      <w:rFonts w:asciiTheme="minorHAnsi" w:hAnsi="Arial" w:cstheme="minorBidi"/>
                      <w:color w:val="000000" w:themeColor="text1"/>
                      <w:kern w:val="24"/>
                      <w:sz w:val="18"/>
                      <w:szCs w:val="18"/>
                    </w:rPr>
                    <w:t>ATO</w:t>
                  </w:r>
                  <w:proofErr w:type="spellEnd"/>
                  <w:r w:rsidRPr="002420FA">
                    <w:rPr>
                      <w:rFonts w:asciiTheme="minorHAnsi" w:hAnsi="Arial" w:cstheme="minorBidi"/>
                      <w:color w:val="000000" w:themeColor="text1"/>
                      <w:kern w:val="24"/>
                      <w:sz w:val="18"/>
                      <w:szCs w:val="18"/>
                    </w:rPr>
                    <w:t xml:space="preserve"> data represent all </w:t>
                  </w:r>
                  <w:proofErr w:type="spellStart"/>
                  <w:r w:rsidRPr="002420FA">
                    <w:rPr>
                      <w:rFonts w:asciiTheme="minorHAnsi" w:hAnsi="Arial" w:cstheme="minorBidi"/>
                      <w:color w:val="000000" w:themeColor="text1"/>
                      <w:kern w:val="24"/>
                      <w:sz w:val="18"/>
                      <w:szCs w:val="18"/>
                    </w:rPr>
                    <w:t>SMSFs</w:t>
                  </w:r>
                  <w:proofErr w:type="spellEnd"/>
                  <w:r w:rsidRPr="002420FA">
                    <w:rPr>
                      <w:rFonts w:asciiTheme="minorHAnsi" w:hAnsi="Arial" w:cstheme="minorBidi"/>
                      <w:color w:val="000000" w:themeColor="text1"/>
                      <w:kern w:val="24"/>
                      <w:sz w:val="18"/>
                      <w:szCs w:val="18"/>
                    </w:rPr>
                    <w:t xml:space="preserve"> in the system</w:t>
                  </w:r>
                  <w:r>
                    <w:rPr>
                      <w:rFonts w:asciiTheme="minorHAnsi" w:hAnsi="Arial" w:cstheme="minorBidi"/>
                      <w:color w:val="000000" w:themeColor="text1"/>
                      <w:kern w:val="24"/>
                      <w:sz w:val="18"/>
                      <w:szCs w:val="18"/>
                    </w:rPr>
                    <w:t>.</w:t>
                  </w:r>
                </w:p>
              </w:tc>
            </w:tr>
            <w:tr w:rsidR="00446B91" w:rsidDel="009516F9" w14:paraId="6B232004" w14:textId="77777777" w:rsidTr="0091342C">
              <w:tc>
                <w:tcPr>
                  <w:tcW w:w="949" w:type="pct"/>
                  <w:shd w:val="clear" w:color="auto" w:fill="F2F2F2" w:themeFill="background1" w:themeFillShade="F2"/>
                </w:tcPr>
                <w:p w14:paraId="022CF198" w14:textId="77777777" w:rsidR="00446B91" w:rsidRPr="00311D4D" w:rsidRDefault="00446B91" w:rsidP="0091342C">
                  <w:pPr>
                    <w:pStyle w:val="Figure"/>
                    <w:spacing w:before="0" w:after="0"/>
                    <w:jc w:val="left"/>
                    <w:rPr>
                      <w:rFonts w:ascii="Arial" w:hAnsi="Arial" w:cs="Arial"/>
                      <w:b/>
                      <w:sz w:val="18"/>
                      <w:szCs w:val="18"/>
                    </w:rPr>
                  </w:pPr>
                  <w:r w:rsidRPr="005F68B0">
                    <w:rPr>
                      <w:rFonts w:ascii="Arial" w:hAnsi="Arial" w:cs="Arial"/>
                      <w:b/>
                      <w:sz w:val="18"/>
                      <w:szCs w:val="18"/>
                    </w:rPr>
                    <w:t>Survivor bias</w:t>
                  </w:r>
                </w:p>
              </w:tc>
              <w:tc>
                <w:tcPr>
                  <w:tcW w:w="1636" w:type="pct"/>
                  <w:shd w:val="clear" w:color="auto" w:fill="F2F2F2" w:themeFill="background1" w:themeFillShade="F2"/>
                </w:tcPr>
                <w:p w14:paraId="113D0FA4" w14:textId="77777777" w:rsidR="00446B91" w:rsidDel="009516F9" w:rsidRDefault="00446B91" w:rsidP="0091342C">
                  <w:pPr>
                    <w:pStyle w:val="Figure"/>
                    <w:spacing w:before="0" w:after="0"/>
                    <w:jc w:val="left"/>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No</w:t>
                  </w:r>
                </w:p>
              </w:tc>
              <w:tc>
                <w:tcPr>
                  <w:tcW w:w="944" w:type="pct"/>
                  <w:shd w:val="clear" w:color="auto" w:fill="F2F2F2" w:themeFill="background1" w:themeFillShade="F2"/>
                </w:tcPr>
                <w:p w14:paraId="6E8DBBA1" w14:textId="77777777" w:rsidR="00446B91" w:rsidRPr="005F68B0" w:rsidDel="009516F9" w:rsidRDefault="00446B91" w:rsidP="0091342C">
                  <w:pPr>
                    <w:pStyle w:val="Figure"/>
                    <w:spacing w:before="0" w:after="0"/>
                    <w:jc w:val="left"/>
                    <w:rPr>
                      <w:rFonts w:asciiTheme="minorHAnsi" w:hAnsi="Arial" w:cstheme="minorBidi"/>
                      <w:b/>
                      <w:color w:val="000000" w:themeColor="text1"/>
                      <w:kern w:val="24"/>
                      <w:sz w:val="18"/>
                      <w:szCs w:val="18"/>
                    </w:rPr>
                  </w:pPr>
                  <w:r w:rsidRPr="005F68B0">
                    <w:rPr>
                      <w:rFonts w:asciiTheme="minorHAnsi" w:hAnsi="Arial" w:cstheme="minorBidi"/>
                      <w:b/>
                      <w:color w:val="000000" w:themeColor="text1"/>
                      <w:kern w:val="24"/>
                      <w:sz w:val="18"/>
                      <w:szCs w:val="18"/>
                    </w:rPr>
                    <w:t>Selection bias</w:t>
                  </w:r>
                </w:p>
              </w:tc>
              <w:tc>
                <w:tcPr>
                  <w:tcW w:w="1471" w:type="pct"/>
                  <w:shd w:val="clear" w:color="auto" w:fill="F2F2F2" w:themeFill="background1" w:themeFillShade="F2"/>
                </w:tcPr>
                <w:p w14:paraId="4E63F10B" w14:textId="77777777" w:rsidR="00446B91" w:rsidDel="009516F9" w:rsidRDefault="00446B91" w:rsidP="0091342C">
                  <w:pPr>
                    <w:pStyle w:val="Figure"/>
                    <w:spacing w:before="0" w:after="0"/>
                    <w:jc w:val="left"/>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No</w:t>
                  </w:r>
                </w:p>
              </w:tc>
            </w:tr>
          </w:tbl>
          <w:p w14:paraId="3D901E4F" w14:textId="77777777" w:rsidR="00446B91" w:rsidRDefault="00446B91" w:rsidP="0091342C">
            <w:pPr>
              <w:pStyle w:val="Note"/>
              <w:rPr>
                <w:rStyle w:val="NoteLabel"/>
              </w:rPr>
            </w:pPr>
          </w:p>
        </w:tc>
      </w:tr>
      <w:tr w:rsidR="00446B91" w:rsidRPr="00176D3F" w14:paraId="454015A7" w14:textId="77777777" w:rsidTr="0091342C">
        <w:tc>
          <w:tcPr>
            <w:tcW w:w="5000" w:type="pct"/>
            <w:tcBorders>
              <w:top w:val="nil"/>
              <w:left w:val="nil"/>
              <w:bottom w:val="nil"/>
              <w:right w:val="nil"/>
            </w:tcBorders>
            <w:shd w:val="clear" w:color="auto" w:fill="auto"/>
          </w:tcPr>
          <w:p w14:paraId="389B9F6E" w14:textId="77777777" w:rsidR="00446B91" w:rsidRPr="00176D3F" w:rsidRDefault="00446B91" w:rsidP="0091342C">
            <w:pPr>
              <w:pStyle w:val="Note"/>
            </w:pPr>
            <w:proofErr w:type="spellStart"/>
            <w:r>
              <w:rPr>
                <w:rStyle w:val="NoteLabel"/>
              </w:rPr>
              <w:t>a</w:t>
            </w:r>
            <w:proofErr w:type="spellEnd"/>
            <w:r>
              <w:t xml:space="preserve"> Figures for all </w:t>
            </w:r>
            <w:proofErr w:type="spellStart"/>
            <w:r>
              <w:t>SMSFs</w:t>
            </w:r>
            <w:proofErr w:type="spellEnd"/>
            <w:r>
              <w:t xml:space="preserve"> in 2017 and new </w:t>
            </w:r>
            <w:proofErr w:type="spellStart"/>
            <w:r>
              <w:t>SMSFs</w:t>
            </w:r>
            <w:proofErr w:type="spellEnd"/>
            <w:r>
              <w:t xml:space="preserve"> in 2012–2016 are drawn from annual data; figures for new </w:t>
            </w:r>
            <w:proofErr w:type="spellStart"/>
            <w:r>
              <w:t>SMSFs</w:t>
            </w:r>
            <w:proofErr w:type="spellEnd"/>
            <w:r>
              <w:t xml:space="preserve"> in 2017 and 2018 are the average of quarterly values. </w:t>
            </w:r>
            <w:r w:rsidRPr="003C7906">
              <w:rPr>
                <w:rStyle w:val="NoteLabel"/>
              </w:rPr>
              <w:t>b</w:t>
            </w:r>
            <w:r>
              <w:t xml:space="preserve"> Figures for 2018 are to end March.</w:t>
            </w:r>
          </w:p>
        </w:tc>
      </w:tr>
      <w:tr w:rsidR="00446B91" w14:paraId="71DCFF6C" w14:textId="77777777" w:rsidTr="0091342C">
        <w:tc>
          <w:tcPr>
            <w:tcW w:w="5000" w:type="pct"/>
            <w:tcBorders>
              <w:top w:val="nil"/>
              <w:left w:val="nil"/>
              <w:bottom w:val="single" w:sz="6" w:space="0" w:color="78A22F"/>
              <w:right w:val="nil"/>
            </w:tcBorders>
            <w:shd w:val="clear" w:color="auto" w:fill="auto"/>
          </w:tcPr>
          <w:p w14:paraId="468B8793" w14:textId="77777777" w:rsidR="00446B91" w:rsidRDefault="00446B91" w:rsidP="0091342C">
            <w:pPr>
              <w:pStyle w:val="Figurespace"/>
            </w:pPr>
          </w:p>
        </w:tc>
      </w:tr>
      <w:tr w:rsidR="00446B91" w:rsidRPr="000863A5" w14:paraId="155FB3B7" w14:textId="77777777" w:rsidTr="0091342C">
        <w:tc>
          <w:tcPr>
            <w:tcW w:w="5000" w:type="pct"/>
            <w:tcBorders>
              <w:top w:val="single" w:sz="6" w:space="0" w:color="78A22F"/>
              <w:left w:val="nil"/>
              <w:bottom w:val="nil"/>
              <w:right w:val="nil"/>
            </w:tcBorders>
          </w:tcPr>
          <w:p w14:paraId="463FB716" w14:textId="77777777" w:rsidR="00446B91" w:rsidRPr="00626D32" w:rsidRDefault="00446B91" w:rsidP="0091342C">
            <w:pPr>
              <w:pStyle w:val="BoxSpaceBelow"/>
            </w:pPr>
          </w:p>
        </w:tc>
      </w:tr>
    </w:tbl>
    <w:p w14:paraId="137E3C77" w14:textId="77777777" w:rsidR="00446B91" w:rsidRDefault="00446B91" w:rsidP="00446B91">
      <w:pPr>
        <w:pStyle w:val="Heading3"/>
      </w:pPr>
      <w:r>
        <w:br w:type="page"/>
      </w:r>
      <w:r>
        <w:lastRenderedPageBreak/>
        <w:t>References</w:t>
      </w:r>
    </w:p>
    <w:p w14:paraId="6CE2518F" w14:textId="77777777" w:rsidR="00446B91" w:rsidRPr="00E924F4" w:rsidRDefault="00446B91" w:rsidP="00446B91">
      <w:pPr>
        <w:pStyle w:val="Reference"/>
        <w:rPr>
          <w:spacing w:val="-2"/>
          <w:sz w:val="22"/>
          <w:szCs w:val="22"/>
        </w:rPr>
      </w:pPr>
      <w:r w:rsidRPr="00E924F4">
        <w:rPr>
          <w:spacing w:val="-2"/>
          <w:sz w:val="22"/>
          <w:szCs w:val="22"/>
        </w:rPr>
        <w:t xml:space="preserve">APRA (Australian Prudential Regulation Authority) </w:t>
      </w:r>
      <w:proofErr w:type="spellStart"/>
      <w:r w:rsidRPr="00E924F4">
        <w:rPr>
          <w:spacing w:val="-2"/>
          <w:sz w:val="22"/>
          <w:szCs w:val="22"/>
        </w:rPr>
        <w:t>2018a</w:t>
      </w:r>
      <w:proofErr w:type="spellEnd"/>
      <w:r w:rsidRPr="00E924F4">
        <w:rPr>
          <w:spacing w:val="-2"/>
          <w:sz w:val="22"/>
          <w:szCs w:val="22"/>
        </w:rPr>
        <w:t xml:space="preserve">, </w:t>
      </w:r>
      <w:r w:rsidRPr="00E924F4">
        <w:rPr>
          <w:i/>
          <w:iCs/>
          <w:spacing w:val="-2"/>
          <w:sz w:val="22"/>
          <w:szCs w:val="22"/>
        </w:rPr>
        <w:t xml:space="preserve">Quarterly </w:t>
      </w:r>
      <w:proofErr w:type="spellStart"/>
      <w:r w:rsidRPr="00E924F4">
        <w:rPr>
          <w:i/>
          <w:iCs/>
          <w:spacing w:val="-2"/>
          <w:sz w:val="22"/>
          <w:szCs w:val="22"/>
        </w:rPr>
        <w:t>MySuper</w:t>
      </w:r>
      <w:proofErr w:type="spellEnd"/>
      <w:r w:rsidRPr="00E924F4">
        <w:rPr>
          <w:i/>
          <w:iCs/>
          <w:spacing w:val="-2"/>
          <w:sz w:val="22"/>
          <w:szCs w:val="22"/>
        </w:rPr>
        <w:t xml:space="preserve"> Statistics June 2018 </w:t>
      </w:r>
      <w:r>
        <w:rPr>
          <w:i/>
          <w:iCs/>
          <w:spacing w:val="-2"/>
          <w:sz w:val="22"/>
          <w:szCs w:val="22"/>
        </w:rPr>
        <w:t>b</w:t>
      </w:r>
      <w:r w:rsidRPr="00E924F4">
        <w:rPr>
          <w:i/>
          <w:iCs/>
          <w:spacing w:val="-2"/>
          <w:sz w:val="22"/>
          <w:szCs w:val="22"/>
        </w:rPr>
        <w:t xml:space="preserve">ack </w:t>
      </w:r>
      <w:r>
        <w:rPr>
          <w:i/>
          <w:iCs/>
          <w:spacing w:val="-2"/>
          <w:sz w:val="22"/>
          <w:szCs w:val="22"/>
        </w:rPr>
        <w:t>s</w:t>
      </w:r>
      <w:r w:rsidRPr="00E924F4">
        <w:rPr>
          <w:i/>
          <w:iCs/>
          <w:spacing w:val="-2"/>
          <w:sz w:val="22"/>
          <w:szCs w:val="22"/>
        </w:rPr>
        <w:t>eries</w:t>
      </w:r>
      <w:r w:rsidRPr="00E924F4">
        <w:rPr>
          <w:spacing w:val="-2"/>
          <w:sz w:val="22"/>
          <w:szCs w:val="22"/>
        </w:rPr>
        <w:t>, 28 August.</w:t>
      </w:r>
    </w:p>
    <w:p w14:paraId="415FBADC" w14:textId="77777777" w:rsidR="00446B91" w:rsidRPr="00E924F4" w:rsidRDefault="00446B91" w:rsidP="00446B91">
      <w:pPr>
        <w:pStyle w:val="Reference"/>
        <w:rPr>
          <w:spacing w:val="-2"/>
          <w:sz w:val="22"/>
          <w:szCs w:val="22"/>
        </w:rPr>
      </w:pPr>
      <w:r w:rsidRPr="00E924F4">
        <w:rPr>
          <w:spacing w:val="-2"/>
          <w:sz w:val="22"/>
          <w:szCs w:val="22"/>
        </w:rPr>
        <w:t>—— </w:t>
      </w:r>
      <w:proofErr w:type="spellStart"/>
      <w:r w:rsidRPr="00E924F4">
        <w:rPr>
          <w:spacing w:val="-2"/>
          <w:sz w:val="22"/>
          <w:szCs w:val="22"/>
        </w:rPr>
        <w:t>2018b</w:t>
      </w:r>
      <w:proofErr w:type="spellEnd"/>
      <w:r w:rsidRPr="00E924F4">
        <w:rPr>
          <w:spacing w:val="-2"/>
          <w:sz w:val="22"/>
          <w:szCs w:val="22"/>
        </w:rPr>
        <w:t xml:space="preserve">, </w:t>
      </w:r>
      <w:r w:rsidRPr="00E924F4">
        <w:rPr>
          <w:i/>
          <w:iCs/>
          <w:spacing w:val="-2"/>
          <w:sz w:val="22"/>
          <w:szCs w:val="22"/>
        </w:rPr>
        <w:t xml:space="preserve">Annual Fund-level Superannuation Statistics </w:t>
      </w:r>
      <w:r>
        <w:rPr>
          <w:i/>
          <w:iCs/>
          <w:spacing w:val="-2"/>
          <w:sz w:val="22"/>
          <w:szCs w:val="22"/>
        </w:rPr>
        <w:t>b</w:t>
      </w:r>
      <w:r w:rsidRPr="00E924F4">
        <w:rPr>
          <w:i/>
          <w:iCs/>
          <w:spacing w:val="-2"/>
          <w:sz w:val="22"/>
          <w:szCs w:val="22"/>
        </w:rPr>
        <w:t>ack</w:t>
      </w:r>
      <w:r>
        <w:rPr>
          <w:i/>
          <w:iCs/>
          <w:spacing w:val="-2"/>
          <w:sz w:val="22"/>
          <w:szCs w:val="22"/>
        </w:rPr>
        <w:t xml:space="preserve"> </w:t>
      </w:r>
      <w:r w:rsidRPr="00E924F4">
        <w:rPr>
          <w:i/>
          <w:iCs/>
          <w:spacing w:val="-2"/>
          <w:sz w:val="22"/>
          <w:szCs w:val="22"/>
        </w:rPr>
        <w:t>series 2017</w:t>
      </w:r>
      <w:r w:rsidRPr="00E924F4">
        <w:rPr>
          <w:spacing w:val="-2"/>
          <w:sz w:val="22"/>
          <w:szCs w:val="22"/>
        </w:rPr>
        <w:t>.</w:t>
      </w:r>
    </w:p>
    <w:p w14:paraId="10905095" w14:textId="77777777" w:rsidR="00446B91" w:rsidRPr="00E924F4" w:rsidRDefault="00446B91" w:rsidP="00446B91">
      <w:pPr>
        <w:pStyle w:val="Reference"/>
        <w:rPr>
          <w:spacing w:val="-4"/>
          <w:sz w:val="22"/>
          <w:szCs w:val="22"/>
        </w:rPr>
      </w:pPr>
      <w:proofErr w:type="spellStart"/>
      <w:r w:rsidRPr="00E924F4">
        <w:rPr>
          <w:spacing w:val="-4"/>
          <w:sz w:val="22"/>
          <w:szCs w:val="22"/>
        </w:rPr>
        <w:t>ATO</w:t>
      </w:r>
      <w:proofErr w:type="spellEnd"/>
      <w:r w:rsidRPr="00E924F4">
        <w:rPr>
          <w:spacing w:val="-4"/>
          <w:sz w:val="22"/>
          <w:szCs w:val="22"/>
        </w:rPr>
        <w:t xml:space="preserve"> (Australian Taxation Office) </w:t>
      </w:r>
      <w:proofErr w:type="spellStart"/>
      <w:r w:rsidRPr="00E924F4">
        <w:rPr>
          <w:spacing w:val="-4"/>
          <w:sz w:val="22"/>
          <w:szCs w:val="22"/>
        </w:rPr>
        <w:t>2018a</w:t>
      </w:r>
      <w:proofErr w:type="spellEnd"/>
      <w:r w:rsidRPr="00E924F4">
        <w:rPr>
          <w:spacing w:val="-4"/>
          <w:sz w:val="22"/>
          <w:szCs w:val="22"/>
        </w:rPr>
        <w:t xml:space="preserve">, </w:t>
      </w:r>
      <w:r w:rsidRPr="00E924F4">
        <w:rPr>
          <w:i/>
          <w:iCs/>
          <w:spacing w:val="-4"/>
          <w:sz w:val="22"/>
          <w:szCs w:val="22"/>
        </w:rPr>
        <w:t>Self-Managed Super Funds: A Statistical Overview 2015–2016</w:t>
      </w:r>
      <w:r w:rsidRPr="00E924F4">
        <w:rPr>
          <w:spacing w:val="-4"/>
          <w:sz w:val="22"/>
          <w:szCs w:val="22"/>
        </w:rPr>
        <w:t>, www.ato.gov.au/About-ATO/Research-and-statistics/In-detail/Super-statistics/SMSF/Self-managed-superannuation-funds--A-statistical-overview-2015-2016/ (accessed 25 September 2018).</w:t>
      </w:r>
    </w:p>
    <w:p w14:paraId="0B70229F" w14:textId="77777777" w:rsidR="00446B91" w:rsidRPr="00E924F4" w:rsidRDefault="00446B91" w:rsidP="00446B91">
      <w:pPr>
        <w:pStyle w:val="Reference"/>
        <w:rPr>
          <w:spacing w:val="-2"/>
          <w:sz w:val="22"/>
          <w:szCs w:val="22"/>
        </w:rPr>
      </w:pPr>
      <w:r w:rsidRPr="00E924F4">
        <w:rPr>
          <w:spacing w:val="-2"/>
          <w:sz w:val="22"/>
          <w:szCs w:val="22"/>
        </w:rPr>
        <w:t>—— </w:t>
      </w:r>
      <w:proofErr w:type="spellStart"/>
      <w:r w:rsidRPr="00E924F4">
        <w:rPr>
          <w:spacing w:val="-2"/>
          <w:sz w:val="22"/>
          <w:szCs w:val="22"/>
        </w:rPr>
        <w:t>2018b</w:t>
      </w:r>
      <w:proofErr w:type="spellEnd"/>
      <w:r w:rsidRPr="00E924F4">
        <w:rPr>
          <w:spacing w:val="-2"/>
          <w:sz w:val="22"/>
          <w:szCs w:val="22"/>
        </w:rPr>
        <w:t xml:space="preserve">, </w:t>
      </w:r>
      <w:r w:rsidRPr="00E924F4">
        <w:rPr>
          <w:i/>
          <w:iCs/>
          <w:spacing w:val="-2"/>
          <w:sz w:val="22"/>
          <w:szCs w:val="22"/>
        </w:rPr>
        <w:t xml:space="preserve">Self-managed super funds: </w:t>
      </w:r>
      <w:proofErr w:type="spellStart"/>
      <w:r w:rsidRPr="00E924F4">
        <w:rPr>
          <w:i/>
          <w:iCs/>
          <w:spacing w:val="-2"/>
          <w:sz w:val="22"/>
          <w:szCs w:val="22"/>
        </w:rPr>
        <w:t>SMSFs</w:t>
      </w:r>
      <w:proofErr w:type="spellEnd"/>
      <w:r w:rsidRPr="00E924F4">
        <w:rPr>
          <w:i/>
          <w:iCs/>
          <w:spacing w:val="-2"/>
          <w:sz w:val="22"/>
          <w:szCs w:val="22"/>
        </w:rPr>
        <w:t xml:space="preserve"> first lodged in 2012 FY: where are they five years on?</w:t>
      </w:r>
    </w:p>
    <w:p w14:paraId="67ECF3F8" w14:textId="77777777" w:rsidR="00446B91" w:rsidRPr="00E924F4" w:rsidRDefault="00446B91" w:rsidP="00446B91">
      <w:pPr>
        <w:pStyle w:val="Reference"/>
        <w:rPr>
          <w:spacing w:val="-2"/>
          <w:sz w:val="22"/>
          <w:szCs w:val="22"/>
        </w:rPr>
      </w:pPr>
      <w:proofErr w:type="spellStart"/>
      <w:r w:rsidRPr="00E924F4">
        <w:rPr>
          <w:spacing w:val="-2"/>
          <w:sz w:val="22"/>
          <w:szCs w:val="22"/>
        </w:rPr>
        <w:t>Sy</w:t>
      </w:r>
      <w:proofErr w:type="spellEnd"/>
      <w:r w:rsidRPr="00E924F4">
        <w:rPr>
          <w:spacing w:val="-2"/>
          <w:sz w:val="22"/>
          <w:szCs w:val="22"/>
        </w:rPr>
        <w:t xml:space="preserve">, W. 2009, </w:t>
      </w:r>
      <w:r w:rsidRPr="00E924F4">
        <w:rPr>
          <w:i/>
          <w:iCs/>
          <w:spacing w:val="-2"/>
          <w:sz w:val="22"/>
          <w:szCs w:val="22"/>
        </w:rPr>
        <w:t>A Note on Investment Returns and Returns on Assets of Managed Funds</w:t>
      </w:r>
      <w:r w:rsidRPr="00E924F4">
        <w:rPr>
          <w:spacing w:val="-2"/>
          <w:sz w:val="22"/>
          <w:szCs w:val="22"/>
        </w:rPr>
        <w:t>, Working Paper, Australian Prudential Regulation Authority, Sydney.</w:t>
      </w:r>
    </w:p>
    <w:sectPr w:rsidR="00446B91" w:rsidRPr="00E924F4" w:rsidSect="00FE48AD">
      <w:headerReference w:type="even" r:id="rId23"/>
      <w:headerReference w:type="default" r:id="rId24"/>
      <w:footerReference w:type="even" r:id="rId25"/>
      <w:footerReference w:type="default" r:id="rId26"/>
      <w:headerReference w:type="first" r:id="rId27"/>
      <w:footerReference w:type="first" r:id="rId28"/>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73569" w14:textId="77777777" w:rsidR="002A7C18" w:rsidRDefault="002A7C18">
      <w:r>
        <w:separator/>
      </w:r>
    </w:p>
  </w:endnote>
  <w:endnote w:type="continuationSeparator" w:id="0">
    <w:p w14:paraId="1367C40D" w14:textId="77777777" w:rsidR="002A7C18" w:rsidRDefault="002A7C18">
      <w:r>
        <w:continuationSeparator/>
      </w:r>
    </w:p>
  </w:endnote>
  <w:endnote w:type="continuationNotice" w:id="1">
    <w:p w14:paraId="30F27FCB" w14:textId="77777777" w:rsidR="002A7C18" w:rsidRDefault="002A7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97850" w14:paraId="03AB8298" w14:textId="77777777" w:rsidTr="005F48ED">
      <w:trPr>
        <w:trHeight w:hRule="exact" w:val="567"/>
      </w:trPr>
      <w:tc>
        <w:tcPr>
          <w:tcW w:w="510" w:type="dxa"/>
        </w:tcPr>
        <w:p w14:paraId="55D6E8F8" w14:textId="77777777" w:rsidR="00297850" w:rsidRDefault="00297850">
          <w:pPr>
            <w:pStyle w:val="Footer"/>
            <w:ind w:right="360" w:firstLine="360"/>
          </w:pPr>
        </w:p>
      </w:tc>
      <w:tc>
        <w:tcPr>
          <w:tcW w:w="7767" w:type="dxa"/>
        </w:tcPr>
        <w:p w14:paraId="30B44EA2" w14:textId="77777777" w:rsidR="00297850" w:rsidRPr="00BA5B14" w:rsidRDefault="00297850"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BA2D00">
            <w:rPr>
              <w:rFonts w:cs="Arial"/>
            </w:rPr>
            <w:t>Technical supplement 5: Fees and costs - Superannuation: Assessing Efficiency and Competitiveness Draft Report</w:t>
          </w:r>
          <w:r w:rsidRPr="00BA5B14">
            <w:rPr>
              <w:rFonts w:cs="Arial"/>
            </w:rPr>
            <w:fldChar w:fldCharType="end"/>
          </w:r>
        </w:p>
      </w:tc>
      <w:tc>
        <w:tcPr>
          <w:tcW w:w="510" w:type="dxa"/>
        </w:tcPr>
        <w:p w14:paraId="10395CD8" w14:textId="77777777" w:rsidR="00297850" w:rsidRPr="00A24443" w:rsidRDefault="0029785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276E4">
            <w:rPr>
              <w:rStyle w:val="PageNumber"/>
              <w:caps w:val="0"/>
              <w:noProof/>
            </w:rPr>
            <w:t>i</w:t>
          </w:r>
          <w:r w:rsidRPr="00A24443">
            <w:rPr>
              <w:rStyle w:val="PageNumber"/>
              <w:caps w:val="0"/>
            </w:rPr>
            <w:fldChar w:fldCharType="end"/>
          </w:r>
        </w:p>
      </w:tc>
    </w:tr>
  </w:tbl>
  <w:p w14:paraId="65BDB691" w14:textId="77777777" w:rsidR="00297850" w:rsidRDefault="00297850">
    <w:pPr>
      <w:pStyle w:val="FooterEnd"/>
    </w:pPr>
  </w:p>
  <w:p w14:paraId="1C326EF2" w14:textId="77777777" w:rsidR="00297850" w:rsidRDefault="002978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A7C18" w14:paraId="432A2ADD" w14:textId="77777777" w:rsidTr="005F48ED">
      <w:trPr>
        <w:trHeight w:hRule="exact" w:val="567"/>
      </w:trPr>
      <w:tc>
        <w:tcPr>
          <w:tcW w:w="510" w:type="dxa"/>
        </w:tcPr>
        <w:p w14:paraId="72266AD0" w14:textId="77777777" w:rsidR="002A7C18" w:rsidRPr="00A24443" w:rsidRDefault="002A7C18"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276E4">
            <w:rPr>
              <w:rStyle w:val="PageNumber"/>
              <w:caps w:val="0"/>
              <w:noProof/>
            </w:rPr>
            <w:t>18</w:t>
          </w:r>
          <w:r w:rsidRPr="00A24443">
            <w:rPr>
              <w:rStyle w:val="PageNumber"/>
              <w:caps w:val="0"/>
            </w:rPr>
            <w:fldChar w:fldCharType="end"/>
          </w:r>
        </w:p>
      </w:tc>
      <w:tc>
        <w:tcPr>
          <w:tcW w:w="7767" w:type="dxa"/>
        </w:tcPr>
        <w:p w14:paraId="46DCAA18" w14:textId="5738C7CB" w:rsidR="002A7C18" w:rsidRPr="0013739A" w:rsidRDefault="00CF1CB2" w:rsidP="0013739A">
          <w:pPr>
            <w:pStyle w:val="Footer"/>
            <w:rPr>
              <w:rFonts w:cs="Arial"/>
            </w:rPr>
          </w:pPr>
          <w:r>
            <w:rPr>
              <w:rFonts w:cs="Arial"/>
            </w:rPr>
            <w:t>Superannuation: Efficiency and competitiveness</w:t>
          </w:r>
        </w:p>
      </w:tc>
      <w:tc>
        <w:tcPr>
          <w:tcW w:w="510" w:type="dxa"/>
        </w:tcPr>
        <w:p w14:paraId="1A76305D" w14:textId="77777777" w:rsidR="002A7C18" w:rsidRDefault="002A7C18" w:rsidP="0019293B">
          <w:pPr>
            <w:pStyle w:val="Footer"/>
          </w:pPr>
        </w:p>
      </w:tc>
    </w:tr>
  </w:tbl>
  <w:p w14:paraId="43BB3A46" w14:textId="77777777" w:rsidR="002A7C18" w:rsidRDefault="002A7C18" w:rsidP="0019293B">
    <w:pPr>
      <w:pStyle w:val="FooterEnd"/>
    </w:pPr>
  </w:p>
  <w:p w14:paraId="25629F6B" w14:textId="77777777" w:rsidR="002A7C18" w:rsidRDefault="002A7C18" w:rsidP="0019293B">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A7C18" w14:paraId="38C5113E" w14:textId="77777777" w:rsidTr="005F48ED">
      <w:trPr>
        <w:trHeight w:hRule="exact" w:val="567"/>
      </w:trPr>
      <w:tc>
        <w:tcPr>
          <w:tcW w:w="510" w:type="dxa"/>
        </w:tcPr>
        <w:p w14:paraId="35583B65" w14:textId="77777777" w:rsidR="002A7C18" w:rsidRDefault="002A7C18">
          <w:pPr>
            <w:pStyle w:val="Footer"/>
            <w:ind w:right="360" w:firstLine="360"/>
          </w:pPr>
        </w:p>
      </w:tc>
      <w:tc>
        <w:tcPr>
          <w:tcW w:w="7767" w:type="dxa"/>
        </w:tcPr>
        <w:p w14:paraId="14EB5ECC" w14:textId="582A2250" w:rsidR="002A7C18" w:rsidRPr="00BA5B14" w:rsidRDefault="00CF1CB2" w:rsidP="0013739A">
          <w:pPr>
            <w:pStyle w:val="Footer"/>
            <w:jc w:val="right"/>
            <w:rPr>
              <w:rFonts w:cs="Arial"/>
            </w:rPr>
          </w:pPr>
          <w:r>
            <w:rPr>
              <w:rFonts w:cs="Arial"/>
            </w:rPr>
            <w:t>Technical supplement 5</w:t>
          </w:r>
        </w:p>
      </w:tc>
      <w:tc>
        <w:tcPr>
          <w:tcW w:w="510" w:type="dxa"/>
        </w:tcPr>
        <w:p w14:paraId="24A06811" w14:textId="77777777" w:rsidR="002A7C18" w:rsidRPr="00A24443" w:rsidRDefault="002A7C18">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276E4">
            <w:rPr>
              <w:rStyle w:val="PageNumber"/>
              <w:caps w:val="0"/>
              <w:noProof/>
            </w:rPr>
            <w:t>17</w:t>
          </w:r>
          <w:r w:rsidRPr="00A24443">
            <w:rPr>
              <w:rStyle w:val="PageNumber"/>
              <w:caps w:val="0"/>
            </w:rPr>
            <w:fldChar w:fldCharType="end"/>
          </w:r>
        </w:p>
      </w:tc>
    </w:tr>
  </w:tbl>
  <w:p w14:paraId="7B3352C8" w14:textId="77777777" w:rsidR="002A7C18" w:rsidRDefault="002A7C18">
    <w:pPr>
      <w:pStyle w:val="FooterEnd"/>
    </w:pPr>
  </w:p>
  <w:p w14:paraId="20933B3D" w14:textId="77777777" w:rsidR="002A7C18" w:rsidRDefault="002A7C18">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923BD" w14:textId="77777777" w:rsidR="00D96F88" w:rsidRDefault="00D96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E6812" w14:textId="77777777" w:rsidR="002A7C18" w:rsidRDefault="002A7C18">
      <w:r>
        <w:separator/>
      </w:r>
    </w:p>
  </w:footnote>
  <w:footnote w:type="continuationSeparator" w:id="0">
    <w:p w14:paraId="63F0E50F" w14:textId="77777777" w:rsidR="002A7C18" w:rsidRDefault="002A7C18">
      <w:r>
        <w:continuationSeparator/>
      </w:r>
    </w:p>
  </w:footnote>
  <w:footnote w:type="continuationNotice" w:id="1">
    <w:p w14:paraId="5D643DAD" w14:textId="77777777" w:rsidR="002A7C18" w:rsidRDefault="002A7C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2A7C18" w14:paraId="4ECD17CF" w14:textId="77777777">
      <w:tc>
        <w:tcPr>
          <w:tcW w:w="2155" w:type="dxa"/>
          <w:tcBorders>
            <w:top w:val="single" w:sz="24" w:space="0" w:color="auto"/>
          </w:tcBorders>
        </w:tcPr>
        <w:p w14:paraId="5AFD5130" w14:textId="77777777" w:rsidR="002A7C18" w:rsidRDefault="002A7C18" w:rsidP="0019293B">
          <w:pPr>
            <w:pStyle w:val="HeaderEven"/>
          </w:pPr>
        </w:p>
      </w:tc>
      <w:tc>
        <w:tcPr>
          <w:tcW w:w="6634" w:type="dxa"/>
          <w:tcBorders>
            <w:top w:val="single" w:sz="6" w:space="0" w:color="auto"/>
          </w:tcBorders>
        </w:tcPr>
        <w:p w14:paraId="43207248" w14:textId="77777777" w:rsidR="002A7C18" w:rsidRDefault="002A7C18" w:rsidP="0019293B">
          <w:pPr>
            <w:pStyle w:val="HeaderEven"/>
          </w:pPr>
        </w:p>
      </w:tc>
    </w:tr>
  </w:tbl>
  <w:p w14:paraId="2D17505E" w14:textId="77777777" w:rsidR="002A7C18" w:rsidRDefault="002A7C18"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A7C18" w14:paraId="36224AB2" w14:textId="77777777">
      <w:tc>
        <w:tcPr>
          <w:tcW w:w="6634" w:type="dxa"/>
          <w:tcBorders>
            <w:top w:val="single" w:sz="6" w:space="0" w:color="auto"/>
          </w:tcBorders>
        </w:tcPr>
        <w:p w14:paraId="4057C425" w14:textId="77777777" w:rsidR="002A7C18" w:rsidRDefault="002A7C18" w:rsidP="00E669E2">
          <w:pPr>
            <w:pStyle w:val="HeaderOdd"/>
          </w:pPr>
        </w:p>
      </w:tc>
      <w:tc>
        <w:tcPr>
          <w:tcW w:w="2155" w:type="dxa"/>
          <w:tcBorders>
            <w:top w:val="single" w:sz="24" w:space="0" w:color="auto"/>
          </w:tcBorders>
        </w:tcPr>
        <w:p w14:paraId="020C8A4D" w14:textId="77777777" w:rsidR="002A7C18" w:rsidRDefault="002A7C18" w:rsidP="00E669E2">
          <w:pPr>
            <w:pStyle w:val="HeaderOdd"/>
          </w:pPr>
        </w:p>
      </w:tc>
    </w:tr>
  </w:tbl>
  <w:p w14:paraId="5C985446" w14:textId="77777777" w:rsidR="002A7C18" w:rsidRDefault="002A7C18"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23790" w14:textId="77777777" w:rsidR="00D96F88" w:rsidRDefault="00D96F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545003D4"/>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1E8E919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6"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7" w15:restartNumberingAfterBreak="0">
    <w:nsid w:val="0945581A"/>
    <w:multiLevelType w:val="hybridMultilevel"/>
    <w:tmpl w:val="24D09AEA"/>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8"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F531127"/>
    <w:multiLevelType w:val="hybridMultilevel"/>
    <w:tmpl w:val="24C8977A"/>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1"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64917AC"/>
    <w:multiLevelType w:val="hybridMultilevel"/>
    <w:tmpl w:val="7ABCE2D4"/>
    <w:lvl w:ilvl="0" w:tplc="7AF22A86">
      <w:start w:val="6"/>
      <w:numFmt w:val="bullet"/>
      <w:pStyle w:val="TableBullet-level2"/>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AB25CDE"/>
    <w:multiLevelType w:val="singleLevel"/>
    <w:tmpl w:val="3086CA22"/>
    <w:lvl w:ilvl="0">
      <w:start w:val="1"/>
      <w:numFmt w:val="decimal"/>
      <w:lvlText w:val="%1."/>
      <w:legacy w:legacy="1" w:legacySpace="0" w:legacyIndent="340"/>
      <w:lvlJc w:val="left"/>
      <w:pPr>
        <w:ind w:left="340" w:hanging="340"/>
      </w:pPr>
    </w:lvl>
  </w:abstractNum>
  <w:abstractNum w:abstractNumId="15" w15:restartNumberingAfterBreak="0">
    <w:nsid w:val="1D421953"/>
    <w:multiLevelType w:val="hybridMultilevel"/>
    <w:tmpl w:val="C9E27E82"/>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15:restartNumberingAfterBreak="0">
    <w:nsid w:val="203D7DCD"/>
    <w:multiLevelType w:val="hybridMultilevel"/>
    <w:tmpl w:val="E7A8DB60"/>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8" w15:restartNumberingAfterBreak="0">
    <w:nsid w:val="2A67698B"/>
    <w:multiLevelType w:val="hybridMultilevel"/>
    <w:tmpl w:val="823A5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1" w15:restartNumberingAfterBreak="0">
    <w:nsid w:val="4BA40E4F"/>
    <w:multiLevelType w:val="hybridMultilevel"/>
    <w:tmpl w:val="CB167F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6" w15:restartNumberingAfterBreak="0">
    <w:nsid w:val="56210B18"/>
    <w:multiLevelType w:val="hybridMultilevel"/>
    <w:tmpl w:val="A7284EAE"/>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0" w15:restartNumberingAfterBreak="0">
    <w:nsid w:val="67C71059"/>
    <w:multiLevelType w:val="hybridMultilevel"/>
    <w:tmpl w:val="41525484"/>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31" w15:restartNumberingAfterBreak="0">
    <w:nsid w:val="6F1D78A0"/>
    <w:multiLevelType w:val="hybridMultilevel"/>
    <w:tmpl w:val="A4A27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3"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34" w15:restartNumberingAfterBreak="0">
    <w:nsid w:val="7C982111"/>
    <w:multiLevelType w:val="multilevel"/>
    <w:tmpl w:val="E0B8929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Bullet"/>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4"/>
  </w:num>
  <w:num w:numId="3">
    <w:abstractNumId w:val="23"/>
  </w:num>
  <w:num w:numId="4">
    <w:abstractNumId w:val="5"/>
  </w:num>
  <w:num w:numId="5">
    <w:abstractNumId w:val="29"/>
  </w:num>
  <w:num w:numId="6">
    <w:abstractNumId w:val="25"/>
  </w:num>
  <w:num w:numId="7">
    <w:abstractNumId w:val="11"/>
  </w:num>
  <w:num w:numId="8">
    <w:abstractNumId w:val="24"/>
  </w:num>
  <w:num w:numId="9">
    <w:abstractNumId w:val="9"/>
  </w:num>
  <w:num w:numId="10">
    <w:abstractNumId w:val="8"/>
  </w:num>
  <w:num w:numId="11">
    <w:abstractNumId w:val="17"/>
  </w:num>
  <w:num w:numId="12">
    <w:abstractNumId w:val="19"/>
  </w:num>
  <w:num w:numId="13">
    <w:abstractNumId w:val="6"/>
  </w:num>
  <w:num w:numId="14">
    <w:abstractNumId w:val="27"/>
  </w:num>
  <w:num w:numId="15">
    <w:abstractNumId w:val="32"/>
  </w:num>
  <w:num w:numId="16">
    <w:abstractNumId w:val="22"/>
  </w:num>
  <w:num w:numId="17">
    <w:abstractNumId w:val="33"/>
  </w:num>
  <w:num w:numId="18">
    <w:abstractNumId w:val="0"/>
  </w:num>
  <w:num w:numId="19">
    <w:abstractNumId w:val="3"/>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8"/>
  </w:num>
  <w:num w:numId="21">
    <w:abstractNumId w:val="12"/>
  </w:num>
  <w:num w:numId="22">
    <w:abstractNumId w:val="31"/>
  </w:num>
  <w:num w:numId="23">
    <w:abstractNumId w:val="18"/>
  </w:num>
  <w:num w:numId="24">
    <w:abstractNumId w:val="21"/>
  </w:num>
  <w:num w:numId="25">
    <w:abstractNumId w:val="2"/>
  </w:num>
  <w:num w:numId="26">
    <w:abstractNumId w:val="1"/>
  </w:num>
  <w:num w:numId="27">
    <w:abstractNumId w:val="30"/>
  </w:num>
  <w:num w:numId="28">
    <w:abstractNumId w:val="26"/>
  </w:num>
  <w:num w:numId="29">
    <w:abstractNumId w:val="16"/>
  </w:num>
  <w:num w:numId="30">
    <w:abstractNumId w:val="15"/>
  </w:num>
  <w:num w:numId="31">
    <w:abstractNumId w:val="7"/>
  </w:num>
  <w:num w:numId="32">
    <w:abstractNumId w:val="10"/>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34"/>
  </w:num>
  <w:num w:numId="3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mirrorMargin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endixNumber" w:val="5"/>
    <w:docVar w:name="FindingOptions" w:val="1"/>
    <w:docVar w:name="RecOptions" w:val="111"/>
    <w:docVar w:name="ShortChapterTitle" w:val="Technical supplement 5"/>
    <w:docVar w:name="ShortReportTitle" w:val="Superannuation: Efficiency and competitiveness"/>
  </w:docVars>
  <w:rsids>
    <w:rsidRoot w:val="00EA2491"/>
    <w:rsid w:val="00003270"/>
    <w:rsid w:val="0000644A"/>
    <w:rsid w:val="000073D0"/>
    <w:rsid w:val="0000740C"/>
    <w:rsid w:val="00010F6F"/>
    <w:rsid w:val="000134F2"/>
    <w:rsid w:val="00013AA7"/>
    <w:rsid w:val="000227D5"/>
    <w:rsid w:val="00022F59"/>
    <w:rsid w:val="000245AA"/>
    <w:rsid w:val="00031958"/>
    <w:rsid w:val="000348F0"/>
    <w:rsid w:val="0003664B"/>
    <w:rsid w:val="00037783"/>
    <w:rsid w:val="0004111F"/>
    <w:rsid w:val="00045246"/>
    <w:rsid w:val="00050AC2"/>
    <w:rsid w:val="00052E69"/>
    <w:rsid w:val="000531D8"/>
    <w:rsid w:val="00055077"/>
    <w:rsid w:val="00055F0B"/>
    <w:rsid w:val="000565B3"/>
    <w:rsid w:val="00060633"/>
    <w:rsid w:val="00065A3A"/>
    <w:rsid w:val="000674EA"/>
    <w:rsid w:val="000679C6"/>
    <w:rsid w:val="00070FD7"/>
    <w:rsid w:val="0007150B"/>
    <w:rsid w:val="00073BA3"/>
    <w:rsid w:val="000743BF"/>
    <w:rsid w:val="0008240B"/>
    <w:rsid w:val="00093657"/>
    <w:rsid w:val="000938F5"/>
    <w:rsid w:val="00095663"/>
    <w:rsid w:val="00096E55"/>
    <w:rsid w:val="0009783E"/>
    <w:rsid w:val="00097C75"/>
    <w:rsid w:val="000A2301"/>
    <w:rsid w:val="000B1022"/>
    <w:rsid w:val="000B2210"/>
    <w:rsid w:val="000B601B"/>
    <w:rsid w:val="000B798E"/>
    <w:rsid w:val="000C057A"/>
    <w:rsid w:val="000C207E"/>
    <w:rsid w:val="000C36EA"/>
    <w:rsid w:val="000C7761"/>
    <w:rsid w:val="000D2B5A"/>
    <w:rsid w:val="000D35A9"/>
    <w:rsid w:val="000D3CCE"/>
    <w:rsid w:val="000D3DAC"/>
    <w:rsid w:val="000D41E9"/>
    <w:rsid w:val="000D4E44"/>
    <w:rsid w:val="000D5241"/>
    <w:rsid w:val="000E2A5C"/>
    <w:rsid w:val="000E4EDC"/>
    <w:rsid w:val="000E6F39"/>
    <w:rsid w:val="000E723E"/>
    <w:rsid w:val="000F0035"/>
    <w:rsid w:val="000F04E7"/>
    <w:rsid w:val="000F060A"/>
    <w:rsid w:val="000F1104"/>
    <w:rsid w:val="000F420B"/>
    <w:rsid w:val="000F539C"/>
    <w:rsid w:val="000F7039"/>
    <w:rsid w:val="00102DB1"/>
    <w:rsid w:val="0011000C"/>
    <w:rsid w:val="00110116"/>
    <w:rsid w:val="00110629"/>
    <w:rsid w:val="0011598F"/>
    <w:rsid w:val="00120072"/>
    <w:rsid w:val="00121364"/>
    <w:rsid w:val="00126EB8"/>
    <w:rsid w:val="001274D4"/>
    <w:rsid w:val="001276E4"/>
    <w:rsid w:val="001363AA"/>
    <w:rsid w:val="0013739A"/>
    <w:rsid w:val="00137DE4"/>
    <w:rsid w:val="00142165"/>
    <w:rsid w:val="00154469"/>
    <w:rsid w:val="001563B0"/>
    <w:rsid w:val="00156693"/>
    <w:rsid w:val="0016026E"/>
    <w:rsid w:val="00162434"/>
    <w:rsid w:val="00162583"/>
    <w:rsid w:val="00164CE7"/>
    <w:rsid w:val="001711AD"/>
    <w:rsid w:val="001728B9"/>
    <w:rsid w:val="00174B5A"/>
    <w:rsid w:val="00177AEF"/>
    <w:rsid w:val="0018070B"/>
    <w:rsid w:val="00183E82"/>
    <w:rsid w:val="00187710"/>
    <w:rsid w:val="001878BB"/>
    <w:rsid w:val="00187A20"/>
    <w:rsid w:val="00191AE0"/>
    <w:rsid w:val="00192887"/>
    <w:rsid w:val="0019293B"/>
    <w:rsid w:val="00192D62"/>
    <w:rsid w:val="0019426B"/>
    <w:rsid w:val="001956BA"/>
    <w:rsid w:val="001A3C1D"/>
    <w:rsid w:val="001A4462"/>
    <w:rsid w:val="001A62A8"/>
    <w:rsid w:val="001A6A4B"/>
    <w:rsid w:val="001B5AB2"/>
    <w:rsid w:val="001C0865"/>
    <w:rsid w:val="001C0AED"/>
    <w:rsid w:val="001C1012"/>
    <w:rsid w:val="001C154F"/>
    <w:rsid w:val="001C1571"/>
    <w:rsid w:val="001C3ABA"/>
    <w:rsid w:val="001C5111"/>
    <w:rsid w:val="001C7C3B"/>
    <w:rsid w:val="001D394C"/>
    <w:rsid w:val="001D77FE"/>
    <w:rsid w:val="001E2041"/>
    <w:rsid w:val="001E2E80"/>
    <w:rsid w:val="001E5A82"/>
    <w:rsid w:val="001E5B2F"/>
    <w:rsid w:val="001E640E"/>
    <w:rsid w:val="001E7BE8"/>
    <w:rsid w:val="001F0248"/>
    <w:rsid w:val="001F2299"/>
    <w:rsid w:val="001F2E6B"/>
    <w:rsid w:val="001F3EB3"/>
    <w:rsid w:val="001F4F86"/>
    <w:rsid w:val="00202C2C"/>
    <w:rsid w:val="00203050"/>
    <w:rsid w:val="00206B7A"/>
    <w:rsid w:val="00211593"/>
    <w:rsid w:val="002135AB"/>
    <w:rsid w:val="002144BE"/>
    <w:rsid w:val="00214F8C"/>
    <w:rsid w:val="00216A03"/>
    <w:rsid w:val="002203D8"/>
    <w:rsid w:val="002263E8"/>
    <w:rsid w:val="00226DFF"/>
    <w:rsid w:val="002320B8"/>
    <w:rsid w:val="00234AF1"/>
    <w:rsid w:val="00235545"/>
    <w:rsid w:val="00241571"/>
    <w:rsid w:val="00242279"/>
    <w:rsid w:val="00242C00"/>
    <w:rsid w:val="00243997"/>
    <w:rsid w:val="0024516C"/>
    <w:rsid w:val="00245C82"/>
    <w:rsid w:val="00246779"/>
    <w:rsid w:val="002475E5"/>
    <w:rsid w:val="00260F52"/>
    <w:rsid w:val="002619F9"/>
    <w:rsid w:val="0026686F"/>
    <w:rsid w:val="002702E4"/>
    <w:rsid w:val="002722A0"/>
    <w:rsid w:val="002724BA"/>
    <w:rsid w:val="00272E33"/>
    <w:rsid w:val="00284C7D"/>
    <w:rsid w:val="00285846"/>
    <w:rsid w:val="00285BE9"/>
    <w:rsid w:val="002866C6"/>
    <w:rsid w:val="00287D53"/>
    <w:rsid w:val="00291506"/>
    <w:rsid w:val="00291B40"/>
    <w:rsid w:val="00292293"/>
    <w:rsid w:val="002932E9"/>
    <w:rsid w:val="00296584"/>
    <w:rsid w:val="00297850"/>
    <w:rsid w:val="002A0474"/>
    <w:rsid w:val="002A6B42"/>
    <w:rsid w:val="002A7C18"/>
    <w:rsid w:val="002B4008"/>
    <w:rsid w:val="002B4449"/>
    <w:rsid w:val="002C05BA"/>
    <w:rsid w:val="002C1030"/>
    <w:rsid w:val="002C439F"/>
    <w:rsid w:val="002C4E27"/>
    <w:rsid w:val="002C5A8C"/>
    <w:rsid w:val="002C642E"/>
    <w:rsid w:val="002C6BBC"/>
    <w:rsid w:val="002D0947"/>
    <w:rsid w:val="002D0C42"/>
    <w:rsid w:val="002D0E8E"/>
    <w:rsid w:val="002D25E4"/>
    <w:rsid w:val="002D3986"/>
    <w:rsid w:val="002D5DBF"/>
    <w:rsid w:val="002E7CB7"/>
    <w:rsid w:val="002F2E93"/>
    <w:rsid w:val="0030100D"/>
    <w:rsid w:val="00301189"/>
    <w:rsid w:val="00301420"/>
    <w:rsid w:val="00301E4A"/>
    <w:rsid w:val="00305195"/>
    <w:rsid w:val="003078F1"/>
    <w:rsid w:val="003102B5"/>
    <w:rsid w:val="00315904"/>
    <w:rsid w:val="0031651B"/>
    <w:rsid w:val="003168B8"/>
    <w:rsid w:val="00317864"/>
    <w:rsid w:val="00322D64"/>
    <w:rsid w:val="00323E09"/>
    <w:rsid w:val="00325280"/>
    <w:rsid w:val="00330DF1"/>
    <w:rsid w:val="00333932"/>
    <w:rsid w:val="00335E1C"/>
    <w:rsid w:val="003377B1"/>
    <w:rsid w:val="00341F9B"/>
    <w:rsid w:val="00343C72"/>
    <w:rsid w:val="00344FC7"/>
    <w:rsid w:val="003514B9"/>
    <w:rsid w:val="003518AA"/>
    <w:rsid w:val="00352165"/>
    <w:rsid w:val="00353182"/>
    <w:rsid w:val="00353688"/>
    <w:rsid w:val="00354462"/>
    <w:rsid w:val="003565D9"/>
    <w:rsid w:val="003601CC"/>
    <w:rsid w:val="003602E1"/>
    <w:rsid w:val="00362216"/>
    <w:rsid w:val="003637CC"/>
    <w:rsid w:val="0036426E"/>
    <w:rsid w:val="00365F3F"/>
    <w:rsid w:val="00367873"/>
    <w:rsid w:val="0037026F"/>
    <w:rsid w:val="00371240"/>
    <w:rsid w:val="003713ED"/>
    <w:rsid w:val="00374731"/>
    <w:rsid w:val="00374B50"/>
    <w:rsid w:val="00376A48"/>
    <w:rsid w:val="00376E59"/>
    <w:rsid w:val="00377EC1"/>
    <w:rsid w:val="00380340"/>
    <w:rsid w:val="00383BC9"/>
    <w:rsid w:val="00387475"/>
    <w:rsid w:val="003919F9"/>
    <w:rsid w:val="003920CF"/>
    <w:rsid w:val="00393F4D"/>
    <w:rsid w:val="003A0DD0"/>
    <w:rsid w:val="003A3FB3"/>
    <w:rsid w:val="003B23C2"/>
    <w:rsid w:val="003B43EC"/>
    <w:rsid w:val="003C3383"/>
    <w:rsid w:val="003C38B5"/>
    <w:rsid w:val="003C5D99"/>
    <w:rsid w:val="003D1087"/>
    <w:rsid w:val="003D52EA"/>
    <w:rsid w:val="003D5D41"/>
    <w:rsid w:val="003D789F"/>
    <w:rsid w:val="003E19B5"/>
    <w:rsid w:val="003E2F59"/>
    <w:rsid w:val="003E746B"/>
    <w:rsid w:val="003F03F3"/>
    <w:rsid w:val="003F0789"/>
    <w:rsid w:val="003F1BBE"/>
    <w:rsid w:val="003F49BF"/>
    <w:rsid w:val="003F52F1"/>
    <w:rsid w:val="003F581D"/>
    <w:rsid w:val="00400789"/>
    <w:rsid w:val="0040178A"/>
    <w:rsid w:val="00401882"/>
    <w:rsid w:val="004025A1"/>
    <w:rsid w:val="004038A2"/>
    <w:rsid w:val="00404966"/>
    <w:rsid w:val="004052C8"/>
    <w:rsid w:val="004100C8"/>
    <w:rsid w:val="00410108"/>
    <w:rsid w:val="00411DBD"/>
    <w:rsid w:val="00412ACE"/>
    <w:rsid w:val="004145D2"/>
    <w:rsid w:val="00414B59"/>
    <w:rsid w:val="004227B1"/>
    <w:rsid w:val="004247A4"/>
    <w:rsid w:val="00424B9D"/>
    <w:rsid w:val="00426CB4"/>
    <w:rsid w:val="0042702E"/>
    <w:rsid w:val="0042771F"/>
    <w:rsid w:val="00431249"/>
    <w:rsid w:val="00431D35"/>
    <w:rsid w:val="00434C19"/>
    <w:rsid w:val="004351DD"/>
    <w:rsid w:val="00437FCE"/>
    <w:rsid w:val="0044360A"/>
    <w:rsid w:val="004447DD"/>
    <w:rsid w:val="00446B91"/>
    <w:rsid w:val="00450155"/>
    <w:rsid w:val="00450810"/>
    <w:rsid w:val="00460F20"/>
    <w:rsid w:val="00462C59"/>
    <w:rsid w:val="00466763"/>
    <w:rsid w:val="00470737"/>
    <w:rsid w:val="004735F6"/>
    <w:rsid w:val="00476518"/>
    <w:rsid w:val="00476A7A"/>
    <w:rsid w:val="00477144"/>
    <w:rsid w:val="004772AE"/>
    <w:rsid w:val="00481848"/>
    <w:rsid w:val="00490C51"/>
    <w:rsid w:val="00491380"/>
    <w:rsid w:val="0049459F"/>
    <w:rsid w:val="004A094F"/>
    <w:rsid w:val="004A0E16"/>
    <w:rsid w:val="004A38DD"/>
    <w:rsid w:val="004A55DE"/>
    <w:rsid w:val="004B384D"/>
    <w:rsid w:val="004B43AE"/>
    <w:rsid w:val="004C03C4"/>
    <w:rsid w:val="004C0D54"/>
    <w:rsid w:val="004C2FAF"/>
    <w:rsid w:val="004C30ED"/>
    <w:rsid w:val="004C35EF"/>
    <w:rsid w:val="004C43BE"/>
    <w:rsid w:val="004D5097"/>
    <w:rsid w:val="004D5675"/>
    <w:rsid w:val="004D69DC"/>
    <w:rsid w:val="004E33B1"/>
    <w:rsid w:val="004E5192"/>
    <w:rsid w:val="004F07A2"/>
    <w:rsid w:val="004F1E8B"/>
    <w:rsid w:val="00502C86"/>
    <w:rsid w:val="0050631C"/>
    <w:rsid w:val="00506878"/>
    <w:rsid w:val="0051306E"/>
    <w:rsid w:val="005143F1"/>
    <w:rsid w:val="00515621"/>
    <w:rsid w:val="00517795"/>
    <w:rsid w:val="00523639"/>
    <w:rsid w:val="00527400"/>
    <w:rsid w:val="00531FE5"/>
    <w:rsid w:val="00533774"/>
    <w:rsid w:val="00533898"/>
    <w:rsid w:val="00535BBA"/>
    <w:rsid w:val="005402FA"/>
    <w:rsid w:val="005403B9"/>
    <w:rsid w:val="00544BCF"/>
    <w:rsid w:val="00570AF9"/>
    <w:rsid w:val="00571793"/>
    <w:rsid w:val="005729BD"/>
    <w:rsid w:val="00573437"/>
    <w:rsid w:val="00573BE3"/>
    <w:rsid w:val="005741B5"/>
    <w:rsid w:val="0057753B"/>
    <w:rsid w:val="00580154"/>
    <w:rsid w:val="00581799"/>
    <w:rsid w:val="00583C39"/>
    <w:rsid w:val="00586A90"/>
    <w:rsid w:val="00587F28"/>
    <w:rsid w:val="005909CF"/>
    <w:rsid w:val="00591E71"/>
    <w:rsid w:val="00595DE1"/>
    <w:rsid w:val="00596705"/>
    <w:rsid w:val="005A0045"/>
    <w:rsid w:val="005A0D41"/>
    <w:rsid w:val="005A2D87"/>
    <w:rsid w:val="005A73F7"/>
    <w:rsid w:val="005A7892"/>
    <w:rsid w:val="005A7A1F"/>
    <w:rsid w:val="005C1D18"/>
    <w:rsid w:val="005C3D37"/>
    <w:rsid w:val="005C4DB1"/>
    <w:rsid w:val="005D0C7E"/>
    <w:rsid w:val="005D329F"/>
    <w:rsid w:val="005D4B55"/>
    <w:rsid w:val="005D60AA"/>
    <w:rsid w:val="005D69D5"/>
    <w:rsid w:val="005D7846"/>
    <w:rsid w:val="005E159C"/>
    <w:rsid w:val="005E1A75"/>
    <w:rsid w:val="005E1FF8"/>
    <w:rsid w:val="005E73BF"/>
    <w:rsid w:val="005F2A30"/>
    <w:rsid w:val="005F48ED"/>
    <w:rsid w:val="005F58E2"/>
    <w:rsid w:val="00606E78"/>
    <w:rsid w:val="00607BF1"/>
    <w:rsid w:val="00625452"/>
    <w:rsid w:val="00626474"/>
    <w:rsid w:val="00627B8C"/>
    <w:rsid w:val="00630D4D"/>
    <w:rsid w:val="00632A74"/>
    <w:rsid w:val="00633093"/>
    <w:rsid w:val="00636FC5"/>
    <w:rsid w:val="00637EFE"/>
    <w:rsid w:val="00642CF4"/>
    <w:rsid w:val="0065450C"/>
    <w:rsid w:val="00654D42"/>
    <w:rsid w:val="00656F7D"/>
    <w:rsid w:val="0065735D"/>
    <w:rsid w:val="00662AFF"/>
    <w:rsid w:val="00666E02"/>
    <w:rsid w:val="00675310"/>
    <w:rsid w:val="006834D8"/>
    <w:rsid w:val="00683831"/>
    <w:rsid w:val="006845A1"/>
    <w:rsid w:val="00690039"/>
    <w:rsid w:val="00691130"/>
    <w:rsid w:val="00695796"/>
    <w:rsid w:val="00696F42"/>
    <w:rsid w:val="006A4655"/>
    <w:rsid w:val="006A5B74"/>
    <w:rsid w:val="006A6545"/>
    <w:rsid w:val="006B2B3C"/>
    <w:rsid w:val="006B333C"/>
    <w:rsid w:val="006B5F2F"/>
    <w:rsid w:val="006C09AE"/>
    <w:rsid w:val="006C1D81"/>
    <w:rsid w:val="006C48C8"/>
    <w:rsid w:val="006C7038"/>
    <w:rsid w:val="006D06E3"/>
    <w:rsid w:val="006D6DB4"/>
    <w:rsid w:val="006E0DB0"/>
    <w:rsid w:val="006E1232"/>
    <w:rsid w:val="006E5386"/>
    <w:rsid w:val="006E5A94"/>
    <w:rsid w:val="006E73EF"/>
    <w:rsid w:val="006F05ED"/>
    <w:rsid w:val="00701048"/>
    <w:rsid w:val="00702EB6"/>
    <w:rsid w:val="007079C9"/>
    <w:rsid w:val="007111E0"/>
    <w:rsid w:val="00711231"/>
    <w:rsid w:val="00713316"/>
    <w:rsid w:val="00714D4D"/>
    <w:rsid w:val="0071686F"/>
    <w:rsid w:val="00716D40"/>
    <w:rsid w:val="0071782F"/>
    <w:rsid w:val="00721478"/>
    <w:rsid w:val="007266D3"/>
    <w:rsid w:val="00732029"/>
    <w:rsid w:val="007320E5"/>
    <w:rsid w:val="007327A4"/>
    <w:rsid w:val="00733E09"/>
    <w:rsid w:val="00735303"/>
    <w:rsid w:val="00735ED5"/>
    <w:rsid w:val="0074597E"/>
    <w:rsid w:val="007579CC"/>
    <w:rsid w:val="007604BB"/>
    <w:rsid w:val="00766CA0"/>
    <w:rsid w:val="00770886"/>
    <w:rsid w:val="00770AE3"/>
    <w:rsid w:val="00770D49"/>
    <w:rsid w:val="00772909"/>
    <w:rsid w:val="007735CF"/>
    <w:rsid w:val="007801F8"/>
    <w:rsid w:val="007818A7"/>
    <w:rsid w:val="00783C43"/>
    <w:rsid w:val="00785232"/>
    <w:rsid w:val="00785AA1"/>
    <w:rsid w:val="00791490"/>
    <w:rsid w:val="0079701E"/>
    <w:rsid w:val="007A21EB"/>
    <w:rsid w:val="007A2ADD"/>
    <w:rsid w:val="007A6EBF"/>
    <w:rsid w:val="007B1A15"/>
    <w:rsid w:val="007B1A93"/>
    <w:rsid w:val="007B7762"/>
    <w:rsid w:val="007C36C9"/>
    <w:rsid w:val="007D31E2"/>
    <w:rsid w:val="007D6401"/>
    <w:rsid w:val="007E01E4"/>
    <w:rsid w:val="007E3DEA"/>
    <w:rsid w:val="007E7A12"/>
    <w:rsid w:val="007F1896"/>
    <w:rsid w:val="007F1EBF"/>
    <w:rsid w:val="007F3155"/>
    <w:rsid w:val="007F7107"/>
    <w:rsid w:val="00800D4C"/>
    <w:rsid w:val="00807E2F"/>
    <w:rsid w:val="0081030F"/>
    <w:rsid w:val="00812F4A"/>
    <w:rsid w:val="0082087D"/>
    <w:rsid w:val="008212C7"/>
    <w:rsid w:val="0082184E"/>
    <w:rsid w:val="00826093"/>
    <w:rsid w:val="00830FB8"/>
    <w:rsid w:val="00832322"/>
    <w:rsid w:val="0083504A"/>
    <w:rsid w:val="00835771"/>
    <w:rsid w:val="008370F6"/>
    <w:rsid w:val="00842933"/>
    <w:rsid w:val="00846AB6"/>
    <w:rsid w:val="00847FF4"/>
    <w:rsid w:val="008521C3"/>
    <w:rsid w:val="00853CEA"/>
    <w:rsid w:val="0086082C"/>
    <w:rsid w:val="008643B8"/>
    <w:rsid w:val="00864ADC"/>
    <w:rsid w:val="00873AB3"/>
    <w:rsid w:val="00874547"/>
    <w:rsid w:val="00875B4A"/>
    <w:rsid w:val="00876A66"/>
    <w:rsid w:val="00880153"/>
    <w:rsid w:val="00880F97"/>
    <w:rsid w:val="00881203"/>
    <w:rsid w:val="0088133A"/>
    <w:rsid w:val="0088133B"/>
    <w:rsid w:val="0088291B"/>
    <w:rsid w:val="008845C4"/>
    <w:rsid w:val="008859DE"/>
    <w:rsid w:val="0089285E"/>
    <w:rsid w:val="0089436C"/>
    <w:rsid w:val="008A0754"/>
    <w:rsid w:val="008A1E46"/>
    <w:rsid w:val="008A2938"/>
    <w:rsid w:val="008A5125"/>
    <w:rsid w:val="008A57F3"/>
    <w:rsid w:val="008A762C"/>
    <w:rsid w:val="008C1B35"/>
    <w:rsid w:val="008C4FC7"/>
    <w:rsid w:val="008D070C"/>
    <w:rsid w:val="008D2BEE"/>
    <w:rsid w:val="008D3094"/>
    <w:rsid w:val="008D365C"/>
    <w:rsid w:val="008D7622"/>
    <w:rsid w:val="008E52BC"/>
    <w:rsid w:val="008F05DB"/>
    <w:rsid w:val="008F63CB"/>
    <w:rsid w:val="008F68B1"/>
    <w:rsid w:val="008F75B2"/>
    <w:rsid w:val="008F76DF"/>
    <w:rsid w:val="009008B9"/>
    <w:rsid w:val="009021A6"/>
    <w:rsid w:val="009024BC"/>
    <w:rsid w:val="009030BF"/>
    <w:rsid w:val="009036CD"/>
    <w:rsid w:val="00903B52"/>
    <w:rsid w:val="009055BF"/>
    <w:rsid w:val="0091032F"/>
    <w:rsid w:val="00914368"/>
    <w:rsid w:val="00914E20"/>
    <w:rsid w:val="00917100"/>
    <w:rsid w:val="00930D8E"/>
    <w:rsid w:val="00931076"/>
    <w:rsid w:val="009345D9"/>
    <w:rsid w:val="00934B15"/>
    <w:rsid w:val="0093682D"/>
    <w:rsid w:val="00940C87"/>
    <w:rsid w:val="00941D26"/>
    <w:rsid w:val="00942B62"/>
    <w:rsid w:val="00943AEC"/>
    <w:rsid w:val="009441C7"/>
    <w:rsid w:val="00945E44"/>
    <w:rsid w:val="00946A75"/>
    <w:rsid w:val="0095126B"/>
    <w:rsid w:val="0095323B"/>
    <w:rsid w:val="009539A2"/>
    <w:rsid w:val="00956A0C"/>
    <w:rsid w:val="00956BD9"/>
    <w:rsid w:val="00962489"/>
    <w:rsid w:val="0096541F"/>
    <w:rsid w:val="00967611"/>
    <w:rsid w:val="00967CD3"/>
    <w:rsid w:val="00972726"/>
    <w:rsid w:val="0097336C"/>
    <w:rsid w:val="00990C2C"/>
    <w:rsid w:val="00994936"/>
    <w:rsid w:val="00995973"/>
    <w:rsid w:val="009A29FE"/>
    <w:rsid w:val="009A5171"/>
    <w:rsid w:val="009B0100"/>
    <w:rsid w:val="009B65D1"/>
    <w:rsid w:val="009C1409"/>
    <w:rsid w:val="009C57BC"/>
    <w:rsid w:val="009C5860"/>
    <w:rsid w:val="009C63E7"/>
    <w:rsid w:val="009C6C23"/>
    <w:rsid w:val="009D3302"/>
    <w:rsid w:val="009E1844"/>
    <w:rsid w:val="009E1D16"/>
    <w:rsid w:val="009E22FC"/>
    <w:rsid w:val="009E3C9D"/>
    <w:rsid w:val="009F0D1B"/>
    <w:rsid w:val="009F117F"/>
    <w:rsid w:val="009F53DD"/>
    <w:rsid w:val="009F5BBD"/>
    <w:rsid w:val="009F696D"/>
    <w:rsid w:val="009F6BC6"/>
    <w:rsid w:val="009F74EF"/>
    <w:rsid w:val="00A02826"/>
    <w:rsid w:val="00A0516D"/>
    <w:rsid w:val="00A14536"/>
    <w:rsid w:val="00A15D5A"/>
    <w:rsid w:val="00A15E00"/>
    <w:rsid w:val="00A17328"/>
    <w:rsid w:val="00A23A20"/>
    <w:rsid w:val="00A24443"/>
    <w:rsid w:val="00A268B9"/>
    <w:rsid w:val="00A2703A"/>
    <w:rsid w:val="00A27BE0"/>
    <w:rsid w:val="00A27E7C"/>
    <w:rsid w:val="00A3181A"/>
    <w:rsid w:val="00A33DFF"/>
    <w:rsid w:val="00A35115"/>
    <w:rsid w:val="00A36D9A"/>
    <w:rsid w:val="00A451DC"/>
    <w:rsid w:val="00A53504"/>
    <w:rsid w:val="00A54231"/>
    <w:rsid w:val="00A54B6E"/>
    <w:rsid w:val="00A554AB"/>
    <w:rsid w:val="00A55DC7"/>
    <w:rsid w:val="00A563C2"/>
    <w:rsid w:val="00A57062"/>
    <w:rsid w:val="00A61085"/>
    <w:rsid w:val="00A67781"/>
    <w:rsid w:val="00A677F0"/>
    <w:rsid w:val="00A71B75"/>
    <w:rsid w:val="00A75AE7"/>
    <w:rsid w:val="00A7601D"/>
    <w:rsid w:val="00A761F9"/>
    <w:rsid w:val="00A844D5"/>
    <w:rsid w:val="00A90E53"/>
    <w:rsid w:val="00A92B53"/>
    <w:rsid w:val="00A92B6F"/>
    <w:rsid w:val="00A92C97"/>
    <w:rsid w:val="00A94907"/>
    <w:rsid w:val="00A94FA6"/>
    <w:rsid w:val="00AA2F50"/>
    <w:rsid w:val="00AA49A0"/>
    <w:rsid w:val="00AA6710"/>
    <w:rsid w:val="00AB0681"/>
    <w:rsid w:val="00AC0CEC"/>
    <w:rsid w:val="00AC32E4"/>
    <w:rsid w:val="00AC3A15"/>
    <w:rsid w:val="00AC4274"/>
    <w:rsid w:val="00AC4A8E"/>
    <w:rsid w:val="00AD28DD"/>
    <w:rsid w:val="00AD520B"/>
    <w:rsid w:val="00AD5A0B"/>
    <w:rsid w:val="00AE2260"/>
    <w:rsid w:val="00AE3BCC"/>
    <w:rsid w:val="00AE563B"/>
    <w:rsid w:val="00AF0572"/>
    <w:rsid w:val="00B050B0"/>
    <w:rsid w:val="00B06112"/>
    <w:rsid w:val="00B1047D"/>
    <w:rsid w:val="00B150FA"/>
    <w:rsid w:val="00B16265"/>
    <w:rsid w:val="00B2183B"/>
    <w:rsid w:val="00B2283D"/>
    <w:rsid w:val="00B2413C"/>
    <w:rsid w:val="00B2595A"/>
    <w:rsid w:val="00B30564"/>
    <w:rsid w:val="00B32FE6"/>
    <w:rsid w:val="00B37D23"/>
    <w:rsid w:val="00B425C3"/>
    <w:rsid w:val="00B4373D"/>
    <w:rsid w:val="00B4384B"/>
    <w:rsid w:val="00B440AD"/>
    <w:rsid w:val="00B479BB"/>
    <w:rsid w:val="00B526F3"/>
    <w:rsid w:val="00B53809"/>
    <w:rsid w:val="00B53E7E"/>
    <w:rsid w:val="00B61580"/>
    <w:rsid w:val="00B6342E"/>
    <w:rsid w:val="00B701B0"/>
    <w:rsid w:val="00B7113F"/>
    <w:rsid w:val="00B7321D"/>
    <w:rsid w:val="00B76998"/>
    <w:rsid w:val="00B772E5"/>
    <w:rsid w:val="00B81680"/>
    <w:rsid w:val="00B96B51"/>
    <w:rsid w:val="00BA2BCF"/>
    <w:rsid w:val="00BA2D00"/>
    <w:rsid w:val="00BA5B14"/>
    <w:rsid w:val="00BA73B6"/>
    <w:rsid w:val="00BA7E27"/>
    <w:rsid w:val="00BB0BBD"/>
    <w:rsid w:val="00BB1AD9"/>
    <w:rsid w:val="00BB2603"/>
    <w:rsid w:val="00BB4FCD"/>
    <w:rsid w:val="00BC04E9"/>
    <w:rsid w:val="00BC48F4"/>
    <w:rsid w:val="00BD0E67"/>
    <w:rsid w:val="00BD13EA"/>
    <w:rsid w:val="00BD2B5C"/>
    <w:rsid w:val="00BE3808"/>
    <w:rsid w:val="00BE65AC"/>
    <w:rsid w:val="00BE68F2"/>
    <w:rsid w:val="00BF6BDC"/>
    <w:rsid w:val="00C029CF"/>
    <w:rsid w:val="00C039C3"/>
    <w:rsid w:val="00C03B88"/>
    <w:rsid w:val="00C0621A"/>
    <w:rsid w:val="00C062E9"/>
    <w:rsid w:val="00C069AA"/>
    <w:rsid w:val="00C069D9"/>
    <w:rsid w:val="00C07B64"/>
    <w:rsid w:val="00C13721"/>
    <w:rsid w:val="00C1469B"/>
    <w:rsid w:val="00C14FE4"/>
    <w:rsid w:val="00C16A8F"/>
    <w:rsid w:val="00C17CB8"/>
    <w:rsid w:val="00C2006C"/>
    <w:rsid w:val="00C23448"/>
    <w:rsid w:val="00C3066D"/>
    <w:rsid w:val="00C30CEC"/>
    <w:rsid w:val="00C30EBA"/>
    <w:rsid w:val="00C31D92"/>
    <w:rsid w:val="00C356E0"/>
    <w:rsid w:val="00C36928"/>
    <w:rsid w:val="00C40959"/>
    <w:rsid w:val="00C40D9A"/>
    <w:rsid w:val="00C41E9C"/>
    <w:rsid w:val="00C42549"/>
    <w:rsid w:val="00C43855"/>
    <w:rsid w:val="00C46CE0"/>
    <w:rsid w:val="00C52416"/>
    <w:rsid w:val="00C543F4"/>
    <w:rsid w:val="00C55501"/>
    <w:rsid w:val="00C62496"/>
    <w:rsid w:val="00C6291C"/>
    <w:rsid w:val="00C633CB"/>
    <w:rsid w:val="00C65130"/>
    <w:rsid w:val="00C659BD"/>
    <w:rsid w:val="00C664CD"/>
    <w:rsid w:val="00C71DF5"/>
    <w:rsid w:val="00C736B7"/>
    <w:rsid w:val="00C80BF8"/>
    <w:rsid w:val="00C81D4A"/>
    <w:rsid w:val="00C8762C"/>
    <w:rsid w:val="00C91B41"/>
    <w:rsid w:val="00C91C14"/>
    <w:rsid w:val="00C935A3"/>
    <w:rsid w:val="00C9472A"/>
    <w:rsid w:val="00C95083"/>
    <w:rsid w:val="00CA00F9"/>
    <w:rsid w:val="00CA1586"/>
    <w:rsid w:val="00CA1ACA"/>
    <w:rsid w:val="00CA2961"/>
    <w:rsid w:val="00CA6A01"/>
    <w:rsid w:val="00CA7B01"/>
    <w:rsid w:val="00CB1C2B"/>
    <w:rsid w:val="00CB1E0F"/>
    <w:rsid w:val="00CB44B3"/>
    <w:rsid w:val="00CB50D7"/>
    <w:rsid w:val="00CB7177"/>
    <w:rsid w:val="00CB7CED"/>
    <w:rsid w:val="00CC070F"/>
    <w:rsid w:val="00CC0C69"/>
    <w:rsid w:val="00CC1998"/>
    <w:rsid w:val="00CC1AD0"/>
    <w:rsid w:val="00CC2CA5"/>
    <w:rsid w:val="00CC3E66"/>
    <w:rsid w:val="00CC4946"/>
    <w:rsid w:val="00CC5AF0"/>
    <w:rsid w:val="00CC64A1"/>
    <w:rsid w:val="00CD079F"/>
    <w:rsid w:val="00CD2530"/>
    <w:rsid w:val="00CD520E"/>
    <w:rsid w:val="00CD55B3"/>
    <w:rsid w:val="00CE2E33"/>
    <w:rsid w:val="00CE37E1"/>
    <w:rsid w:val="00CE488E"/>
    <w:rsid w:val="00CE4ADB"/>
    <w:rsid w:val="00CE79DF"/>
    <w:rsid w:val="00CF1CB2"/>
    <w:rsid w:val="00CF2138"/>
    <w:rsid w:val="00CF3B11"/>
    <w:rsid w:val="00CF47F6"/>
    <w:rsid w:val="00D04B7E"/>
    <w:rsid w:val="00D06A56"/>
    <w:rsid w:val="00D10142"/>
    <w:rsid w:val="00D12C45"/>
    <w:rsid w:val="00D161C5"/>
    <w:rsid w:val="00D270A4"/>
    <w:rsid w:val="00D270DE"/>
    <w:rsid w:val="00D31FE9"/>
    <w:rsid w:val="00D33493"/>
    <w:rsid w:val="00D33C94"/>
    <w:rsid w:val="00D34E1B"/>
    <w:rsid w:val="00D35F03"/>
    <w:rsid w:val="00D376BA"/>
    <w:rsid w:val="00D40113"/>
    <w:rsid w:val="00D434A0"/>
    <w:rsid w:val="00D440A3"/>
    <w:rsid w:val="00D45634"/>
    <w:rsid w:val="00D5568A"/>
    <w:rsid w:val="00D55D2F"/>
    <w:rsid w:val="00D56EED"/>
    <w:rsid w:val="00D634ED"/>
    <w:rsid w:val="00D63D73"/>
    <w:rsid w:val="00D64452"/>
    <w:rsid w:val="00D66E1E"/>
    <w:rsid w:val="00D70696"/>
    <w:rsid w:val="00D70C89"/>
    <w:rsid w:val="00D745CF"/>
    <w:rsid w:val="00D746F2"/>
    <w:rsid w:val="00D75722"/>
    <w:rsid w:val="00D80CF5"/>
    <w:rsid w:val="00D8139E"/>
    <w:rsid w:val="00D81548"/>
    <w:rsid w:val="00D82C81"/>
    <w:rsid w:val="00D8700D"/>
    <w:rsid w:val="00D9351D"/>
    <w:rsid w:val="00D96F88"/>
    <w:rsid w:val="00D97941"/>
    <w:rsid w:val="00DA2861"/>
    <w:rsid w:val="00DA456C"/>
    <w:rsid w:val="00DA4823"/>
    <w:rsid w:val="00DA5823"/>
    <w:rsid w:val="00DA5BBA"/>
    <w:rsid w:val="00DA7B29"/>
    <w:rsid w:val="00DB0908"/>
    <w:rsid w:val="00DB0BFC"/>
    <w:rsid w:val="00DB26D2"/>
    <w:rsid w:val="00DB4D3D"/>
    <w:rsid w:val="00DB67C9"/>
    <w:rsid w:val="00DC0C95"/>
    <w:rsid w:val="00DC4F0B"/>
    <w:rsid w:val="00DD085B"/>
    <w:rsid w:val="00DD0E8E"/>
    <w:rsid w:val="00DD2F55"/>
    <w:rsid w:val="00DD6580"/>
    <w:rsid w:val="00DD7DC6"/>
    <w:rsid w:val="00DE1357"/>
    <w:rsid w:val="00DE3553"/>
    <w:rsid w:val="00DE69FC"/>
    <w:rsid w:val="00DF052B"/>
    <w:rsid w:val="00DF34E4"/>
    <w:rsid w:val="00E0059B"/>
    <w:rsid w:val="00E01C5E"/>
    <w:rsid w:val="00E01D7F"/>
    <w:rsid w:val="00E03490"/>
    <w:rsid w:val="00E03588"/>
    <w:rsid w:val="00E05C03"/>
    <w:rsid w:val="00E066DB"/>
    <w:rsid w:val="00E07491"/>
    <w:rsid w:val="00E07D9A"/>
    <w:rsid w:val="00E119EE"/>
    <w:rsid w:val="00E121D0"/>
    <w:rsid w:val="00E127FD"/>
    <w:rsid w:val="00E13D56"/>
    <w:rsid w:val="00E17C72"/>
    <w:rsid w:val="00E2163B"/>
    <w:rsid w:val="00E21FC6"/>
    <w:rsid w:val="00E22777"/>
    <w:rsid w:val="00E24043"/>
    <w:rsid w:val="00E25AF6"/>
    <w:rsid w:val="00E36CE7"/>
    <w:rsid w:val="00E431A9"/>
    <w:rsid w:val="00E455FC"/>
    <w:rsid w:val="00E50430"/>
    <w:rsid w:val="00E51AE8"/>
    <w:rsid w:val="00E635F1"/>
    <w:rsid w:val="00E669E2"/>
    <w:rsid w:val="00E732FD"/>
    <w:rsid w:val="00E73971"/>
    <w:rsid w:val="00E76135"/>
    <w:rsid w:val="00E76369"/>
    <w:rsid w:val="00E82F4F"/>
    <w:rsid w:val="00E830C2"/>
    <w:rsid w:val="00E864DF"/>
    <w:rsid w:val="00E87837"/>
    <w:rsid w:val="00E911DA"/>
    <w:rsid w:val="00E95BEE"/>
    <w:rsid w:val="00E97BFA"/>
    <w:rsid w:val="00EA1485"/>
    <w:rsid w:val="00EA2491"/>
    <w:rsid w:val="00EB2CC3"/>
    <w:rsid w:val="00EB7E66"/>
    <w:rsid w:val="00EC160E"/>
    <w:rsid w:val="00EC2844"/>
    <w:rsid w:val="00EC5500"/>
    <w:rsid w:val="00EC6363"/>
    <w:rsid w:val="00EC6D0E"/>
    <w:rsid w:val="00ED18F8"/>
    <w:rsid w:val="00ED553A"/>
    <w:rsid w:val="00EE6EDA"/>
    <w:rsid w:val="00EE778E"/>
    <w:rsid w:val="00EE79D9"/>
    <w:rsid w:val="00EF1355"/>
    <w:rsid w:val="00EF6719"/>
    <w:rsid w:val="00EF6C6C"/>
    <w:rsid w:val="00F056FC"/>
    <w:rsid w:val="00F0632F"/>
    <w:rsid w:val="00F069AE"/>
    <w:rsid w:val="00F07837"/>
    <w:rsid w:val="00F10476"/>
    <w:rsid w:val="00F128E0"/>
    <w:rsid w:val="00F133BF"/>
    <w:rsid w:val="00F135D8"/>
    <w:rsid w:val="00F15690"/>
    <w:rsid w:val="00F166A0"/>
    <w:rsid w:val="00F21771"/>
    <w:rsid w:val="00F232C0"/>
    <w:rsid w:val="00F279CB"/>
    <w:rsid w:val="00F31299"/>
    <w:rsid w:val="00F3534A"/>
    <w:rsid w:val="00F3553E"/>
    <w:rsid w:val="00F3586F"/>
    <w:rsid w:val="00F35BFB"/>
    <w:rsid w:val="00F36ACC"/>
    <w:rsid w:val="00F40A56"/>
    <w:rsid w:val="00F41043"/>
    <w:rsid w:val="00F51609"/>
    <w:rsid w:val="00F51DC0"/>
    <w:rsid w:val="00F55C25"/>
    <w:rsid w:val="00F64346"/>
    <w:rsid w:val="00F651C5"/>
    <w:rsid w:val="00F73727"/>
    <w:rsid w:val="00F73C9F"/>
    <w:rsid w:val="00F766A7"/>
    <w:rsid w:val="00F80A59"/>
    <w:rsid w:val="00F81006"/>
    <w:rsid w:val="00F81996"/>
    <w:rsid w:val="00F82AEB"/>
    <w:rsid w:val="00F82D96"/>
    <w:rsid w:val="00F85325"/>
    <w:rsid w:val="00F92CD1"/>
    <w:rsid w:val="00F9313F"/>
    <w:rsid w:val="00F94D7D"/>
    <w:rsid w:val="00F950D0"/>
    <w:rsid w:val="00F952C7"/>
    <w:rsid w:val="00FA028A"/>
    <w:rsid w:val="00FA129D"/>
    <w:rsid w:val="00FA511B"/>
    <w:rsid w:val="00FA5C7B"/>
    <w:rsid w:val="00FB3BB6"/>
    <w:rsid w:val="00FB47A7"/>
    <w:rsid w:val="00FB7778"/>
    <w:rsid w:val="00FC78D9"/>
    <w:rsid w:val="00FD0F25"/>
    <w:rsid w:val="00FD1DD1"/>
    <w:rsid w:val="00FD22B1"/>
    <w:rsid w:val="00FD22F5"/>
    <w:rsid w:val="00FD33F1"/>
    <w:rsid w:val="00FD3566"/>
    <w:rsid w:val="00FE48AD"/>
    <w:rsid w:val="00FE5397"/>
    <w:rsid w:val="00FF2633"/>
    <w:rsid w:val="00FF3C09"/>
    <w:rsid w:val="00FF7B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6052170F"/>
  <w15:docId w15:val="{71A976B5-B66D-4F0F-9013-6270CDC8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276E4"/>
    <w:rPr>
      <w:sz w:val="24"/>
      <w:szCs w:val="24"/>
    </w:rPr>
  </w:style>
  <w:style w:type="paragraph" w:styleId="Heading1">
    <w:name w:val="heading 1"/>
    <w:basedOn w:val="BodyText"/>
    <w:next w:val="BodyText"/>
    <w:link w:val="Heading1Char"/>
    <w:rsid w:val="001276E4"/>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1276E4"/>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1276E4"/>
    <w:pPr>
      <w:spacing w:before="560" w:line="320" w:lineRule="exact"/>
      <w:ind w:left="0" w:firstLine="0"/>
      <w:outlineLvl w:val="2"/>
    </w:pPr>
    <w:rPr>
      <w:sz w:val="26"/>
    </w:rPr>
  </w:style>
  <w:style w:type="paragraph" w:styleId="Heading4">
    <w:name w:val="heading 4"/>
    <w:basedOn w:val="Heading3"/>
    <w:next w:val="BodyText"/>
    <w:link w:val="Heading4Char"/>
    <w:qFormat/>
    <w:rsid w:val="001276E4"/>
    <w:pPr>
      <w:spacing w:before="480"/>
      <w:outlineLvl w:val="3"/>
    </w:pPr>
    <w:rPr>
      <w:b w:val="0"/>
      <w:sz w:val="24"/>
    </w:rPr>
  </w:style>
  <w:style w:type="paragraph" w:styleId="Heading5">
    <w:name w:val="heading 5"/>
    <w:basedOn w:val="Heading4"/>
    <w:next w:val="BodyText"/>
    <w:link w:val="Heading5Char"/>
    <w:qFormat/>
    <w:rsid w:val="001276E4"/>
    <w:pPr>
      <w:outlineLvl w:val="4"/>
    </w:pPr>
    <w:rPr>
      <w:i/>
      <w:sz w:val="22"/>
    </w:rPr>
  </w:style>
  <w:style w:type="paragraph" w:styleId="Heading6">
    <w:name w:val="heading 6"/>
    <w:basedOn w:val="BodyText"/>
    <w:next w:val="BodyText"/>
    <w:semiHidden/>
    <w:rsid w:val="001276E4"/>
    <w:pPr>
      <w:spacing w:after="60"/>
      <w:jc w:val="left"/>
      <w:outlineLvl w:val="5"/>
    </w:pPr>
    <w:rPr>
      <w:i/>
      <w:sz w:val="22"/>
    </w:rPr>
  </w:style>
  <w:style w:type="paragraph" w:styleId="Heading7">
    <w:name w:val="heading 7"/>
    <w:basedOn w:val="BodyText"/>
    <w:next w:val="BodyText"/>
    <w:semiHidden/>
    <w:rsid w:val="001276E4"/>
    <w:pPr>
      <w:spacing w:after="60" w:line="240" w:lineRule="auto"/>
      <w:jc w:val="left"/>
      <w:outlineLvl w:val="6"/>
    </w:pPr>
    <w:rPr>
      <w:rFonts w:ascii="Arial" w:hAnsi="Arial"/>
      <w:sz w:val="20"/>
    </w:rPr>
  </w:style>
  <w:style w:type="paragraph" w:styleId="Heading8">
    <w:name w:val="heading 8"/>
    <w:basedOn w:val="BodyText"/>
    <w:next w:val="BodyText"/>
    <w:semiHidden/>
    <w:rsid w:val="001276E4"/>
    <w:pPr>
      <w:spacing w:after="60" w:line="240" w:lineRule="auto"/>
      <w:jc w:val="left"/>
      <w:outlineLvl w:val="7"/>
    </w:pPr>
    <w:rPr>
      <w:rFonts w:ascii="Arial" w:hAnsi="Arial"/>
      <w:i/>
      <w:sz w:val="20"/>
    </w:rPr>
  </w:style>
  <w:style w:type="paragraph" w:styleId="Heading9">
    <w:name w:val="heading 9"/>
    <w:basedOn w:val="BodyText"/>
    <w:next w:val="BodyText"/>
    <w:semiHidden/>
    <w:rsid w:val="001276E4"/>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1276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76E4"/>
  </w:style>
  <w:style w:type="paragraph" w:styleId="BodyText">
    <w:name w:val="Body Text"/>
    <w:link w:val="BodyTextChar"/>
    <w:qFormat/>
    <w:rsid w:val="001276E4"/>
    <w:pPr>
      <w:spacing w:before="240" w:line="300" w:lineRule="atLeast"/>
      <w:jc w:val="both"/>
    </w:pPr>
    <w:rPr>
      <w:sz w:val="24"/>
    </w:rPr>
  </w:style>
  <w:style w:type="paragraph" w:styleId="Footer">
    <w:name w:val="footer"/>
    <w:basedOn w:val="BodyText"/>
    <w:link w:val="FooterChar"/>
    <w:rsid w:val="001276E4"/>
    <w:pPr>
      <w:spacing w:before="80" w:line="200" w:lineRule="exact"/>
      <w:ind w:right="6"/>
      <w:jc w:val="left"/>
    </w:pPr>
    <w:rPr>
      <w:rFonts w:ascii="Arial" w:hAnsi="Arial"/>
      <w:caps/>
      <w:spacing w:val="-4"/>
      <w:sz w:val="16"/>
    </w:rPr>
  </w:style>
  <w:style w:type="paragraph" w:customStyle="1" w:styleId="FooterEnd">
    <w:name w:val="Footer End"/>
    <w:basedOn w:val="Footer"/>
    <w:rsid w:val="001276E4"/>
    <w:pPr>
      <w:spacing w:before="0" w:line="20" w:lineRule="exact"/>
    </w:pPr>
  </w:style>
  <w:style w:type="paragraph" w:styleId="Header">
    <w:name w:val="header"/>
    <w:basedOn w:val="BodyText"/>
    <w:link w:val="HeaderChar"/>
    <w:rsid w:val="001276E4"/>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1276E4"/>
    <w:pPr>
      <w:spacing w:line="20" w:lineRule="exact"/>
    </w:pPr>
    <w:rPr>
      <w:sz w:val="16"/>
    </w:rPr>
  </w:style>
  <w:style w:type="paragraph" w:customStyle="1" w:styleId="HeaderEven">
    <w:name w:val="Header Even"/>
    <w:basedOn w:val="Header"/>
    <w:rsid w:val="001276E4"/>
  </w:style>
  <w:style w:type="paragraph" w:customStyle="1" w:styleId="HeaderOdd">
    <w:name w:val="Header Odd"/>
    <w:basedOn w:val="Header"/>
    <w:rsid w:val="001276E4"/>
  </w:style>
  <w:style w:type="character" w:styleId="PageNumber">
    <w:name w:val="page number"/>
    <w:basedOn w:val="DefaultParagraphFont"/>
    <w:rsid w:val="001276E4"/>
    <w:rPr>
      <w:rFonts w:ascii="Arial" w:hAnsi="Arial"/>
      <w:b/>
      <w:sz w:val="16"/>
    </w:rPr>
  </w:style>
  <w:style w:type="paragraph" w:customStyle="1" w:styleId="Abbreviation">
    <w:name w:val="Abbreviation"/>
    <w:basedOn w:val="BodyText"/>
    <w:rsid w:val="001276E4"/>
    <w:pPr>
      <w:spacing w:before="120"/>
      <w:ind w:left="2381" w:hanging="2381"/>
      <w:jc w:val="left"/>
    </w:pPr>
  </w:style>
  <w:style w:type="paragraph" w:customStyle="1" w:styleId="Box">
    <w:name w:val="Box"/>
    <w:basedOn w:val="BodyText"/>
    <w:link w:val="BoxChar"/>
    <w:qFormat/>
    <w:rsid w:val="001276E4"/>
    <w:pPr>
      <w:keepNext/>
      <w:spacing w:before="120" w:line="260" w:lineRule="atLeast"/>
    </w:pPr>
    <w:rPr>
      <w:rFonts w:ascii="Arial" w:hAnsi="Arial"/>
      <w:sz w:val="20"/>
    </w:rPr>
  </w:style>
  <w:style w:type="paragraph" w:customStyle="1" w:styleId="BoxContinued">
    <w:name w:val="Box Continued"/>
    <w:basedOn w:val="BodyText"/>
    <w:next w:val="BodyText"/>
    <w:semiHidden/>
    <w:rsid w:val="001276E4"/>
    <w:pPr>
      <w:spacing w:before="180" w:line="220" w:lineRule="exact"/>
      <w:jc w:val="right"/>
    </w:pPr>
    <w:rPr>
      <w:rFonts w:ascii="Arial" w:hAnsi="Arial"/>
      <w:sz w:val="18"/>
    </w:rPr>
  </w:style>
  <w:style w:type="paragraph" w:customStyle="1" w:styleId="BoxHeading1">
    <w:name w:val="Box Heading 1"/>
    <w:basedOn w:val="BodyText"/>
    <w:next w:val="Box"/>
    <w:rsid w:val="001276E4"/>
    <w:pPr>
      <w:keepNext/>
      <w:spacing w:before="200" w:line="280" w:lineRule="atLeast"/>
    </w:pPr>
    <w:rPr>
      <w:rFonts w:ascii="Arial" w:hAnsi="Arial"/>
      <w:b/>
      <w:sz w:val="22"/>
    </w:rPr>
  </w:style>
  <w:style w:type="paragraph" w:customStyle="1" w:styleId="BoxHeading2">
    <w:name w:val="Box Heading 2"/>
    <w:basedOn w:val="BoxHeading1"/>
    <w:next w:val="Normal"/>
    <w:rsid w:val="001276E4"/>
    <w:rPr>
      <w:b w:val="0"/>
      <w:i/>
    </w:rPr>
  </w:style>
  <w:style w:type="paragraph" w:customStyle="1" w:styleId="BoxListBullet">
    <w:name w:val="Box List Bullet"/>
    <w:basedOn w:val="BodyText"/>
    <w:link w:val="BoxListBulletChar"/>
    <w:rsid w:val="001276E4"/>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1276E4"/>
    <w:pPr>
      <w:numPr>
        <w:numId w:val="13"/>
      </w:numPr>
      <w:ind w:left="568" w:hanging="284"/>
    </w:pPr>
  </w:style>
  <w:style w:type="paragraph" w:customStyle="1" w:styleId="BoxListNumber">
    <w:name w:val="Box List Number"/>
    <w:basedOn w:val="BodyText"/>
    <w:rsid w:val="001276E4"/>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1276E4"/>
    <w:pPr>
      <w:numPr>
        <w:ilvl w:val="1"/>
      </w:numPr>
      <w:ind w:left="681" w:hanging="397"/>
    </w:pPr>
  </w:style>
  <w:style w:type="paragraph" w:customStyle="1" w:styleId="BoxQuote">
    <w:name w:val="Box Quote"/>
    <w:basedOn w:val="BodyText"/>
    <w:next w:val="Box"/>
    <w:qFormat/>
    <w:rsid w:val="001276E4"/>
    <w:pPr>
      <w:keepNext/>
      <w:spacing w:before="60" w:line="240" w:lineRule="exact"/>
      <w:ind w:left="284"/>
    </w:pPr>
    <w:rPr>
      <w:rFonts w:ascii="Arial" w:hAnsi="Arial"/>
      <w:sz w:val="18"/>
    </w:rPr>
  </w:style>
  <w:style w:type="paragraph" w:customStyle="1" w:styleId="Note">
    <w:name w:val="Note"/>
    <w:basedOn w:val="BodyText"/>
    <w:next w:val="BodyText"/>
    <w:rsid w:val="001276E4"/>
    <w:pPr>
      <w:keepLines/>
      <w:spacing w:before="80" w:line="220" w:lineRule="exact"/>
    </w:pPr>
    <w:rPr>
      <w:rFonts w:ascii="Arial" w:hAnsi="Arial"/>
      <w:sz w:val="18"/>
    </w:rPr>
  </w:style>
  <w:style w:type="paragraph" w:customStyle="1" w:styleId="Source">
    <w:name w:val="Source"/>
    <w:basedOn w:val="Normal"/>
    <w:next w:val="BodyText"/>
    <w:link w:val="SourceChar"/>
    <w:rsid w:val="001276E4"/>
    <w:pPr>
      <w:keepLines/>
      <w:spacing w:before="80" w:line="220" w:lineRule="exact"/>
      <w:jc w:val="both"/>
    </w:pPr>
    <w:rPr>
      <w:rFonts w:ascii="Arial" w:hAnsi="Arial"/>
      <w:sz w:val="18"/>
      <w:szCs w:val="20"/>
    </w:rPr>
  </w:style>
  <w:style w:type="paragraph" w:customStyle="1" w:styleId="BoxSource">
    <w:name w:val="Box Source"/>
    <w:basedOn w:val="Source"/>
    <w:next w:val="BodyText"/>
    <w:rsid w:val="001276E4"/>
    <w:pPr>
      <w:spacing w:before="120"/>
    </w:pPr>
  </w:style>
  <w:style w:type="paragraph" w:customStyle="1" w:styleId="BoxSpaceAbove">
    <w:name w:val="Box Space Above"/>
    <w:basedOn w:val="BodyText"/>
    <w:rsid w:val="001276E4"/>
    <w:pPr>
      <w:keepNext/>
      <w:spacing w:before="360" w:line="80" w:lineRule="exact"/>
      <w:jc w:val="left"/>
    </w:pPr>
  </w:style>
  <w:style w:type="paragraph" w:styleId="Caption">
    <w:name w:val="caption"/>
    <w:basedOn w:val="Normal"/>
    <w:next w:val="BodyText"/>
    <w:rsid w:val="001276E4"/>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1276E4"/>
    <w:pPr>
      <w:spacing w:before="120" w:after="0"/>
    </w:pPr>
  </w:style>
  <w:style w:type="paragraph" w:customStyle="1" w:styleId="BoxSubtitle">
    <w:name w:val="Box Subtitle"/>
    <w:basedOn w:val="BoxTitle"/>
    <w:next w:val="Normal"/>
    <w:rsid w:val="001276E4"/>
    <w:pPr>
      <w:spacing w:after="80" w:line="200" w:lineRule="exact"/>
      <w:ind w:firstLine="0"/>
    </w:pPr>
    <w:rPr>
      <w:b w:val="0"/>
      <w:sz w:val="20"/>
    </w:rPr>
  </w:style>
  <w:style w:type="paragraph" w:customStyle="1" w:styleId="Chapter">
    <w:name w:val="Chapter"/>
    <w:basedOn w:val="Heading1"/>
    <w:next w:val="BodyText"/>
    <w:semiHidden/>
    <w:rsid w:val="001276E4"/>
    <w:pPr>
      <w:ind w:left="0" w:firstLine="0"/>
      <w:outlineLvl w:val="9"/>
    </w:pPr>
  </w:style>
  <w:style w:type="paragraph" w:customStyle="1" w:styleId="ChapterSummary">
    <w:name w:val="Chapter Summary"/>
    <w:basedOn w:val="BodyText"/>
    <w:rsid w:val="001276E4"/>
    <w:pPr>
      <w:spacing w:line="280" w:lineRule="atLeast"/>
      <w:ind w:left="907"/>
    </w:pPr>
    <w:rPr>
      <w:rFonts w:ascii="Arial" w:hAnsi="Arial"/>
      <w:b/>
      <w:sz w:val="20"/>
    </w:rPr>
  </w:style>
  <w:style w:type="character" w:styleId="CommentReference">
    <w:name w:val="annotation reference"/>
    <w:basedOn w:val="DefaultParagraphFont"/>
    <w:semiHidden/>
    <w:rsid w:val="001276E4"/>
    <w:rPr>
      <w:b/>
      <w:vanish/>
      <w:color w:val="FF00FF"/>
      <w:sz w:val="20"/>
    </w:rPr>
  </w:style>
  <w:style w:type="paragraph" w:styleId="CommentText">
    <w:name w:val="annotation text"/>
    <w:basedOn w:val="Normal"/>
    <w:link w:val="CommentTextChar"/>
    <w:semiHidden/>
    <w:rsid w:val="001276E4"/>
    <w:pPr>
      <w:spacing w:before="120" w:line="240" w:lineRule="atLeast"/>
      <w:ind w:left="567" w:hanging="567"/>
    </w:pPr>
    <w:rPr>
      <w:sz w:val="20"/>
    </w:rPr>
  </w:style>
  <w:style w:type="paragraph" w:customStyle="1" w:styleId="Continued">
    <w:name w:val="Continued"/>
    <w:basedOn w:val="BoxContinued"/>
    <w:next w:val="BodyText"/>
    <w:rsid w:val="001276E4"/>
  </w:style>
  <w:style w:type="character" w:customStyle="1" w:styleId="DocumentInfo">
    <w:name w:val="Document Info"/>
    <w:basedOn w:val="DefaultParagraphFont"/>
    <w:semiHidden/>
    <w:rsid w:val="001276E4"/>
    <w:rPr>
      <w:rFonts w:ascii="Arial" w:hAnsi="Arial"/>
      <w:sz w:val="14"/>
    </w:rPr>
  </w:style>
  <w:style w:type="character" w:customStyle="1" w:styleId="DraftingNote">
    <w:name w:val="Drafting Note"/>
    <w:basedOn w:val="DefaultParagraphFont"/>
    <w:rsid w:val="001276E4"/>
    <w:rPr>
      <w:b/>
      <w:color w:val="FF0000"/>
      <w:sz w:val="24"/>
      <w:u w:val="dotted"/>
    </w:rPr>
  </w:style>
  <w:style w:type="paragraph" w:customStyle="1" w:styleId="Figure">
    <w:name w:val="Figure"/>
    <w:basedOn w:val="BodyText"/>
    <w:rsid w:val="001276E4"/>
    <w:pPr>
      <w:keepNext/>
      <w:spacing w:before="120" w:after="120" w:line="240" w:lineRule="atLeast"/>
      <w:jc w:val="center"/>
    </w:pPr>
  </w:style>
  <w:style w:type="paragraph" w:customStyle="1" w:styleId="FigureTitle">
    <w:name w:val="Figure Title"/>
    <w:basedOn w:val="Caption"/>
    <w:next w:val="Subtitle"/>
    <w:rsid w:val="001276E4"/>
    <w:pPr>
      <w:spacing w:before="120"/>
    </w:pPr>
  </w:style>
  <w:style w:type="paragraph" w:styleId="Subtitle">
    <w:name w:val="Subtitle"/>
    <w:basedOn w:val="Caption"/>
    <w:link w:val="SubtitleChar"/>
    <w:qFormat/>
    <w:rsid w:val="001276E4"/>
    <w:pPr>
      <w:spacing w:before="0" w:line="200" w:lineRule="exact"/>
      <w:ind w:firstLine="0"/>
    </w:pPr>
    <w:rPr>
      <w:b w:val="0"/>
      <w:sz w:val="20"/>
    </w:rPr>
  </w:style>
  <w:style w:type="paragraph" w:customStyle="1" w:styleId="Finding">
    <w:name w:val="Finding"/>
    <w:basedOn w:val="BodyText"/>
    <w:rsid w:val="001276E4"/>
    <w:pPr>
      <w:keepLines/>
      <w:spacing w:before="120" w:line="280" w:lineRule="atLeast"/>
    </w:pPr>
    <w:rPr>
      <w:rFonts w:ascii="Arial" w:hAnsi="Arial"/>
      <w:sz w:val="22"/>
    </w:rPr>
  </w:style>
  <w:style w:type="paragraph" w:customStyle="1" w:styleId="FindingBullet">
    <w:name w:val="Finding Bullet"/>
    <w:basedOn w:val="Finding"/>
    <w:rsid w:val="001276E4"/>
    <w:pPr>
      <w:numPr>
        <w:numId w:val="15"/>
      </w:numPr>
      <w:spacing w:before="80"/>
    </w:pPr>
  </w:style>
  <w:style w:type="paragraph" w:customStyle="1" w:styleId="FindingNoTitle">
    <w:name w:val="Finding NoTitle"/>
    <w:basedOn w:val="Finding"/>
    <w:semiHidden/>
    <w:rsid w:val="001276E4"/>
    <w:pPr>
      <w:spacing w:before="240"/>
    </w:pPr>
  </w:style>
  <w:style w:type="paragraph" w:customStyle="1" w:styleId="RecTitle">
    <w:name w:val="Rec Title"/>
    <w:basedOn w:val="BodyText"/>
    <w:next w:val="Rec"/>
    <w:qFormat/>
    <w:rsid w:val="001276E4"/>
    <w:pPr>
      <w:keepNext/>
      <w:keepLines/>
      <w:spacing w:line="280" w:lineRule="atLeast"/>
    </w:pPr>
    <w:rPr>
      <w:rFonts w:ascii="Arial" w:hAnsi="Arial"/>
      <w:caps/>
      <w:sz w:val="18"/>
    </w:rPr>
  </w:style>
  <w:style w:type="paragraph" w:customStyle="1" w:styleId="FindingTitle">
    <w:name w:val="Finding Title"/>
    <w:basedOn w:val="RecTitle"/>
    <w:next w:val="Finding"/>
    <w:rsid w:val="001276E4"/>
  </w:style>
  <w:style w:type="character" w:styleId="FootnoteReference">
    <w:name w:val="footnote reference"/>
    <w:basedOn w:val="DefaultParagraphFont"/>
    <w:rsid w:val="001276E4"/>
    <w:rPr>
      <w:rFonts w:ascii="Times New Roman" w:hAnsi="Times New Roman"/>
      <w:position w:val="6"/>
      <w:sz w:val="20"/>
      <w:vertAlign w:val="baseline"/>
    </w:rPr>
  </w:style>
  <w:style w:type="paragraph" w:styleId="FootnoteText">
    <w:name w:val="footnote text"/>
    <w:basedOn w:val="BodyText"/>
    <w:link w:val="FootnoteTextChar"/>
    <w:rsid w:val="001276E4"/>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1276E4"/>
    <w:rPr>
      <w:i/>
    </w:rPr>
  </w:style>
  <w:style w:type="paragraph" w:customStyle="1" w:styleId="Jurisdictioncommentsbodytext">
    <w:name w:val="Jurisdiction comments body text"/>
    <w:rsid w:val="001276E4"/>
    <w:pPr>
      <w:spacing w:after="140"/>
      <w:jc w:val="both"/>
    </w:pPr>
    <w:rPr>
      <w:rFonts w:ascii="Arial" w:hAnsi="Arial"/>
      <w:sz w:val="24"/>
      <w:lang w:eastAsia="en-US"/>
    </w:rPr>
  </w:style>
  <w:style w:type="paragraph" w:customStyle="1" w:styleId="Jurisdictioncommentsheading">
    <w:name w:val="Jurisdiction comments heading"/>
    <w:rsid w:val="001276E4"/>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1276E4"/>
    <w:pPr>
      <w:numPr>
        <w:numId w:val="2"/>
      </w:numPr>
      <w:spacing w:after="140"/>
      <w:jc w:val="both"/>
    </w:pPr>
    <w:rPr>
      <w:rFonts w:ascii="Arial" w:hAnsi="Arial"/>
      <w:sz w:val="24"/>
      <w:lang w:eastAsia="en-US"/>
    </w:rPr>
  </w:style>
  <w:style w:type="paragraph" w:styleId="ListBullet">
    <w:name w:val="List Bullet"/>
    <w:basedOn w:val="BodyText"/>
    <w:rsid w:val="001276E4"/>
    <w:pPr>
      <w:numPr>
        <w:numId w:val="3"/>
      </w:numPr>
      <w:spacing w:before="120"/>
    </w:pPr>
  </w:style>
  <w:style w:type="paragraph" w:styleId="ListBullet2">
    <w:name w:val="List Bullet 2"/>
    <w:basedOn w:val="BodyText"/>
    <w:rsid w:val="001276E4"/>
    <w:pPr>
      <w:numPr>
        <w:numId w:val="4"/>
      </w:numPr>
      <w:spacing w:before="120"/>
    </w:pPr>
  </w:style>
  <w:style w:type="paragraph" w:styleId="ListBullet3">
    <w:name w:val="List Bullet 3"/>
    <w:basedOn w:val="BodyText"/>
    <w:rsid w:val="001276E4"/>
    <w:pPr>
      <w:numPr>
        <w:numId w:val="5"/>
      </w:numPr>
      <w:spacing w:before="120"/>
      <w:ind w:left="1020" w:hanging="340"/>
    </w:pPr>
  </w:style>
  <w:style w:type="paragraph" w:styleId="ListNumber">
    <w:name w:val="List Number"/>
    <w:basedOn w:val="BodyText"/>
    <w:rsid w:val="001276E4"/>
    <w:pPr>
      <w:numPr>
        <w:numId w:val="9"/>
      </w:numPr>
      <w:spacing w:before="120"/>
    </w:pPr>
  </w:style>
  <w:style w:type="paragraph" w:styleId="ListNumber2">
    <w:name w:val="List Number 2"/>
    <w:basedOn w:val="ListNumber"/>
    <w:rsid w:val="001276E4"/>
    <w:pPr>
      <w:numPr>
        <w:ilvl w:val="1"/>
      </w:numPr>
    </w:pPr>
  </w:style>
  <w:style w:type="paragraph" w:styleId="ListNumber3">
    <w:name w:val="List Number 3"/>
    <w:basedOn w:val="ListNumber2"/>
    <w:rsid w:val="001276E4"/>
    <w:pPr>
      <w:numPr>
        <w:ilvl w:val="2"/>
      </w:numPr>
    </w:pPr>
  </w:style>
  <w:style w:type="character" w:customStyle="1" w:styleId="NoteLabel">
    <w:name w:val="Note Label"/>
    <w:basedOn w:val="DefaultParagraphFont"/>
    <w:rsid w:val="001276E4"/>
    <w:rPr>
      <w:rFonts w:ascii="Arial" w:hAnsi="Arial"/>
      <w:b/>
      <w:position w:val="6"/>
      <w:sz w:val="18"/>
    </w:rPr>
  </w:style>
  <w:style w:type="paragraph" w:customStyle="1" w:styleId="PartDivider">
    <w:name w:val="Part Divider"/>
    <w:basedOn w:val="BodyText"/>
    <w:next w:val="BodyText"/>
    <w:rsid w:val="001276E4"/>
    <w:pPr>
      <w:spacing w:before="0" w:line="40" w:lineRule="exact"/>
      <w:jc w:val="right"/>
    </w:pPr>
    <w:rPr>
      <w:smallCaps/>
      <w:sz w:val="16"/>
    </w:rPr>
  </w:style>
  <w:style w:type="paragraph" w:customStyle="1" w:styleId="PartNumber">
    <w:name w:val="Part Number"/>
    <w:basedOn w:val="BodyText"/>
    <w:next w:val="BodyText"/>
    <w:rsid w:val="001276E4"/>
    <w:pPr>
      <w:spacing w:before="4000" w:line="320" w:lineRule="exact"/>
      <w:ind w:left="6634"/>
      <w:jc w:val="right"/>
    </w:pPr>
    <w:rPr>
      <w:smallCaps/>
      <w:spacing w:val="60"/>
      <w:sz w:val="32"/>
    </w:rPr>
  </w:style>
  <w:style w:type="paragraph" w:customStyle="1" w:styleId="PartTitle">
    <w:name w:val="Part Title"/>
    <w:basedOn w:val="BodyText"/>
    <w:rsid w:val="001276E4"/>
    <w:pPr>
      <w:spacing w:before="160" w:after="1360" w:line="520" w:lineRule="exact"/>
      <w:ind w:right="2381"/>
      <w:jc w:val="right"/>
    </w:pPr>
    <w:rPr>
      <w:smallCaps/>
      <w:sz w:val="52"/>
    </w:rPr>
  </w:style>
  <w:style w:type="paragraph" w:styleId="Quote">
    <w:name w:val="Quote"/>
    <w:basedOn w:val="BodyText"/>
    <w:next w:val="BodyText"/>
    <w:link w:val="QuoteChar"/>
    <w:qFormat/>
    <w:rsid w:val="001276E4"/>
    <w:pPr>
      <w:spacing w:before="120" w:line="280" w:lineRule="exact"/>
      <w:ind w:left="340"/>
    </w:pPr>
    <w:rPr>
      <w:sz w:val="22"/>
    </w:rPr>
  </w:style>
  <w:style w:type="paragraph" w:customStyle="1" w:styleId="QuoteBullet">
    <w:name w:val="Quote Bullet"/>
    <w:basedOn w:val="Quote"/>
    <w:rsid w:val="001276E4"/>
    <w:pPr>
      <w:numPr>
        <w:numId w:val="6"/>
      </w:numPr>
    </w:pPr>
  </w:style>
  <w:style w:type="paragraph" w:customStyle="1" w:styleId="Rec">
    <w:name w:val="Rec"/>
    <w:basedOn w:val="BodyText"/>
    <w:qFormat/>
    <w:rsid w:val="001276E4"/>
    <w:pPr>
      <w:keepLines/>
      <w:spacing w:before="120" w:line="280" w:lineRule="atLeast"/>
    </w:pPr>
    <w:rPr>
      <w:rFonts w:ascii="Arial" w:hAnsi="Arial"/>
      <w:sz w:val="22"/>
    </w:rPr>
  </w:style>
  <w:style w:type="paragraph" w:customStyle="1" w:styleId="RecBullet">
    <w:name w:val="Rec Bullet"/>
    <w:basedOn w:val="Rec"/>
    <w:rsid w:val="001276E4"/>
    <w:pPr>
      <w:numPr>
        <w:numId w:val="17"/>
      </w:numPr>
      <w:spacing w:before="80"/>
    </w:pPr>
  </w:style>
  <w:style w:type="paragraph" w:customStyle="1" w:styleId="RecB">
    <w:name w:val="RecB"/>
    <w:basedOn w:val="Normal"/>
    <w:semiHidden/>
    <w:rsid w:val="001276E4"/>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1276E4"/>
    <w:pPr>
      <w:numPr>
        <w:numId w:val="11"/>
      </w:numPr>
      <w:spacing w:before="80"/>
    </w:pPr>
  </w:style>
  <w:style w:type="paragraph" w:customStyle="1" w:styleId="RecBNoTitle">
    <w:name w:val="RecB NoTitle"/>
    <w:basedOn w:val="RecB"/>
    <w:semiHidden/>
    <w:rsid w:val="001276E4"/>
    <w:pPr>
      <w:spacing w:before="240"/>
    </w:pPr>
  </w:style>
  <w:style w:type="paragraph" w:customStyle="1" w:styleId="Reference">
    <w:name w:val="Reference"/>
    <w:basedOn w:val="BodyText"/>
    <w:rsid w:val="001276E4"/>
    <w:pPr>
      <w:spacing w:before="120"/>
      <w:ind w:left="340" w:hanging="340"/>
    </w:pPr>
  </w:style>
  <w:style w:type="paragraph" w:customStyle="1" w:styleId="SequenceInfo">
    <w:name w:val="Sequence Info"/>
    <w:basedOn w:val="BodyText"/>
    <w:semiHidden/>
    <w:rsid w:val="001276E4"/>
    <w:rPr>
      <w:vanish/>
      <w:sz w:val="16"/>
    </w:rPr>
  </w:style>
  <w:style w:type="paragraph" w:customStyle="1" w:styleId="SideNote">
    <w:name w:val="Side Note"/>
    <w:basedOn w:val="BodyText"/>
    <w:next w:val="BodyText"/>
    <w:semiHidden/>
    <w:rsid w:val="001276E4"/>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1276E4"/>
    <w:pPr>
      <w:framePr w:wrap="around"/>
      <w:numPr>
        <w:numId w:val="7"/>
      </w:numPr>
      <w:tabs>
        <w:tab w:val="left" w:pos="227"/>
      </w:tabs>
    </w:pPr>
  </w:style>
  <w:style w:type="paragraph" w:customStyle="1" w:styleId="SideNoteGraphic">
    <w:name w:val="Side Note Graphic"/>
    <w:basedOn w:val="SideNote"/>
    <w:next w:val="BodyText"/>
    <w:semiHidden/>
    <w:rsid w:val="001276E4"/>
    <w:pPr>
      <w:framePr w:wrap="around"/>
    </w:pPr>
  </w:style>
  <w:style w:type="paragraph" w:customStyle="1" w:styleId="TableBodyText">
    <w:name w:val="Table Body Text"/>
    <w:basedOn w:val="BodyText"/>
    <w:link w:val="TableBodyTextChar"/>
    <w:rsid w:val="001276E4"/>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1276E4"/>
    <w:pPr>
      <w:numPr>
        <w:numId w:val="8"/>
      </w:numPr>
      <w:jc w:val="left"/>
    </w:pPr>
  </w:style>
  <w:style w:type="paragraph" w:customStyle="1" w:styleId="TableColumnHeading">
    <w:name w:val="Table Column Heading"/>
    <w:basedOn w:val="TableBodyText"/>
    <w:rsid w:val="001276E4"/>
    <w:pPr>
      <w:spacing w:before="80" w:after="80"/>
    </w:pPr>
    <w:rPr>
      <w:i/>
    </w:rPr>
  </w:style>
  <w:style w:type="paragraph" w:styleId="TOC2">
    <w:name w:val="toc 2"/>
    <w:basedOn w:val="TOC1"/>
    <w:rsid w:val="001276E4"/>
    <w:pPr>
      <w:ind w:left="1134" w:hanging="624"/>
    </w:pPr>
    <w:rPr>
      <w:b w:val="0"/>
    </w:rPr>
  </w:style>
  <w:style w:type="paragraph" w:styleId="TOC3">
    <w:name w:val="toc 3"/>
    <w:basedOn w:val="TOC2"/>
    <w:rsid w:val="001276E4"/>
    <w:pPr>
      <w:spacing w:before="60"/>
      <w:ind w:left="1190" w:hanging="680"/>
    </w:pPr>
  </w:style>
  <w:style w:type="paragraph" w:styleId="TableofFigures">
    <w:name w:val="table of figures"/>
    <w:basedOn w:val="TOC3"/>
    <w:next w:val="BodyText"/>
    <w:semiHidden/>
    <w:rsid w:val="001276E4"/>
    <w:pPr>
      <w:ind w:left="737" w:hanging="737"/>
    </w:pPr>
  </w:style>
  <w:style w:type="paragraph" w:customStyle="1" w:styleId="TableTitle">
    <w:name w:val="Table Title"/>
    <w:basedOn w:val="Caption"/>
    <w:next w:val="Subtitle"/>
    <w:link w:val="TableTitleChar"/>
    <w:qFormat/>
    <w:rsid w:val="001276E4"/>
    <w:pPr>
      <w:spacing w:before="120"/>
    </w:pPr>
  </w:style>
  <w:style w:type="paragraph" w:customStyle="1" w:styleId="TableUnitsRow">
    <w:name w:val="Table Units Row"/>
    <w:basedOn w:val="TableBodyText"/>
    <w:rsid w:val="001276E4"/>
    <w:pPr>
      <w:spacing w:before="40"/>
    </w:pPr>
  </w:style>
  <w:style w:type="paragraph" w:styleId="TOC1">
    <w:name w:val="toc 1"/>
    <w:basedOn w:val="Normal"/>
    <w:next w:val="TOC2"/>
    <w:link w:val="TOC1Char"/>
    <w:rsid w:val="001276E4"/>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1276E4"/>
    <w:pPr>
      <w:ind w:left="1191" w:firstLine="0"/>
    </w:pPr>
  </w:style>
  <w:style w:type="paragraph" w:customStyle="1" w:styleId="RecBBullet2">
    <w:name w:val="RecB Bullet 2"/>
    <w:basedOn w:val="ListBullet2"/>
    <w:semiHidden/>
    <w:rsid w:val="001276E4"/>
    <w:pPr>
      <w:pBdr>
        <w:left w:val="single" w:sz="24" w:space="29" w:color="C0C0C0"/>
      </w:pBdr>
    </w:pPr>
    <w:rPr>
      <w:b/>
      <w:i/>
    </w:rPr>
  </w:style>
  <w:style w:type="paragraph" w:styleId="BalloonText">
    <w:name w:val="Balloon Text"/>
    <w:basedOn w:val="Normal"/>
    <w:link w:val="BalloonTextChar"/>
    <w:rsid w:val="001276E4"/>
    <w:rPr>
      <w:rFonts w:ascii="Tahoma" w:hAnsi="Tahoma" w:cs="Tahoma"/>
      <w:sz w:val="16"/>
      <w:szCs w:val="16"/>
    </w:rPr>
  </w:style>
  <w:style w:type="character" w:customStyle="1" w:styleId="BalloonTextChar">
    <w:name w:val="Balloon Text Char"/>
    <w:basedOn w:val="DefaultParagraphFont"/>
    <w:link w:val="BalloonText"/>
    <w:rsid w:val="001276E4"/>
    <w:rPr>
      <w:rFonts w:ascii="Tahoma" w:hAnsi="Tahoma" w:cs="Tahoma"/>
      <w:sz w:val="16"/>
      <w:szCs w:val="16"/>
    </w:rPr>
  </w:style>
  <w:style w:type="character" w:customStyle="1" w:styleId="SubtitleChar">
    <w:name w:val="Subtitle Char"/>
    <w:basedOn w:val="DefaultParagraphFont"/>
    <w:link w:val="Subtitle"/>
    <w:rsid w:val="001276E4"/>
    <w:rPr>
      <w:rFonts w:ascii="Arial" w:hAnsi="Arial"/>
      <w:szCs w:val="24"/>
    </w:rPr>
  </w:style>
  <w:style w:type="paragraph" w:customStyle="1" w:styleId="BoxListBullet3">
    <w:name w:val="Box List Bullet 3"/>
    <w:basedOn w:val="ListBullet3"/>
    <w:rsid w:val="001276E4"/>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1276E4"/>
    <w:rPr>
      <w:i/>
      <w:iCs/>
    </w:rPr>
  </w:style>
  <w:style w:type="paragraph" w:customStyle="1" w:styleId="BoxQuoteBullet">
    <w:name w:val="Box Quote Bullet"/>
    <w:basedOn w:val="BoxQuote"/>
    <w:next w:val="Box"/>
    <w:rsid w:val="001276E4"/>
    <w:pPr>
      <w:numPr>
        <w:numId w:val="12"/>
      </w:numPr>
      <w:ind w:left="568" w:hanging="284"/>
    </w:pPr>
  </w:style>
  <w:style w:type="paragraph" w:customStyle="1" w:styleId="InformationRequestBullet">
    <w:name w:val="Information Request Bullet"/>
    <w:basedOn w:val="ListBullet"/>
    <w:next w:val="BodyText"/>
    <w:rsid w:val="001276E4"/>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1276E4"/>
    <w:pPr>
      <w:keepNext w:val="0"/>
      <w:spacing w:before="60" w:after="60" w:line="80" w:lineRule="exact"/>
    </w:pPr>
    <w:rPr>
      <w:sz w:val="14"/>
    </w:rPr>
  </w:style>
  <w:style w:type="paragraph" w:customStyle="1" w:styleId="KeyPointsListBullet">
    <w:name w:val="Key Points List Bullet"/>
    <w:basedOn w:val="Normal"/>
    <w:qFormat/>
    <w:rsid w:val="001276E4"/>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1276E4"/>
    <w:pPr>
      <w:numPr>
        <w:numId w:val="21"/>
      </w:numPr>
      <w:ind w:left="568" w:hanging="284"/>
    </w:pPr>
  </w:style>
  <w:style w:type="paragraph" w:customStyle="1" w:styleId="InformationRequestTitle">
    <w:name w:val="Information Request Title"/>
    <w:basedOn w:val="FindingTitle"/>
    <w:next w:val="InformationRequest"/>
    <w:rsid w:val="001276E4"/>
    <w:rPr>
      <w:i/>
    </w:rPr>
  </w:style>
  <w:style w:type="paragraph" w:customStyle="1" w:styleId="Space">
    <w:name w:val="Space"/>
    <w:basedOn w:val="Normal"/>
    <w:rsid w:val="001276E4"/>
    <w:pPr>
      <w:keepNext/>
      <w:spacing w:line="120" w:lineRule="exact"/>
      <w:jc w:val="both"/>
    </w:pPr>
    <w:rPr>
      <w:rFonts w:ascii="Arial" w:hAnsi="Arial"/>
      <w:sz w:val="20"/>
      <w:szCs w:val="20"/>
    </w:rPr>
  </w:style>
  <w:style w:type="paragraph" w:customStyle="1" w:styleId="Heading1nochapterno">
    <w:name w:val="Heading 1 (no chapter no.)"/>
    <w:basedOn w:val="Heading1"/>
    <w:rsid w:val="001276E4"/>
    <w:pPr>
      <w:spacing w:before="0"/>
      <w:ind w:left="0" w:firstLine="0"/>
    </w:pPr>
  </w:style>
  <w:style w:type="paragraph" w:customStyle="1" w:styleId="Heading2nosectionno">
    <w:name w:val="Heading 2 (no section no.)"/>
    <w:basedOn w:val="Heading2"/>
    <w:rsid w:val="001276E4"/>
    <w:pPr>
      <w:ind w:left="0" w:firstLine="0"/>
    </w:pPr>
  </w:style>
  <w:style w:type="character" w:customStyle="1" w:styleId="Heading5Char">
    <w:name w:val="Heading 5 Char"/>
    <w:basedOn w:val="DefaultParagraphFont"/>
    <w:link w:val="Heading5"/>
    <w:rsid w:val="001276E4"/>
    <w:rPr>
      <w:rFonts w:ascii="Arial" w:hAnsi="Arial"/>
      <w:i/>
      <w:sz w:val="22"/>
    </w:rPr>
  </w:style>
  <w:style w:type="paragraph" w:customStyle="1" w:styleId="Figurespace">
    <w:name w:val="Figure space"/>
    <w:basedOn w:val="Box"/>
    <w:rsid w:val="001276E4"/>
    <w:pPr>
      <w:spacing w:before="0" w:line="120" w:lineRule="exact"/>
    </w:pPr>
  </w:style>
  <w:style w:type="paragraph" w:customStyle="1" w:styleId="FooterDraftReport">
    <w:name w:val="FooterDraftReport"/>
    <w:basedOn w:val="Footer"/>
    <w:link w:val="FooterDraftReportChar"/>
    <w:rsid w:val="001276E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1276E4"/>
    <w:rPr>
      <w:sz w:val="24"/>
    </w:rPr>
  </w:style>
  <w:style w:type="character" w:customStyle="1" w:styleId="FooterChar">
    <w:name w:val="Footer Char"/>
    <w:basedOn w:val="BodyTextChar"/>
    <w:link w:val="Footer"/>
    <w:rsid w:val="001276E4"/>
    <w:rPr>
      <w:rFonts w:ascii="Arial" w:hAnsi="Arial"/>
      <w:caps/>
      <w:spacing w:val="-4"/>
      <w:sz w:val="16"/>
    </w:rPr>
  </w:style>
  <w:style w:type="character" w:customStyle="1" w:styleId="FooterDraftReportChar">
    <w:name w:val="FooterDraftReport Char"/>
    <w:basedOn w:val="FooterChar"/>
    <w:link w:val="FooterDraftReport"/>
    <w:rsid w:val="001276E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127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1276E4"/>
    <w:rPr>
      <w:rFonts w:ascii="Arial" w:hAnsi="Arial"/>
      <w:b/>
      <w:sz w:val="26"/>
      <w:szCs w:val="26"/>
      <w:lang w:eastAsia="en-US"/>
    </w:rPr>
  </w:style>
  <w:style w:type="character" w:customStyle="1" w:styleId="Continuedintitle">
    <w:name w:val="Continued (in title)"/>
    <w:basedOn w:val="DefaultParagraphFont"/>
    <w:rsid w:val="001276E4"/>
    <w:rPr>
      <w:rFonts w:ascii="Arial" w:hAnsi="Arial"/>
      <w:b/>
      <w:sz w:val="18"/>
    </w:rPr>
  </w:style>
  <w:style w:type="character" w:customStyle="1" w:styleId="CommentTextChar">
    <w:name w:val="Comment Text Char"/>
    <w:basedOn w:val="DefaultParagraphFont"/>
    <w:link w:val="CommentText"/>
    <w:semiHidden/>
    <w:rsid w:val="00AA2F50"/>
    <w:rPr>
      <w:szCs w:val="24"/>
    </w:rPr>
  </w:style>
  <w:style w:type="character" w:customStyle="1" w:styleId="FootnoteTextChar">
    <w:name w:val="Footnote Text Char"/>
    <w:basedOn w:val="DefaultParagraphFont"/>
    <w:link w:val="FootnoteText"/>
    <w:rsid w:val="00297850"/>
  </w:style>
  <w:style w:type="paragraph" w:customStyle="1" w:styleId="BoxSpaceAboveElement">
    <w:name w:val="Box Space Above Element"/>
    <w:basedOn w:val="BoxSpaceAbove"/>
    <w:link w:val="BoxSpaceAboveElementChar"/>
    <w:qFormat/>
    <w:rsid w:val="001E2E80"/>
    <w:pPr>
      <w:spacing w:before="240"/>
    </w:pPr>
    <w:rPr>
      <w:b/>
      <w:vanish/>
      <w:color w:val="FF00FF"/>
      <w:sz w:val="14"/>
    </w:rPr>
  </w:style>
  <w:style w:type="character" w:customStyle="1" w:styleId="BoxSpaceAboveElementChar">
    <w:name w:val="Box Space Above Element Char"/>
    <w:basedOn w:val="DefaultParagraphFont"/>
    <w:link w:val="BoxSpaceAboveElement"/>
    <w:rsid w:val="001E2E80"/>
    <w:rPr>
      <w:b/>
      <w:vanish/>
      <w:color w:val="FF00FF"/>
      <w:sz w:val="14"/>
    </w:rPr>
  </w:style>
  <w:style w:type="character" w:customStyle="1" w:styleId="QuoteChar">
    <w:name w:val="Quote Char"/>
    <w:basedOn w:val="DefaultParagraphFont"/>
    <w:link w:val="Quote"/>
    <w:rsid w:val="008F05DB"/>
    <w:rPr>
      <w:sz w:val="22"/>
    </w:rPr>
  </w:style>
  <w:style w:type="paragraph" w:styleId="CommentSubject">
    <w:name w:val="annotation subject"/>
    <w:basedOn w:val="CommentText"/>
    <w:next w:val="CommentText"/>
    <w:link w:val="CommentSubjectChar"/>
    <w:semiHidden/>
    <w:unhideWhenUsed/>
    <w:rsid w:val="00941D26"/>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941D26"/>
    <w:rPr>
      <w:b/>
      <w:bCs/>
      <w:szCs w:val="24"/>
    </w:rPr>
  </w:style>
  <w:style w:type="paragraph" w:styleId="Revision">
    <w:name w:val="Revision"/>
    <w:hidden/>
    <w:uiPriority w:val="99"/>
    <w:semiHidden/>
    <w:rsid w:val="001B5AB2"/>
    <w:rPr>
      <w:sz w:val="24"/>
      <w:szCs w:val="24"/>
    </w:rPr>
  </w:style>
  <w:style w:type="character" w:customStyle="1" w:styleId="Heading1Char">
    <w:name w:val="Heading 1 Char"/>
    <w:basedOn w:val="DefaultParagraphFont"/>
    <w:link w:val="Heading1"/>
    <w:rsid w:val="00297850"/>
    <w:rPr>
      <w:sz w:val="52"/>
    </w:rPr>
  </w:style>
  <w:style w:type="character" w:styleId="Hyperlink">
    <w:name w:val="Hyperlink"/>
    <w:basedOn w:val="DefaultParagraphFont"/>
    <w:unhideWhenUsed/>
    <w:rsid w:val="001A62A8"/>
    <w:rPr>
      <w:color w:val="000000" w:themeColor="hyperlink"/>
      <w:u w:val="single"/>
    </w:rPr>
  </w:style>
  <w:style w:type="character" w:customStyle="1" w:styleId="BoxChar">
    <w:name w:val="Box Char"/>
    <w:basedOn w:val="DefaultParagraphFont"/>
    <w:link w:val="Box"/>
    <w:locked/>
    <w:rsid w:val="001A62A8"/>
    <w:rPr>
      <w:rFonts w:ascii="Arial" w:hAnsi="Arial"/>
    </w:rPr>
  </w:style>
  <w:style w:type="paragraph" w:customStyle="1" w:styleId="Copyrightheading">
    <w:name w:val="Copyright heading"/>
    <w:basedOn w:val="TOC1"/>
    <w:link w:val="CopyrightheadingChar"/>
    <w:qFormat/>
    <w:rsid w:val="001A62A8"/>
    <w:pPr>
      <w:spacing w:line="300" w:lineRule="exact"/>
    </w:pPr>
    <w:rPr>
      <w:sz w:val="22"/>
    </w:rPr>
  </w:style>
  <w:style w:type="character" w:customStyle="1" w:styleId="CopyrightheadingChar">
    <w:name w:val="Copyright heading Char"/>
    <w:basedOn w:val="TOC1Char"/>
    <w:link w:val="Copyrightheading"/>
    <w:rsid w:val="001A62A8"/>
    <w:rPr>
      <w:rFonts w:ascii="Arial" w:hAnsi="Arial"/>
      <w:b/>
      <w:sz w:val="22"/>
      <w:szCs w:val="26"/>
      <w:lang w:eastAsia="en-US"/>
    </w:rPr>
  </w:style>
  <w:style w:type="paragraph" w:customStyle="1" w:styleId="Copyrightsubtitle">
    <w:name w:val="Copyright subtitle"/>
    <w:basedOn w:val="BodyText"/>
    <w:rsid w:val="001A62A8"/>
    <w:rPr>
      <w:rFonts w:ascii="Arial" w:hAnsi="Arial"/>
      <w:b/>
      <w:sz w:val="22"/>
      <w:szCs w:val="25"/>
    </w:rPr>
  </w:style>
  <w:style w:type="paragraph" w:customStyle="1" w:styleId="Copyrightbodytext">
    <w:name w:val="Copyright bodytext"/>
    <w:basedOn w:val="BodyText"/>
    <w:link w:val="CopyrightbodytextChar"/>
    <w:qFormat/>
    <w:rsid w:val="001A62A8"/>
    <w:pPr>
      <w:spacing w:before="60"/>
    </w:pPr>
  </w:style>
  <w:style w:type="character" w:customStyle="1" w:styleId="CopyrightbodytextChar">
    <w:name w:val="Copyright bodytext Char"/>
    <w:basedOn w:val="BodyTextChar"/>
    <w:link w:val="Copyrightbodytext"/>
    <w:rsid w:val="001A62A8"/>
    <w:rPr>
      <w:sz w:val="24"/>
    </w:rPr>
  </w:style>
  <w:style w:type="character" w:customStyle="1" w:styleId="Heading2Char">
    <w:name w:val="Heading 2 Char"/>
    <w:basedOn w:val="DefaultParagraphFont"/>
    <w:link w:val="Heading2"/>
    <w:rsid w:val="00446B91"/>
    <w:rPr>
      <w:rFonts w:ascii="Arial" w:hAnsi="Arial"/>
      <w:b/>
      <w:sz w:val="32"/>
    </w:rPr>
  </w:style>
  <w:style w:type="character" w:customStyle="1" w:styleId="Heading3Char">
    <w:name w:val="Heading 3 Char"/>
    <w:basedOn w:val="DefaultParagraphFont"/>
    <w:link w:val="Heading3"/>
    <w:rsid w:val="00446B91"/>
    <w:rPr>
      <w:rFonts w:ascii="Arial" w:hAnsi="Arial"/>
      <w:b/>
      <w:sz w:val="26"/>
    </w:rPr>
  </w:style>
  <w:style w:type="character" w:customStyle="1" w:styleId="Heading4Char">
    <w:name w:val="Heading 4 Char"/>
    <w:basedOn w:val="DefaultParagraphFont"/>
    <w:link w:val="Heading4"/>
    <w:rsid w:val="00446B91"/>
    <w:rPr>
      <w:rFonts w:ascii="Arial" w:hAnsi="Arial"/>
      <w:sz w:val="24"/>
    </w:rPr>
  </w:style>
  <w:style w:type="character" w:customStyle="1" w:styleId="HeaderChar">
    <w:name w:val="Header Char"/>
    <w:basedOn w:val="DefaultParagraphFont"/>
    <w:link w:val="Header"/>
    <w:rsid w:val="00446B91"/>
    <w:rPr>
      <w:rFonts w:ascii="Arial" w:hAnsi="Arial"/>
      <w:caps/>
      <w:sz w:val="24"/>
    </w:rPr>
  </w:style>
  <w:style w:type="character" w:customStyle="1" w:styleId="BoxListBulletChar">
    <w:name w:val="Box List Bullet Char"/>
    <w:basedOn w:val="DefaultParagraphFont"/>
    <w:link w:val="BoxListBullet"/>
    <w:locked/>
    <w:rsid w:val="00446B91"/>
    <w:rPr>
      <w:rFonts w:ascii="Arial" w:hAnsi="Arial"/>
    </w:rPr>
  </w:style>
  <w:style w:type="character" w:customStyle="1" w:styleId="SourceChar">
    <w:name w:val="Source Char"/>
    <w:link w:val="Source"/>
    <w:rsid w:val="00446B91"/>
    <w:rPr>
      <w:rFonts w:ascii="Arial" w:hAnsi="Arial"/>
      <w:sz w:val="18"/>
    </w:rPr>
  </w:style>
  <w:style w:type="character" w:customStyle="1" w:styleId="CommentTextChar1">
    <w:name w:val="Comment Text Char1"/>
    <w:basedOn w:val="DefaultParagraphFont"/>
    <w:semiHidden/>
    <w:rsid w:val="00446B91"/>
    <w:rPr>
      <w:szCs w:val="24"/>
    </w:rPr>
  </w:style>
  <w:style w:type="character" w:customStyle="1" w:styleId="TableBodyTextChar">
    <w:name w:val="Table Body Text Char"/>
    <w:link w:val="TableBodyText"/>
    <w:rsid w:val="00446B91"/>
    <w:rPr>
      <w:rFonts w:ascii="Arial" w:hAnsi="Arial"/>
      <w:sz w:val="18"/>
    </w:rPr>
  </w:style>
  <w:style w:type="character" w:customStyle="1" w:styleId="TableTitleChar">
    <w:name w:val="Table Title Char"/>
    <w:basedOn w:val="DefaultParagraphFont"/>
    <w:link w:val="TableTitle"/>
    <w:rsid w:val="00446B91"/>
    <w:rPr>
      <w:rFonts w:ascii="Arial" w:hAnsi="Arial"/>
      <w:b/>
      <w:sz w:val="24"/>
      <w:szCs w:val="24"/>
    </w:rPr>
  </w:style>
  <w:style w:type="paragraph" w:customStyle="1" w:styleId="Default">
    <w:name w:val="Default"/>
    <w:rsid w:val="00446B91"/>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446B91"/>
    <w:pPr>
      <w:ind w:left="720"/>
      <w:contextualSpacing/>
    </w:pPr>
  </w:style>
  <w:style w:type="character" w:styleId="EndnoteReference">
    <w:name w:val="endnote reference"/>
    <w:basedOn w:val="DefaultParagraphFont"/>
    <w:semiHidden/>
    <w:unhideWhenUsed/>
    <w:rsid w:val="00446B91"/>
    <w:rPr>
      <w:vertAlign w:val="superscript"/>
    </w:rPr>
  </w:style>
  <w:style w:type="paragraph" w:customStyle="1" w:styleId="Compact">
    <w:name w:val="Compact"/>
    <w:qFormat/>
    <w:rsid w:val="00446B91"/>
    <w:pPr>
      <w:keepNext/>
      <w:keepLines/>
      <w:spacing w:before="36" w:after="36"/>
    </w:pPr>
    <w:rPr>
      <w:rFonts w:ascii="Arial" w:eastAsiaTheme="minorHAnsi" w:hAnsi="Arial" w:cs="Arial"/>
      <w:sz w:val="18"/>
      <w:szCs w:val="24"/>
      <w:lang w:val="en-US" w:eastAsia="en-US"/>
    </w:rPr>
  </w:style>
  <w:style w:type="paragraph" w:customStyle="1" w:styleId="TableCaption">
    <w:name w:val="Table Caption"/>
    <w:basedOn w:val="Caption"/>
    <w:rsid w:val="00446B91"/>
    <w:pPr>
      <w:keepLines w:val="0"/>
      <w:spacing w:before="240" w:after="0" w:line="240" w:lineRule="auto"/>
      <w:ind w:left="0" w:firstLine="0"/>
    </w:pPr>
    <w:rPr>
      <w:rFonts w:eastAsiaTheme="minorHAnsi" w:cstheme="minorBidi"/>
      <w:b w:val="0"/>
      <w:i/>
      <w:color w:val="808080" w:themeColor="background1" w:themeShade="80"/>
      <w:sz w:val="20"/>
      <w:lang w:val="en-US" w:eastAsia="en-US"/>
    </w:rPr>
  </w:style>
  <w:style w:type="paragraph" w:customStyle="1" w:styleId="C126">
    <w:name w:val="C1.26"/>
    <w:basedOn w:val="Heading1"/>
    <w:rsid w:val="00446B91"/>
  </w:style>
  <w:style w:type="character" w:styleId="PlaceholderText">
    <w:name w:val="Placeholder Text"/>
    <w:basedOn w:val="DefaultParagraphFont"/>
    <w:uiPriority w:val="99"/>
    <w:semiHidden/>
    <w:rsid w:val="00446B91"/>
    <w:rPr>
      <w:color w:val="808080"/>
    </w:rPr>
  </w:style>
  <w:style w:type="paragraph" w:styleId="Bibliography">
    <w:name w:val="Bibliography"/>
    <w:basedOn w:val="Normal"/>
    <w:next w:val="Normal"/>
    <w:uiPriority w:val="37"/>
    <w:unhideWhenUsed/>
    <w:rsid w:val="00446B91"/>
    <w:pPr>
      <w:spacing w:after="240"/>
      <w:ind w:left="720" w:hanging="720"/>
    </w:pPr>
  </w:style>
  <w:style w:type="table" w:customStyle="1" w:styleId="Banded">
    <w:name w:val="Banded"/>
    <w:basedOn w:val="TableNormal"/>
    <w:uiPriority w:val="99"/>
    <w:rsid w:val="00446B91"/>
    <w:tblPr>
      <w:tblStyleRowBandSize w:val="1"/>
      <w:tblBorders>
        <w:top w:val="single" w:sz="4" w:space="0" w:color="BFBFBF" w:themeColor="background1" w:themeShade="BF"/>
        <w:bottom w:val="single" w:sz="4" w:space="0" w:color="BFBFBF" w:themeColor="background1" w:themeShade="BF"/>
      </w:tblBorders>
      <w:tblCellMar>
        <w:top w:w="28" w:type="dxa"/>
        <w:left w:w="0" w:type="dxa"/>
        <w:right w:w="0" w:type="dxa"/>
      </w:tblCellMar>
    </w:tblPr>
    <w:tblStylePr w:type="firstRow">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customStyle="1" w:styleId="TableParagraph">
    <w:name w:val="Table Paragraph"/>
    <w:basedOn w:val="Normal"/>
    <w:uiPriority w:val="1"/>
    <w:qFormat/>
    <w:rsid w:val="00446B91"/>
    <w:pPr>
      <w:widowControl w:val="0"/>
      <w:autoSpaceDE w:val="0"/>
      <w:autoSpaceDN w:val="0"/>
    </w:pPr>
    <w:rPr>
      <w:rFonts w:ascii="Arial Unicode MS" w:eastAsia="Arial Unicode MS" w:hAnsi="Arial Unicode MS" w:cs="Arial Unicode MS"/>
      <w:sz w:val="22"/>
      <w:szCs w:val="22"/>
      <w:lang w:val="en-US" w:eastAsia="en-US"/>
    </w:rPr>
  </w:style>
  <w:style w:type="paragraph" w:styleId="NormalWeb">
    <w:name w:val="Normal (Web)"/>
    <w:basedOn w:val="Normal"/>
    <w:uiPriority w:val="99"/>
    <w:unhideWhenUsed/>
    <w:rsid w:val="00446B91"/>
    <w:pPr>
      <w:spacing w:before="100" w:beforeAutospacing="1" w:after="100" w:afterAutospacing="1"/>
    </w:pPr>
  </w:style>
  <w:style w:type="paragraph" w:styleId="HTMLPreformatted">
    <w:name w:val="HTML Preformatted"/>
    <w:basedOn w:val="Normal"/>
    <w:link w:val="HTMLPreformattedChar"/>
    <w:uiPriority w:val="99"/>
    <w:unhideWhenUsed/>
    <w:rsid w:val="00446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46B91"/>
    <w:rPr>
      <w:rFonts w:ascii="Courier New" w:hAnsi="Courier New" w:cs="Courier New"/>
    </w:rPr>
  </w:style>
  <w:style w:type="character" w:styleId="FollowedHyperlink">
    <w:name w:val="FollowedHyperlink"/>
    <w:basedOn w:val="DefaultParagraphFont"/>
    <w:semiHidden/>
    <w:unhideWhenUsed/>
    <w:rsid w:val="00446B91"/>
    <w:rPr>
      <w:color w:val="BFBFBF" w:themeColor="followedHyperlink"/>
      <w:u w:val="single"/>
    </w:rPr>
  </w:style>
  <w:style w:type="character" w:customStyle="1" w:styleId="gnkrckgcgsb">
    <w:name w:val="gnkrckgcgsb"/>
    <w:basedOn w:val="DefaultParagraphFont"/>
    <w:rsid w:val="00446B91"/>
  </w:style>
  <w:style w:type="paragraph" w:customStyle="1" w:styleId="default0">
    <w:name w:val="default"/>
    <w:basedOn w:val="Normal"/>
    <w:uiPriority w:val="99"/>
    <w:rsid w:val="00446B91"/>
    <w:pPr>
      <w:autoSpaceDE w:val="0"/>
      <w:autoSpaceDN w:val="0"/>
    </w:pPr>
    <w:rPr>
      <w:rFonts w:ascii="Arial" w:eastAsiaTheme="minorHAnsi" w:hAnsi="Arial" w:cs="Arial"/>
      <w:color w:val="000000"/>
    </w:rPr>
  </w:style>
  <w:style w:type="character" w:customStyle="1" w:styleId="fntblue1">
    <w:name w:val="fnt_blue1"/>
    <w:basedOn w:val="DefaultParagraphFont"/>
    <w:rsid w:val="00446B91"/>
    <w:rPr>
      <w:color w:val="007A90"/>
    </w:rPr>
  </w:style>
  <w:style w:type="character" w:customStyle="1" w:styleId="at4-visually-hidden1">
    <w:name w:val="at4-visually-hidden1"/>
    <w:basedOn w:val="DefaultParagraphFont"/>
    <w:rsid w:val="00446B91"/>
    <w:rPr>
      <w:bdr w:val="none" w:sz="0" w:space="0" w:color="auto" w:frame="1"/>
    </w:rPr>
  </w:style>
  <w:style w:type="character" w:customStyle="1" w:styleId="A7">
    <w:name w:val="A7"/>
    <w:uiPriority w:val="99"/>
    <w:rsid w:val="00446B91"/>
    <w:rPr>
      <w:rFonts w:cs="HelveticaNeueLT Std Lt"/>
      <w:color w:val="000000"/>
      <w:sz w:val="11"/>
      <w:szCs w:val="11"/>
    </w:rPr>
  </w:style>
  <w:style w:type="paragraph" w:customStyle="1" w:styleId="Heading1NotTOC">
    <w:name w:val="Heading 1 Not TOC"/>
    <w:basedOn w:val="Heading1"/>
    <w:next w:val="BodyText"/>
    <w:rsid w:val="00446B91"/>
    <w:rPr>
      <w:kern w:val="28"/>
      <w:szCs w:val="26"/>
      <w:lang w:eastAsia="en-US"/>
    </w:rPr>
  </w:style>
  <w:style w:type="paragraph" w:styleId="TOCHeading">
    <w:name w:val="TOC Heading"/>
    <w:basedOn w:val="Heading1"/>
    <w:next w:val="Normal"/>
    <w:uiPriority w:val="39"/>
    <w:unhideWhenUsed/>
    <w:qFormat/>
    <w:rsid w:val="00446B91"/>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paragraph" w:customStyle="1" w:styleId="TableBullet-level2">
    <w:name w:val="Table Bullet - level 2"/>
    <w:basedOn w:val="TableBullet"/>
    <w:rsid w:val="00446B91"/>
    <w:pPr>
      <w:numPr>
        <w:numId w:val="36"/>
      </w:numPr>
      <w:ind w:left="567" w:hanging="340"/>
    </w:pPr>
  </w:style>
  <w:style w:type="character" w:styleId="Strong">
    <w:name w:val="Strong"/>
    <w:basedOn w:val="DefaultParagraphFont"/>
    <w:uiPriority w:val="22"/>
    <w:qFormat/>
    <w:rsid w:val="00446B91"/>
    <w:rPr>
      <w:b/>
      <w:bCs/>
    </w:rPr>
  </w:style>
  <w:style w:type="paragraph" w:customStyle="1" w:styleId="Headingr">
    <w:name w:val="Heading r"/>
    <w:basedOn w:val="BodyText"/>
    <w:rsid w:val="00446B91"/>
  </w:style>
  <w:style w:type="paragraph" w:customStyle="1" w:styleId="selectionshareable">
    <w:name w:val="selectionshareable"/>
    <w:basedOn w:val="Normal"/>
    <w:rsid w:val="00446B91"/>
    <w:pPr>
      <w:spacing w:before="240" w:after="240"/>
    </w:pPr>
  </w:style>
  <w:style w:type="character" w:customStyle="1" w:styleId="tgc">
    <w:name w:val="_tgc"/>
    <w:basedOn w:val="DefaultParagraphFont"/>
    <w:rsid w:val="00446B91"/>
  </w:style>
  <w:style w:type="paragraph" w:customStyle="1" w:styleId="Bullet">
    <w:name w:val="Bullet"/>
    <w:basedOn w:val="Normal"/>
    <w:rsid w:val="00446B91"/>
    <w:pPr>
      <w:numPr>
        <w:ilvl w:val="1"/>
        <w:numId w:val="37"/>
      </w:numPr>
      <w:tabs>
        <w:tab w:val="clear" w:pos="1040"/>
        <w:tab w:val="num" w:pos="520"/>
      </w:tabs>
      <w:spacing w:line="276" w:lineRule="auto"/>
      <w:ind w:left="520"/>
    </w:pPr>
    <w:rPr>
      <w:rFonts w:asciiTheme="minorHAnsi" w:eastAsiaTheme="minorHAnsi" w:hAnsiTheme="minorHAnsi" w:cstheme="minorBidi"/>
      <w:sz w:val="22"/>
      <w:szCs w:val="22"/>
      <w:lang w:eastAsia="en-US"/>
    </w:rPr>
  </w:style>
  <w:style w:type="paragraph" w:customStyle="1" w:styleId="Dash">
    <w:name w:val="Dash"/>
    <w:basedOn w:val="Normal"/>
    <w:link w:val="DashChar"/>
    <w:rsid w:val="00446B91"/>
    <w:pPr>
      <w:tabs>
        <w:tab w:val="num" w:pos="1040"/>
      </w:tabs>
      <w:spacing w:line="276" w:lineRule="auto"/>
      <w:ind w:left="1040" w:hanging="520"/>
    </w:pPr>
    <w:rPr>
      <w:rFonts w:asciiTheme="minorHAnsi" w:eastAsiaTheme="minorHAnsi" w:hAnsiTheme="minorHAnsi" w:cstheme="minorBidi"/>
      <w:sz w:val="22"/>
      <w:szCs w:val="22"/>
      <w:lang w:eastAsia="en-US"/>
    </w:rPr>
  </w:style>
  <w:style w:type="character" w:customStyle="1" w:styleId="DashChar">
    <w:name w:val="Dash Char"/>
    <w:basedOn w:val="DefaultParagraphFont"/>
    <w:link w:val="Dash"/>
    <w:rsid w:val="00446B91"/>
    <w:rPr>
      <w:rFonts w:asciiTheme="minorHAnsi" w:eastAsiaTheme="minorHAnsi" w:hAnsiTheme="minorHAnsi" w:cstheme="minorBidi"/>
      <w:sz w:val="22"/>
      <w:szCs w:val="22"/>
      <w:lang w:eastAsia="en-US"/>
    </w:rPr>
  </w:style>
  <w:style w:type="paragraph" w:customStyle="1" w:styleId="DoubleDot">
    <w:name w:val="Double Dot"/>
    <w:basedOn w:val="Normal"/>
    <w:rsid w:val="00446B91"/>
    <w:pPr>
      <w:numPr>
        <w:ilvl w:val="2"/>
        <w:numId w:val="37"/>
      </w:numPr>
      <w:spacing w:line="276" w:lineRule="auto"/>
    </w:pPr>
    <w:rPr>
      <w:rFonts w:asciiTheme="minorHAnsi" w:eastAsiaTheme="minorHAnsi" w:hAnsiTheme="minorHAnsi" w:cstheme="minorBidi"/>
      <w:sz w:val="22"/>
      <w:szCs w:val="22"/>
      <w:lang w:eastAsia="en-US"/>
    </w:rPr>
  </w:style>
  <w:style w:type="paragraph" w:customStyle="1" w:styleId="Footnote">
    <w:name w:val="Footnote"/>
    <w:basedOn w:val="BodyText"/>
    <w:rsid w:val="00446B91"/>
  </w:style>
  <w:style w:type="paragraph" w:customStyle="1" w:styleId="Pa0">
    <w:name w:val="Pa0"/>
    <w:basedOn w:val="Default"/>
    <w:next w:val="Default"/>
    <w:uiPriority w:val="99"/>
    <w:rsid w:val="00446B91"/>
    <w:pPr>
      <w:spacing w:line="191" w:lineRule="atLeast"/>
    </w:pPr>
    <w:rPr>
      <w:rFonts w:ascii="ITC Franklin Gothic Std Book" w:hAnsi="ITC Franklin Gothic Std Book" w:cs="Times New Roman"/>
      <w:color w:val="auto"/>
    </w:rPr>
  </w:style>
  <w:style w:type="paragraph" w:customStyle="1" w:styleId="Heaeding5">
    <w:name w:val="Heaeding 5"/>
    <w:basedOn w:val="ListNumber"/>
    <w:rsid w:val="00446B91"/>
  </w:style>
  <w:style w:type="paragraph" w:customStyle="1" w:styleId="Heading40">
    <w:name w:val="Heading4"/>
    <w:basedOn w:val="BodyText"/>
    <w:rsid w:val="00446B91"/>
  </w:style>
  <w:style w:type="paragraph" w:customStyle="1" w:styleId="Level3">
    <w:name w:val="Level 3"/>
    <w:basedOn w:val="Bibliography"/>
    <w:rsid w:val="00446B91"/>
  </w:style>
  <w:style w:type="paragraph" w:customStyle="1" w:styleId="Heading10">
    <w:name w:val="Heading1"/>
    <w:basedOn w:val="Chapter"/>
    <w:rsid w:val="00446B91"/>
    <w:pPr>
      <w:spacing w:after="800"/>
      <w:ind w:left="907" w:hanging="907"/>
    </w:pPr>
  </w:style>
  <w:style w:type="paragraph" w:customStyle="1" w:styleId="PCAddress">
    <w:name w:val="PC Address"/>
    <w:basedOn w:val="Normal"/>
    <w:rsid w:val="00446B91"/>
    <w:pPr>
      <w:tabs>
        <w:tab w:val="left" w:pos="866"/>
      </w:tabs>
      <w:spacing w:after="60"/>
    </w:pPr>
    <w:rPr>
      <w:sz w:val="16"/>
      <w:szCs w:val="20"/>
    </w:rPr>
  </w:style>
  <w:style w:type="paragraph" w:styleId="Salutation">
    <w:name w:val="Salutation"/>
    <w:basedOn w:val="Normal"/>
    <w:next w:val="Normal"/>
    <w:link w:val="SalutationChar"/>
    <w:autoRedefine/>
    <w:rsid w:val="00446B91"/>
    <w:rPr>
      <w:noProof/>
      <w:szCs w:val="20"/>
    </w:rPr>
  </w:style>
  <w:style w:type="character" w:customStyle="1" w:styleId="SalutationChar">
    <w:name w:val="Salutation Char"/>
    <w:basedOn w:val="DefaultParagraphFont"/>
    <w:link w:val="Salutation"/>
    <w:rsid w:val="00446B91"/>
    <w:rPr>
      <w:noProof/>
      <w:sz w:val="24"/>
    </w:rPr>
  </w:style>
  <w:style w:type="paragraph" w:customStyle="1" w:styleId="Signoff">
    <w:name w:val="Signoff"/>
    <w:basedOn w:val="Normal"/>
    <w:autoRedefine/>
    <w:rsid w:val="00446B91"/>
    <w:pPr>
      <w:spacing w:before="480"/>
    </w:pPr>
    <w:rPr>
      <w:szCs w:val="20"/>
    </w:rPr>
  </w:style>
  <w:style w:type="paragraph" w:customStyle="1" w:styleId="LetterDate">
    <w:name w:val="Letter Date"/>
    <w:basedOn w:val="BodyText"/>
    <w:rsid w:val="00446B91"/>
    <w:pPr>
      <w:spacing w:before="0" w:after="240" w:line="240" w:lineRule="auto"/>
      <w:ind w:left="-108"/>
      <w:jc w:val="left"/>
    </w:pPr>
  </w:style>
  <w:style w:type="paragraph" w:customStyle="1" w:styleId="LetterAddress">
    <w:name w:val="Letter Address"/>
    <w:basedOn w:val="BodyText"/>
    <w:rsid w:val="00446B91"/>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31114">
      <w:bodyDiv w:val="1"/>
      <w:marLeft w:val="0"/>
      <w:marRight w:val="0"/>
      <w:marTop w:val="0"/>
      <w:marBottom w:val="0"/>
      <w:divBdr>
        <w:top w:val="none" w:sz="0" w:space="0" w:color="auto"/>
        <w:left w:val="none" w:sz="0" w:space="0" w:color="auto"/>
        <w:bottom w:val="none" w:sz="0" w:space="0" w:color="auto"/>
        <w:right w:val="none" w:sz="0" w:space="0" w:color="auto"/>
      </w:divBdr>
    </w:div>
    <w:div w:id="155067987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7.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hyperlink" Target="https://www.pmc.gov.au/government/commonwealth-coat-arms" TargetMode="External"/><Relationship Id="rId17" Type="http://schemas.openxmlformats.org/officeDocument/2006/relationships/image" Target="media/image6.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hyperlink" Target="http://creativecommons.org/licenses/by/3.0/au" TargetMode="Externa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7C9EC-B053-4BF7-8CDA-1DF00CDE9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27</TotalTime>
  <Pages>20</Pages>
  <Words>5287</Words>
  <Characters>28975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Technical supplement 5: Fees and costs - Superannuation: Assessing Efficiency and Competitiveness Inquiry Report</vt:lpstr>
    </vt:vector>
  </TitlesOfParts>
  <Company/>
  <LinksUpToDate>false</LinksUpToDate>
  <CharactersWithSpaces>34194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supplement 5: Fees and costs - Superannuation: Assessing Efficiency and Competitiveness Inquiry Report</dc:title>
  <dc:subject/>
  <dc:creator>Productivity Commission</dc:creator>
  <cp:keywords/>
  <dc:description/>
  <cp:lastModifiedBy>Pimperl, Mark</cp:lastModifiedBy>
  <cp:revision>15</cp:revision>
  <cp:lastPrinted>2019-01-08T03:29:00Z</cp:lastPrinted>
  <dcterms:created xsi:type="dcterms:W3CDTF">2018-05-24T12:27:00Z</dcterms:created>
  <dcterms:modified xsi:type="dcterms:W3CDTF">2019-01-08T03:44:00Z</dcterms:modified>
</cp:coreProperties>
</file>