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602" w:rsidRPr="00262486" w:rsidRDefault="00262486" w:rsidP="00F56602">
      <w:pPr>
        <w:pStyle w:val="Heading1"/>
        <w:rPr>
          <w:color w:val="FFFFFF" w:themeColor="background1"/>
          <w:sz w:val="16"/>
          <w:szCs w:val="16"/>
        </w:rPr>
      </w:pPr>
      <w:bookmarkStart w:id="0" w:name="ChapterTitle"/>
      <w:bookmarkStart w:id="1" w:name="_GoBack"/>
      <w:r>
        <w:rPr>
          <w:noProof/>
          <w:color w:val="FFFFFF" w:themeColor="background1"/>
          <w:sz w:val="24"/>
          <w:szCs w:val="26"/>
        </w:rPr>
        <w:drawing>
          <wp:anchor distT="0" distB="0" distL="114300" distR="114300" simplePos="0" relativeHeight="251658240" behindDoc="0" locked="0" layoutInCell="1" allowOverlap="1">
            <wp:simplePos x="0" y="0"/>
            <wp:positionH relativeFrom="column">
              <wp:posOffset>-1139959</wp:posOffset>
            </wp:positionH>
            <wp:positionV relativeFrom="page">
              <wp:posOffset>635</wp:posOffset>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hnical-supplements-superannuation7.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bookmarkEnd w:id="1"/>
      <w:r w:rsidR="00E22E68" w:rsidRPr="00262486">
        <w:rPr>
          <w:noProof/>
          <w:color w:val="FFFFFF" w:themeColor="background1"/>
          <w:sz w:val="24"/>
          <w:szCs w:val="26"/>
        </w:rPr>
        <w:t>Modelling policy changes</w:t>
      </w:r>
    </w:p>
    <w:p w:rsidR="00F56602" w:rsidRPr="00262486" w:rsidRDefault="00E22E68" w:rsidP="00F56602">
      <w:pPr>
        <w:pStyle w:val="BodyText"/>
        <w:rPr>
          <w:color w:val="FF0000"/>
          <w:sz w:val="16"/>
          <w:szCs w:val="16"/>
        </w:rPr>
      </w:pPr>
      <w:r w:rsidRPr="00262486">
        <w:rPr>
          <w:color w:val="FFFFFF" w:themeColor="background1"/>
          <w:sz w:val="16"/>
          <w:szCs w:val="16"/>
        </w:rPr>
        <w:t>Technical Supplement 7,</w:t>
      </w:r>
      <w:r w:rsidR="00F56602" w:rsidRPr="00262486">
        <w:rPr>
          <w:color w:val="FFFFFF" w:themeColor="background1"/>
          <w:sz w:val="16"/>
          <w:szCs w:val="16"/>
        </w:rPr>
        <w:t xml:space="preserve"> Superannuation: Assessing Efficiency and Competitiveness, Productiv</w:t>
      </w:r>
      <w:r w:rsidR="00262486" w:rsidRPr="00262486">
        <w:rPr>
          <w:color w:val="FFFFFF" w:themeColor="background1"/>
          <w:sz w:val="16"/>
          <w:szCs w:val="16"/>
        </w:rPr>
        <w:t>ity Commission Inquiry Report</w:t>
      </w:r>
      <w:r w:rsidR="00F56602" w:rsidRPr="00262486">
        <w:rPr>
          <w:color w:val="FF0000"/>
        </w:rPr>
        <w:br w:type="page"/>
      </w:r>
    </w:p>
    <w:p w:rsidR="00F56602" w:rsidRDefault="00F56602" w:rsidP="00F56602">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rsidR="00F56602" w:rsidRDefault="00F56602" w:rsidP="00F56602">
      <w:pPr>
        <w:pStyle w:val="BodyText"/>
        <w:spacing w:after="120"/>
      </w:pPr>
      <w:bookmarkStart w:id="2" w:name="ISSN"/>
      <w:bookmarkEnd w:id="2"/>
      <w:r w:rsidRPr="00862D8F">
        <w:rPr>
          <w:noProof/>
          <w:sz w:val="22"/>
          <w:szCs w:val="22"/>
        </w:rPr>
        <w:drawing>
          <wp:inline distT="0" distB="0" distL="0" distR="0" wp14:anchorId="3E0F7E59" wp14:editId="736EE05D">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F56602" w:rsidRPr="00FC3B36" w:rsidRDefault="00F56602" w:rsidP="00F56602">
      <w:pPr>
        <w:pStyle w:val="Copyrightbodytext"/>
        <w:rPr>
          <w:sz w:val="20"/>
        </w:rPr>
      </w:pPr>
      <w:r w:rsidRPr="00FC3B36">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FC3B36">
            <w:rPr>
              <w:sz w:val="20"/>
            </w:rPr>
            <w:t>http://creativecommons.org/licenses/by/3.0/au</w:t>
          </w:r>
        </w:hyperlink>
      </w:hyperlink>
      <w:r w:rsidRPr="00FC3B36">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F56602" w:rsidRPr="008A3857" w:rsidRDefault="00F56602" w:rsidP="00F56602">
      <w:pPr>
        <w:pStyle w:val="Copyrightsubtitle"/>
      </w:pPr>
      <w:r w:rsidRPr="008A3857">
        <w:t>Use of the Commonwealth Coat of Arms</w:t>
      </w:r>
    </w:p>
    <w:p w:rsidR="00F56602" w:rsidRPr="00FC3B36" w:rsidRDefault="00F56602" w:rsidP="00F56602">
      <w:pPr>
        <w:pStyle w:val="Copyrightbodytext"/>
        <w:rPr>
          <w:sz w:val="20"/>
        </w:rPr>
      </w:pPr>
      <w:r w:rsidRPr="00FC3B36">
        <w:rPr>
          <w:sz w:val="20"/>
        </w:rPr>
        <w:t>Terms of use for the Coat of Arms are available from the Department of the Prime Minister and Cabinet’s website:</w:t>
      </w:r>
      <w:r w:rsidRPr="00FC3B36">
        <w:rPr>
          <w:spacing w:val="-6"/>
          <w:sz w:val="20"/>
        </w:rPr>
        <w:t xml:space="preserve"> </w:t>
      </w:r>
      <w:hyperlink r:id="rId12" w:history="1">
        <w:r w:rsidRPr="00FC3B36">
          <w:rPr>
            <w:rStyle w:val="Hyperlink"/>
            <w:sz w:val="20"/>
          </w:rPr>
          <w:t>https://</w:t>
        </w:r>
        <w:proofErr w:type="spellStart"/>
        <w:r w:rsidRPr="00FC3B36">
          <w:rPr>
            <w:rStyle w:val="Hyperlink"/>
            <w:sz w:val="20"/>
          </w:rPr>
          <w:t>www.pmc.gov.au</w:t>
        </w:r>
        <w:proofErr w:type="spellEnd"/>
        <w:r w:rsidRPr="00FC3B36">
          <w:rPr>
            <w:rStyle w:val="Hyperlink"/>
            <w:sz w:val="20"/>
          </w:rPr>
          <w:t>/government/commonwealth-coat-arms</w:t>
        </w:r>
      </w:hyperlink>
    </w:p>
    <w:p w:rsidR="00F56602" w:rsidRPr="008A3857" w:rsidRDefault="00F56602" w:rsidP="00F56602">
      <w:pPr>
        <w:pStyle w:val="Copyrightsubtitle"/>
      </w:pPr>
      <w:r w:rsidRPr="008A3857">
        <w:t>Third party copyright</w:t>
      </w:r>
    </w:p>
    <w:p w:rsidR="00F56602" w:rsidRPr="00FC3B36" w:rsidRDefault="00F56602" w:rsidP="00F56602">
      <w:pPr>
        <w:pStyle w:val="Copyrightbodytext"/>
        <w:rPr>
          <w:sz w:val="20"/>
        </w:rPr>
      </w:pPr>
      <w:r w:rsidRPr="00FC3B36">
        <w:rPr>
          <w:sz w:val="20"/>
        </w:rPr>
        <w:t>Wherever a third party holds copyright in this material, the copyright remains with that party. Their permission may be required to use the material, please contact them directly.</w:t>
      </w:r>
    </w:p>
    <w:p w:rsidR="00F56602" w:rsidRPr="008A3857" w:rsidRDefault="00F56602" w:rsidP="00F56602">
      <w:pPr>
        <w:pStyle w:val="Copyrightsubtitle"/>
      </w:pPr>
      <w:r w:rsidRPr="008A3857">
        <w:t>Attribution</w:t>
      </w:r>
    </w:p>
    <w:p w:rsidR="00F56602" w:rsidRPr="00FC3B36" w:rsidRDefault="00F56602" w:rsidP="00F56602">
      <w:pPr>
        <w:pStyle w:val="Copyrightbodytext"/>
        <w:rPr>
          <w:sz w:val="20"/>
        </w:rPr>
      </w:pPr>
      <w:r w:rsidRPr="00FC3B36">
        <w:rPr>
          <w:sz w:val="20"/>
        </w:rPr>
        <w:t xml:space="preserve">This work should be attributed as follows, </w:t>
      </w:r>
      <w:r w:rsidRPr="00FC3B36">
        <w:rPr>
          <w:i/>
          <w:sz w:val="20"/>
        </w:rPr>
        <w:t>Source: Productivity Commission, Modelling policy changes, Technical Supplement 7</w:t>
      </w:r>
      <w:r w:rsidRPr="00FC3B36">
        <w:rPr>
          <w:sz w:val="20"/>
        </w:rPr>
        <w:t>.</w:t>
      </w:r>
    </w:p>
    <w:p w:rsidR="00F56602" w:rsidRPr="00FC3B36" w:rsidRDefault="00F56602" w:rsidP="00F56602">
      <w:pPr>
        <w:pStyle w:val="Copyrightbodytext"/>
        <w:spacing w:before="120"/>
        <w:rPr>
          <w:spacing w:val="-4"/>
          <w:sz w:val="20"/>
        </w:rPr>
      </w:pPr>
      <w:r w:rsidRPr="00FC3B36">
        <w:rPr>
          <w:spacing w:val="-4"/>
          <w:sz w:val="20"/>
        </w:rPr>
        <w:t xml:space="preserve">If you have adapted, modified or transformed this work in anyway, please use the following, </w:t>
      </w:r>
      <w:r w:rsidRPr="00FC3B36">
        <w:rPr>
          <w:i/>
          <w:spacing w:val="-4"/>
          <w:sz w:val="20"/>
        </w:rPr>
        <w:t>Source: based on Productivity Commission data, Modelling policy changes, Technical Supplement 7</w:t>
      </w:r>
      <w:r w:rsidRPr="00FC3B36">
        <w:rPr>
          <w:spacing w:val="-4"/>
          <w:sz w:val="20"/>
        </w:rPr>
        <w:t>.</w:t>
      </w:r>
    </w:p>
    <w:p w:rsidR="00F56602" w:rsidRPr="008A3857" w:rsidRDefault="00F56602" w:rsidP="00F56602">
      <w:pPr>
        <w:pStyle w:val="Copyrightsubtitle"/>
      </w:pPr>
      <w:r w:rsidRPr="008A3857">
        <w:t xml:space="preserve">An appropriate </w:t>
      </w:r>
      <w:r>
        <w:t>reference</w:t>
      </w:r>
      <w:r w:rsidRPr="008A3857">
        <w:t xml:space="preserve"> for this publication is:</w:t>
      </w:r>
    </w:p>
    <w:p w:rsidR="00F56602" w:rsidRPr="00FC3B36" w:rsidRDefault="00F56602" w:rsidP="00F56602">
      <w:pPr>
        <w:pStyle w:val="Copyrightbodytext"/>
        <w:rPr>
          <w:sz w:val="20"/>
        </w:rPr>
      </w:pPr>
      <w:r w:rsidRPr="00FC3B36">
        <w:rPr>
          <w:sz w:val="20"/>
        </w:rPr>
        <w:t xml:space="preserve">Productivity Commission 2018, ‘Modelling policy changes’, Technical Supplement 7 to the </w:t>
      </w:r>
      <w:r w:rsidR="002A1D83" w:rsidRPr="00FC3B36">
        <w:rPr>
          <w:sz w:val="20"/>
        </w:rPr>
        <w:t>Inquiry</w:t>
      </w:r>
      <w:r w:rsidRPr="00FC3B36">
        <w:rPr>
          <w:sz w:val="20"/>
        </w:rPr>
        <w:t xml:space="preserve"> Report </w:t>
      </w:r>
      <w:r w:rsidRPr="00FC3B36">
        <w:rPr>
          <w:i/>
          <w:sz w:val="20"/>
        </w:rPr>
        <w:t>Superannuation: Assessing Efficiency and Competitiveness</w:t>
      </w:r>
      <w:r w:rsidRPr="00FC3B36">
        <w:rPr>
          <w:sz w:val="20"/>
        </w:rPr>
        <w:t xml:space="preserve">, Canberra, </w:t>
      </w:r>
      <w:r w:rsidR="002A1D83" w:rsidRPr="00FC3B36">
        <w:rPr>
          <w:sz w:val="20"/>
        </w:rPr>
        <w:t>December</w:t>
      </w:r>
      <w:r w:rsidRPr="00FC3B36">
        <w:rPr>
          <w:sz w:val="20"/>
        </w:rPr>
        <w:t>.</w:t>
      </w:r>
    </w:p>
    <w:p w:rsidR="00F56602" w:rsidRPr="008A3857" w:rsidRDefault="00F56602" w:rsidP="00F56602">
      <w:pPr>
        <w:pStyle w:val="Copyrightsubtitle"/>
      </w:pPr>
      <w:bookmarkStart w:id="3" w:name="JEL"/>
      <w:bookmarkEnd w:id="3"/>
      <w:r w:rsidRPr="008A3857">
        <w:t>Publications enquiries</w:t>
      </w:r>
    </w:p>
    <w:p w:rsidR="00F56602" w:rsidRPr="00FC3B36" w:rsidRDefault="00F56602" w:rsidP="00F56602">
      <w:pPr>
        <w:pStyle w:val="Copyrightbodytext"/>
        <w:rPr>
          <w:sz w:val="20"/>
        </w:rPr>
      </w:pPr>
      <w:r w:rsidRPr="00FC3B36">
        <w:rPr>
          <w:sz w:val="20"/>
        </w:rPr>
        <w:t>Media, Publications and Web, phone: (03) 9653 2244 or email: mpw@pc.gov.au</w:t>
      </w:r>
    </w:p>
    <w:p w:rsidR="00F56602" w:rsidRDefault="00F56602" w:rsidP="00F566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56602" w:rsidTr="00945B7D">
        <w:trPr>
          <w:tblHeader/>
        </w:trPr>
        <w:tc>
          <w:tcPr>
            <w:tcW w:w="5000" w:type="pct"/>
            <w:tcBorders>
              <w:top w:val="single" w:sz="6" w:space="0" w:color="78A22F"/>
              <w:left w:val="nil"/>
              <w:bottom w:val="nil"/>
              <w:right w:val="nil"/>
            </w:tcBorders>
            <w:shd w:val="clear" w:color="auto" w:fill="F2F2F2" w:themeFill="background1" w:themeFillShade="F2"/>
          </w:tcPr>
          <w:p w:rsidR="00F56602" w:rsidRPr="008A3857" w:rsidRDefault="00F56602" w:rsidP="00945B7D">
            <w:pPr>
              <w:pStyle w:val="BoxTitle"/>
              <w:rPr>
                <w:sz w:val="22"/>
              </w:rPr>
            </w:pPr>
            <w:r w:rsidRPr="008A3857">
              <w:rPr>
                <w:sz w:val="22"/>
              </w:rPr>
              <w:t>The Productivity Commission</w:t>
            </w:r>
          </w:p>
        </w:tc>
      </w:tr>
      <w:tr w:rsidR="00F56602" w:rsidTr="00945B7D">
        <w:tc>
          <w:tcPr>
            <w:tcW w:w="5000" w:type="pct"/>
            <w:tcBorders>
              <w:top w:val="nil"/>
              <w:left w:val="nil"/>
              <w:bottom w:val="nil"/>
              <w:right w:val="nil"/>
            </w:tcBorders>
            <w:shd w:val="clear" w:color="auto" w:fill="F2F2F2" w:themeFill="background1" w:themeFillShade="F2"/>
          </w:tcPr>
          <w:p w:rsidR="00F56602" w:rsidRDefault="00F56602"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F56602" w:rsidRDefault="00F56602" w:rsidP="00945B7D">
            <w:pPr>
              <w:pStyle w:val="Box"/>
            </w:pPr>
            <w:r w:rsidRPr="00BB5DCF">
              <w:t>The Commission’s independence is underpinned by an Act of Parliament. Its processes and outputs are open to public scrutiny and are driven by concern for the wellbeing of the community as a whole.</w:t>
            </w:r>
          </w:p>
          <w:p w:rsidR="00F56602" w:rsidRDefault="00F56602" w:rsidP="00945B7D">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F56602" w:rsidTr="00945B7D">
        <w:tc>
          <w:tcPr>
            <w:tcW w:w="5000" w:type="pct"/>
            <w:tcBorders>
              <w:top w:val="nil"/>
              <w:left w:val="nil"/>
              <w:bottom w:val="single" w:sz="6" w:space="0" w:color="78A22F"/>
              <w:right w:val="nil"/>
            </w:tcBorders>
            <w:shd w:val="clear" w:color="auto" w:fill="F2F2F2" w:themeFill="background1" w:themeFillShade="F2"/>
          </w:tcPr>
          <w:p w:rsidR="00F56602" w:rsidRDefault="00F56602" w:rsidP="00945B7D">
            <w:pPr>
              <w:pStyle w:val="Box"/>
              <w:spacing w:before="0" w:line="120" w:lineRule="exact"/>
            </w:pPr>
          </w:p>
        </w:tc>
      </w:tr>
    </w:tbl>
    <w:p w:rsidR="00F56602" w:rsidRDefault="00F56602" w:rsidP="00F56602">
      <w:pPr>
        <w:pStyle w:val="BodyText"/>
        <w:sectPr w:rsidR="00F56602" w:rsidSect="00790F1C">
          <w:pgSz w:w="11907" w:h="16840" w:code="9"/>
          <w:pgMar w:top="1304" w:right="1304" w:bottom="567" w:left="1814" w:header="1701" w:footer="397" w:gutter="0"/>
          <w:pgNumType w:fmt="lowerRoman" w:start="1"/>
          <w:cols w:space="720"/>
          <w:titlePg/>
        </w:sectPr>
      </w:pPr>
      <w:bookmarkStart w:id="4" w:name="cov"/>
      <w:bookmarkEnd w:id="4"/>
    </w:p>
    <w:p w:rsidR="0052131A" w:rsidRPr="00BE71FC" w:rsidRDefault="0052131A" w:rsidP="0052131A">
      <w:pPr>
        <w:pStyle w:val="Heading1"/>
      </w:pPr>
      <w:bookmarkStart w:id="5" w:name="_Toc532997270"/>
      <w:bookmarkStart w:id="6" w:name="_Toc534642289"/>
      <w:bookmarkEnd w:id="0"/>
      <w:r>
        <w:lastRenderedPageBreak/>
        <w:t>7</w:t>
      </w:r>
      <w:r>
        <w:tab/>
        <w:t>Technical supplement: modelling policy changes</w:t>
      </w:r>
      <w:bookmarkEnd w:id="5"/>
      <w:bookmarkEnd w:id="6"/>
    </w:p>
    <w:p w:rsidR="0052131A" w:rsidRPr="00AA5655" w:rsidRDefault="0052131A" w:rsidP="0052131A">
      <w:pPr>
        <w:pStyle w:val="BodyText"/>
      </w:pPr>
      <w:r>
        <w:t xml:space="preserve">This technical supplement </w:t>
      </w:r>
      <w:r w:rsidRPr="00AA5655">
        <w:t xml:space="preserve">describes the data and assumptions used by the Commission in modelling the potential effects on superannuation funds of the adoption of the assisted employee choice model (chapter 12) and an elevated threshold for </w:t>
      </w:r>
      <w:proofErr w:type="spellStart"/>
      <w:r w:rsidRPr="00AA5655">
        <w:t>MySuper</w:t>
      </w:r>
      <w:proofErr w:type="spellEnd"/>
      <w:r w:rsidRPr="00AA5655">
        <w:t xml:space="preserve"> authorisation (chapter 1</w:t>
      </w:r>
      <w:r>
        <w:t>0</w:t>
      </w:r>
      <w:r w:rsidRPr="00AA5655">
        <w:t xml:space="preserve">). The model projects how the number of </w:t>
      </w:r>
      <w:proofErr w:type="spellStart"/>
      <w:r w:rsidRPr="00AA5655">
        <w:t>MySuper</w:t>
      </w:r>
      <w:proofErr w:type="spellEnd"/>
      <w:r w:rsidRPr="00AA5655">
        <w:t xml:space="preserve"> member accounts and </w:t>
      </w:r>
      <w:proofErr w:type="spellStart"/>
      <w:r w:rsidRPr="00AA5655">
        <w:t>MySuper</w:t>
      </w:r>
      <w:proofErr w:type="spellEnd"/>
      <w:r w:rsidRPr="00AA5655">
        <w:t xml:space="preserve"> assets might change for each fund in the five years following the introduction of the new arrangements. The intention of the model is to test whether the policy changes recommended for the default system present any system stability risks because of asset movements those policy changes may induce in the </w:t>
      </w:r>
      <w:proofErr w:type="spellStart"/>
      <w:r w:rsidRPr="00AA5655">
        <w:t>MySuper</w:t>
      </w:r>
      <w:proofErr w:type="spellEnd"/>
      <w:r w:rsidRPr="00AA5655">
        <w:t xml:space="preserve"> segment. It does not cover fund assets outside of </w:t>
      </w:r>
      <w:proofErr w:type="spellStart"/>
      <w:r w:rsidRPr="00AA5655">
        <w:t>MySuper</w:t>
      </w:r>
      <w:proofErr w:type="spellEnd"/>
      <w:r w:rsidRPr="00AA5655">
        <w:t>.</w:t>
      </w:r>
    </w:p>
    <w:p w:rsidR="0052131A" w:rsidRDefault="0052131A" w:rsidP="0052131A">
      <w:pPr>
        <w:pStyle w:val="BodyText"/>
      </w:pPr>
      <w:r w:rsidRPr="00AA5655">
        <w:t xml:space="preserve">The Commission asked </w:t>
      </w:r>
      <w:r>
        <w:t>the Australian Prudential Regulation Authority (</w:t>
      </w:r>
      <w:r w:rsidRPr="00AA5655">
        <w:t>APRA</w:t>
      </w:r>
      <w:r>
        <w:t>)</w:t>
      </w:r>
      <w:r w:rsidRPr="00AA5655">
        <w:t xml:space="preserve"> to review its approach to modelling the potential impacts of alternative default models and APRA confirmed</w:t>
      </w:r>
      <w:r>
        <w:t xml:space="preserve"> that the methodology and underlying assumptions were reasonable and consistent with </w:t>
      </w:r>
      <w:proofErr w:type="spellStart"/>
      <w:r>
        <w:t>APRA’s</w:t>
      </w:r>
      <w:proofErr w:type="spellEnd"/>
      <w:r>
        <w:t xml:space="preserve"> understanding of the industry. However the views and conclusions in the report based on the modelling undertaken are solely those of the Productivity Commission.</w:t>
      </w:r>
    </w:p>
    <w:p w:rsidR="0052131A" w:rsidRDefault="0052131A" w:rsidP="0052131A">
      <w:pPr>
        <w:pStyle w:val="BodyText"/>
      </w:pPr>
      <w:r>
        <w:t xml:space="preserve">The model allows for three categories of </w:t>
      </w:r>
      <w:proofErr w:type="spellStart"/>
      <w:r>
        <w:t>MySuper</w:t>
      </w:r>
      <w:proofErr w:type="spellEnd"/>
      <w:r>
        <w:t xml:space="preserve"> product — those that:</w:t>
      </w:r>
    </w:p>
    <w:p w:rsidR="0052131A" w:rsidRPr="00AA5655" w:rsidRDefault="0052131A" w:rsidP="0052131A">
      <w:pPr>
        <w:pStyle w:val="ListBullet"/>
      </w:pPr>
      <w:r>
        <w:t xml:space="preserve">are included in the ‘best in show’ </w:t>
      </w:r>
      <w:r w:rsidRPr="00AA5655">
        <w:t>shortlist</w:t>
      </w:r>
    </w:p>
    <w:p w:rsidR="0052131A" w:rsidRPr="00AA5655" w:rsidRDefault="0052131A" w:rsidP="0052131A">
      <w:pPr>
        <w:pStyle w:val="ListBullet"/>
      </w:pPr>
      <w:r w:rsidRPr="00AA5655">
        <w:t xml:space="preserve">lose default status as a consequence of the elevated </w:t>
      </w:r>
      <w:proofErr w:type="spellStart"/>
      <w:r w:rsidRPr="00AA5655">
        <w:t>MySuper</w:t>
      </w:r>
      <w:proofErr w:type="spellEnd"/>
      <w:r w:rsidRPr="00AA5655">
        <w:t xml:space="preserve"> threshold</w:t>
      </w:r>
    </w:p>
    <w:p w:rsidR="0052131A" w:rsidRDefault="0052131A" w:rsidP="0052131A">
      <w:pPr>
        <w:pStyle w:val="ListBullet"/>
      </w:pPr>
      <w:r w:rsidRPr="00AA5655">
        <w:t>retain default status, but are not on the shortlist</w:t>
      </w:r>
      <w:r>
        <w:t>.</w:t>
      </w:r>
    </w:p>
    <w:p w:rsidR="0052131A" w:rsidRDefault="0052131A" w:rsidP="0052131A">
      <w:pPr>
        <w:pStyle w:val="BodyText"/>
        <w:spacing w:before="220"/>
      </w:pPr>
      <w:r>
        <w:t>The model also enables testing of the potential impacts on individual funds of different shares of new workforce entrants, and job changers, workforce re</w:t>
      </w:r>
      <w:r>
        <w:noBreakHyphen/>
        <w:t>entrants and other existing members choosing or switching to a shortlisted product.</w:t>
      </w:r>
    </w:p>
    <w:p w:rsidR="0052131A" w:rsidRDefault="0052131A" w:rsidP="0052131A">
      <w:pPr>
        <w:pStyle w:val="BodyText"/>
        <w:spacing w:before="220"/>
      </w:pPr>
      <w:r>
        <w:t>Consistent with the assisted employee choice model:</w:t>
      </w:r>
    </w:p>
    <w:p w:rsidR="0052131A" w:rsidRPr="00AA5655" w:rsidRDefault="0052131A" w:rsidP="0052131A">
      <w:pPr>
        <w:pStyle w:val="ListBullet"/>
      </w:pPr>
      <w:r>
        <w:t xml:space="preserve">new workforce entrants who do not choose a fund </w:t>
      </w:r>
      <w:r w:rsidRPr="00AA5655">
        <w:t>are allocated sequentially to shortlisted products</w:t>
      </w:r>
    </w:p>
    <w:p w:rsidR="0052131A" w:rsidRDefault="0052131A" w:rsidP="0052131A">
      <w:pPr>
        <w:pStyle w:val="ListBullet"/>
      </w:pPr>
      <w:r w:rsidRPr="00AA5655">
        <w:t>job changers and workforce re</w:t>
      </w:r>
      <w:r w:rsidRPr="00AA5655">
        <w:noBreakHyphen/>
        <w:t>entrants stay with their</w:t>
      </w:r>
      <w:r>
        <w:t xml:space="preserve"> existing fund if they do not choose a fund on starting a new job.</w:t>
      </w:r>
    </w:p>
    <w:p w:rsidR="0052131A" w:rsidRPr="00924923" w:rsidRDefault="0052131A" w:rsidP="0052131A">
      <w:pPr>
        <w:pStyle w:val="BodyText"/>
      </w:pPr>
      <w:r w:rsidRPr="00924923">
        <w:t xml:space="preserve">The data underpinning the projections were drawn from annual </w:t>
      </w:r>
      <w:proofErr w:type="spellStart"/>
      <w:r w:rsidRPr="00924923">
        <w:t>MySuper</w:t>
      </w:r>
      <w:proofErr w:type="spellEnd"/>
      <w:r w:rsidRPr="00924923">
        <w:t xml:space="preserve"> statistics published by </w:t>
      </w:r>
      <w:r>
        <w:t>APRA</w:t>
      </w:r>
      <w:r w:rsidRPr="00924923">
        <w:t xml:space="preserve"> for 2017. Data on net investment returns informed the assumptions on the up to 10 funds that were </w:t>
      </w:r>
      <w:r w:rsidRPr="00AA5655">
        <w:t>shortlisted</w:t>
      </w:r>
      <w:r w:rsidRPr="00924923">
        <w:t xml:space="preserve"> for the ‘best in show’ list under the proposed new default arrangements and the assumption on which funds would likely lose </w:t>
      </w:r>
      <w:proofErr w:type="spellStart"/>
      <w:r w:rsidRPr="00924923">
        <w:t>MySuper</w:t>
      </w:r>
      <w:proofErr w:type="spellEnd"/>
      <w:r w:rsidRPr="00924923">
        <w:t xml:space="preserve"> authorisation </w:t>
      </w:r>
      <w:r w:rsidRPr="00924923">
        <w:lastRenderedPageBreak/>
        <w:t xml:space="preserve">and thus default status. Data on the number of </w:t>
      </w:r>
      <w:proofErr w:type="spellStart"/>
      <w:r w:rsidRPr="00924923">
        <w:t>MySuper</w:t>
      </w:r>
      <w:proofErr w:type="spellEnd"/>
      <w:r w:rsidRPr="00924923">
        <w:t xml:space="preserve"> member accounts held by each fund were used in projecting account numbers per fund under the assisted employee choice model. The projections drew on the assumptions detailed below</w:t>
      </w:r>
      <w:r>
        <w:t xml:space="preserve"> (table 7.1 and following text)</w:t>
      </w:r>
      <w:r w:rsidRPr="00924923">
        <w:t>. These projections were then used to project annual</w:t>
      </w:r>
      <w:r>
        <w:t xml:space="preserve"> rollovers out of each non</w:t>
      </w:r>
      <w:r>
        <w:noBreakHyphen/>
      </w:r>
      <w:r w:rsidRPr="00924923">
        <w:t xml:space="preserve">shortlisted fund and into shortlisted funds. And the member account projections were </w:t>
      </w:r>
      <w:r>
        <w:t>combined with 2017 </w:t>
      </w:r>
      <w:proofErr w:type="spellStart"/>
      <w:r w:rsidRPr="00924923">
        <w:t>MySuper</w:t>
      </w:r>
      <w:proofErr w:type="spellEnd"/>
      <w:r w:rsidRPr="00924923">
        <w:t xml:space="preserve"> data for each fund on employer and member contributions, net insurance flows, operating expenses and non</w:t>
      </w:r>
      <w:r>
        <w:noBreakHyphen/>
      </w:r>
      <w:r w:rsidRPr="00924923">
        <w:t>operating expenses to project these quantities. Further to the movement of</w:t>
      </w:r>
      <w:r>
        <w:t xml:space="preserve"> </w:t>
      </w:r>
      <w:r w:rsidRPr="00924923">
        <w:t xml:space="preserve">member accounts due to the new default arrangements, other projections were used to estimate the change from year to year in each fund’s </w:t>
      </w:r>
      <w:proofErr w:type="spellStart"/>
      <w:r w:rsidRPr="00924923">
        <w:t>MySuper</w:t>
      </w:r>
      <w:proofErr w:type="spellEnd"/>
      <w:r>
        <w:t xml:space="preserve"> assets. </w:t>
      </w:r>
      <w:r w:rsidRPr="00924923">
        <w:t xml:space="preserve">These include: funds’ investment expense ratios to estimate investment expenses and net earnings were calculated assuming a tax rate of 15 per cent. </w:t>
      </w:r>
    </w:p>
    <w:p w:rsidR="0052131A" w:rsidRDefault="0052131A" w:rsidP="0052131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2131A" w:rsidTr="0091342C">
        <w:trPr>
          <w:tblHeader/>
        </w:trPr>
        <w:tc>
          <w:tcPr>
            <w:tcW w:w="5000" w:type="pct"/>
            <w:tcBorders>
              <w:top w:val="single" w:sz="6" w:space="0" w:color="78A22F"/>
              <w:left w:val="nil"/>
              <w:bottom w:val="nil"/>
              <w:right w:val="nil"/>
            </w:tcBorders>
            <w:shd w:val="clear" w:color="auto" w:fill="auto"/>
          </w:tcPr>
          <w:p w:rsidR="0052131A" w:rsidRPr="00784A05" w:rsidRDefault="0052131A" w:rsidP="0091342C">
            <w:pPr>
              <w:pStyle w:val="TableTitle"/>
            </w:pPr>
            <w:r>
              <w:rPr>
                <w:b w:val="0"/>
              </w:rPr>
              <w:t>Table 7.</w:t>
            </w:r>
            <w:r>
              <w:rPr>
                <w:b w:val="0"/>
                <w:noProof/>
              </w:rPr>
              <w:t>1</w:t>
            </w:r>
            <w:r>
              <w:tab/>
              <w:t>Values assumed for different elements of the model</w:t>
            </w:r>
          </w:p>
        </w:tc>
      </w:tr>
      <w:tr w:rsidR="0052131A"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229"/>
              <w:gridCol w:w="1276"/>
            </w:tblGrid>
            <w:tr w:rsidR="0052131A" w:rsidTr="0091342C">
              <w:trPr>
                <w:tblHeader/>
              </w:trPr>
              <w:tc>
                <w:tcPr>
                  <w:tcW w:w="4250" w:type="pct"/>
                  <w:tcBorders>
                    <w:top w:val="single" w:sz="6" w:space="0" w:color="BFBFBF"/>
                    <w:bottom w:val="single" w:sz="6" w:space="0" w:color="BFBFBF"/>
                  </w:tcBorders>
                  <w:shd w:val="clear" w:color="auto" w:fill="auto"/>
                  <w:tcMar>
                    <w:top w:w="28" w:type="dxa"/>
                  </w:tcMar>
                </w:tcPr>
                <w:p w:rsidR="0052131A" w:rsidRDefault="0052131A" w:rsidP="0091342C">
                  <w:pPr>
                    <w:pStyle w:val="TableColumnHeading"/>
                    <w:jc w:val="left"/>
                  </w:pPr>
                  <w:r>
                    <w:t>Assumptions</w:t>
                  </w:r>
                </w:p>
              </w:tc>
              <w:tc>
                <w:tcPr>
                  <w:tcW w:w="750" w:type="pct"/>
                  <w:tcBorders>
                    <w:top w:val="single" w:sz="6" w:space="0" w:color="BFBFBF"/>
                    <w:bottom w:val="single" w:sz="6" w:space="0" w:color="BFBFBF"/>
                  </w:tcBorders>
                  <w:shd w:val="clear" w:color="auto" w:fill="auto"/>
                  <w:tcMar>
                    <w:top w:w="28" w:type="dxa"/>
                  </w:tcMar>
                </w:tcPr>
                <w:p w:rsidR="0052131A" w:rsidRDefault="0052131A" w:rsidP="0091342C">
                  <w:pPr>
                    <w:pStyle w:val="TableColumnHeading"/>
                    <w:ind w:right="28"/>
                  </w:pPr>
                  <w:r>
                    <w:t>Value taken</w:t>
                  </w:r>
                </w:p>
              </w:tc>
            </w:tr>
            <w:tr w:rsidR="0052131A" w:rsidTr="0091342C">
              <w:tc>
                <w:tcPr>
                  <w:tcW w:w="4250" w:type="pct"/>
                  <w:shd w:val="clear" w:color="auto" w:fill="F2F2F2" w:themeFill="background1" w:themeFillShade="F2"/>
                </w:tcPr>
                <w:p w:rsidR="0052131A" w:rsidRDefault="0052131A" w:rsidP="0091342C">
                  <w:pPr>
                    <w:pStyle w:val="TableUnitsRow"/>
                    <w:spacing w:before="80"/>
                    <w:ind w:right="28"/>
                    <w:jc w:val="left"/>
                  </w:pPr>
                  <w:r>
                    <w:t>Annual growth in:</w:t>
                  </w:r>
                </w:p>
              </w:tc>
              <w:tc>
                <w:tcPr>
                  <w:tcW w:w="750" w:type="pct"/>
                  <w:shd w:val="clear" w:color="auto" w:fill="F2F2F2" w:themeFill="background1" w:themeFillShade="F2"/>
                </w:tcPr>
                <w:p w:rsidR="0052131A" w:rsidRDefault="0052131A" w:rsidP="0091342C">
                  <w:pPr>
                    <w:pStyle w:val="TableBodyText"/>
                    <w:spacing w:before="80"/>
                    <w:ind w:right="28"/>
                  </w:pPr>
                  <w:r>
                    <w:t>(%)</w:t>
                  </w:r>
                </w:p>
              </w:tc>
            </w:tr>
            <w:tr w:rsidR="0052131A" w:rsidTr="0091342C">
              <w:tc>
                <w:tcPr>
                  <w:tcW w:w="4250" w:type="pct"/>
                  <w:vAlign w:val="bottom"/>
                </w:tcPr>
                <w:p w:rsidR="0052131A" w:rsidRDefault="0052131A" w:rsidP="0091342C">
                  <w:pPr>
                    <w:pStyle w:val="TableBodyText"/>
                    <w:ind w:left="142"/>
                    <w:jc w:val="left"/>
                  </w:pPr>
                  <w:r>
                    <w:t>New workforce entrants</w:t>
                  </w:r>
                </w:p>
              </w:tc>
              <w:tc>
                <w:tcPr>
                  <w:tcW w:w="750" w:type="pct"/>
                </w:tcPr>
                <w:p w:rsidR="0052131A" w:rsidRDefault="0052131A" w:rsidP="0091342C">
                  <w:pPr>
                    <w:pStyle w:val="TableBodyText"/>
                    <w:ind w:right="28"/>
                  </w:pPr>
                  <w:r>
                    <w:t>2</w:t>
                  </w:r>
                </w:p>
              </w:tc>
            </w:tr>
            <w:tr w:rsidR="0052131A" w:rsidTr="0091342C">
              <w:tc>
                <w:tcPr>
                  <w:tcW w:w="4250" w:type="pct"/>
                  <w:vAlign w:val="bottom"/>
                </w:tcPr>
                <w:p w:rsidR="0052131A" w:rsidRDefault="0052131A" w:rsidP="0091342C">
                  <w:pPr>
                    <w:pStyle w:val="TableBodyText"/>
                    <w:ind w:left="142"/>
                    <w:jc w:val="left"/>
                  </w:pPr>
                  <w:r>
                    <w:t>Job turnover and workforce re</w:t>
                  </w:r>
                  <w:r>
                    <w:noBreakHyphen/>
                    <w:t>entrants</w:t>
                  </w:r>
                </w:p>
              </w:tc>
              <w:tc>
                <w:tcPr>
                  <w:tcW w:w="750" w:type="pct"/>
                </w:tcPr>
                <w:p w:rsidR="0052131A" w:rsidRDefault="0052131A" w:rsidP="0091342C">
                  <w:pPr>
                    <w:pStyle w:val="TableBodyText"/>
                    <w:ind w:right="28"/>
                  </w:pPr>
                  <w:r>
                    <w:t>2</w:t>
                  </w:r>
                </w:p>
              </w:tc>
            </w:tr>
            <w:tr w:rsidR="0052131A" w:rsidTr="0091342C">
              <w:tc>
                <w:tcPr>
                  <w:tcW w:w="4250" w:type="pct"/>
                  <w:vAlign w:val="bottom"/>
                </w:tcPr>
                <w:p w:rsidR="0052131A" w:rsidRDefault="0052131A" w:rsidP="0091342C">
                  <w:pPr>
                    <w:pStyle w:val="TableBodyText"/>
                    <w:ind w:left="142"/>
                    <w:jc w:val="left"/>
                  </w:pPr>
                  <w:r>
                    <w:t xml:space="preserve">Exits of members from </w:t>
                  </w:r>
                  <w:proofErr w:type="spellStart"/>
                  <w:r>
                    <w:t>MySuper</w:t>
                  </w:r>
                  <w:proofErr w:type="spellEnd"/>
                  <w:r>
                    <w:t xml:space="preserve"> products</w:t>
                  </w:r>
                </w:p>
              </w:tc>
              <w:tc>
                <w:tcPr>
                  <w:tcW w:w="750" w:type="pct"/>
                </w:tcPr>
                <w:p w:rsidR="0052131A" w:rsidRDefault="0052131A" w:rsidP="0091342C">
                  <w:pPr>
                    <w:pStyle w:val="TableBodyText"/>
                    <w:ind w:right="28"/>
                  </w:pPr>
                  <w:r>
                    <w:t>5</w:t>
                  </w:r>
                </w:p>
              </w:tc>
            </w:tr>
            <w:tr w:rsidR="0052131A" w:rsidTr="0091342C">
              <w:tc>
                <w:tcPr>
                  <w:tcW w:w="4250" w:type="pct"/>
                </w:tcPr>
                <w:p w:rsidR="0052131A" w:rsidRDefault="0052131A" w:rsidP="0091342C">
                  <w:pPr>
                    <w:pStyle w:val="TableBodyText"/>
                    <w:ind w:left="142"/>
                    <w:jc w:val="left"/>
                  </w:pPr>
                  <w:r>
                    <w:t>Wages (nominal)</w:t>
                  </w:r>
                </w:p>
              </w:tc>
              <w:tc>
                <w:tcPr>
                  <w:tcW w:w="750" w:type="pct"/>
                </w:tcPr>
                <w:p w:rsidR="0052131A" w:rsidRDefault="0052131A" w:rsidP="0091342C">
                  <w:pPr>
                    <w:pStyle w:val="TableBodyText"/>
                    <w:ind w:right="28"/>
                  </w:pPr>
                  <w:r>
                    <w:t>3</w:t>
                  </w:r>
                </w:p>
              </w:tc>
            </w:tr>
            <w:tr w:rsidR="0052131A" w:rsidTr="0091342C">
              <w:tc>
                <w:tcPr>
                  <w:tcW w:w="4250" w:type="pct"/>
                  <w:shd w:val="clear" w:color="auto" w:fill="F2F2F2" w:themeFill="background1" w:themeFillShade="F2"/>
                </w:tcPr>
                <w:p w:rsidR="0052131A" w:rsidRDefault="0052131A" w:rsidP="0091342C">
                  <w:pPr>
                    <w:pStyle w:val="TableUnitsRow"/>
                    <w:spacing w:before="80"/>
                    <w:jc w:val="left"/>
                  </w:pPr>
                  <w:r>
                    <w:t>Annual share of each group that chooses/switches to a shortlisted product:</w:t>
                  </w:r>
                  <w:r w:rsidRPr="00AC1ADE">
                    <w:rPr>
                      <w:rStyle w:val="NoteLabel"/>
                    </w:rPr>
                    <w:t>a</w:t>
                  </w:r>
                </w:p>
              </w:tc>
              <w:tc>
                <w:tcPr>
                  <w:tcW w:w="750" w:type="pct"/>
                  <w:shd w:val="clear" w:color="auto" w:fill="F2F2F2" w:themeFill="background1" w:themeFillShade="F2"/>
                </w:tcPr>
                <w:p w:rsidR="0052131A" w:rsidRDefault="0052131A" w:rsidP="0091342C">
                  <w:pPr>
                    <w:pStyle w:val="TableBodyText"/>
                    <w:spacing w:before="80"/>
                    <w:ind w:right="28"/>
                  </w:pPr>
                  <w:r>
                    <w:t>(%)</w:t>
                  </w:r>
                </w:p>
              </w:tc>
            </w:tr>
            <w:tr w:rsidR="0052131A" w:rsidTr="0091342C">
              <w:tc>
                <w:tcPr>
                  <w:tcW w:w="4250" w:type="pct"/>
                </w:tcPr>
                <w:p w:rsidR="0052131A" w:rsidRDefault="0052131A" w:rsidP="0091342C">
                  <w:pPr>
                    <w:pStyle w:val="TableBodyText"/>
                    <w:ind w:left="142"/>
                    <w:jc w:val="left"/>
                  </w:pPr>
                  <w:r>
                    <w:t>New workforce entrants</w:t>
                  </w:r>
                </w:p>
              </w:tc>
              <w:tc>
                <w:tcPr>
                  <w:tcW w:w="750" w:type="pct"/>
                </w:tcPr>
                <w:p w:rsidR="0052131A" w:rsidRDefault="0052131A" w:rsidP="0091342C">
                  <w:pPr>
                    <w:pStyle w:val="TableBodyText"/>
                    <w:ind w:right="28"/>
                  </w:pPr>
                  <w:r>
                    <w:t>Up to 90</w:t>
                  </w:r>
                </w:p>
              </w:tc>
            </w:tr>
            <w:tr w:rsidR="0052131A" w:rsidTr="0091342C">
              <w:tc>
                <w:tcPr>
                  <w:tcW w:w="4250" w:type="pct"/>
                </w:tcPr>
                <w:p w:rsidR="0052131A" w:rsidRDefault="0052131A" w:rsidP="0091342C">
                  <w:pPr>
                    <w:pStyle w:val="TableBodyText"/>
                    <w:ind w:left="142"/>
                    <w:jc w:val="left"/>
                  </w:pPr>
                  <w:r>
                    <w:t>Job changers and workforce re</w:t>
                  </w:r>
                  <w:r>
                    <w:noBreakHyphen/>
                    <w:t>entrants</w:t>
                  </w:r>
                </w:p>
              </w:tc>
              <w:tc>
                <w:tcPr>
                  <w:tcW w:w="750" w:type="pct"/>
                </w:tcPr>
                <w:p w:rsidR="0052131A" w:rsidRDefault="0052131A" w:rsidP="0091342C">
                  <w:pPr>
                    <w:pStyle w:val="TableBodyText"/>
                    <w:ind w:right="28"/>
                  </w:pPr>
                  <w:r>
                    <w:t>Up to 70</w:t>
                  </w:r>
                </w:p>
              </w:tc>
            </w:tr>
            <w:tr w:rsidR="0052131A" w:rsidTr="0091342C">
              <w:tc>
                <w:tcPr>
                  <w:tcW w:w="4250" w:type="pct"/>
                </w:tcPr>
                <w:p w:rsidR="0052131A" w:rsidRDefault="0052131A" w:rsidP="0091342C">
                  <w:pPr>
                    <w:pStyle w:val="TableBodyText"/>
                    <w:ind w:left="142"/>
                    <w:jc w:val="left"/>
                  </w:pPr>
                  <w:proofErr w:type="spellStart"/>
                  <w:r>
                    <w:t>MySuper</w:t>
                  </w:r>
                  <w:proofErr w:type="spellEnd"/>
                  <w:r>
                    <w:t xml:space="preserve"> members (who are not starting a new job)</w:t>
                  </w:r>
                </w:p>
              </w:tc>
              <w:tc>
                <w:tcPr>
                  <w:tcW w:w="750" w:type="pct"/>
                </w:tcPr>
                <w:p w:rsidR="0052131A" w:rsidRDefault="0052131A" w:rsidP="0091342C">
                  <w:pPr>
                    <w:pStyle w:val="TableBodyText"/>
                    <w:ind w:right="28"/>
                  </w:pPr>
                  <w:r>
                    <w:t>Up to 10</w:t>
                  </w:r>
                </w:p>
              </w:tc>
            </w:tr>
            <w:tr w:rsidR="0052131A" w:rsidTr="0091342C">
              <w:tc>
                <w:tcPr>
                  <w:tcW w:w="4250" w:type="pct"/>
                </w:tcPr>
                <w:p w:rsidR="0052131A" w:rsidRDefault="0052131A" w:rsidP="0091342C">
                  <w:pPr>
                    <w:pStyle w:val="TableBodyText"/>
                    <w:ind w:left="142"/>
                    <w:jc w:val="left"/>
                  </w:pPr>
                  <w:r>
                    <w:t xml:space="preserve">Choice members in </w:t>
                  </w:r>
                  <w:proofErr w:type="spellStart"/>
                  <w:r>
                    <w:t>MySuper</w:t>
                  </w:r>
                  <w:proofErr w:type="spellEnd"/>
                  <w:r>
                    <w:t xml:space="preserve"> products that lose default status</w:t>
                  </w:r>
                </w:p>
              </w:tc>
              <w:tc>
                <w:tcPr>
                  <w:tcW w:w="750" w:type="pct"/>
                </w:tcPr>
                <w:p w:rsidR="0052131A" w:rsidRDefault="0052131A" w:rsidP="0091342C">
                  <w:pPr>
                    <w:pStyle w:val="TableBodyText"/>
                    <w:ind w:right="28"/>
                  </w:pPr>
                  <w:r>
                    <w:t>50</w:t>
                  </w:r>
                </w:p>
              </w:tc>
            </w:tr>
            <w:tr w:rsidR="0052131A" w:rsidTr="0091342C">
              <w:tc>
                <w:tcPr>
                  <w:tcW w:w="4250" w:type="pct"/>
                </w:tcPr>
                <w:p w:rsidR="0052131A" w:rsidRDefault="0052131A" w:rsidP="0091342C">
                  <w:pPr>
                    <w:pStyle w:val="TableBodyText"/>
                    <w:ind w:left="142"/>
                    <w:jc w:val="left"/>
                  </w:pPr>
                  <w:r>
                    <w:t xml:space="preserve">Default members in </w:t>
                  </w:r>
                  <w:proofErr w:type="spellStart"/>
                  <w:r>
                    <w:t>MySuper</w:t>
                  </w:r>
                  <w:proofErr w:type="spellEnd"/>
                  <w:r>
                    <w:t xml:space="preserve"> products that lose default status</w:t>
                  </w:r>
                </w:p>
              </w:tc>
              <w:tc>
                <w:tcPr>
                  <w:tcW w:w="750" w:type="pct"/>
                </w:tcPr>
                <w:p w:rsidR="0052131A" w:rsidRDefault="0052131A" w:rsidP="0091342C">
                  <w:pPr>
                    <w:pStyle w:val="TableBodyText"/>
                    <w:ind w:right="28"/>
                  </w:pPr>
                  <w:r>
                    <w:t>100</w:t>
                  </w:r>
                </w:p>
              </w:tc>
            </w:tr>
            <w:tr w:rsidR="0052131A" w:rsidTr="0091342C">
              <w:tc>
                <w:tcPr>
                  <w:tcW w:w="4250" w:type="pct"/>
                  <w:shd w:val="clear" w:color="auto" w:fill="F2F2F2" w:themeFill="background1" w:themeFillShade="F2"/>
                </w:tcPr>
                <w:p w:rsidR="0052131A" w:rsidRPr="004F69B0" w:rsidRDefault="0052131A" w:rsidP="0091342C">
                  <w:pPr>
                    <w:pStyle w:val="TableBodyText"/>
                    <w:spacing w:before="80"/>
                    <w:jc w:val="left"/>
                  </w:pPr>
                  <w:r>
                    <w:t>Annual rate of:</w:t>
                  </w:r>
                </w:p>
              </w:tc>
              <w:tc>
                <w:tcPr>
                  <w:tcW w:w="750" w:type="pct"/>
                  <w:shd w:val="clear" w:color="auto" w:fill="F2F2F2" w:themeFill="background1" w:themeFillShade="F2"/>
                </w:tcPr>
                <w:p w:rsidR="0052131A" w:rsidRDefault="0052131A" w:rsidP="0091342C">
                  <w:pPr>
                    <w:pStyle w:val="TableBodyText"/>
                    <w:spacing w:before="80"/>
                    <w:ind w:right="28"/>
                  </w:pPr>
                  <w:r>
                    <w:t>(%)</w:t>
                  </w:r>
                </w:p>
              </w:tc>
            </w:tr>
            <w:tr w:rsidR="0052131A" w:rsidTr="0091342C">
              <w:tc>
                <w:tcPr>
                  <w:tcW w:w="4250" w:type="pct"/>
                </w:tcPr>
                <w:p w:rsidR="0052131A" w:rsidRDefault="0052131A" w:rsidP="0091342C">
                  <w:pPr>
                    <w:pStyle w:val="TableBodyText"/>
                    <w:ind w:left="142"/>
                    <w:jc w:val="left"/>
                  </w:pPr>
                  <w:r>
                    <w:t>Inactive accounts that are voluntarily consolidated to a shortlisted product</w:t>
                  </w:r>
                </w:p>
              </w:tc>
              <w:tc>
                <w:tcPr>
                  <w:tcW w:w="750" w:type="pct"/>
                </w:tcPr>
                <w:p w:rsidR="0052131A" w:rsidRDefault="0052131A" w:rsidP="0091342C">
                  <w:pPr>
                    <w:pStyle w:val="TableBodyText"/>
                    <w:ind w:right="28"/>
                  </w:pPr>
                  <w:r>
                    <w:t>Up to 10</w:t>
                  </w:r>
                </w:p>
              </w:tc>
            </w:tr>
            <w:tr w:rsidR="0052131A" w:rsidTr="0091342C">
              <w:tc>
                <w:tcPr>
                  <w:tcW w:w="4250" w:type="pct"/>
                </w:tcPr>
                <w:p w:rsidR="0052131A" w:rsidRDefault="0052131A" w:rsidP="0091342C">
                  <w:pPr>
                    <w:pStyle w:val="TableBodyText"/>
                    <w:ind w:left="142"/>
                    <w:jc w:val="left"/>
                  </w:pPr>
                  <w:r>
                    <w:t>Investment income</w:t>
                  </w:r>
                </w:p>
              </w:tc>
              <w:tc>
                <w:tcPr>
                  <w:tcW w:w="750" w:type="pct"/>
                </w:tcPr>
                <w:p w:rsidR="0052131A" w:rsidRDefault="0052131A" w:rsidP="0091342C">
                  <w:pPr>
                    <w:pStyle w:val="TableBodyText"/>
                    <w:ind w:right="28"/>
                  </w:pPr>
                  <w:r>
                    <w:t>5</w:t>
                  </w:r>
                </w:p>
              </w:tc>
            </w:tr>
            <w:tr w:rsidR="0052131A" w:rsidTr="0091342C">
              <w:tc>
                <w:tcPr>
                  <w:tcW w:w="4250" w:type="pct"/>
                </w:tcPr>
                <w:p w:rsidR="0052131A" w:rsidRDefault="0052131A" w:rsidP="0091342C">
                  <w:pPr>
                    <w:pStyle w:val="TableBodyText"/>
                    <w:ind w:left="142"/>
                    <w:jc w:val="left"/>
                  </w:pPr>
                  <w:r>
                    <w:t>Mobility among members</w:t>
                  </w:r>
                  <w:r>
                    <w:rPr>
                      <w:rStyle w:val="NoteLabel"/>
                    </w:rPr>
                    <w:t>b</w:t>
                  </w:r>
                </w:p>
              </w:tc>
              <w:tc>
                <w:tcPr>
                  <w:tcW w:w="750" w:type="pct"/>
                </w:tcPr>
                <w:p w:rsidR="0052131A" w:rsidRDefault="0052131A" w:rsidP="0091342C">
                  <w:pPr>
                    <w:pStyle w:val="TableBodyText"/>
                    <w:ind w:right="28"/>
                  </w:pPr>
                </w:p>
              </w:tc>
            </w:tr>
            <w:tr w:rsidR="0052131A" w:rsidTr="0091342C">
              <w:tc>
                <w:tcPr>
                  <w:tcW w:w="4250" w:type="pct"/>
                </w:tcPr>
                <w:p w:rsidR="0052131A" w:rsidRDefault="0052131A" w:rsidP="0091342C">
                  <w:pPr>
                    <w:pStyle w:val="TableBodyText"/>
                    <w:ind w:left="284"/>
                    <w:jc w:val="left"/>
                  </w:pPr>
                  <w:r>
                    <w:t>High</w:t>
                  </w:r>
                </w:p>
              </w:tc>
              <w:tc>
                <w:tcPr>
                  <w:tcW w:w="750" w:type="pct"/>
                </w:tcPr>
                <w:p w:rsidR="0052131A" w:rsidRDefault="0052131A" w:rsidP="0091342C">
                  <w:pPr>
                    <w:pStyle w:val="TableBodyText"/>
                    <w:ind w:right="28"/>
                  </w:pPr>
                  <w:r>
                    <w:t>17.8</w:t>
                  </w:r>
                </w:p>
              </w:tc>
            </w:tr>
            <w:tr w:rsidR="0052131A" w:rsidTr="0091342C">
              <w:tc>
                <w:tcPr>
                  <w:tcW w:w="4250" w:type="pct"/>
                </w:tcPr>
                <w:p w:rsidR="0052131A" w:rsidRDefault="0052131A" w:rsidP="0091342C">
                  <w:pPr>
                    <w:pStyle w:val="TableBodyText"/>
                    <w:ind w:left="284"/>
                    <w:jc w:val="left"/>
                  </w:pPr>
                  <w:r>
                    <w:t>Medium</w:t>
                  </w:r>
                </w:p>
              </w:tc>
              <w:tc>
                <w:tcPr>
                  <w:tcW w:w="750" w:type="pct"/>
                </w:tcPr>
                <w:p w:rsidR="0052131A" w:rsidRDefault="0052131A" w:rsidP="0091342C">
                  <w:pPr>
                    <w:pStyle w:val="TableBodyText"/>
                    <w:ind w:right="28"/>
                  </w:pPr>
                  <w:r>
                    <w:t>13.5</w:t>
                  </w:r>
                </w:p>
              </w:tc>
            </w:tr>
            <w:tr w:rsidR="0052131A" w:rsidTr="0091342C">
              <w:tc>
                <w:tcPr>
                  <w:tcW w:w="4250" w:type="pct"/>
                </w:tcPr>
                <w:p w:rsidR="0052131A" w:rsidRDefault="0052131A" w:rsidP="0091342C">
                  <w:pPr>
                    <w:pStyle w:val="TableBodyText"/>
                    <w:ind w:left="284"/>
                    <w:jc w:val="left"/>
                  </w:pPr>
                  <w:r>
                    <w:t>Low</w:t>
                  </w:r>
                </w:p>
              </w:tc>
              <w:tc>
                <w:tcPr>
                  <w:tcW w:w="750" w:type="pct"/>
                </w:tcPr>
                <w:p w:rsidR="0052131A" w:rsidRDefault="0052131A" w:rsidP="0091342C">
                  <w:pPr>
                    <w:pStyle w:val="TableBodyText"/>
                    <w:ind w:right="28"/>
                  </w:pPr>
                  <w:r>
                    <w:t>8.9</w:t>
                  </w:r>
                </w:p>
              </w:tc>
            </w:tr>
            <w:tr w:rsidR="0052131A" w:rsidTr="0091342C">
              <w:tc>
                <w:tcPr>
                  <w:tcW w:w="4250" w:type="pct"/>
                  <w:shd w:val="clear" w:color="auto" w:fill="F2F2F2" w:themeFill="background1" w:themeFillShade="F2"/>
                </w:tcPr>
                <w:p w:rsidR="0052131A" w:rsidRDefault="0052131A" w:rsidP="0091342C">
                  <w:pPr>
                    <w:pStyle w:val="TableBodyText"/>
                    <w:spacing w:before="80"/>
                    <w:jc w:val="left"/>
                  </w:pPr>
                  <w:r>
                    <w:t>Number of:</w:t>
                  </w:r>
                </w:p>
              </w:tc>
              <w:tc>
                <w:tcPr>
                  <w:tcW w:w="750" w:type="pct"/>
                  <w:shd w:val="clear" w:color="auto" w:fill="F2F2F2" w:themeFill="background1" w:themeFillShade="F2"/>
                </w:tcPr>
                <w:p w:rsidR="0052131A" w:rsidRDefault="0052131A" w:rsidP="0091342C">
                  <w:pPr>
                    <w:pStyle w:val="TableBodyText"/>
                    <w:spacing w:before="80"/>
                    <w:ind w:right="28"/>
                  </w:pPr>
                  <w:r>
                    <w:t>(no.)</w:t>
                  </w:r>
                </w:p>
              </w:tc>
            </w:tr>
            <w:tr w:rsidR="0052131A" w:rsidTr="0091342C">
              <w:tc>
                <w:tcPr>
                  <w:tcW w:w="4250" w:type="pct"/>
                </w:tcPr>
                <w:p w:rsidR="0052131A" w:rsidRDefault="0052131A" w:rsidP="0091342C">
                  <w:pPr>
                    <w:pStyle w:val="TableBodyText"/>
                    <w:ind w:left="142"/>
                    <w:jc w:val="left"/>
                  </w:pPr>
                  <w:r>
                    <w:t>First</w:t>
                  </w:r>
                  <w:r>
                    <w:noBreakHyphen/>
                    <w:t>time entrants in year preceding system modernisation</w:t>
                  </w:r>
                </w:p>
              </w:tc>
              <w:tc>
                <w:tcPr>
                  <w:tcW w:w="750" w:type="pct"/>
                </w:tcPr>
                <w:p w:rsidR="0052131A" w:rsidRDefault="0052131A" w:rsidP="0091342C">
                  <w:pPr>
                    <w:pStyle w:val="TableBodyText"/>
                    <w:ind w:right="28"/>
                  </w:pPr>
                  <w:r>
                    <w:t>470 000</w:t>
                  </w:r>
                </w:p>
              </w:tc>
            </w:tr>
            <w:tr w:rsidR="0052131A" w:rsidRPr="00CE6A52" w:rsidTr="0091342C">
              <w:tc>
                <w:tcPr>
                  <w:tcW w:w="4250" w:type="pct"/>
                </w:tcPr>
                <w:p w:rsidR="0052131A" w:rsidRDefault="0052131A" w:rsidP="0091342C">
                  <w:pPr>
                    <w:pStyle w:val="TableBodyText"/>
                    <w:ind w:left="142"/>
                    <w:jc w:val="left"/>
                  </w:pPr>
                  <w:r>
                    <w:t xml:space="preserve">People retiring and exiting </w:t>
                  </w:r>
                  <w:proofErr w:type="spellStart"/>
                  <w:r>
                    <w:t>MySuper</w:t>
                  </w:r>
                  <w:proofErr w:type="spellEnd"/>
                  <w:r>
                    <w:t xml:space="preserve"> accounts per year</w:t>
                  </w:r>
                </w:p>
              </w:tc>
              <w:tc>
                <w:tcPr>
                  <w:tcW w:w="750" w:type="pct"/>
                </w:tcPr>
                <w:p w:rsidR="0052131A" w:rsidRDefault="0052131A" w:rsidP="0091342C">
                  <w:pPr>
                    <w:pStyle w:val="TableBodyText"/>
                    <w:ind w:right="28"/>
                  </w:pPr>
                  <w:r>
                    <w:t>32 </w:t>
                  </w:r>
                  <w:proofErr w:type="spellStart"/>
                  <w:r>
                    <w:t>520</w:t>
                  </w:r>
                  <w:r w:rsidRPr="00670286">
                    <w:t>c</w:t>
                  </w:r>
                  <w:proofErr w:type="spellEnd"/>
                </w:p>
              </w:tc>
            </w:tr>
            <w:tr w:rsidR="0052131A" w:rsidRPr="00CE6A52" w:rsidTr="0091342C">
              <w:tc>
                <w:tcPr>
                  <w:tcW w:w="4250" w:type="pct"/>
                </w:tcPr>
                <w:p w:rsidR="0052131A" w:rsidRDefault="0052131A" w:rsidP="0091342C">
                  <w:pPr>
                    <w:pStyle w:val="TableBodyText"/>
                    <w:ind w:left="142"/>
                    <w:jc w:val="left"/>
                  </w:pPr>
                  <w:r>
                    <w:t>Accounts held per member at the point of retirement</w:t>
                  </w:r>
                </w:p>
              </w:tc>
              <w:tc>
                <w:tcPr>
                  <w:tcW w:w="750" w:type="pct"/>
                </w:tcPr>
                <w:p w:rsidR="0052131A" w:rsidRDefault="0052131A" w:rsidP="0091342C">
                  <w:pPr>
                    <w:pStyle w:val="TableBodyText"/>
                    <w:ind w:right="28"/>
                  </w:pPr>
                  <w:r>
                    <w:t>1.2</w:t>
                  </w:r>
                </w:p>
              </w:tc>
            </w:tr>
            <w:tr w:rsidR="0052131A" w:rsidTr="0091342C">
              <w:tc>
                <w:tcPr>
                  <w:tcW w:w="4250" w:type="pct"/>
                  <w:tcBorders>
                    <w:bottom w:val="single" w:sz="6" w:space="0" w:color="BFBFBF"/>
                  </w:tcBorders>
                  <w:shd w:val="clear" w:color="auto" w:fill="auto"/>
                </w:tcPr>
                <w:p w:rsidR="0052131A" w:rsidRDefault="0052131A" w:rsidP="0091342C">
                  <w:pPr>
                    <w:pStyle w:val="TableBodyText"/>
                    <w:ind w:left="142"/>
                    <w:jc w:val="left"/>
                  </w:pPr>
                  <w:r>
                    <w:t>Lost and inactive accounts transferred to the Australian Taxation Office</w:t>
                  </w:r>
                </w:p>
              </w:tc>
              <w:tc>
                <w:tcPr>
                  <w:tcW w:w="750" w:type="pct"/>
                  <w:tcBorders>
                    <w:bottom w:val="single" w:sz="6" w:space="0" w:color="BFBFBF"/>
                  </w:tcBorders>
                  <w:shd w:val="clear" w:color="auto" w:fill="auto"/>
                </w:tcPr>
                <w:p w:rsidR="0052131A" w:rsidRDefault="0052131A" w:rsidP="0091342C">
                  <w:pPr>
                    <w:pStyle w:val="TableBodyText"/>
                    <w:ind w:right="28"/>
                  </w:pPr>
                  <w:r>
                    <w:t>0</w:t>
                  </w:r>
                </w:p>
              </w:tc>
            </w:tr>
          </w:tbl>
          <w:p w:rsidR="0052131A" w:rsidRDefault="0052131A" w:rsidP="0091342C">
            <w:pPr>
              <w:pStyle w:val="Box"/>
            </w:pPr>
          </w:p>
        </w:tc>
      </w:tr>
      <w:tr w:rsidR="0052131A" w:rsidRPr="00C029F4" w:rsidTr="0091342C">
        <w:tc>
          <w:tcPr>
            <w:tcW w:w="5000" w:type="pct"/>
            <w:tcBorders>
              <w:top w:val="nil"/>
              <w:left w:val="nil"/>
              <w:bottom w:val="nil"/>
              <w:right w:val="nil"/>
            </w:tcBorders>
            <w:shd w:val="clear" w:color="auto" w:fill="auto"/>
          </w:tcPr>
          <w:p w:rsidR="0052131A" w:rsidRPr="00C029F4" w:rsidRDefault="0052131A" w:rsidP="0091342C">
            <w:pPr>
              <w:pStyle w:val="Note"/>
              <w:rPr>
                <w:i/>
                <w:spacing w:val="-2"/>
              </w:rPr>
            </w:pPr>
            <w:r w:rsidRPr="00C029F4">
              <w:rPr>
                <w:rStyle w:val="NoteLabel"/>
                <w:spacing w:val="-2"/>
              </w:rPr>
              <w:t>a</w:t>
            </w:r>
            <w:r w:rsidRPr="00C029F4">
              <w:rPr>
                <w:spacing w:val="-2"/>
              </w:rPr>
              <w:t xml:space="preserve"> Values preceded by ‘Up to’ are the highest rates used in sensitivity testing the modelling. </w:t>
            </w:r>
            <w:r w:rsidRPr="00C029F4">
              <w:rPr>
                <w:rStyle w:val="NoteLabel"/>
                <w:spacing w:val="-2"/>
              </w:rPr>
              <w:t>b</w:t>
            </w:r>
            <w:r w:rsidRPr="00C029F4">
              <w:rPr>
                <w:spacing w:val="-2"/>
              </w:rPr>
              <w:t xml:space="preserve"> The estimated level of mobility among a fund’s members (due to both job change and workforce re</w:t>
            </w:r>
            <w:r w:rsidRPr="00C029F4">
              <w:rPr>
                <w:spacing w:val="-2"/>
              </w:rPr>
              <w:noBreakHyphen/>
              <w:t xml:space="preserve">entry) was based on the share of its members aged 25 and under on the assumption that a younger membership would tend to be more mobile. Rates of job change were drawn from ABS </w:t>
            </w:r>
            <w:r w:rsidRPr="00C029F4">
              <w:rPr>
                <w:rFonts w:cs="Arial"/>
                <w:spacing w:val="-2"/>
              </w:rPr>
              <w:t>(2017)</w:t>
            </w:r>
            <w:r w:rsidRPr="00C029F4">
              <w:rPr>
                <w:spacing w:val="-2"/>
              </w:rPr>
              <w:t xml:space="preserve"> and inflated to take account of workforce re</w:t>
            </w:r>
            <w:r w:rsidRPr="00C029F4">
              <w:rPr>
                <w:spacing w:val="-2"/>
              </w:rPr>
              <w:noBreakHyphen/>
              <w:t xml:space="preserve">entry. </w:t>
            </w:r>
            <w:r w:rsidRPr="00C029F4">
              <w:rPr>
                <w:rStyle w:val="NoteLabel"/>
                <w:spacing w:val="-2"/>
              </w:rPr>
              <w:t>c</w:t>
            </w:r>
            <w:r w:rsidRPr="00C029F4">
              <w:rPr>
                <w:spacing w:val="-2"/>
              </w:rPr>
              <w:t>Estimated as 40 per cent of the total number of retirees in the 12 months to February 2017 from ABS</w:t>
            </w:r>
            <w:r>
              <w:rPr>
                <w:spacing w:val="-2"/>
              </w:rPr>
              <w:t xml:space="preserve"> </w:t>
            </w:r>
            <w:r w:rsidRPr="00951434">
              <w:rPr>
                <w:rFonts w:cs="Arial"/>
              </w:rPr>
              <w:t>(2017)</w:t>
            </w:r>
            <w:r w:rsidRPr="00C029F4">
              <w:rPr>
                <w:spacing w:val="-2"/>
              </w:rPr>
              <w:t>.</w:t>
            </w:r>
          </w:p>
        </w:tc>
      </w:tr>
      <w:tr w:rsidR="0052131A" w:rsidRPr="00C029F4" w:rsidTr="0091342C">
        <w:tc>
          <w:tcPr>
            <w:tcW w:w="5000" w:type="pct"/>
            <w:tcBorders>
              <w:top w:val="nil"/>
              <w:left w:val="nil"/>
              <w:bottom w:val="nil"/>
              <w:right w:val="nil"/>
            </w:tcBorders>
            <w:shd w:val="clear" w:color="auto" w:fill="auto"/>
          </w:tcPr>
          <w:p w:rsidR="0052131A" w:rsidRPr="00945E14" w:rsidRDefault="0052131A" w:rsidP="0091342C">
            <w:pPr>
              <w:pStyle w:val="Source"/>
              <w:rPr>
                <w:rStyle w:val="NoteLabel"/>
                <w:b w:val="0"/>
              </w:rPr>
            </w:pPr>
            <w:r w:rsidRPr="00945E14">
              <w:rPr>
                <w:i/>
              </w:rPr>
              <w:t>Source</w:t>
            </w:r>
            <w:r w:rsidRPr="00951434">
              <w:t>:</w:t>
            </w:r>
            <w:r w:rsidRPr="00945E14">
              <w:t xml:space="preserve"> ABS</w:t>
            </w:r>
            <w:r>
              <w:t xml:space="preserve"> (</w:t>
            </w:r>
            <w:r w:rsidRPr="00945E14">
              <w:rPr>
                <w:i/>
                <w:iCs/>
              </w:rPr>
              <w:t>Participation, Job Search and Mobility, Australia, February 2017</w:t>
            </w:r>
            <w:r>
              <w:t>, Cat. no. 6226.0).</w:t>
            </w:r>
          </w:p>
        </w:tc>
      </w:tr>
      <w:tr w:rsidR="0052131A" w:rsidTr="0091342C">
        <w:tc>
          <w:tcPr>
            <w:tcW w:w="5000" w:type="pct"/>
            <w:tcBorders>
              <w:top w:val="nil"/>
              <w:left w:val="nil"/>
              <w:bottom w:val="single" w:sz="6" w:space="0" w:color="78A22F"/>
              <w:right w:val="nil"/>
            </w:tcBorders>
            <w:shd w:val="clear" w:color="auto" w:fill="auto"/>
          </w:tcPr>
          <w:p w:rsidR="0052131A" w:rsidRDefault="0052131A" w:rsidP="0091342C">
            <w:pPr>
              <w:pStyle w:val="Box"/>
              <w:spacing w:before="0" w:line="120" w:lineRule="exact"/>
            </w:pPr>
          </w:p>
        </w:tc>
      </w:tr>
      <w:tr w:rsidR="0052131A" w:rsidRPr="000863A5" w:rsidTr="0091342C">
        <w:tc>
          <w:tcPr>
            <w:tcW w:w="5000" w:type="pct"/>
            <w:tcBorders>
              <w:top w:val="single" w:sz="6" w:space="0" w:color="78A22F"/>
              <w:left w:val="nil"/>
              <w:bottom w:val="nil"/>
              <w:right w:val="nil"/>
            </w:tcBorders>
          </w:tcPr>
          <w:p w:rsidR="0052131A" w:rsidRPr="00626D32" w:rsidRDefault="0052131A" w:rsidP="0091342C">
            <w:pPr>
              <w:pStyle w:val="BoxSpaceBelow"/>
            </w:pPr>
          </w:p>
        </w:tc>
      </w:tr>
    </w:tbl>
    <w:p w:rsidR="0052131A" w:rsidRDefault="0052131A" w:rsidP="0052131A">
      <w:pPr>
        <w:pStyle w:val="BodyText"/>
      </w:pPr>
      <w:r>
        <w:lastRenderedPageBreak/>
        <w:t>Additional key assumptions:</w:t>
      </w:r>
    </w:p>
    <w:p w:rsidR="0052131A" w:rsidRDefault="0052131A" w:rsidP="0052131A">
      <w:pPr>
        <w:pStyle w:val="ListBullet"/>
      </w:pPr>
      <w:r>
        <w:t xml:space="preserve">Potential movements of members between </w:t>
      </w:r>
      <w:proofErr w:type="spellStart"/>
      <w:r>
        <w:t>MySuper</w:t>
      </w:r>
      <w:proofErr w:type="spellEnd"/>
      <w:r>
        <w:t xml:space="preserve"> products and other segments of the system are ignored. (An implicit assumption is that such moves offset each other.)</w:t>
      </w:r>
    </w:p>
    <w:p w:rsidR="0052131A" w:rsidRDefault="0052131A" w:rsidP="0052131A">
      <w:pPr>
        <w:pStyle w:val="ListBullet"/>
      </w:pPr>
      <w:r>
        <w:t>Job changers and workforce re</w:t>
      </w:r>
      <w:r>
        <w:noBreakHyphen/>
        <w:t xml:space="preserve">entrants who choose a shortlisted product roll over their existing balance to their new account, as do existing </w:t>
      </w:r>
      <w:proofErr w:type="spellStart"/>
      <w:r>
        <w:t>MySuper</w:t>
      </w:r>
      <w:proofErr w:type="spellEnd"/>
      <w:r>
        <w:t xml:space="preserve"> members who switch but are not starting a new job.</w:t>
      </w:r>
    </w:p>
    <w:p w:rsidR="0052131A" w:rsidRDefault="0052131A" w:rsidP="0052131A">
      <w:pPr>
        <w:pStyle w:val="ListBullet"/>
      </w:pPr>
      <w:r>
        <w:t xml:space="preserve">Member numbers are </w:t>
      </w:r>
      <w:proofErr w:type="spellStart"/>
      <w:r>
        <w:t>proxied</w:t>
      </w:r>
      <w:proofErr w:type="spellEnd"/>
      <w:r>
        <w:t xml:space="preserve"> by active accounts (taking into account the fact that some members retain multiple active accounts).</w:t>
      </w:r>
    </w:p>
    <w:p w:rsidR="0052131A" w:rsidRDefault="0052131A" w:rsidP="0052131A">
      <w:pPr>
        <w:pStyle w:val="ListBullet"/>
      </w:pPr>
      <w:r>
        <w:t xml:space="preserve">People are assumed to exit </w:t>
      </w:r>
      <w:proofErr w:type="spellStart"/>
      <w:r>
        <w:t>MySuper</w:t>
      </w:r>
      <w:proofErr w:type="spellEnd"/>
      <w:r>
        <w:t xml:space="preserve"> products for retirement from age 60 years.</w:t>
      </w:r>
    </w:p>
    <w:p w:rsidR="0052131A" w:rsidRDefault="0052131A" w:rsidP="0052131A">
      <w:pPr>
        <w:pStyle w:val="ListBullet"/>
      </w:pPr>
      <w:r>
        <w:t xml:space="preserve">Super Guarantee contributions of default members in </w:t>
      </w:r>
      <w:proofErr w:type="spellStart"/>
      <w:r>
        <w:t>MySuper</w:t>
      </w:r>
      <w:proofErr w:type="spellEnd"/>
      <w:r>
        <w:t xml:space="preserve"> products that lose default status are transferred to shortlisted funds as soon as a product loses authorisation.</w:t>
      </w:r>
    </w:p>
    <w:p w:rsidR="0052131A" w:rsidRDefault="0052131A" w:rsidP="0052131A">
      <w:pPr>
        <w:pStyle w:val="ListBullet"/>
      </w:pPr>
      <w:r>
        <w:t xml:space="preserve">Each closed account removes the average </w:t>
      </w:r>
      <w:proofErr w:type="spellStart"/>
      <w:r>
        <w:t>MySuper</w:t>
      </w:r>
      <w:proofErr w:type="spellEnd"/>
      <w:r>
        <w:t xml:space="preserve"> account balance from a fund’s assets.</w:t>
      </w:r>
    </w:p>
    <w:p w:rsidR="0052131A" w:rsidRDefault="0052131A" w:rsidP="0052131A">
      <w:pPr>
        <w:pStyle w:val="Heading3"/>
      </w:pPr>
      <w:r>
        <w:t>Reference</w:t>
      </w:r>
    </w:p>
    <w:p w:rsidR="0052131A" w:rsidRPr="00FB6015" w:rsidRDefault="0052131A" w:rsidP="0052131A">
      <w:pPr>
        <w:pStyle w:val="Reference"/>
        <w:rPr>
          <w:sz w:val="22"/>
          <w:szCs w:val="22"/>
        </w:rPr>
      </w:pPr>
      <w:r w:rsidRPr="00FB6015">
        <w:rPr>
          <w:sz w:val="22"/>
          <w:szCs w:val="22"/>
        </w:rPr>
        <w:t xml:space="preserve">ABS (Australian Bureau of Statistics) 2017, </w:t>
      </w:r>
      <w:r w:rsidRPr="00FB6015">
        <w:rPr>
          <w:i/>
          <w:iCs/>
          <w:sz w:val="22"/>
          <w:szCs w:val="22"/>
        </w:rPr>
        <w:t>Participation Job Search and Mobility Australia, February 2017</w:t>
      </w:r>
      <w:r w:rsidRPr="00FB6015">
        <w:rPr>
          <w:sz w:val="22"/>
          <w:szCs w:val="22"/>
        </w:rPr>
        <w:t>, Cat. no. 6226.0, Canberra.</w:t>
      </w:r>
    </w:p>
    <w:sectPr w:rsidR="0052131A" w:rsidRPr="00FB6015" w:rsidSect="00790F1C">
      <w:headerReference w:type="even" r:id="rId14"/>
      <w:headerReference w:type="default" r:id="rId15"/>
      <w:footerReference w:type="even" r:id="rId16"/>
      <w:footerReference w:type="default" r:id="rId17"/>
      <w:type w:val="oddPage"/>
      <w:pgSz w:w="11907" w:h="16840" w:code="9"/>
      <w:pgMar w:top="1985" w:right="1304" w:bottom="1247" w:left="1814" w:header="1701" w:footer="397" w:gutter="0"/>
      <w:pgNumType w:start="0"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699" w:rsidRDefault="00B02699">
      <w:r>
        <w:separator/>
      </w:r>
    </w:p>
  </w:endnote>
  <w:endnote w:type="continuationSeparator" w:id="0">
    <w:p w:rsidR="00B02699" w:rsidRDefault="00B02699">
      <w:r>
        <w:continuationSeparator/>
      </w:r>
    </w:p>
  </w:endnote>
  <w:endnote w:type="continuationNotice" w:id="1">
    <w:p w:rsidR="00B02699" w:rsidRDefault="00B02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B7E95" w:rsidTr="005F48ED">
      <w:trPr>
        <w:trHeight w:hRule="exact" w:val="567"/>
      </w:trPr>
      <w:tc>
        <w:tcPr>
          <w:tcW w:w="510" w:type="dxa"/>
        </w:tcPr>
        <w:p w:rsidR="004B7E95" w:rsidRPr="00A24443" w:rsidRDefault="004B7E9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37130">
            <w:rPr>
              <w:rStyle w:val="PageNumber"/>
              <w:caps w:val="0"/>
              <w:noProof/>
            </w:rPr>
            <w:t>2</w:t>
          </w:r>
          <w:r w:rsidRPr="00A24443">
            <w:rPr>
              <w:rStyle w:val="PageNumber"/>
              <w:caps w:val="0"/>
            </w:rPr>
            <w:fldChar w:fldCharType="end"/>
          </w:r>
        </w:p>
      </w:tc>
      <w:tc>
        <w:tcPr>
          <w:tcW w:w="7767" w:type="dxa"/>
        </w:tcPr>
        <w:p w:rsidR="004B7E95" w:rsidRPr="0013739A" w:rsidRDefault="002136F5" w:rsidP="0013739A">
          <w:pPr>
            <w:pStyle w:val="Footer"/>
            <w:rPr>
              <w:rFonts w:cs="Arial"/>
            </w:rPr>
          </w:pPr>
          <w:r>
            <w:rPr>
              <w:rFonts w:cs="Arial"/>
            </w:rPr>
            <w:t>Superannuation: efficiency and competitiveness</w:t>
          </w:r>
          <w:bookmarkStart w:id="7" w:name="DraftReportEven"/>
          <w:bookmarkEnd w:id="7"/>
        </w:p>
      </w:tc>
      <w:tc>
        <w:tcPr>
          <w:tcW w:w="510" w:type="dxa"/>
        </w:tcPr>
        <w:p w:rsidR="004B7E95" w:rsidRDefault="004B7E95" w:rsidP="0019293B">
          <w:pPr>
            <w:pStyle w:val="Footer"/>
          </w:pPr>
        </w:p>
      </w:tc>
    </w:tr>
  </w:tbl>
  <w:p w:rsidR="004B7E95" w:rsidRDefault="004B7E9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B7E95" w:rsidTr="005F48ED">
      <w:trPr>
        <w:trHeight w:hRule="exact" w:val="567"/>
      </w:trPr>
      <w:tc>
        <w:tcPr>
          <w:tcW w:w="510" w:type="dxa"/>
        </w:tcPr>
        <w:p w:rsidR="004B7E95" w:rsidRDefault="004B7E95">
          <w:pPr>
            <w:pStyle w:val="Footer"/>
            <w:ind w:right="360" w:firstLine="360"/>
          </w:pPr>
        </w:p>
      </w:tc>
      <w:tc>
        <w:tcPr>
          <w:tcW w:w="7767" w:type="dxa"/>
        </w:tcPr>
        <w:p w:rsidR="004B7E95" w:rsidRPr="00BA5B14" w:rsidRDefault="002136F5" w:rsidP="0013739A">
          <w:pPr>
            <w:pStyle w:val="Footer"/>
            <w:jc w:val="right"/>
            <w:rPr>
              <w:rFonts w:cs="Arial"/>
            </w:rPr>
          </w:pPr>
          <w:r>
            <w:rPr>
              <w:rFonts w:cs="Arial"/>
            </w:rPr>
            <w:t>Technical supplement 7</w:t>
          </w:r>
          <w:bookmarkStart w:id="8" w:name="DraftReportOdd"/>
          <w:bookmarkEnd w:id="8"/>
        </w:p>
      </w:tc>
      <w:tc>
        <w:tcPr>
          <w:tcW w:w="510" w:type="dxa"/>
        </w:tcPr>
        <w:p w:rsidR="004B7E95" w:rsidRPr="00A24443" w:rsidRDefault="004B7E9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37130">
            <w:rPr>
              <w:rStyle w:val="PageNumber"/>
              <w:caps w:val="0"/>
              <w:noProof/>
            </w:rPr>
            <w:t>3</w:t>
          </w:r>
          <w:r w:rsidRPr="00A24443">
            <w:rPr>
              <w:rStyle w:val="PageNumber"/>
              <w:caps w:val="0"/>
            </w:rPr>
            <w:fldChar w:fldCharType="end"/>
          </w:r>
        </w:p>
      </w:tc>
    </w:tr>
  </w:tbl>
  <w:p w:rsidR="004B7E95" w:rsidRDefault="004B7E9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699" w:rsidRDefault="00B02699">
      <w:r>
        <w:separator/>
      </w:r>
    </w:p>
  </w:footnote>
  <w:footnote w:type="continuationSeparator" w:id="0">
    <w:p w:rsidR="00B02699" w:rsidRDefault="00B02699">
      <w:r>
        <w:continuationSeparator/>
      </w:r>
    </w:p>
  </w:footnote>
  <w:footnote w:type="continuationNotice" w:id="1">
    <w:p w:rsidR="00B02699" w:rsidRDefault="00B026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B7E95">
      <w:tc>
        <w:tcPr>
          <w:tcW w:w="2155" w:type="dxa"/>
          <w:tcBorders>
            <w:top w:val="single" w:sz="24" w:space="0" w:color="auto"/>
          </w:tcBorders>
        </w:tcPr>
        <w:p w:rsidR="004B7E95" w:rsidRDefault="004B7E95" w:rsidP="0019293B">
          <w:pPr>
            <w:pStyle w:val="HeaderEven"/>
          </w:pPr>
        </w:p>
      </w:tc>
      <w:tc>
        <w:tcPr>
          <w:tcW w:w="6634" w:type="dxa"/>
          <w:tcBorders>
            <w:top w:val="single" w:sz="6" w:space="0" w:color="auto"/>
          </w:tcBorders>
        </w:tcPr>
        <w:p w:rsidR="004B7E95" w:rsidRDefault="004B7E95" w:rsidP="0019293B">
          <w:pPr>
            <w:pStyle w:val="HeaderEven"/>
          </w:pPr>
        </w:p>
      </w:tc>
    </w:tr>
  </w:tbl>
  <w:p w:rsidR="004B7E95" w:rsidRDefault="004B7E9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B7E95">
      <w:tc>
        <w:tcPr>
          <w:tcW w:w="6634" w:type="dxa"/>
          <w:tcBorders>
            <w:top w:val="single" w:sz="6" w:space="0" w:color="auto"/>
          </w:tcBorders>
        </w:tcPr>
        <w:p w:rsidR="004B7E95" w:rsidRDefault="004B7E95" w:rsidP="00E669E2">
          <w:pPr>
            <w:pStyle w:val="HeaderOdd"/>
          </w:pPr>
        </w:p>
      </w:tc>
      <w:tc>
        <w:tcPr>
          <w:tcW w:w="2155" w:type="dxa"/>
          <w:tcBorders>
            <w:top w:val="single" w:sz="24" w:space="0" w:color="auto"/>
          </w:tcBorders>
        </w:tcPr>
        <w:p w:rsidR="004B7E95" w:rsidRDefault="004B7E95" w:rsidP="00E669E2">
          <w:pPr>
            <w:pStyle w:val="HeaderOdd"/>
          </w:pPr>
        </w:p>
      </w:tc>
    </w:tr>
  </w:tbl>
  <w:p w:rsidR="004B7E95" w:rsidRDefault="004B7E9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Technical supplement 7"/>
    <w:docVar w:name="ShortReportTitle" w:val="Superannuation: efficiency and competitiveness"/>
  </w:docVars>
  <w:rsids>
    <w:rsidRoot w:val="009654A0"/>
    <w:rsid w:val="00003146"/>
    <w:rsid w:val="00006B15"/>
    <w:rsid w:val="000227D5"/>
    <w:rsid w:val="000245AA"/>
    <w:rsid w:val="0002524E"/>
    <w:rsid w:val="00025767"/>
    <w:rsid w:val="0003664B"/>
    <w:rsid w:val="0004111F"/>
    <w:rsid w:val="0005277B"/>
    <w:rsid w:val="00055077"/>
    <w:rsid w:val="000565B3"/>
    <w:rsid w:val="00066B35"/>
    <w:rsid w:val="0007150B"/>
    <w:rsid w:val="00076EAF"/>
    <w:rsid w:val="000938F5"/>
    <w:rsid w:val="00095663"/>
    <w:rsid w:val="00096D1B"/>
    <w:rsid w:val="00096E40"/>
    <w:rsid w:val="00096E55"/>
    <w:rsid w:val="0009783E"/>
    <w:rsid w:val="000A4232"/>
    <w:rsid w:val="000B0E9F"/>
    <w:rsid w:val="000B1022"/>
    <w:rsid w:val="000B601B"/>
    <w:rsid w:val="000B7F47"/>
    <w:rsid w:val="000C207E"/>
    <w:rsid w:val="000C3403"/>
    <w:rsid w:val="000C42DA"/>
    <w:rsid w:val="000D41E9"/>
    <w:rsid w:val="000D7AD8"/>
    <w:rsid w:val="000F0035"/>
    <w:rsid w:val="000F04E7"/>
    <w:rsid w:val="000F060A"/>
    <w:rsid w:val="000F420B"/>
    <w:rsid w:val="000F4CF2"/>
    <w:rsid w:val="000F539C"/>
    <w:rsid w:val="00103FAF"/>
    <w:rsid w:val="00110116"/>
    <w:rsid w:val="00120072"/>
    <w:rsid w:val="00120B3E"/>
    <w:rsid w:val="00124F78"/>
    <w:rsid w:val="00126A8B"/>
    <w:rsid w:val="00126EB8"/>
    <w:rsid w:val="001274D4"/>
    <w:rsid w:val="001363AA"/>
    <w:rsid w:val="0013739A"/>
    <w:rsid w:val="00142165"/>
    <w:rsid w:val="00160688"/>
    <w:rsid w:val="00162434"/>
    <w:rsid w:val="00164AB4"/>
    <w:rsid w:val="001654BB"/>
    <w:rsid w:val="00183E82"/>
    <w:rsid w:val="001878BB"/>
    <w:rsid w:val="00191AE0"/>
    <w:rsid w:val="0019293B"/>
    <w:rsid w:val="0019426B"/>
    <w:rsid w:val="001A6A4B"/>
    <w:rsid w:val="001B0DF6"/>
    <w:rsid w:val="001B29F9"/>
    <w:rsid w:val="001C0865"/>
    <w:rsid w:val="001C0AED"/>
    <w:rsid w:val="001C0B26"/>
    <w:rsid w:val="001C3ABA"/>
    <w:rsid w:val="001C5111"/>
    <w:rsid w:val="001E6318"/>
    <w:rsid w:val="001E7BE8"/>
    <w:rsid w:val="001F0248"/>
    <w:rsid w:val="001F082A"/>
    <w:rsid w:val="001F3EB3"/>
    <w:rsid w:val="001F4F86"/>
    <w:rsid w:val="00202C2C"/>
    <w:rsid w:val="00203050"/>
    <w:rsid w:val="002135AB"/>
    <w:rsid w:val="002136F5"/>
    <w:rsid w:val="002144BE"/>
    <w:rsid w:val="00217989"/>
    <w:rsid w:val="0022089A"/>
    <w:rsid w:val="00226293"/>
    <w:rsid w:val="002320B8"/>
    <w:rsid w:val="00232930"/>
    <w:rsid w:val="00233641"/>
    <w:rsid w:val="00240CC3"/>
    <w:rsid w:val="00242279"/>
    <w:rsid w:val="00242BB2"/>
    <w:rsid w:val="00243997"/>
    <w:rsid w:val="0024516C"/>
    <w:rsid w:val="00245C82"/>
    <w:rsid w:val="002472B5"/>
    <w:rsid w:val="00262486"/>
    <w:rsid w:val="00270934"/>
    <w:rsid w:val="002724BA"/>
    <w:rsid w:val="0028120A"/>
    <w:rsid w:val="002834EE"/>
    <w:rsid w:val="00291B40"/>
    <w:rsid w:val="002A0AB3"/>
    <w:rsid w:val="002A1D83"/>
    <w:rsid w:val="002A6F50"/>
    <w:rsid w:val="002B4008"/>
    <w:rsid w:val="002C069B"/>
    <w:rsid w:val="002C439F"/>
    <w:rsid w:val="002C5A8C"/>
    <w:rsid w:val="002C6BBC"/>
    <w:rsid w:val="002D0C42"/>
    <w:rsid w:val="002D0E8E"/>
    <w:rsid w:val="002F68B5"/>
    <w:rsid w:val="00301189"/>
    <w:rsid w:val="00301E4A"/>
    <w:rsid w:val="00302F0B"/>
    <w:rsid w:val="00305F68"/>
    <w:rsid w:val="00307DBF"/>
    <w:rsid w:val="003168B8"/>
    <w:rsid w:val="00320CB1"/>
    <w:rsid w:val="00322D64"/>
    <w:rsid w:val="00323E09"/>
    <w:rsid w:val="00333932"/>
    <w:rsid w:val="00334E84"/>
    <w:rsid w:val="003355F5"/>
    <w:rsid w:val="00337130"/>
    <w:rsid w:val="003518AA"/>
    <w:rsid w:val="00352165"/>
    <w:rsid w:val="00353182"/>
    <w:rsid w:val="003545EF"/>
    <w:rsid w:val="003565D9"/>
    <w:rsid w:val="003602E1"/>
    <w:rsid w:val="00360332"/>
    <w:rsid w:val="00362A42"/>
    <w:rsid w:val="00364F66"/>
    <w:rsid w:val="0037026F"/>
    <w:rsid w:val="00371240"/>
    <w:rsid w:val="00374731"/>
    <w:rsid w:val="00376E59"/>
    <w:rsid w:val="00377EC1"/>
    <w:rsid w:val="00380340"/>
    <w:rsid w:val="003919F9"/>
    <w:rsid w:val="003920CF"/>
    <w:rsid w:val="00392DF1"/>
    <w:rsid w:val="003A0D9D"/>
    <w:rsid w:val="003A6D0F"/>
    <w:rsid w:val="003B23C2"/>
    <w:rsid w:val="003B6586"/>
    <w:rsid w:val="003C272A"/>
    <w:rsid w:val="003C33BB"/>
    <w:rsid w:val="003C38B5"/>
    <w:rsid w:val="003C5D99"/>
    <w:rsid w:val="003D1087"/>
    <w:rsid w:val="003D3029"/>
    <w:rsid w:val="003E2F59"/>
    <w:rsid w:val="003E746B"/>
    <w:rsid w:val="003F0789"/>
    <w:rsid w:val="00401882"/>
    <w:rsid w:val="004100C8"/>
    <w:rsid w:val="00411DBD"/>
    <w:rsid w:val="00412ACE"/>
    <w:rsid w:val="004145D2"/>
    <w:rsid w:val="00422E24"/>
    <w:rsid w:val="00425128"/>
    <w:rsid w:val="00426CB4"/>
    <w:rsid w:val="00431249"/>
    <w:rsid w:val="00434C19"/>
    <w:rsid w:val="004362CB"/>
    <w:rsid w:val="00437878"/>
    <w:rsid w:val="00437B61"/>
    <w:rsid w:val="00446EF2"/>
    <w:rsid w:val="004477D6"/>
    <w:rsid w:val="00450810"/>
    <w:rsid w:val="00455A81"/>
    <w:rsid w:val="0046001D"/>
    <w:rsid w:val="00460F20"/>
    <w:rsid w:val="00462C59"/>
    <w:rsid w:val="00470737"/>
    <w:rsid w:val="00477144"/>
    <w:rsid w:val="0048089F"/>
    <w:rsid w:val="00486017"/>
    <w:rsid w:val="00491380"/>
    <w:rsid w:val="0049459F"/>
    <w:rsid w:val="00496C5D"/>
    <w:rsid w:val="004A38DD"/>
    <w:rsid w:val="004B43AE"/>
    <w:rsid w:val="004B6A1B"/>
    <w:rsid w:val="004B7E95"/>
    <w:rsid w:val="004C30ED"/>
    <w:rsid w:val="004C60E3"/>
    <w:rsid w:val="004D55C7"/>
    <w:rsid w:val="004D5675"/>
    <w:rsid w:val="004E66CC"/>
    <w:rsid w:val="004F0E1A"/>
    <w:rsid w:val="004F180F"/>
    <w:rsid w:val="004F69B0"/>
    <w:rsid w:val="005068AD"/>
    <w:rsid w:val="0051306E"/>
    <w:rsid w:val="00516B65"/>
    <w:rsid w:val="00517795"/>
    <w:rsid w:val="00517BDA"/>
    <w:rsid w:val="0052131A"/>
    <w:rsid w:val="00523639"/>
    <w:rsid w:val="00531FE5"/>
    <w:rsid w:val="005402FA"/>
    <w:rsid w:val="00541E1A"/>
    <w:rsid w:val="005457BB"/>
    <w:rsid w:val="00556CBA"/>
    <w:rsid w:val="00567122"/>
    <w:rsid w:val="00567A6F"/>
    <w:rsid w:val="005729BD"/>
    <w:rsid w:val="00573437"/>
    <w:rsid w:val="00573BE3"/>
    <w:rsid w:val="00580154"/>
    <w:rsid w:val="00583C39"/>
    <w:rsid w:val="00586A90"/>
    <w:rsid w:val="00587F28"/>
    <w:rsid w:val="00590643"/>
    <w:rsid w:val="005909CF"/>
    <w:rsid w:val="00590E5A"/>
    <w:rsid w:val="00591E71"/>
    <w:rsid w:val="005A0D41"/>
    <w:rsid w:val="005B63C2"/>
    <w:rsid w:val="005B7ED3"/>
    <w:rsid w:val="005D329F"/>
    <w:rsid w:val="005F449B"/>
    <w:rsid w:val="005F48ED"/>
    <w:rsid w:val="006001E8"/>
    <w:rsid w:val="00606E78"/>
    <w:rsid w:val="00607BF1"/>
    <w:rsid w:val="006116B4"/>
    <w:rsid w:val="00614369"/>
    <w:rsid w:val="0062070A"/>
    <w:rsid w:val="00630D4D"/>
    <w:rsid w:val="00632586"/>
    <w:rsid w:val="00632A74"/>
    <w:rsid w:val="006541DA"/>
    <w:rsid w:val="00654D42"/>
    <w:rsid w:val="006639AA"/>
    <w:rsid w:val="0066473F"/>
    <w:rsid w:val="00666E02"/>
    <w:rsid w:val="00682ED4"/>
    <w:rsid w:val="006929FD"/>
    <w:rsid w:val="00693D13"/>
    <w:rsid w:val="0069404F"/>
    <w:rsid w:val="00695375"/>
    <w:rsid w:val="006A017C"/>
    <w:rsid w:val="006A4655"/>
    <w:rsid w:val="006B2B3C"/>
    <w:rsid w:val="006B75F9"/>
    <w:rsid w:val="006C1D81"/>
    <w:rsid w:val="006C7038"/>
    <w:rsid w:val="006E1AE0"/>
    <w:rsid w:val="006E73EF"/>
    <w:rsid w:val="00704322"/>
    <w:rsid w:val="00706F8E"/>
    <w:rsid w:val="007079C9"/>
    <w:rsid w:val="00714D4D"/>
    <w:rsid w:val="00722C6C"/>
    <w:rsid w:val="007266D3"/>
    <w:rsid w:val="0073005D"/>
    <w:rsid w:val="00732029"/>
    <w:rsid w:val="00741B83"/>
    <w:rsid w:val="00750D94"/>
    <w:rsid w:val="0075515E"/>
    <w:rsid w:val="007604BB"/>
    <w:rsid w:val="0076147C"/>
    <w:rsid w:val="00767E66"/>
    <w:rsid w:val="00772909"/>
    <w:rsid w:val="007801F8"/>
    <w:rsid w:val="00785232"/>
    <w:rsid w:val="00790F1C"/>
    <w:rsid w:val="007924A7"/>
    <w:rsid w:val="007948C0"/>
    <w:rsid w:val="0079701E"/>
    <w:rsid w:val="007A21EB"/>
    <w:rsid w:val="007A4DE5"/>
    <w:rsid w:val="007B1A93"/>
    <w:rsid w:val="007C36C9"/>
    <w:rsid w:val="007D6401"/>
    <w:rsid w:val="007D77AF"/>
    <w:rsid w:val="007E01E4"/>
    <w:rsid w:val="007E3642"/>
    <w:rsid w:val="007E7A12"/>
    <w:rsid w:val="007F7107"/>
    <w:rsid w:val="007F7353"/>
    <w:rsid w:val="008006BB"/>
    <w:rsid w:val="00800D4C"/>
    <w:rsid w:val="00804882"/>
    <w:rsid w:val="0081030F"/>
    <w:rsid w:val="00812F4A"/>
    <w:rsid w:val="0082087D"/>
    <w:rsid w:val="0082260E"/>
    <w:rsid w:val="00835771"/>
    <w:rsid w:val="00842933"/>
    <w:rsid w:val="008518C3"/>
    <w:rsid w:val="0086082C"/>
    <w:rsid w:val="008620AC"/>
    <w:rsid w:val="00864ADC"/>
    <w:rsid w:val="00875B4A"/>
    <w:rsid w:val="00880153"/>
    <w:rsid w:val="008804A7"/>
    <w:rsid w:val="00880F97"/>
    <w:rsid w:val="0088133A"/>
    <w:rsid w:val="00891D3B"/>
    <w:rsid w:val="0089285E"/>
    <w:rsid w:val="0089436C"/>
    <w:rsid w:val="00895F47"/>
    <w:rsid w:val="008A128B"/>
    <w:rsid w:val="008A57F3"/>
    <w:rsid w:val="008B3C79"/>
    <w:rsid w:val="008B5215"/>
    <w:rsid w:val="008D365C"/>
    <w:rsid w:val="008D4E49"/>
    <w:rsid w:val="008D7622"/>
    <w:rsid w:val="008D7E83"/>
    <w:rsid w:val="008E70FA"/>
    <w:rsid w:val="009021A6"/>
    <w:rsid w:val="00902D52"/>
    <w:rsid w:val="009030BF"/>
    <w:rsid w:val="00903B52"/>
    <w:rsid w:val="0090413D"/>
    <w:rsid w:val="00907A1E"/>
    <w:rsid w:val="0091032F"/>
    <w:rsid w:val="00914368"/>
    <w:rsid w:val="00924923"/>
    <w:rsid w:val="00931076"/>
    <w:rsid w:val="009345D9"/>
    <w:rsid w:val="00934B15"/>
    <w:rsid w:val="00940C87"/>
    <w:rsid w:val="00942B62"/>
    <w:rsid w:val="00945B58"/>
    <w:rsid w:val="00945E14"/>
    <w:rsid w:val="009507F3"/>
    <w:rsid w:val="0095323B"/>
    <w:rsid w:val="00956A0C"/>
    <w:rsid w:val="00956BD9"/>
    <w:rsid w:val="00956E50"/>
    <w:rsid w:val="00962489"/>
    <w:rsid w:val="009654A0"/>
    <w:rsid w:val="00965A2C"/>
    <w:rsid w:val="00967CD3"/>
    <w:rsid w:val="00971B90"/>
    <w:rsid w:val="00980A7A"/>
    <w:rsid w:val="00990C2C"/>
    <w:rsid w:val="00997F13"/>
    <w:rsid w:val="009A5171"/>
    <w:rsid w:val="009B3A55"/>
    <w:rsid w:val="009C3703"/>
    <w:rsid w:val="009C4939"/>
    <w:rsid w:val="009C597E"/>
    <w:rsid w:val="009D1BD6"/>
    <w:rsid w:val="009D62B4"/>
    <w:rsid w:val="009E0310"/>
    <w:rsid w:val="009E1844"/>
    <w:rsid w:val="009F0D1B"/>
    <w:rsid w:val="009F53DD"/>
    <w:rsid w:val="009F5BBD"/>
    <w:rsid w:val="009F696D"/>
    <w:rsid w:val="009F6BC6"/>
    <w:rsid w:val="009F71E2"/>
    <w:rsid w:val="009F74EF"/>
    <w:rsid w:val="00A02826"/>
    <w:rsid w:val="00A03728"/>
    <w:rsid w:val="00A053D8"/>
    <w:rsid w:val="00A103C6"/>
    <w:rsid w:val="00A12B87"/>
    <w:rsid w:val="00A15D5A"/>
    <w:rsid w:val="00A17328"/>
    <w:rsid w:val="00A2136C"/>
    <w:rsid w:val="00A2228E"/>
    <w:rsid w:val="00A23A20"/>
    <w:rsid w:val="00A24443"/>
    <w:rsid w:val="00A268B9"/>
    <w:rsid w:val="00A2703A"/>
    <w:rsid w:val="00A33DFF"/>
    <w:rsid w:val="00A35115"/>
    <w:rsid w:val="00A36D9A"/>
    <w:rsid w:val="00A37733"/>
    <w:rsid w:val="00A3773B"/>
    <w:rsid w:val="00A40F14"/>
    <w:rsid w:val="00A451DC"/>
    <w:rsid w:val="00A46E23"/>
    <w:rsid w:val="00A47A58"/>
    <w:rsid w:val="00A52957"/>
    <w:rsid w:val="00A52F82"/>
    <w:rsid w:val="00A54535"/>
    <w:rsid w:val="00A554AB"/>
    <w:rsid w:val="00A57062"/>
    <w:rsid w:val="00A6390E"/>
    <w:rsid w:val="00A66DE4"/>
    <w:rsid w:val="00A67781"/>
    <w:rsid w:val="00A67CF8"/>
    <w:rsid w:val="00A761F9"/>
    <w:rsid w:val="00A837F1"/>
    <w:rsid w:val="00A92B53"/>
    <w:rsid w:val="00A94FA6"/>
    <w:rsid w:val="00A976F2"/>
    <w:rsid w:val="00AA49A0"/>
    <w:rsid w:val="00AA5655"/>
    <w:rsid w:val="00AA6710"/>
    <w:rsid w:val="00AB0681"/>
    <w:rsid w:val="00AC1ADE"/>
    <w:rsid w:val="00AC310E"/>
    <w:rsid w:val="00AC3A15"/>
    <w:rsid w:val="00AC78B0"/>
    <w:rsid w:val="00AD520B"/>
    <w:rsid w:val="00AE3BCC"/>
    <w:rsid w:val="00AF10EF"/>
    <w:rsid w:val="00AF2775"/>
    <w:rsid w:val="00AF376C"/>
    <w:rsid w:val="00AF3B6F"/>
    <w:rsid w:val="00AF3D10"/>
    <w:rsid w:val="00B02699"/>
    <w:rsid w:val="00B1664D"/>
    <w:rsid w:val="00B231CC"/>
    <w:rsid w:val="00B260A5"/>
    <w:rsid w:val="00B4187F"/>
    <w:rsid w:val="00B4259B"/>
    <w:rsid w:val="00B425C3"/>
    <w:rsid w:val="00B4373D"/>
    <w:rsid w:val="00B440AD"/>
    <w:rsid w:val="00B479BB"/>
    <w:rsid w:val="00B53E7E"/>
    <w:rsid w:val="00B62F62"/>
    <w:rsid w:val="00B6342E"/>
    <w:rsid w:val="00B6415B"/>
    <w:rsid w:val="00B7113F"/>
    <w:rsid w:val="00B9373C"/>
    <w:rsid w:val="00BA12ED"/>
    <w:rsid w:val="00BA2BCF"/>
    <w:rsid w:val="00BA5B14"/>
    <w:rsid w:val="00BA73B6"/>
    <w:rsid w:val="00BA7E27"/>
    <w:rsid w:val="00BB2603"/>
    <w:rsid w:val="00BB4FCD"/>
    <w:rsid w:val="00BB6F56"/>
    <w:rsid w:val="00BB7E90"/>
    <w:rsid w:val="00BC04E9"/>
    <w:rsid w:val="00BC745A"/>
    <w:rsid w:val="00BD13EA"/>
    <w:rsid w:val="00BD1B4D"/>
    <w:rsid w:val="00BE2B4D"/>
    <w:rsid w:val="00BE3808"/>
    <w:rsid w:val="00BE71FC"/>
    <w:rsid w:val="00BF48AE"/>
    <w:rsid w:val="00BF75F4"/>
    <w:rsid w:val="00C029F4"/>
    <w:rsid w:val="00C02A9B"/>
    <w:rsid w:val="00C03B88"/>
    <w:rsid w:val="00C062E9"/>
    <w:rsid w:val="00C069AA"/>
    <w:rsid w:val="00C07B64"/>
    <w:rsid w:val="00C13721"/>
    <w:rsid w:val="00C145AE"/>
    <w:rsid w:val="00C14FE4"/>
    <w:rsid w:val="00C241C1"/>
    <w:rsid w:val="00C3066D"/>
    <w:rsid w:val="00C33198"/>
    <w:rsid w:val="00C52416"/>
    <w:rsid w:val="00C543F4"/>
    <w:rsid w:val="00C6291C"/>
    <w:rsid w:val="00C633CB"/>
    <w:rsid w:val="00C664CD"/>
    <w:rsid w:val="00C736B7"/>
    <w:rsid w:val="00C74C31"/>
    <w:rsid w:val="00C81D4A"/>
    <w:rsid w:val="00C8762C"/>
    <w:rsid w:val="00CA00F9"/>
    <w:rsid w:val="00CA2961"/>
    <w:rsid w:val="00CA3637"/>
    <w:rsid w:val="00CB50D7"/>
    <w:rsid w:val="00CB7177"/>
    <w:rsid w:val="00CB7CED"/>
    <w:rsid w:val="00CC070F"/>
    <w:rsid w:val="00CC1998"/>
    <w:rsid w:val="00CC4946"/>
    <w:rsid w:val="00CC64A1"/>
    <w:rsid w:val="00CD08A3"/>
    <w:rsid w:val="00CD1138"/>
    <w:rsid w:val="00CD222B"/>
    <w:rsid w:val="00CD482E"/>
    <w:rsid w:val="00CD4D80"/>
    <w:rsid w:val="00CE6A52"/>
    <w:rsid w:val="00CF3B11"/>
    <w:rsid w:val="00CF47F6"/>
    <w:rsid w:val="00D06ED7"/>
    <w:rsid w:val="00D270A4"/>
    <w:rsid w:val="00D31FE9"/>
    <w:rsid w:val="00D34E1B"/>
    <w:rsid w:val="00D34FED"/>
    <w:rsid w:val="00D376BA"/>
    <w:rsid w:val="00D434A0"/>
    <w:rsid w:val="00D45634"/>
    <w:rsid w:val="00D5568A"/>
    <w:rsid w:val="00D63D73"/>
    <w:rsid w:val="00D64452"/>
    <w:rsid w:val="00D66E1E"/>
    <w:rsid w:val="00D678D9"/>
    <w:rsid w:val="00D70696"/>
    <w:rsid w:val="00D75722"/>
    <w:rsid w:val="00D80CF5"/>
    <w:rsid w:val="00DA47B5"/>
    <w:rsid w:val="00DA5BBA"/>
    <w:rsid w:val="00DA7D5A"/>
    <w:rsid w:val="00DB26D2"/>
    <w:rsid w:val="00DB3788"/>
    <w:rsid w:val="00DB67C9"/>
    <w:rsid w:val="00DB7911"/>
    <w:rsid w:val="00DC0C95"/>
    <w:rsid w:val="00DC4F0B"/>
    <w:rsid w:val="00DC6D44"/>
    <w:rsid w:val="00DD6580"/>
    <w:rsid w:val="00DE48CA"/>
    <w:rsid w:val="00DF1BFE"/>
    <w:rsid w:val="00E01D7F"/>
    <w:rsid w:val="00E03588"/>
    <w:rsid w:val="00E03F83"/>
    <w:rsid w:val="00E0470B"/>
    <w:rsid w:val="00E05C03"/>
    <w:rsid w:val="00E07031"/>
    <w:rsid w:val="00E1559D"/>
    <w:rsid w:val="00E170F4"/>
    <w:rsid w:val="00E17C72"/>
    <w:rsid w:val="00E21FC6"/>
    <w:rsid w:val="00E22E68"/>
    <w:rsid w:val="00E3206F"/>
    <w:rsid w:val="00E431A9"/>
    <w:rsid w:val="00E47552"/>
    <w:rsid w:val="00E47E1E"/>
    <w:rsid w:val="00E572CA"/>
    <w:rsid w:val="00E62A08"/>
    <w:rsid w:val="00E669E2"/>
    <w:rsid w:val="00E70C4A"/>
    <w:rsid w:val="00E72A13"/>
    <w:rsid w:val="00E76135"/>
    <w:rsid w:val="00E82557"/>
    <w:rsid w:val="00E82F4F"/>
    <w:rsid w:val="00E864DF"/>
    <w:rsid w:val="00E87B96"/>
    <w:rsid w:val="00E908E0"/>
    <w:rsid w:val="00E91710"/>
    <w:rsid w:val="00E93F9F"/>
    <w:rsid w:val="00EA0CBB"/>
    <w:rsid w:val="00EA2EB8"/>
    <w:rsid w:val="00EB2CC3"/>
    <w:rsid w:val="00EB3698"/>
    <w:rsid w:val="00EB55CE"/>
    <w:rsid w:val="00EC2844"/>
    <w:rsid w:val="00EC5500"/>
    <w:rsid w:val="00EC6B62"/>
    <w:rsid w:val="00ED18F8"/>
    <w:rsid w:val="00EE496E"/>
    <w:rsid w:val="00EE5310"/>
    <w:rsid w:val="00EE6EDA"/>
    <w:rsid w:val="00EE778E"/>
    <w:rsid w:val="00EF6719"/>
    <w:rsid w:val="00EF6C6C"/>
    <w:rsid w:val="00F02AB0"/>
    <w:rsid w:val="00F056FC"/>
    <w:rsid w:val="00F0632F"/>
    <w:rsid w:val="00F069AE"/>
    <w:rsid w:val="00F07E40"/>
    <w:rsid w:val="00F10476"/>
    <w:rsid w:val="00F122EA"/>
    <w:rsid w:val="00F135D8"/>
    <w:rsid w:val="00F13E16"/>
    <w:rsid w:val="00F236D2"/>
    <w:rsid w:val="00F306E0"/>
    <w:rsid w:val="00F31299"/>
    <w:rsid w:val="00F3534A"/>
    <w:rsid w:val="00F35BFB"/>
    <w:rsid w:val="00F36ACC"/>
    <w:rsid w:val="00F51609"/>
    <w:rsid w:val="00F55C25"/>
    <w:rsid w:val="00F55E9A"/>
    <w:rsid w:val="00F56602"/>
    <w:rsid w:val="00F56707"/>
    <w:rsid w:val="00F73727"/>
    <w:rsid w:val="00F75EE7"/>
    <w:rsid w:val="00F766A7"/>
    <w:rsid w:val="00F7726B"/>
    <w:rsid w:val="00F77F78"/>
    <w:rsid w:val="00F81006"/>
    <w:rsid w:val="00F85325"/>
    <w:rsid w:val="00F9381C"/>
    <w:rsid w:val="00F96B5A"/>
    <w:rsid w:val="00FB1E90"/>
    <w:rsid w:val="00FC3B36"/>
    <w:rsid w:val="00FC402C"/>
    <w:rsid w:val="00FD1DD1"/>
    <w:rsid w:val="00FD22B1"/>
    <w:rsid w:val="00FD33F1"/>
    <w:rsid w:val="00FD3566"/>
    <w:rsid w:val="00FD424E"/>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58B0C05-5E5D-4C8F-82F3-2A993273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750D9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50D94"/>
    <w:rPr>
      <w:szCs w:val="24"/>
    </w:rPr>
  </w:style>
  <w:style w:type="character" w:customStyle="1" w:styleId="CommentSubjectChar">
    <w:name w:val="Comment Subject Char"/>
    <w:basedOn w:val="CommentTextChar"/>
    <w:link w:val="CommentSubject"/>
    <w:semiHidden/>
    <w:rsid w:val="00750D94"/>
    <w:rPr>
      <w:b/>
      <w:bCs/>
      <w:szCs w:val="24"/>
    </w:rPr>
  </w:style>
  <w:style w:type="paragraph" w:styleId="Bibliography">
    <w:name w:val="Bibliography"/>
    <w:basedOn w:val="Normal"/>
    <w:next w:val="Normal"/>
    <w:uiPriority w:val="37"/>
    <w:unhideWhenUsed/>
    <w:rsid w:val="00945E14"/>
    <w:pPr>
      <w:spacing w:after="240"/>
      <w:ind w:left="720" w:hanging="720"/>
    </w:pPr>
  </w:style>
  <w:style w:type="character" w:customStyle="1" w:styleId="BoxChar">
    <w:name w:val="Box Char"/>
    <w:basedOn w:val="DefaultParagraphFont"/>
    <w:link w:val="Box"/>
    <w:locked/>
    <w:rsid w:val="00F56602"/>
    <w:rPr>
      <w:rFonts w:ascii="Arial" w:hAnsi="Arial"/>
    </w:rPr>
  </w:style>
  <w:style w:type="character" w:styleId="Hyperlink">
    <w:name w:val="Hyperlink"/>
    <w:basedOn w:val="DefaultParagraphFont"/>
    <w:unhideWhenUsed/>
    <w:rsid w:val="00F56602"/>
    <w:rPr>
      <w:color w:val="000000" w:themeColor="hyperlink"/>
      <w:u w:val="single"/>
    </w:rPr>
  </w:style>
  <w:style w:type="paragraph" w:customStyle="1" w:styleId="Copyrightheading">
    <w:name w:val="Copyright heading"/>
    <w:basedOn w:val="TOC1"/>
    <w:link w:val="CopyrightheadingChar"/>
    <w:qFormat/>
    <w:rsid w:val="00F56602"/>
    <w:pPr>
      <w:spacing w:line="300" w:lineRule="exact"/>
    </w:pPr>
    <w:rPr>
      <w:sz w:val="22"/>
    </w:rPr>
  </w:style>
  <w:style w:type="character" w:customStyle="1" w:styleId="CopyrightheadingChar">
    <w:name w:val="Copyright heading Char"/>
    <w:basedOn w:val="TOC1Char"/>
    <w:link w:val="Copyrightheading"/>
    <w:rsid w:val="00F56602"/>
    <w:rPr>
      <w:rFonts w:ascii="Arial" w:hAnsi="Arial"/>
      <w:b/>
      <w:sz w:val="22"/>
      <w:szCs w:val="26"/>
      <w:lang w:eastAsia="en-US"/>
    </w:rPr>
  </w:style>
  <w:style w:type="paragraph" w:customStyle="1" w:styleId="Copyrightsubtitle">
    <w:name w:val="Copyright subtitle"/>
    <w:basedOn w:val="BodyText"/>
    <w:rsid w:val="00F56602"/>
    <w:rPr>
      <w:rFonts w:ascii="Arial" w:hAnsi="Arial"/>
      <w:b/>
      <w:sz w:val="22"/>
      <w:szCs w:val="25"/>
    </w:rPr>
  </w:style>
  <w:style w:type="paragraph" w:customStyle="1" w:styleId="Copyrightbodytext">
    <w:name w:val="Copyright bodytext"/>
    <w:basedOn w:val="BodyText"/>
    <w:link w:val="CopyrightbodytextChar"/>
    <w:qFormat/>
    <w:rsid w:val="00F56602"/>
    <w:pPr>
      <w:spacing w:before="60"/>
    </w:pPr>
  </w:style>
  <w:style w:type="character" w:customStyle="1" w:styleId="CopyrightbodytextChar">
    <w:name w:val="Copyright bodytext Char"/>
    <w:basedOn w:val="BodyTextChar"/>
    <w:link w:val="Copyrightbodytext"/>
    <w:rsid w:val="00F56602"/>
    <w:rPr>
      <w:sz w:val="24"/>
    </w:rPr>
  </w:style>
  <w:style w:type="character" w:customStyle="1" w:styleId="Heading1Char">
    <w:name w:val="Heading 1 Char"/>
    <w:basedOn w:val="DefaultParagraphFont"/>
    <w:link w:val="Heading1"/>
    <w:rsid w:val="0052131A"/>
    <w:rPr>
      <w:sz w:val="52"/>
    </w:rPr>
  </w:style>
  <w:style w:type="character" w:customStyle="1" w:styleId="Heading3Char">
    <w:name w:val="Heading 3 Char"/>
    <w:basedOn w:val="DefaultParagraphFont"/>
    <w:link w:val="Heading3"/>
    <w:rsid w:val="0052131A"/>
    <w:rPr>
      <w:rFonts w:ascii="Arial" w:hAnsi="Arial"/>
      <w:b/>
      <w:sz w:val="26"/>
    </w:rPr>
  </w:style>
  <w:style w:type="character" w:customStyle="1" w:styleId="SourceChar">
    <w:name w:val="Source Char"/>
    <w:link w:val="Source"/>
    <w:rsid w:val="0052131A"/>
    <w:rPr>
      <w:rFonts w:ascii="Arial" w:hAnsi="Arial"/>
      <w:sz w:val="18"/>
    </w:rPr>
  </w:style>
  <w:style w:type="character" w:customStyle="1" w:styleId="TableBodyTextChar">
    <w:name w:val="Table Body Text Char"/>
    <w:link w:val="TableBodyText"/>
    <w:rsid w:val="0052131A"/>
    <w:rPr>
      <w:rFonts w:ascii="Arial" w:hAnsi="Arial"/>
      <w:sz w:val="18"/>
    </w:rPr>
  </w:style>
  <w:style w:type="character" w:customStyle="1" w:styleId="TableTitleChar">
    <w:name w:val="Table Title Char"/>
    <w:basedOn w:val="DefaultParagraphFont"/>
    <w:link w:val="TableTitle"/>
    <w:rsid w:val="0052131A"/>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6687">
      <w:bodyDiv w:val="1"/>
      <w:marLeft w:val="0"/>
      <w:marRight w:val="0"/>
      <w:marTop w:val="0"/>
      <w:marBottom w:val="0"/>
      <w:divBdr>
        <w:top w:val="none" w:sz="0" w:space="0" w:color="auto"/>
        <w:left w:val="none" w:sz="0" w:space="0" w:color="auto"/>
        <w:bottom w:val="none" w:sz="0" w:space="0" w:color="auto"/>
        <w:right w:val="none" w:sz="0" w:space="0" w:color="auto"/>
      </w:divBdr>
    </w:div>
    <w:div w:id="317079470">
      <w:bodyDiv w:val="1"/>
      <w:marLeft w:val="0"/>
      <w:marRight w:val="0"/>
      <w:marTop w:val="0"/>
      <w:marBottom w:val="0"/>
      <w:divBdr>
        <w:top w:val="none" w:sz="0" w:space="0" w:color="auto"/>
        <w:left w:val="none" w:sz="0" w:space="0" w:color="auto"/>
        <w:bottom w:val="none" w:sz="0" w:space="0" w:color="auto"/>
        <w:right w:val="none" w:sz="0" w:space="0" w:color="auto"/>
      </w:divBdr>
    </w:div>
    <w:div w:id="409617034">
      <w:bodyDiv w:val="1"/>
      <w:marLeft w:val="0"/>
      <w:marRight w:val="0"/>
      <w:marTop w:val="0"/>
      <w:marBottom w:val="0"/>
      <w:divBdr>
        <w:top w:val="none" w:sz="0" w:space="0" w:color="auto"/>
        <w:left w:val="none" w:sz="0" w:space="0" w:color="auto"/>
        <w:bottom w:val="none" w:sz="0" w:space="0" w:color="auto"/>
        <w:right w:val="none" w:sz="0" w:space="0" w:color="auto"/>
      </w:divBdr>
    </w:div>
    <w:div w:id="132123006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3.0/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E28F-80FC-48E1-99D9-012E5306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1265</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Technical supplement 7: Modelling policy changes - Superannuation: Assessing Efficiency and Competitiveness Inquiry Report</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7: Modelling policy changes - Superannuation: Assessing Efficiency and Competitiveness Inquiry Report</dc:title>
  <dc:subject/>
  <dc:creator>Productivity Commission</dc:creator>
  <cp:keywords/>
  <dc:description/>
  <cp:lastModifiedBy>Pimperl, Mark</cp:lastModifiedBy>
  <cp:revision>13</cp:revision>
  <cp:lastPrinted>2018-05-24T14:04:00Z</cp:lastPrinted>
  <dcterms:created xsi:type="dcterms:W3CDTF">2018-05-24T13:50:00Z</dcterms:created>
  <dcterms:modified xsi:type="dcterms:W3CDTF">2019-01-08T03:46:00Z</dcterms:modified>
</cp:coreProperties>
</file>